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B64F" w14:textId="64D5DB16" w:rsidR="00163BC4" w:rsidRPr="00FA0253" w:rsidRDefault="003053BF" w:rsidP="00441B6F">
      <w:pPr>
        <w:pStyle w:val="Author"/>
        <w:spacing w:line="240" w:lineRule="auto"/>
        <w:rPr>
          <w:rFonts w:ascii="Arial" w:hAnsi="Arial" w:cs="Arial"/>
          <w:bCs/>
          <w:iCs/>
          <w:kern w:val="28"/>
          <w:sz w:val="36"/>
        </w:rPr>
      </w:pPr>
      <w:r w:rsidRPr="00FA0253">
        <w:rPr>
          <w:rFonts w:ascii="Arial" w:hAnsi="Arial" w:cs="Arial"/>
          <w:bCs/>
          <w:iCs/>
          <w:kern w:val="28"/>
          <w:sz w:val="36"/>
        </w:rPr>
        <w:t>Phytotherapy and One Health: The Role of Medicinal Plants in Combating Antimicrobial Resistance Worldwide</w:t>
      </w:r>
      <w:r w:rsidR="00231920" w:rsidRPr="00FA0253">
        <w:rPr>
          <w:rFonts w:ascii="Arial" w:hAnsi="Arial" w:cs="Arial"/>
          <w:bCs/>
          <w:iCs/>
          <w:kern w:val="28"/>
          <w:sz w:val="36"/>
        </w:rPr>
        <w:t xml:space="preserve"> </w:t>
      </w:r>
    </w:p>
    <w:p w14:paraId="2E78E338" w14:textId="77777777" w:rsidR="00A258C3" w:rsidRPr="00FA0253" w:rsidRDefault="00A258C3" w:rsidP="00441B6F">
      <w:pPr>
        <w:pStyle w:val="Author"/>
        <w:spacing w:line="240" w:lineRule="auto"/>
        <w:jc w:val="both"/>
        <w:rPr>
          <w:rFonts w:ascii="Arial" w:hAnsi="Arial" w:cs="Arial"/>
          <w:sz w:val="36"/>
        </w:rPr>
      </w:pPr>
    </w:p>
    <w:p w14:paraId="55AB2098" w14:textId="77777777" w:rsidR="00C424DD" w:rsidRPr="00214179" w:rsidRDefault="00C424DD" w:rsidP="00441B6F">
      <w:pPr>
        <w:pStyle w:val="Affiliation"/>
        <w:spacing w:after="0" w:line="240" w:lineRule="auto"/>
        <w:jc w:val="both"/>
        <w:rPr>
          <w:rFonts w:ascii="Arial" w:hAnsi="Arial" w:cs="Arial"/>
        </w:rPr>
      </w:pPr>
    </w:p>
    <w:p w14:paraId="441CFAE0" w14:textId="77777777" w:rsidR="002C57D2" w:rsidRPr="00214179" w:rsidRDefault="002C57D2" w:rsidP="00441B6F">
      <w:pPr>
        <w:pStyle w:val="Affiliation"/>
        <w:spacing w:after="0" w:line="240" w:lineRule="auto"/>
        <w:jc w:val="both"/>
        <w:rPr>
          <w:rFonts w:ascii="Arial" w:hAnsi="Arial" w:cs="Arial"/>
        </w:rPr>
      </w:pPr>
    </w:p>
    <w:p w14:paraId="26D13353" w14:textId="77777777" w:rsidR="00B01FCD" w:rsidRPr="00FA0253" w:rsidRDefault="00000000" w:rsidP="00441B6F">
      <w:pPr>
        <w:pStyle w:val="Copyright"/>
        <w:spacing w:after="0" w:line="240" w:lineRule="auto"/>
        <w:jc w:val="both"/>
        <w:rPr>
          <w:rFonts w:ascii="Arial" w:hAnsi="Arial" w:cs="Arial"/>
        </w:rPr>
        <w:sectPr w:rsidR="00B01FCD" w:rsidRPr="00FA0253" w:rsidSect="00F64D7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392C2267">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FA0253">
        <w:rPr>
          <w:rFonts w:ascii="Arial" w:hAnsi="Arial" w:cs="Arial"/>
        </w:rPr>
        <w:t>.</w:t>
      </w:r>
    </w:p>
    <w:p w14:paraId="2D099E7E" w14:textId="45A0AC6B" w:rsidR="00790ADA" w:rsidRPr="00FA0253" w:rsidRDefault="00B01FCD" w:rsidP="00441B6F">
      <w:pPr>
        <w:pStyle w:val="AbstHead"/>
        <w:spacing w:after="0"/>
        <w:jc w:val="both"/>
        <w:rPr>
          <w:rFonts w:ascii="Arial" w:hAnsi="Arial" w:cs="Arial"/>
        </w:rPr>
      </w:pPr>
      <w:r w:rsidRPr="00FA0253">
        <w:rPr>
          <w:rFonts w:ascii="Arial" w:hAnsi="Arial" w:cs="Arial"/>
        </w:rPr>
        <w:t>ABSTRACT</w:t>
      </w:r>
      <w:r w:rsidR="0066510A" w:rsidRPr="00FA0253">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A0253" w14:paraId="3515C7D9" w14:textId="77777777" w:rsidTr="001E44FE">
        <w:tc>
          <w:tcPr>
            <w:tcW w:w="9576" w:type="dxa"/>
            <w:shd w:val="clear" w:color="auto" w:fill="F2F2F2"/>
          </w:tcPr>
          <w:p w14:paraId="202B3826" w14:textId="71E2AC06" w:rsidR="00505F06" w:rsidRPr="00FA0253" w:rsidRDefault="001B433A" w:rsidP="001B433A">
            <w:pPr>
              <w:pStyle w:val="Body"/>
              <w:spacing w:after="0"/>
              <w:rPr>
                <w:rFonts w:ascii="Arial" w:eastAsia="Calibri" w:hAnsi="Arial" w:cs="Arial"/>
                <w:szCs w:val="22"/>
              </w:rPr>
            </w:pPr>
            <w:r w:rsidRPr="001B433A">
              <w:rPr>
                <w:rFonts w:ascii="Arial" w:eastAsia="Calibri" w:hAnsi="Arial" w:cs="Arial"/>
                <w:szCs w:val="22"/>
              </w:rPr>
              <w:t xml:space="preserve">The aim of this study was to evaluate the role of medicinal plants and their bioactive compounds in combating antimicrobial resistance (AMR) within the One Health framework. This work was designed as a narrative integrative review. The study was conducted at the Veterinary Diagnostic Laboratory, Michigan State University, between January and October 2025. A structured literature search was performed in PubMed, Scopus, Web of Science, SciELO, ScienceDirect, and Google Scholar using predefined inclusion and exclusion criteria. Studies published between 2010 and 2025 were screened for relevance to human, veterinary, and environmental health. A total of 1,240 records were identified, and after screening and eligibility assessment, 20 studies met the inclusion criteria. Most studies originated from Asia and South America, focusing on plant families such as Lamiaceae, Asteraceae, and Rutaceae. Bioactive compounds including flavonoids, terpenoids, alkaloids, tannins, and saponins exhibited antimicrobial activity against multidrug-resistant pathogens such as </w:t>
            </w:r>
            <w:r w:rsidRPr="00214179">
              <w:rPr>
                <w:rFonts w:ascii="Arial" w:eastAsia="Calibri" w:hAnsi="Arial" w:cs="Arial"/>
                <w:i/>
                <w:iCs/>
                <w:szCs w:val="22"/>
              </w:rPr>
              <w:t>Staphylococcus aureus, Escherichia coli, Pseudomonas aeruginosa, Klebsiella pneumoniae, and Acinetobacter baumannii</w:t>
            </w:r>
            <w:r w:rsidRPr="001B433A">
              <w:rPr>
                <w:rFonts w:ascii="Arial" w:eastAsia="Calibri" w:hAnsi="Arial" w:cs="Arial"/>
                <w:szCs w:val="22"/>
              </w:rPr>
              <w:t>. Several studies reported synergistic effects with conventional antibiotics, reduced minimum inhibitory concentrations, and inhibition of biofilm formation and quorum sensing. These findings support the therapeutic potential of phytotherapy as an adjunct or alternative approach in human and veterinary medicine. However, significant limitations were identified, including lack of standardized methodologies, limited in vivo and clinical studies, and fragmented regulatory frameworks. Addressing these gaps through interdisciplinary collaboration, chemical standardization, and regulatory harmonization is essential to support the safe and effective integration of phytotherapy into AMR mitigation strategies.</w:t>
            </w:r>
          </w:p>
        </w:tc>
      </w:tr>
    </w:tbl>
    <w:p w14:paraId="1FA09298" w14:textId="77777777" w:rsidR="00636EB2" w:rsidRPr="00FA0253" w:rsidRDefault="00636EB2" w:rsidP="00441B6F">
      <w:pPr>
        <w:pStyle w:val="Body"/>
        <w:spacing w:after="0"/>
        <w:rPr>
          <w:rFonts w:ascii="Arial" w:hAnsi="Arial" w:cs="Arial"/>
          <w:i/>
        </w:rPr>
      </w:pPr>
    </w:p>
    <w:p w14:paraId="6E24A4FC" w14:textId="0FF05FFD" w:rsidR="00A24E7E" w:rsidRPr="00FA0253" w:rsidRDefault="00A24E7E" w:rsidP="00441B6F">
      <w:pPr>
        <w:pStyle w:val="Body"/>
        <w:spacing w:after="0"/>
        <w:rPr>
          <w:rFonts w:ascii="Arial" w:hAnsi="Arial" w:cs="Arial"/>
          <w:i/>
        </w:rPr>
      </w:pPr>
      <w:r w:rsidRPr="00FA0253">
        <w:rPr>
          <w:rFonts w:ascii="Arial" w:hAnsi="Arial" w:cs="Arial"/>
          <w:i/>
        </w:rPr>
        <w:t xml:space="preserve">Keywords: </w:t>
      </w:r>
      <w:r w:rsidR="001B433A" w:rsidRPr="001B433A">
        <w:rPr>
          <w:rFonts w:ascii="Arial" w:hAnsi="Arial" w:cs="Arial"/>
          <w:i/>
        </w:rPr>
        <w:t>Phytotherapy; Antimicrobial resistance; One Health;; Synergy; Multidrug-resistant bacteria.</w:t>
      </w:r>
    </w:p>
    <w:p w14:paraId="0EDA5A9A" w14:textId="77777777" w:rsidR="00790ADA" w:rsidRPr="00FA0253" w:rsidRDefault="00790ADA" w:rsidP="00441B6F">
      <w:pPr>
        <w:pStyle w:val="Body"/>
        <w:spacing w:after="0"/>
        <w:rPr>
          <w:rFonts w:ascii="Arial" w:hAnsi="Arial" w:cs="Arial"/>
          <w:i/>
        </w:rPr>
      </w:pPr>
    </w:p>
    <w:p w14:paraId="71107AAB" w14:textId="77777777" w:rsidR="0024282C" w:rsidRPr="00FA0253" w:rsidRDefault="0024282C" w:rsidP="00441B6F">
      <w:pPr>
        <w:pStyle w:val="Body"/>
        <w:spacing w:after="0"/>
        <w:rPr>
          <w:rFonts w:ascii="Arial" w:hAnsi="Arial" w:cs="Arial"/>
          <w:i/>
          <w:sz w:val="18"/>
        </w:rPr>
      </w:pPr>
    </w:p>
    <w:p w14:paraId="203EF7B8" w14:textId="77777777" w:rsidR="00505F06" w:rsidRDefault="00505F06" w:rsidP="003053BF">
      <w:pPr>
        <w:pStyle w:val="Body"/>
        <w:spacing w:after="0"/>
        <w:rPr>
          <w:rFonts w:ascii="Arial" w:hAnsi="Arial" w:cs="Arial"/>
          <w:i/>
        </w:rPr>
      </w:pPr>
    </w:p>
    <w:p w14:paraId="0CC384C0" w14:textId="77777777" w:rsidR="00136B42" w:rsidRDefault="00136B42" w:rsidP="003053BF">
      <w:pPr>
        <w:pStyle w:val="Body"/>
        <w:spacing w:after="0"/>
        <w:rPr>
          <w:rFonts w:ascii="Arial" w:hAnsi="Arial" w:cs="Arial"/>
          <w:i/>
        </w:rPr>
      </w:pPr>
    </w:p>
    <w:p w14:paraId="62313E6F" w14:textId="77777777" w:rsidR="00136B42" w:rsidRDefault="00136B42" w:rsidP="003053BF">
      <w:pPr>
        <w:pStyle w:val="Body"/>
        <w:spacing w:after="0"/>
        <w:rPr>
          <w:rFonts w:ascii="Arial" w:hAnsi="Arial" w:cs="Arial"/>
          <w:i/>
        </w:rPr>
      </w:pPr>
    </w:p>
    <w:p w14:paraId="03BF2DA1" w14:textId="77777777" w:rsidR="00136B42" w:rsidRPr="00FA0253" w:rsidRDefault="00136B42" w:rsidP="003053BF">
      <w:pPr>
        <w:pStyle w:val="Body"/>
        <w:spacing w:after="0"/>
        <w:rPr>
          <w:rFonts w:ascii="Arial" w:hAnsi="Arial" w:cs="Arial"/>
          <w:i/>
        </w:rPr>
      </w:pPr>
    </w:p>
    <w:p w14:paraId="2AB22297" w14:textId="6649B6F3" w:rsidR="007F7B32" w:rsidRPr="00FA0253" w:rsidRDefault="00B01FCD" w:rsidP="003053BF">
      <w:pPr>
        <w:pStyle w:val="AbstHead"/>
        <w:numPr>
          <w:ilvl w:val="0"/>
          <w:numId w:val="31"/>
        </w:numPr>
        <w:spacing w:after="0"/>
        <w:jc w:val="both"/>
        <w:rPr>
          <w:rFonts w:ascii="Arial" w:hAnsi="Arial" w:cs="Arial"/>
        </w:rPr>
      </w:pPr>
      <w:r w:rsidRPr="00FA0253">
        <w:rPr>
          <w:rFonts w:ascii="Arial" w:hAnsi="Arial" w:cs="Arial"/>
        </w:rPr>
        <w:t>INTRODUCTION</w:t>
      </w:r>
      <w:r w:rsidR="007F7B32" w:rsidRPr="00FA0253">
        <w:rPr>
          <w:rFonts w:ascii="Arial" w:hAnsi="Arial" w:cs="Arial"/>
        </w:rPr>
        <w:t xml:space="preserve"> </w:t>
      </w:r>
    </w:p>
    <w:p w14:paraId="2A03FB17" w14:textId="77777777" w:rsidR="003053BF" w:rsidRPr="00FA0253" w:rsidRDefault="003053BF" w:rsidP="003053BF">
      <w:pPr>
        <w:pStyle w:val="AbstHead"/>
        <w:spacing w:after="0"/>
        <w:ind w:left="720"/>
        <w:jc w:val="both"/>
        <w:rPr>
          <w:rFonts w:ascii="Arial" w:hAnsi="Arial" w:cs="Arial"/>
        </w:rPr>
      </w:pPr>
    </w:p>
    <w:p w14:paraId="60F3ED9D" w14:textId="7DC15EA4" w:rsidR="003053BF" w:rsidRPr="003053BF" w:rsidRDefault="003053BF" w:rsidP="003053BF">
      <w:pPr>
        <w:pStyle w:val="Body"/>
        <w:spacing w:after="0"/>
        <w:rPr>
          <w:rFonts w:ascii="Arial" w:hAnsi="Arial" w:cs="Arial"/>
        </w:rPr>
      </w:pPr>
      <w:r w:rsidRPr="003053BF">
        <w:rPr>
          <w:rFonts w:ascii="Arial" w:hAnsi="Arial" w:cs="Arial"/>
        </w:rPr>
        <w:t>In recent decades, the alarming escalation of antimicrobial resistance (AMR) has emerged as one of the foremost threats to global health. What began as isolated reports of antibiotic failures has now burgeoned into a crisis undermining our ability to manage infectious diseases, with projections suggesting that by 2050, AMR could cause up to 10 million deaths annually if left unchecked (</w:t>
      </w:r>
      <w:r w:rsidRPr="00214179">
        <w:rPr>
          <w:rFonts w:ascii="Arial" w:hAnsi="Arial" w:cs="Arial"/>
        </w:rPr>
        <w:t>O’Neill, 201</w:t>
      </w:r>
      <w:r w:rsidR="002607AB">
        <w:rPr>
          <w:rFonts w:ascii="Arial" w:hAnsi="Arial" w:cs="Arial"/>
        </w:rPr>
        <w:t>6</w:t>
      </w:r>
      <w:r w:rsidRPr="00214179">
        <w:rPr>
          <w:rFonts w:ascii="Arial" w:hAnsi="Arial" w:cs="Arial"/>
        </w:rPr>
        <w:t>; de Kraker et al., 2016</w:t>
      </w:r>
      <w:r w:rsidRPr="003053BF">
        <w:rPr>
          <w:rFonts w:ascii="Arial" w:hAnsi="Arial" w:cs="Arial"/>
        </w:rPr>
        <w:t>).</w:t>
      </w:r>
    </w:p>
    <w:p w14:paraId="08EF8139" w14:textId="77777777" w:rsidR="003053BF" w:rsidRPr="003053BF" w:rsidRDefault="003053BF" w:rsidP="003053BF">
      <w:pPr>
        <w:pStyle w:val="Body"/>
        <w:spacing w:after="0"/>
        <w:rPr>
          <w:rFonts w:ascii="Arial" w:hAnsi="Arial" w:cs="Arial"/>
        </w:rPr>
      </w:pPr>
      <w:r w:rsidRPr="003053BF">
        <w:rPr>
          <w:rFonts w:ascii="Arial" w:hAnsi="Arial" w:cs="Arial"/>
        </w:rPr>
        <w:t xml:space="preserve">Addressing AMR is inherently complex, because resistant organisms do not respect traditional disciplinary boundaries. Resistance genes and resistant pathogens travel across the human–animal–environment interface, often propelled by misuse of antibiotics in medicine, agriculture, and aquaculture, as well as by inadequate wastewater treatment and environmental contamination. This interconnection underscores the necessity of the </w:t>
      </w:r>
      <w:r w:rsidRPr="00214179">
        <w:rPr>
          <w:rFonts w:ascii="Arial" w:hAnsi="Arial" w:cs="Arial"/>
        </w:rPr>
        <w:t>One Health</w:t>
      </w:r>
      <w:r w:rsidRPr="003053BF">
        <w:rPr>
          <w:rFonts w:ascii="Arial" w:hAnsi="Arial" w:cs="Arial"/>
        </w:rPr>
        <w:t xml:space="preserve"> paradigm: the recognition that human health, animal health, and ecosystem health are interdependent, and that solutions must be integrative and cooperative across sectors (</w:t>
      </w:r>
      <w:r w:rsidRPr="00214179">
        <w:rPr>
          <w:rFonts w:ascii="Arial" w:hAnsi="Arial" w:cs="Arial"/>
        </w:rPr>
        <w:t>Hernando-Amado et al., 2021).</w:t>
      </w:r>
    </w:p>
    <w:p w14:paraId="673D0B5F" w14:textId="1E4F8FE5" w:rsidR="003053BF" w:rsidRPr="003053BF" w:rsidRDefault="003053BF" w:rsidP="003053BF">
      <w:pPr>
        <w:pStyle w:val="Body"/>
        <w:spacing w:after="0"/>
        <w:rPr>
          <w:rFonts w:ascii="Arial" w:hAnsi="Arial" w:cs="Arial"/>
        </w:rPr>
      </w:pPr>
      <w:r w:rsidRPr="003053BF">
        <w:rPr>
          <w:rFonts w:ascii="Arial" w:hAnsi="Arial" w:cs="Arial"/>
        </w:rPr>
        <w:t xml:space="preserve">Within this challenging landscape, </w:t>
      </w:r>
      <w:r w:rsidR="00214179" w:rsidRPr="003053BF">
        <w:rPr>
          <w:rFonts w:ascii="Arial" w:hAnsi="Arial" w:cs="Arial"/>
        </w:rPr>
        <w:t>phytotherapies</w:t>
      </w:r>
      <w:r w:rsidRPr="003053BF">
        <w:rPr>
          <w:rFonts w:ascii="Arial" w:hAnsi="Arial" w:cs="Arial"/>
        </w:rPr>
        <w:t xml:space="preserve"> use of medicinal plants and their bioactive compounds</w:t>
      </w:r>
      <w:r w:rsidRPr="00FA0253">
        <w:rPr>
          <w:rFonts w:ascii="Arial" w:hAnsi="Arial" w:cs="Arial"/>
        </w:rPr>
        <w:t xml:space="preserve"> </w:t>
      </w:r>
      <w:r w:rsidR="00214179" w:rsidRPr="003053BF">
        <w:rPr>
          <w:rFonts w:ascii="Arial" w:hAnsi="Arial" w:cs="Arial"/>
        </w:rPr>
        <w:t>have</w:t>
      </w:r>
      <w:r w:rsidRPr="003053BF">
        <w:rPr>
          <w:rFonts w:ascii="Arial" w:hAnsi="Arial" w:cs="Arial"/>
        </w:rPr>
        <w:t xml:space="preserve"> been rekindled as a promising complementary or alternative strategy. Plants synthesize a vast array of secondary metabolites (e.g., alkaloids, flavonoids, terpenoids, phenolics) as part of their defense systems, some of which exhibit antimicrobial, </w:t>
      </w:r>
      <w:r w:rsidRPr="003053BF">
        <w:rPr>
          <w:rFonts w:ascii="Arial" w:hAnsi="Arial" w:cs="Arial"/>
        </w:rPr>
        <w:lastRenderedPageBreak/>
        <w:t>antivirulence, or immunomodulatory properties. These natural molecules may act through multiple mechanisms (membrane disruption, enzyme inhibition, efflux pump suppression, quorum sensing interference) and sometimes synergize with conventional antibiotics to restore or enhance efficacy (</w:t>
      </w:r>
      <w:r w:rsidRPr="003053BF">
        <w:rPr>
          <w:rFonts w:ascii="Arial" w:hAnsi="Arial" w:cs="Arial"/>
          <w:i/>
          <w:iCs/>
        </w:rPr>
        <w:t>Enioutina et al., 2017</w:t>
      </w:r>
      <w:r w:rsidRPr="003053BF">
        <w:rPr>
          <w:rFonts w:ascii="Arial" w:hAnsi="Arial" w:cs="Arial"/>
        </w:rPr>
        <w:t>).</w:t>
      </w:r>
    </w:p>
    <w:p w14:paraId="2BEA2709" w14:textId="77777777" w:rsidR="003053BF" w:rsidRPr="003053BF" w:rsidRDefault="003053BF" w:rsidP="003053BF">
      <w:pPr>
        <w:pStyle w:val="Body"/>
        <w:spacing w:after="0"/>
        <w:rPr>
          <w:rFonts w:ascii="Arial" w:hAnsi="Arial" w:cs="Arial"/>
        </w:rPr>
      </w:pPr>
      <w:r w:rsidRPr="003053BF">
        <w:rPr>
          <w:rFonts w:ascii="Arial" w:hAnsi="Arial" w:cs="Arial"/>
        </w:rPr>
        <w:t>Despite their promise, the incorporation of medicinal plants into the fight against AMR must be approached with rigor. Challenges include standardization of extracts, demonstration of reproducible efficacy, toxicity assessment, understanding mechanisms of action, and ensuring sustainable sourcing without harming biodiversity. Moreover, in a One Health framework, the relevance of phytotherapy extends beyond human medicine: medicinal plants may play roles in veterinary health, crop protection (as botanical antimicrobials), and environmental remediation (e.g., phytoremediation of antibiotic residues).</w:t>
      </w:r>
    </w:p>
    <w:p w14:paraId="50E850D8" w14:textId="77777777" w:rsidR="003053BF" w:rsidRPr="003053BF" w:rsidRDefault="003053BF" w:rsidP="003053BF">
      <w:pPr>
        <w:pStyle w:val="Body"/>
        <w:spacing w:after="0"/>
        <w:rPr>
          <w:rFonts w:ascii="Arial" w:hAnsi="Arial" w:cs="Arial"/>
        </w:rPr>
      </w:pPr>
      <w:r w:rsidRPr="003053BF">
        <w:rPr>
          <w:rFonts w:ascii="Arial" w:hAnsi="Arial" w:cs="Arial"/>
        </w:rPr>
        <w:t>However, important limitations remain. Many studies are still limited to in vitro experiments with crude plant extracts, lacking standardized protocols, proper pharmacological characterization, or in vivo validation. Clinical trials and translational research remain scarce in both human and veterinary contexts, and few studies integrate environmental perspectives in a One Health framework. In addition, variability in phytochemical composition due to differences in plant species, growth conditions, and extraction methods complicates reproducibility and global implementation. These limitations highlight the urgent need for harmonized methodologies, robust evidence, and interdisciplinary collaboration to fully harness the potential of phytotherapy in AMR control.</w:t>
      </w:r>
    </w:p>
    <w:p w14:paraId="7B7260BB" w14:textId="77777777" w:rsidR="003053BF" w:rsidRPr="003053BF" w:rsidRDefault="003053BF" w:rsidP="003053BF">
      <w:pPr>
        <w:pStyle w:val="Body"/>
        <w:spacing w:after="0"/>
        <w:rPr>
          <w:rFonts w:ascii="Arial" w:hAnsi="Arial" w:cs="Arial"/>
        </w:rPr>
      </w:pPr>
      <w:r w:rsidRPr="003053BF">
        <w:rPr>
          <w:rFonts w:ascii="Arial" w:hAnsi="Arial" w:cs="Arial"/>
        </w:rPr>
        <w:t xml:space="preserve">Hence, this manuscript traces the evolving interface between phytotherapy and One Health, highlighting how medicinal plants may contribute to containing AMR </w:t>
      </w:r>
      <w:r w:rsidRPr="00FA0253">
        <w:rPr>
          <w:rFonts w:ascii="Arial" w:hAnsi="Arial" w:cs="Arial"/>
        </w:rPr>
        <w:t>on</w:t>
      </w:r>
      <w:r w:rsidRPr="003053BF">
        <w:rPr>
          <w:rFonts w:ascii="Arial" w:hAnsi="Arial" w:cs="Arial"/>
        </w:rPr>
        <w:t xml:space="preserve"> a global scale. We begin by sketching the principles of One Health and the AMR crisis, then review plant-derived antimicrobials and their mechanisms, survey evidence of efficacy (in vitro, in vivo, synergistic use), explore translational challenges, and finally suggest research priorities and policy considerations for integrating phytotherapy into holistic, sustainable AMR strategies</w:t>
      </w:r>
    </w:p>
    <w:p w14:paraId="70F1675F" w14:textId="77777777" w:rsidR="003053BF" w:rsidRPr="00FA0253" w:rsidRDefault="003053BF" w:rsidP="003053BF">
      <w:pPr>
        <w:pStyle w:val="AbstHead"/>
        <w:spacing w:after="0"/>
        <w:ind w:left="720"/>
        <w:jc w:val="both"/>
        <w:rPr>
          <w:rFonts w:ascii="Arial" w:hAnsi="Arial" w:cs="Arial"/>
        </w:rPr>
      </w:pPr>
    </w:p>
    <w:p w14:paraId="0EE5BF0B" w14:textId="77777777" w:rsidR="00790ADA" w:rsidRPr="00FA0253" w:rsidRDefault="00790ADA" w:rsidP="00441B6F">
      <w:pPr>
        <w:pStyle w:val="AbstHead"/>
        <w:spacing w:after="0"/>
        <w:jc w:val="both"/>
        <w:rPr>
          <w:rFonts w:ascii="Arial" w:hAnsi="Arial" w:cs="Arial"/>
        </w:rPr>
      </w:pPr>
    </w:p>
    <w:p w14:paraId="66377060" w14:textId="77777777" w:rsidR="00790ADA" w:rsidRPr="00FA0253" w:rsidRDefault="00790ADA" w:rsidP="00441B6F">
      <w:pPr>
        <w:pStyle w:val="Body"/>
        <w:spacing w:after="0"/>
        <w:rPr>
          <w:rFonts w:ascii="Arial" w:hAnsi="Arial" w:cs="Arial"/>
        </w:rPr>
      </w:pPr>
    </w:p>
    <w:p w14:paraId="77DF0DD4" w14:textId="65E9F61E" w:rsidR="007F7B32" w:rsidRPr="00FA0253" w:rsidRDefault="00902823" w:rsidP="00441B6F">
      <w:pPr>
        <w:pStyle w:val="AbstHead"/>
        <w:spacing w:after="0"/>
        <w:jc w:val="both"/>
        <w:rPr>
          <w:rFonts w:ascii="Arial" w:hAnsi="Arial" w:cs="Arial"/>
        </w:rPr>
      </w:pPr>
      <w:r w:rsidRPr="00FA0253">
        <w:rPr>
          <w:rFonts w:ascii="Arial" w:hAnsi="Arial" w:cs="Arial"/>
        </w:rPr>
        <w:t>2. material and method</w:t>
      </w:r>
      <w:r w:rsidR="00000F8F" w:rsidRPr="00FA0253">
        <w:rPr>
          <w:rFonts w:ascii="Arial" w:hAnsi="Arial" w:cs="Arial"/>
        </w:rPr>
        <w:t xml:space="preserve">s </w:t>
      </w:r>
    </w:p>
    <w:p w14:paraId="432280FE" w14:textId="77777777" w:rsidR="00790ADA" w:rsidRPr="00FA0253" w:rsidRDefault="00790ADA" w:rsidP="00441B6F">
      <w:pPr>
        <w:pStyle w:val="AbstHead"/>
        <w:spacing w:after="0"/>
        <w:jc w:val="both"/>
        <w:rPr>
          <w:rFonts w:ascii="Arial" w:hAnsi="Arial" w:cs="Arial"/>
        </w:rPr>
      </w:pPr>
    </w:p>
    <w:p w14:paraId="1A2B245D" w14:textId="77777777" w:rsidR="00081FAB" w:rsidRPr="00FA0253" w:rsidRDefault="00081FAB" w:rsidP="00081FAB">
      <w:pPr>
        <w:pStyle w:val="Body"/>
        <w:spacing w:after="0"/>
        <w:rPr>
          <w:rFonts w:ascii="Arial" w:hAnsi="Arial" w:cs="Arial"/>
          <w:b/>
          <w:sz w:val="22"/>
        </w:rPr>
      </w:pPr>
      <w:r w:rsidRPr="00FA0253">
        <w:rPr>
          <w:rFonts w:ascii="Arial" w:hAnsi="Arial" w:cs="Arial"/>
          <w:b/>
          <w:caps/>
          <w:sz w:val="22"/>
        </w:rPr>
        <w:t xml:space="preserve">2.1 </w:t>
      </w:r>
      <w:r w:rsidRPr="00FA0253">
        <w:rPr>
          <w:rFonts w:ascii="Arial" w:hAnsi="Arial" w:cs="Arial"/>
          <w:b/>
          <w:sz w:val="22"/>
        </w:rPr>
        <w:t>Studying Type</w:t>
      </w:r>
    </w:p>
    <w:p w14:paraId="6BD862D9" w14:textId="77777777" w:rsidR="00081FAB" w:rsidRPr="00FA0253" w:rsidRDefault="00081FAB" w:rsidP="00081FAB">
      <w:pPr>
        <w:pStyle w:val="Body"/>
        <w:spacing w:after="0"/>
        <w:rPr>
          <w:rFonts w:ascii="Arial" w:hAnsi="Arial" w:cs="Arial"/>
          <w:b/>
          <w:sz w:val="22"/>
        </w:rPr>
      </w:pPr>
    </w:p>
    <w:p w14:paraId="4BF5F45A" w14:textId="25FB2A54" w:rsidR="00081FAB" w:rsidRPr="00FA0253" w:rsidRDefault="00081FAB" w:rsidP="00081FAB">
      <w:pPr>
        <w:pStyle w:val="Body"/>
        <w:spacing w:after="0"/>
        <w:rPr>
          <w:rFonts w:ascii="Arial" w:hAnsi="Arial" w:cs="Arial"/>
          <w:bCs/>
          <w:sz w:val="22"/>
        </w:rPr>
      </w:pPr>
      <w:r w:rsidRPr="00FA0253">
        <w:rPr>
          <w:rFonts w:ascii="Arial" w:hAnsi="Arial" w:cs="Arial"/>
          <w:bCs/>
          <w:sz w:val="22"/>
        </w:rPr>
        <w:t>This work is a narrative integrative review that explores the role of medicinal plants and their bioactive compounds in combating antimicrobial resistance under the One Health perspective. The review sought to integrate evidence from different fields including human medicine, veterinary medicine, agriculture, and environmental health to provide a comprehensive understanding of phytotherapy as a strategy to address AMR globally. The methodological steps were designed to ensure transparency and reproducibility.</w:t>
      </w:r>
    </w:p>
    <w:p w14:paraId="54943E6D" w14:textId="77777777" w:rsidR="00081FAB" w:rsidRPr="00FA0253" w:rsidRDefault="00081FAB" w:rsidP="00081FAB">
      <w:pPr>
        <w:pStyle w:val="Body"/>
        <w:spacing w:after="0"/>
        <w:rPr>
          <w:rFonts w:ascii="Arial" w:hAnsi="Arial" w:cs="Arial"/>
          <w:b/>
          <w:bCs/>
          <w:sz w:val="22"/>
          <w:szCs w:val="22"/>
        </w:rPr>
      </w:pPr>
    </w:p>
    <w:p w14:paraId="553404F9" w14:textId="6A6C3759" w:rsidR="00081FAB" w:rsidRDefault="00081FAB" w:rsidP="00081FAB">
      <w:pPr>
        <w:pStyle w:val="Body"/>
        <w:spacing w:after="0"/>
        <w:rPr>
          <w:rFonts w:ascii="Arial" w:hAnsi="Arial" w:cs="Arial"/>
          <w:b/>
          <w:bCs/>
          <w:sz w:val="22"/>
          <w:szCs w:val="22"/>
        </w:rPr>
      </w:pPr>
      <w:r w:rsidRPr="00FA0253">
        <w:rPr>
          <w:rFonts w:ascii="Arial" w:hAnsi="Arial" w:cs="Arial"/>
          <w:b/>
          <w:bCs/>
          <w:sz w:val="22"/>
          <w:szCs w:val="22"/>
        </w:rPr>
        <w:t>2.2. Descriptors and Databases</w:t>
      </w:r>
    </w:p>
    <w:p w14:paraId="24122BFF" w14:textId="77777777" w:rsidR="00214179" w:rsidRDefault="00214179" w:rsidP="00081FAB">
      <w:pPr>
        <w:pStyle w:val="Body"/>
        <w:spacing w:after="0"/>
        <w:rPr>
          <w:rFonts w:ascii="Arial" w:hAnsi="Arial" w:cs="Arial"/>
          <w:b/>
          <w:bCs/>
          <w:sz w:val="22"/>
          <w:szCs w:val="22"/>
        </w:rPr>
      </w:pPr>
    </w:p>
    <w:p w14:paraId="12666849" w14:textId="77777777" w:rsidR="00214179" w:rsidRPr="00214179" w:rsidRDefault="00214179" w:rsidP="00214179">
      <w:pPr>
        <w:pStyle w:val="Body"/>
        <w:spacing w:after="0"/>
        <w:rPr>
          <w:rFonts w:ascii="Arial" w:hAnsi="Arial" w:cs="Arial"/>
          <w:sz w:val="22"/>
          <w:szCs w:val="22"/>
        </w:rPr>
      </w:pPr>
      <w:r w:rsidRPr="00214179">
        <w:rPr>
          <w:rFonts w:ascii="Arial" w:hAnsi="Arial" w:cs="Arial"/>
          <w:sz w:val="22"/>
          <w:szCs w:val="22"/>
        </w:rPr>
        <w:t>The literature search was systematically conducted using a combination of controlled descriptors (MeSH/DeCS) and free-text terms related to “medicinal plants,” “phytotherapy,” “antimicrobial resistance,” “One Health,” and “natural products.” The databases consulted included PubMed/MEDLINE, Scopus, Web of Science, SciELO, ScienceDirect, and Google Scholar for the identification of grey literature.</w:t>
      </w:r>
    </w:p>
    <w:p w14:paraId="37657387" w14:textId="472A5425" w:rsidR="00214179" w:rsidRPr="00214179" w:rsidRDefault="00214179" w:rsidP="00081FAB">
      <w:pPr>
        <w:pStyle w:val="Body"/>
        <w:spacing w:after="0"/>
        <w:rPr>
          <w:rFonts w:ascii="Arial" w:hAnsi="Arial" w:cs="Arial"/>
          <w:sz w:val="22"/>
          <w:szCs w:val="22"/>
        </w:rPr>
      </w:pPr>
      <w:r w:rsidRPr="00214179">
        <w:rPr>
          <w:rFonts w:ascii="Arial" w:hAnsi="Arial" w:cs="Arial"/>
          <w:sz w:val="22"/>
          <w:szCs w:val="22"/>
        </w:rPr>
        <w:t>The search strategy incorporated a structured combination of descriptors and keywords to ensure comprehensive coverage of the topic. Examples include “Phytotherapy” AND “Antimicrobial resistance,” “Medicinal plants” AND “One Health,” “Natural products” AND (“Bacteria” OR “AMR”), and (“Botanical antimicrobials” OR “Plant extracts”). This approach was designed to maximize sensitivity and specificity in retrieving relevant studies</w:t>
      </w:r>
    </w:p>
    <w:p w14:paraId="0E047DF2" w14:textId="77777777" w:rsidR="00214179" w:rsidRPr="00FA0253" w:rsidRDefault="00214179" w:rsidP="00081FAB">
      <w:pPr>
        <w:pStyle w:val="Body"/>
        <w:spacing w:after="0"/>
        <w:rPr>
          <w:rFonts w:ascii="Arial" w:hAnsi="Arial" w:cs="Arial"/>
          <w:b/>
          <w:bCs/>
          <w:sz w:val="22"/>
          <w:szCs w:val="22"/>
        </w:rPr>
      </w:pPr>
    </w:p>
    <w:p w14:paraId="7FE1079B"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2.3. Inclusion and Exclusion Criteria</w:t>
      </w:r>
    </w:p>
    <w:p w14:paraId="0B567A2F" w14:textId="77777777" w:rsidR="002405A4" w:rsidRPr="00FA0253" w:rsidRDefault="002405A4" w:rsidP="00081FAB">
      <w:pPr>
        <w:pStyle w:val="Body"/>
        <w:spacing w:after="0"/>
        <w:rPr>
          <w:rFonts w:ascii="Arial" w:hAnsi="Arial" w:cs="Arial"/>
          <w:b/>
          <w:bCs/>
          <w:sz w:val="22"/>
          <w:szCs w:val="22"/>
        </w:rPr>
      </w:pPr>
    </w:p>
    <w:p w14:paraId="59DFFBC9" w14:textId="7EF446F3" w:rsidR="00214179" w:rsidRPr="00214179" w:rsidRDefault="00214179" w:rsidP="00214179">
      <w:pPr>
        <w:pStyle w:val="Body"/>
        <w:rPr>
          <w:rFonts w:ascii="Arial" w:hAnsi="Arial" w:cs="Arial"/>
          <w:sz w:val="22"/>
          <w:szCs w:val="22"/>
        </w:rPr>
      </w:pPr>
      <w:r w:rsidRPr="00214179">
        <w:rPr>
          <w:rFonts w:ascii="Arial" w:hAnsi="Arial" w:cs="Arial"/>
          <w:sz w:val="22"/>
          <w:szCs w:val="22"/>
        </w:rPr>
        <w:t>The inclusion criteria comprised original research articles, reviews, reports, or official documents addressing the use of medicinal plants or plant-derived compounds against microorganisms with resistance profiles. Eligible studies were required to be published in English, Portuguese, or Spanish between 2010 and 2025. Research involving human, animal, or environmental components relevant to the One Health framework was also considered.</w:t>
      </w:r>
    </w:p>
    <w:p w14:paraId="68BC7AE3" w14:textId="00CB2384" w:rsidR="002405A4" w:rsidRPr="00214179" w:rsidRDefault="00214179" w:rsidP="00214179">
      <w:pPr>
        <w:pStyle w:val="Body"/>
        <w:spacing w:after="0"/>
        <w:rPr>
          <w:rFonts w:ascii="Arial" w:hAnsi="Arial" w:cs="Arial"/>
          <w:sz w:val="22"/>
          <w:szCs w:val="22"/>
        </w:rPr>
      </w:pPr>
      <w:r w:rsidRPr="00214179">
        <w:rPr>
          <w:rFonts w:ascii="Arial" w:hAnsi="Arial" w:cs="Arial"/>
          <w:sz w:val="22"/>
          <w:szCs w:val="22"/>
        </w:rPr>
        <w:t>The exclusion criteria encompassed studies not related to antimicrobial resistance or phytotherapy, as well as experimental research lacking clear antimicrobial evaluation. Abstracts, editorials, commentaries, and papers without full-text availability were excluded, along with articles published outside the established time frame.</w:t>
      </w:r>
    </w:p>
    <w:p w14:paraId="5CDAC985"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lastRenderedPageBreak/>
        <w:t>2.4. Search Strategy</w:t>
      </w:r>
    </w:p>
    <w:p w14:paraId="6ABCEB4B" w14:textId="77777777" w:rsidR="002405A4" w:rsidRPr="00FA0253" w:rsidRDefault="002405A4" w:rsidP="00081FAB">
      <w:pPr>
        <w:pStyle w:val="Body"/>
        <w:spacing w:after="0"/>
        <w:rPr>
          <w:rFonts w:ascii="Arial" w:hAnsi="Arial" w:cs="Arial"/>
          <w:b/>
          <w:bCs/>
          <w:sz w:val="22"/>
          <w:szCs w:val="22"/>
        </w:rPr>
      </w:pPr>
    </w:p>
    <w:p w14:paraId="3E040A56" w14:textId="25C066E8" w:rsidR="002405A4" w:rsidRPr="00FA0253" w:rsidRDefault="002405A4" w:rsidP="002405A4">
      <w:pPr>
        <w:pStyle w:val="Body"/>
        <w:spacing w:after="0"/>
        <w:rPr>
          <w:rFonts w:ascii="Arial" w:hAnsi="Arial" w:cs="Arial"/>
          <w:sz w:val="24"/>
          <w:szCs w:val="24"/>
        </w:rPr>
      </w:pPr>
      <w:r w:rsidRPr="00FA0253">
        <w:rPr>
          <w:rFonts w:ascii="Arial" w:hAnsi="Arial" w:cs="Arial"/>
          <w:sz w:val="22"/>
          <w:szCs w:val="22"/>
        </w:rPr>
        <w:t xml:space="preserve">The search strategy was performed in the selected databases using Boolean operators (AND, OR) to combine the descriptors and free-text terms. The search was conducted from </w:t>
      </w:r>
      <w:r w:rsidRPr="00FA0253">
        <w:rPr>
          <w:rStyle w:val="Strong"/>
          <w:rFonts w:ascii="Arial" w:hAnsi="Arial" w:cs="Arial"/>
          <w:b w:val="0"/>
          <w:bCs w:val="0"/>
          <w:sz w:val="22"/>
          <w:szCs w:val="22"/>
        </w:rPr>
        <w:t>January to October 2025</w:t>
      </w:r>
      <w:r w:rsidRPr="00FA0253">
        <w:rPr>
          <w:rFonts w:ascii="Arial" w:hAnsi="Arial" w:cs="Arial"/>
          <w:b/>
          <w:bCs/>
          <w:sz w:val="22"/>
          <w:szCs w:val="22"/>
        </w:rPr>
        <w:t xml:space="preserve">. </w:t>
      </w:r>
      <w:r w:rsidRPr="00FA0253">
        <w:rPr>
          <w:rFonts w:ascii="Arial" w:hAnsi="Arial" w:cs="Arial"/>
          <w:sz w:val="22"/>
          <w:szCs w:val="22"/>
        </w:rPr>
        <w:t>Duplicates were identified and removed. Titles, abstracts, and full texts were screened according to the inclusion and exclusion criteria. Reference lists of relevant studies were also checked to identify additional sources.</w:t>
      </w:r>
    </w:p>
    <w:p w14:paraId="01DCE75B" w14:textId="77777777" w:rsidR="002405A4" w:rsidRPr="00FA0253" w:rsidRDefault="002405A4" w:rsidP="002405A4">
      <w:pPr>
        <w:pStyle w:val="Body"/>
        <w:spacing w:after="0"/>
        <w:rPr>
          <w:rFonts w:ascii="Arial" w:hAnsi="Arial" w:cs="Arial"/>
          <w:sz w:val="24"/>
          <w:szCs w:val="24"/>
        </w:rPr>
      </w:pPr>
    </w:p>
    <w:p w14:paraId="5F575F45"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2.5. Summary of Results</w:t>
      </w:r>
    </w:p>
    <w:p w14:paraId="18864820" w14:textId="77777777" w:rsidR="002405A4" w:rsidRPr="00FA0253" w:rsidRDefault="002405A4" w:rsidP="00081FAB">
      <w:pPr>
        <w:pStyle w:val="Body"/>
        <w:spacing w:after="0"/>
        <w:rPr>
          <w:rFonts w:ascii="Arial" w:hAnsi="Arial" w:cs="Arial"/>
          <w:b/>
          <w:bCs/>
          <w:sz w:val="22"/>
          <w:szCs w:val="22"/>
        </w:rPr>
      </w:pPr>
    </w:p>
    <w:p w14:paraId="4F9D9A0B" w14:textId="585D643F" w:rsidR="002405A4" w:rsidRPr="00FA0253" w:rsidRDefault="002405A4" w:rsidP="00081FAB">
      <w:pPr>
        <w:pStyle w:val="Body"/>
        <w:spacing w:after="0"/>
        <w:rPr>
          <w:rFonts w:ascii="Arial" w:hAnsi="Arial" w:cs="Arial"/>
          <w:b/>
          <w:bCs/>
          <w:sz w:val="24"/>
          <w:szCs w:val="24"/>
        </w:rPr>
      </w:pPr>
      <w:r w:rsidRPr="00FA0253">
        <w:rPr>
          <w:rFonts w:ascii="Arial" w:hAnsi="Arial" w:cs="Arial"/>
          <w:sz w:val="22"/>
          <w:szCs w:val="22"/>
        </w:rPr>
        <w:t>The studies that met the eligibility criteria were analyzed qualitatively. Information regarding the type of medicinal plant, active compounds, microbial targets, mechanisms of action, study design, and outcomes was extracted. Results were categorized according to the main areas of application within the One Health framework (human, animal, and environmental health). This approach allowed a comprehensive synthesis of evidence to identify research trends and gaps.</w:t>
      </w:r>
    </w:p>
    <w:p w14:paraId="6461AB3A" w14:textId="77777777" w:rsidR="002405A4" w:rsidRPr="00FA0253" w:rsidRDefault="002405A4" w:rsidP="00081FAB">
      <w:pPr>
        <w:pStyle w:val="Body"/>
        <w:spacing w:after="0"/>
        <w:rPr>
          <w:rFonts w:ascii="Arial" w:hAnsi="Arial" w:cs="Arial"/>
          <w:b/>
          <w:bCs/>
          <w:sz w:val="24"/>
          <w:szCs w:val="24"/>
        </w:rPr>
      </w:pPr>
    </w:p>
    <w:p w14:paraId="7C063499" w14:textId="77777777" w:rsidR="00081FAB" w:rsidRPr="00FA0253" w:rsidRDefault="00081FAB" w:rsidP="00081FAB">
      <w:pPr>
        <w:pStyle w:val="Body"/>
        <w:rPr>
          <w:rFonts w:ascii="Arial" w:hAnsi="Arial" w:cs="Arial"/>
          <w:b/>
          <w:bCs/>
          <w:sz w:val="22"/>
          <w:szCs w:val="22"/>
        </w:rPr>
      </w:pPr>
      <w:r w:rsidRPr="00FA0253">
        <w:rPr>
          <w:rFonts w:ascii="Arial" w:hAnsi="Arial" w:cs="Arial"/>
          <w:b/>
          <w:bCs/>
          <w:sz w:val="22"/>
          <w:szCs w:val="22"/>
        </w:rPr>
        <w:t>2.6. Active Search Flowchart</w:t>
      </w:r>
    </w:p>
    <w:p w14:paraId="7F9E3E53" w14:textId="44719B51" w:rsidR="00A56B7C" w:rsidRPr="00FA0253" w:rsidRDefault="00A56B7C" w:rsidP="00A56B7C">
      <w:pPr>
        <w:pStyle w:val="Body"/>
        <w:rPr>
          <w:rFonts w:ascii="Arial" w:hAnsi="Arial" w:cs="Arial"/>
          <w:sz w:val="22"/>
          <w:szCs w:val="22"/>
        </w:rPr>
      </w:pPr>
      <w:r w:rsidRPr="00FA0253">
        <w:rPr>
          <w:rFonts w:ascii="Arial" w:hAnsi="Arial" w:cs="Arial"/>
          <w:sz w:val="22"/>
          <w:szCs w:val="22"/>
        </w:rPr>
        <w:t>A flowchart was developed to represent the active search and selection process of the studies included in this review. Figure 1 summarizes each step of the literature search and screening, including the number of records identified, screened, assessed for eligibility, and finally included in the synthesis.</w:t>
      </w:r>
    </w:p>
    <w:p w14:paraId="043BE487" w14:textId="300807DF" w:rsidR="00A56B7C" w:rsidRPr="00FA0253" w:rsidRDefault="00A56B7C" w:rsidP="00A56B7C">
      <w:pPr>
        <w:pStyle w:val="Body"/>
        <w:rPr>
          <w:rFonts w:ascii="Arial" w:hAnsi="Arial" w:cs="Arial"/>
          <w:sz w:val="22"/>
          <w:szCs w:val="22"/>
        </w:rPr>
      </w:pPr>
      <w:r w:rsidRPr="00FA0253">
        <w:rPr>
          <w:rFonts w:ascii="Arial" w:hAnsi="Arial" w:cs="Arial"/>
          <w:sz w:val="22"/>
          <w:szCs w:val="22"/>
        </w:rPr>
        <w:t>The structure of the flowchart follows the PRISMA (Preferred Reporting Items for Systematic Reviews and Meta-Analyses) model, adapted to narrative integrative reviews. A total of 1,240 records were identified through database searching. After removing 190 duplicates, 1,050 records remained for title and abstract screening.</w:t>
      </w:r>
    </w:p>
    <w:p w14:paraId="023D9D8A" w14:textId="0C756489" w:rsidR="00A56B7C" w:rsidRPr="00FA0253" w:rsidRDefault="00A56B7C" w:rsidP="00A56B7C">
      <w:pPr>
        <w:pStyle w:val="Body"/>
        <w:rPr>
          <w:rFonts w:ascii="Arial" w:hAnsi="Arial" w:cs="Arial"/>
          <w:sz w:val="22"/>
          <w:szCs w:val="22"/>
        </w:rPr>
      </w:pPr>
      <w:r w:rsidRPr="00FA0253">
        <w:rPr>
          <w:rFonts w:ascii="Arial" w:hAnsi="Arial" w:cs="Arial"/>
          <w:sz w:val="22"/>
          <w:szCs w:val="22"/>
        </w:rPr>
        <w:t>During the screening phase, 880 records were excluded for not meeting the inclusion criteria. 170 full-text articles were assessed for eligibility, and 150 were excluded with justification (such as absence of antimicrobial evaluation, lack of One Health context, or insufficient methodological details).</w:t>
      </w:r>
    </w:p>
    <w:p w14:paraId="0DABC32D" w14:textId="50B8C0A2" w:rsidR="00A56B7C" w:rsidRPr="00FA0253" w:rsidRDefault="00FE0E0C" w:rsidP="00441B6F">
      <w:pPr>
        <w:pStyle w:val="Body"/>
        <w:spacing w:after="0"/>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5E3B7FEB" wp14:editId="4812EEB7">
            <wp:simplePos x="0" y="0"/>
            <wp:positionH relativeFrom="column">
              <wp:posOffset>2374900</wp:posOffset>
            </wp:positionH>
            <wp:positionV relativeFrom="paragraph">
              <wp:posOffset>481965</wp:posOffset>
            </wp:positionV>
            <wp:extent cx="1504336" cy="1949280"/>
            <wp:effectExtent l="0" t="0" r="0" b="0"/>
            <wp:wrapTopAndBottom/>
            <wp:docPr id="1101440385" name="Picture 1" descr="A flowchar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40385" name="Picture 1" descr="A flowchart of informati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336" cy="1949280"/>
                    </a:xfrm>
                    <a:prstGeom prst="rect">
                      <a:avLst/>
                    </a:prstGeom>
                  </pic:spPr>
                </pic:pic>
              </a:graphicData>
            </a:graphic>
            <wp14:sizeRelH relativeFrom="page">
              <wp14:pctWidth>0</wp14:pctWidth>
            </wp14:sizeRelH>
            <wp14:sizeRelV relativeFrom="page">
              <wp14:pctHeight>0</wp14:pctHeight>
            </wp14:sizeRelV>
          </wp:anchor>
        </w:drawing>
      </w:r>
      <w:r w:rsidR="00A56B7C" w:rsidRPr="00FA0253">
        <w:rPr>
          <w:rFonts w:ascii="Arial" w:hAnsi="Arial" w:cs="Arial"/>
          <w:sz w:val="22"/>
          <w:szCs w:val="22"/>
        </w:rPr>
        <w:t>Finally, 20 studies met all the inclusion criteria and were included in the qualitative synthesis. The flowchart provides a transparent visualization of the selection steps, ensuring clarity and reproducibility of the methodological process.</w:t>
      </w:r>
    </w:p>
    <w:p w14:paraId="2199C1E2" w14:textId="77777777" w:rsidR="00A56B7C" w:rsidRPr="00FA0253" w:rsidRDefault="00A56B7C" w:rsidP="00441B6F">
      <w:pPr>
        <w:pStyle w:val="Body"/>
        <w:spacing w:after="0"/>
        <w:rPr>
          <w:rFonts w:ascii="Arial" w:hAnsi="Arial" w:cs="Arial"/>
        </w:rPr>
      </w:pPr>
    </w:p>
    <w:p w14:paraId="66908FB6" w14:textId="43BAA618" w:rsidR="00A56B7C" w:rsidRPr="00FA0253" w:rsidRDefault="00A56B7C" w:rsidP="00A56B7C">
      <w:pPr>
        <w:pStyle w:val="Body"/>
        <w:spacing w:after="0"/>
        <w:jc w:val="center"/>
        <w:rPr>
          <w:rFonts w:ascii="Arial" w:hAnsi="Arial" w:cs="Arial"/>
        </w:rPr>
      </w:pPr>
      <w:r w:rsidRPr="00FA0253">
        <w:rPr>
          <w:rFonts w:ascii="Arial" w:hAnsi="Arial" w:cs="Arial"/>
          <w:b/>
          <w:bCs/>
        </w:rPr>
        <w:t xml:space="preserve">Figure 1. </w:t>
      </w:r>
      <w:r w:rsidRPr="00FA0253">
        <w:rPr>
          <w:rFonts w:ascii="Arial" w:hAnsi="Arial" w:cs="Arial"/>
        </w:rPr>
        <w:t>PRISMA flow diagram illustrating the active search and selection process of studies included in the integrative review.</w:t>
      </w:r>
    </w:p>
    <w:p w14:paraId="161B7F7F" w14:textId="77777777" w:rsidR="00A56B7C" w:rsidRPr="00FA0253" w:rsidRDefault="00A56B7C" w:rsidP="00441B6F">
      <w:pPr>
        <w:pStyle w:val="Body"/>
        <w:spacing w:after="0"/>
        <w:rPr>
          <w:rFonts w:ascii="Arial" w:hAnsi="Arial" w:cs="Arial"/>
          <w:sz w:val="22"/>
          <w:szCs w:val="22"/>
        </w:rPr>
      </w:pPr>
    </w:p>
    <w:p w14:paraId="4C50F22D"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 xml:space="preserve">2.7 Geographic Distribution </w:t>
      </w:r>
    </w:p>
    <w:p w14:paraId="3A060052" w14:textId="77777777" w:rsidR="00D674C0" w:rsidRPr="00FA0253" w:rsidRDefault="00D674C0" w:rsidP="00081FAB">
      <w:pPr>
        <w:pStyle w:val="Body"/>
        <w:spacing w:after="0"/>
        <w:rPr>
          <w:rFonts w:ascii="Arial" w:hAnsi="Arial" w:cs="Arial"/>
          <w:b/>
          <w:bCs/>
          <w:sz w:val="22"/>
          <w:szCs w:val="22"/>
        </w:rPr>
      </w:pPr>
    </w:p>
    <w:p w14:paraId="51FB6F34" w14:textId="4D511100" w:rsidR="00D674C0" w:rsidRPr="00FA0253" w:rsidRDefault="00D674C0" w:rsidP="00081FAB">
      <w:pPr>
        <w:pStyle w:val="Body"/>
        <w:spacing w:after="0"/>
        <w:rPr>
          <w:rFonts w:ascii="Arial" w:hAnsi="Arial" w:cs="Arial"/>
          <w:sz w:val="22"/>
          <w:szCs w:val="22"/>
        </w:rPr>
      </w:pPr>
      <w:r w:rsidRPr="00FA0253">
        <w:rPr>
          <w:rFonts w:ascii="Arial" w:hAnsi="Arial" w:cs="Arial"/>
          <w:sz w:val="22"/>
          <w:szCs w:val="22"/>
        </w:rPr>
        <w:t xml:space="preserve">The geographic distribution of the selected studies was mapped to identify the main regions and countries contributing to research on phytotherapy and antimicrobial resistance. Each study was classified according to its country of origin or the primary location where the research was conducted. This mapping allowed the </w:t>
      </w:r>
      <w:r w:rsidRPr="00FA0253">
        <w:rPr>
          <w:rFonts w:ascii="Arial" w:hAnsi="Arial" w:cs="Arial"/>
          <w:sz w:val="22"/>
          <w:szCs w:val="22"/>
        </w:rPr>
        <w:lastRenderedPageBreak/>
        <w:t xml:space="preserve">identification of global patterns, research concentration areas, and potential geographic gaps. The results were organized by continent and country to facilitate visualization and interpretation, providing an overview of the international research landscape related to the topic. </w:t>
      </w:r>
    </w:p>
    <w:p w14:paraId="045041D7" w14:textId="77777777" w:rsidR="00D674C0" w:rsidRPr="00FA0253" w:rsidRDefault="00D674C0" w:rsidP="00081FAB">
      <w:pPr>
        <w:pStyle w:val="Body"/>
        <w:spacing w:after="0"/>
        <w:rPr>
          <w:rFonts w:ascii="Arial" w:hAnsi="Arial" w:cs="Arial"/>
          <w:b/>
          <w:bCs/>
          <w:sz w:val="22"/>
          <w:szCs w:val="22"/>
        </w:rPr>
      </w:pPr>
    </w:p>
    <w:p w14:paraId="13DC951A" w14:textId="77777777" w:rsidR="00D674C0" w:rsidRPr="00FA0253" w:rsidRDefault="00D674C0" w:rsidP="00081FAB">
      <w:pPr>
        <w:pStyle w:val="Body"/>
        <w:spacing w:after="0"/>
        <w:rPr>
          <w:rFonts w:ascii="Arial" w:hAnsi="Arial" w:cs="Arial"/>
          <w:b/>
          <w:bCs/>
          <w:sz w:val="22"/>
          <w:szCs w:val="22"/>
        </w:rPr>
      </w:pPr>
    </w:p>
    <w:p w14:paraId="1832D269" w14:textId="4DC41618" w:rsidR="00081FAB" w:rsidRPr="00FA0253" w:rsidRDefault="00D674C0" w:rsidP="00081FAB">
      <w:pPr>
        <w:pStyle w:val="Body"/>
        <w:spacing w:after="0"/>
        <w:rPr>
          <w:rFonts w:ascii="Arial" w:hAnsi="Arial" w:cs="Arial"/>
          <w:b/>
          <w:bCs/>
          <w:sz w:val="22"/>
          <w:szCs w:val="22"/>
        </w:rPr>
      </w:pPr>
      <w:r w:rsidRPr="00FA0253">
        <w:rPr>
          <w:rFonts w:ascii="Arial" w:hAnsi="Arial" w:cs="Arial"/>
          <w:b/>
          <w:bCs/>
          <w:sz w:val="22"/>
          <w:szCs w:val="22"/>
        </w:rPr>
        <w:t xml:space="preserve"> </w:t>
      </w:r>
      <w:r w:rsidR="00081FAB" w:rsidRPr="00FA0253">
        <w:rPr>
          <w:rFonts w:ascii="Arial" w:hAnsi="Arial" w:cs="Arial"/>
          <w:b/>
          <w:bCs/>
          <w:sz w:val="22"/>
          <w:szCs w:val="22"/>
        </w:rPr>
        <w:t>2.8. Data Extraction and Coding</w:t>
      </w:r>
    </w:p>
    <w:p w14:paraId="248E6C73" w14:textId="77777777" w:rsidR="00D674C0" w:rsidRPr="00FA0253" w:rsidRDefault="00D674C0" w:rsidP="00081FAB">
      <w:pPr>
        <w:pStyle w:val="Body"/>
        <w:rPr>
          <w:rFonts w:ascii="Arial" w:hAnsi="Arial" w:cs="Arial"/>
          <w:sz w:val="22"/>
          <w:szCs w:val="22"/>
        </w:rPr>
      </w:pPr>
    </w:p>
    <w:p w14:paraId="73DD9D2D" w14:textId="7762CE3A" w:rsidR="00081FAB" w:rsidRPr="00FA0253" w:rsidRDefault="00D674C0" w:rsidP="00081FAB">
      <w:pPr>
        <w:pStyle w:val="Body"/>
        <w:rPr>
          <w:rFonts w:ascii="Arial" w:hAnsi="Arial" w:cs="Arial"/>
          <w:sz w:val="22"/>
          <w:szCs w:val="22"/>
        </w:rPr>
      </w:pPr>
      <w:r w:rsidRPr="00FA0253">
        <w:rPr>
          <w:rFonts w:ascii="Arial" w:hAnsi="Arial" w:cs="Arial"/>
          <w:sz w:val="22"/>
          <w:szCs w:val="22"/>
        </w:rPr>
        <w:t>Data from the included studies were systematically extracted using a structured form developed for this review. The following key variables were recorded: author, year of publication, country, study design, type of medicinal plant or compound evaluated, target microorganism, mechanism of action, and main findings. All information was reviewed by at least two researchers to ensure accuracy and consistency. After extraction, the data were coded according to predefined categories to enable structured comparison and synthesis.</w:t>
      </w:r>
    </w:p>
    <w:p w14:paraId="2A237320" w14:textId="77777777" w:rsidR="00D674C0" w:rsidRPr="00FA0253" w:rsidRDefault="00D674C0" w:rsidP="00081FAB">
      <w:pPr>
        <w:pStyle w:val="Body"/>
        <w:spacing w:after="0"/>
        <w:rPr>
          <w:rFonts w:ascii="Arial" w:hAnsi="Arial" w:cs="Arial"/>
          <w:b/>
          <w:bCs/>
          <w:sz w:val="22"/>
          <w:szCs w:val="22"/>
        </w:rPr>
      </w:pPr>
    </w:p>
    <w:p w14:paraId="35874FE9" w14:textId="5D15D89A"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 xml:space="preserve">2.9. Thematic Analysis and Categorization </w:t>
      </w:r>
    </w:p>
    <w:p w14:paraId="5DEA3538" w14:textId="77777777" w:rsidR="003053BF" w:rsidRPr="00FA0253" w:rsidRDefault="003053BF" w:rsidP="00441B6F">
      <w:pPr>
        <w:pStyle w:val="Head1"/>
        <w:spacing w:after="0"/>
        <w:jc w:val="both"/>
        <w:rPr>
          <w:rFonts w:ascii="Arial" w:hAnsi="Arial" w:cs="Arial"/>
        </w:rPr>
      </w:pPr>
    </w:p>
    <w:p w14:paraId="29C94053" w14:textId="77777777" w:rsidR="00D674C0" w:rsidRPr="00FA0253" w:rsidRDefault="00D674C0" w:rsidP="00D674C0">
      <w:pPr>
        <w:pStyle w:val="Body"/>
        <w:spacing w:after="0"/>
        <w:rPr>
          <w:rFonts w:ascii="Arial" w:hAnsi="Arial" w:cs="Arial"/>
          <w:sz w:val="22"/>
          <w:szCs w:val="22"/>
        </w:rPr>
      </w:pPr>
      <w:r w:rsidRPr="00FA0253">
        <w:rPr>
          <w:rFonts w:ascii="Arial" w:hAnsi="Arial" w:cs="Arial"/>
          <w:sz w:val="22"/>
          <w:szCs w:val="22"/>
        </w:rPr>
        <w:t>The extracted and coded data were analyzed thematically to identify recurring patterns, emerging trends, and key themes across the studies. Thematic categories were established based on the objectives of the review and the content of the included articles. Major categories included antimicrobial activity profile, plant compound characteristics, applications in human and veterinary health, environmental relevance, and One Health integration. This analytical approach allowed for a comprehensive synthesis of evidence, highlighting commonalities, differences, and knowledge gaps in literature.</w:t>
      </w:r>
    </w:p>
    <w:p w14:paraId="7058275A" w14:textId="77777777" w:rsidR="003053BF" w:rsidRPr="00FA0253" w:rsidRDefault="003053BF" w:rsidP="00441B6F">
      <w:pPr>
        <w:pStyle w:val="Head1"/>
        <w:spacing w:after="0"/>
        <w:jc w:val="both"/>
        <w:rPr>
          <w:rFonts w:ascii="Arial" w:hAnsi="Arial" w:cs="Arial"/>
        </w:rPr>
      </w:pPr>
    </w:p>
    <w:p w14:paraId="2442A614" w14:textId="1457334F" w:rsidR="00902823" w:rsidRPr="00FA0253" w:rsidRDefault="00000F8F" w:rsidP="00441B6F">
      <w:pPr>
        <w:pStyle w:val="Head1"/>
        <w:spacing w:after="0"/>
        <w:jc w:val="both"/>
        <w:rPr>
          <w:rFonts w:ascii="Arial" w:hAnsi="Arial" w:cs="Arial"/>
        </w:rPr>
      </w:pPr>
      <w:r w:rsidRPr="00FA0253">
        <w:rPr>
          <w:rFonts w:ascii="Arial" w:hAnsi="Arial" w:cs="Arial"/>
        </w:rPr>
        <w:t>3</w:t>
      </w:r>
      <w:r w:rsidR="00902823" w:rsidRPr="00FA0253">
        <w:rPr>
          <w:rFonts w:ascii="Arial" w:hAnsi="Arial" w:cs="Arial"/>
        </w:rPr>
        <w:t xml:space="preserve">. </w:t>
      </w:r>
      <w:r w:rsidRPr="00FA0253">
        <w:rPr>
          <w:rFonts w:ascii="Arial" w:hAnsi="Arial" w:cs="Arial"/>
        </w:rPr>
        <w:t>results and discussion</w:t>
      </w:r>
    </w:p>
    <w:p w14:paraId="2BEA0025" w14:textId="77777777" w:rsidR="00790ADA" w:rsidRPr="00FA0253" w:rsidRDefault="00790ADA" w:rsidP="00441B6F">
      <w:pPr>
        <w:pStyle w:val="Head1"/>
        <w:spacing w:after="0"/>
        <w:jc w:val="both"/>
        <w:rPr>
          <w:rFonts w:ascii="Arial" w:hAnsi="Arial" w:cs="Arial"/>
        </w:rPr>
      </w:pPr>
    </w:p>
    <w:p w14:paraId="392C2E78" w14:textId="77777777" w:rsidR="00D674C0" w:rsidRPr="00FA0253" w:rsidRDefault="00D674C0" w:rsidP="00D674C0">
      <w:pPr>
        <w:spacing w:before="100" w:beforeAutospacing="1" w:after="100" w:afterAutospacing="1"/>
        <w:jc w:val="both"/>
        <w:outlineLvl w:val="1"/>
        <w:rPr>
          <w:rFonts w:ascii="Arial" w:hAnsi="Arial" w:cs="Arial"/>
          <w:b/>
          <w:bCs/>
          <w:sz w:val="22"/>
          <w:szCs w:val="22"/>
        </w:rPr>
      </w:pPr>
      <w:r w:rsidRPr="00FA0253">
        <w:rPr>
          <w:rFonts w:ascii="Arial" w:hAnsi="Arial" w:cs="Arial"/>
          <w:b/>
          <w:bCs/>
          <w:sz w:val="22"/>
          <w:szCs w:val="22"/>
        </w:rPr>
        <w:t xml:space="preserve">3.1 </w:t>
      </w:r>
      <w:bookmarkStart w:id="0" w:name="_Hlk211444756"/>
      <w:r w:rsidRPr="00FA0253">
        <w:rPr>
          <w:rFonts w:ascii="Arial" w:hAnsi="Arial" w:cs="Arial"/>
          <w:b/>
          <w:bCs/>
          <w:sz w:val="22"/>
          <w:szCs w:val="22"/>
        </w:rPr>
        <w:t>Overview of Main Findings</w:t>
      </w:r>
      <w:bookmarkEnd w:id="0"/>
    </w:p>
    <w:p w14:paraId="59901EEB" w14:textId="0D69A46F" w:rsidR="00D674C0" w:rsidRPr="00FA0253" w:rsidRDefault="00D674C0" w:rsidP="00D674C0">
      <w:pPr>
        <w:spacing w:before="100" w:beforeAutospacing="1" w:after="100" w:afterAutospacing="1"/>
        <w:jc w:val="both"/>
        <w:outlineLvl w:val="1"/>
        <w:rPr>
          <w:rFonts w:ascii="Arial" w:hAnsi="Arial" w:cs="Arial"/>
          <w:sz w:val="22"/>
          <w:szCs w:val="22"/>
        </w:rPr>
      </w:pPr>
      <w:r w:rsidRPr="00FA0253">
        <w:rPr>
          <w:rFonts w:ascii="Arial" w:hAnsi="Arial" w:cs="Arial"/>
          <w:sz w:val="22"/>
          <w:szCs w:val="22"/>
        </w:rPr>
        <w:t>A total of 20 studies met all inclusion criteria and were analyzed qualitatively. The reviewed literature reflects a growing scientific interest in the use of medicinal plants and their bioactive compounds as alternative or complementary strategies to combat antimicrobial resistance. Most studies focused on plant-derived compounds with antibacterial activity, particularly against multidrug-resistant bacteria, including Escherichia coli, Staphylococcus aureus, Pseudomonas aeruginosa, and other clinically relevant pathogens.</w:t>
      </w:r>
    </w:p>
    <w:p w14:paraId="394D398E" w14:textId="61AF380C" w:rsidR="00D674C0" w:rsidRPr="00FA0253" w:rsidRDefault="00D674C0" w:rsidP="00D674C0">
      <w:pPr>
        <w:spacing w:before="100" w:beforeAutospacing="1" w:after="100" w:afterAutospacing="1"/>
        <w:jc w:val="both"/>
        <w:outlineLvl w:val="1"/>
        <w:rPr>
          <w:rFonts w:ascii="Arial" w:hAnsi="Arial" w:cs="Arial"/>
          <w:sz w:val="22"/>
          <w:szCs w:val="22"/>
        </w:rPr>
      </w:pPr>
      <w:r w:rsidRPr="00FA0253">
        <w:rPr>
          <w:rFonts w:ascii="Arial" w:hAnsi="Arial" w:cs="Arial"/>
          <w:sz w:val="22"/>
          <w:szCs w:val="22"/>
        </w:rPr>
        <w:t>Geographically, the highest concentration of studies was found in Asia and South America, followed by Europe and Africa. This reflects regions where both traditional phytotherapy and scientific research on plant-based compounds are well established. A smaller number of studies came from North America and Europe, often focusing on the pharmacological characterization and synergistic effects between plant extracts and conventional antimicrobials.</w:t>
      </w:r>
    </w:p>
    <w:p w14:paraId="5B1F0B60" w14:textId="62A5D932" w:rsidR="00D674C0" w:rsidRPr="00FA0253" w:rsidRDefault="00D674C0" w:rsidP="00D674C0">
      <w:pPr>
        <w:spacing w:before="100" w:beforeAutospacing="1" w:after="100" w:afterAutospacing="1"/>
        <w:jc w:val="both"/>
        <w:outlineLvl w:val="1"/>
        <w:rPr>
          <w:rFonts w:ascii="Arial" w:hAnsi="Arial" w:cs="Arial"/>
          <w:sz w:val="22"/>
          <w:szCs w:val="22"/>
        </w:rPr>
      </w:pPr>
      <w:r w:rsidRPr="00FA0253">
        <w:rPr>
          <w:rFonts w:ascii="Arial" w:hAnsi="Arial" w:cs="Arial"/>
          <w:sz w:val="22"/>
          <w:szCs w:val="22"/>
        </w:rPr>
        <w:t>Across the studies, commonly investigated plant compounds included flavonoids, terpenoids, alkaloids, phenolic acids, and essential oils. Several reports described synergistic interactions between plant-derived compounds and antibiotics, indicating potential for therapeutic combination strategies. This reinforces the role of phytotherapy as a valuable tool in antimicrobial stewardship, especially in settings with limited access to new antibiotics.</w:t>
      </w:r>
    </w:p>
    <w:p w14:paraId="57BB5415" w14:textId="77777777" w:rsidR="00D674C0" w:rsidRPr="00FA0253" w:rsidRDefault="00D674C0" w:rsidP="00D674C0">
      <w:pPr>
        <w:spacing w:before="100" w:beforeAutospacing="1" w:after="100" w:afterAutospacing="1"/>
        <w:jc w:val="both"/>
        <w:outlineLvl w:val="1"/>
        <w:rPr>
          <w:rFonts w:ascii="Arial" w:hAnsi="Arial" w:cs="Arial"/>
          <w:b/>
          <w:bCs/>
          <w:sz w:val="22"/>
          <w:szCs w:val="22"/>
        </w:rPr>
      </w:pPr>
      <w:r w:rsidRPr="00FA0253">
        <w:rPr>
          <w:rFonts w:ascii="Arial" w:hAnsi="Arial" w:cs="Arial"/>
          <w:b/>
          <w:bCs/>
          <w:sz w:val="22"/>
          <w:szCs w:val="22"/>
        </w:rPr>
        <w:t>3.2 Thematic Patterns and Conceptual Advances</w:t>
      </w:r>
    </w:p>
    <w:p w14:paraId="21178E6C" w14:textId="648BBE7F" w:rsidR="00ED10B6" w:rsidRPr="00ED10B6" w:rsidRDefault="00ED10B6" w:rsidP="00ED10B6">
      <w:p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 xml:space="preserve">The thematic analysis revealed five major patterns emerging from </w:t>
      </w:r>
      <w:r w:rsidRPr="00FA0253">
        <w:rPr>
          <w:rFonts w:ascii="Arial" w:hAnsi="Arial" w:cs="Arial"/>
          <w:sz w:val="22"/>
          <w:szCs w:val="22"/>
        </w:rPr>
        <w:t>literature</w:t>
      </w:r>
      <w:r w:rsidRPr="00ED10B6">
        <w:rPr>
          <w:rFonts w:ascii="Arial" w:hAnsi="Arial" w:cs="Arial"/>
          <w:sz w:val="22"/>
          <w:szCs w:val="22"/>
        </w:rPr>
        <w:t>:</w:t>
      </w:r>
    </w:p>
    <w:p w14:paraId="1FBF9363"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Antimicrobial activity profile</w:t>
      </w:r>
    </w:p>
    <w:p w14:paraId="138601C1"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Most plant extracts demonstrated activity against both Gram-positive and Gram-negative bacteria, with variable minimum inhibitory concentrations.</w:t>
      </w:r>
    </w:p>
    <w:p w14:paraId="16FDF2DA"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lastRenderedPageBreak/>
        <w:t>Some compounds also showed antifungal activity, expanding their potential scope.</w:t>
      </w:r>
    </w:p>
    <w:p w14:paraId="275A4F57"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Mechanisms of action</w:t>
      </w:r>
    </w:p>
    <w:p w14:paraId="4EA294A5"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Reported mechanisms included membrane disruption, enzyme inhibition, interference with quorum sensing, and inhibition of efflux pumps.</w:t>
      </w:r>
    </w:p>
    <w:p w14:paraId="4E2D6830"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A few studies explored molecular targets, showing overlap with pathways targeted by conventional antibiotics.</w:t>
      </w:r>
    </w:p>
    <w:p w14:paraId="3F02E902"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Synergistic effects</w:t>
      </w:r>
    </w:p>
    <w:p w14:paraId="6DB1B6F5"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Several studies evaluated combinations of plant extracts with antibiotics, resulting in increased antimicrobial efficacy or restoration of activity against resistant strains.</w:t>
      </w:r>
    </w:p>
    <w:p w14:paraId="55C4CEE9"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This suggests potential for reducing antibiotic doses, mitigating resistance selection pressure.</w:t>
      </w:r>
    </w:p>
    <w:p w14:paraId="7A42AEDC"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Veterinary and environmental applications</w:t>
      </w:r>
    </w:p>
    <w:p w14:paraId="6B3B358A"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While most studies focused on human pathogens, a smaller but significant subset examined applications in animal health, aquaculture, and environmental monitoring.</w:t>
      </w:r>
    </w:p>
    <w:p w14:paraId="5981E6A4"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These findings align strongly with the One Health framework, emphasizing cross-sectoral impact.</w:t>
      </w:r>
    </w:p>
    <w:p w14:paraId="677A16FD"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Methodological gaps</w:t>
      </w:r>
    </w:p>
    <w:p w14:paraId="51D0D9F3"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A large proportion of the evidence is still based on in vitro assays using crude extracts, with limited chemical standardization and few in vivo or clinical studies.</w:t>
      </w:r>
    </w:p>
    <w:p w14:paraId="54462AA6"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Heterogeneity in methods complicates comparison and meta-analysis.</w:t>
      </w:r>
    </w:p>
    <w:p w14:paraId="68362BFB" w14:textId="6CBF9407" w:rsidR="00D674C0" w:rsidRPr="00FA0253" w:rsidRDefault="00D674C0" w:rsidP="00D674C0">
      <w:pPr>
        <w:spacing w:before="100" w:beforeAutospacing="1" w:after="100" w:afterAutospacing="1"/>
        <w:jc w:val="both"/>
        <w:outlineLvl w:val="1"/>
        <w:rPr>
          <w:rFonts w:ascii="Arial" w:hAnsi="Arial" w:cs="Arial"/>
          <w:b/>
          <w:bCs/>
          <w:sz w:val="22"/>
          <w:szCs w:val="22"/>
        </w:rPr>
      </w:pPr>
      <w:r w:rsidRPr="00FA0253">
        <w:rPr>
          <w:rFonts w:ascii="Arial" w:hAnsi="Arial" w:cs="Arial"/>
          <w:b/>
          <w:bCs/>
          <w:sz w:val="22"/>
          <w:szCs w:val="22"/>
        </w:rPr>
        <w:t xml:space="preserve">3.3 </w:t>
      </w:r>
      <w:r w:rsidR="00ED10B6" w:rsidRPr="00FA0253">
        <w:rPr>
          <w:rFonts w:ascii="Arial" w:hAnsi="Arial" w:cs="Arial"/>
          <w:b/>
          <w:bCs/>
          <w:sz w:val="22"/>
          <w:szCs w:val="22"/>
        </w:rPr>
        <w:t>Geographic Trends and Research Gaps</w:t>
      </w:r>
    </w:p>
    <w:p w14:paraId="4F417472" w14:textId="5A8813FA"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The global distribution of research on medicinal plants and their potential applications against antimicrobial resistance reveals a clear geographical concentration in biodiversity-rich regions. Mapping of the selected studies indicates that most publications originate from Asia (45%) and South America (25%), followed by Africa (15%), Europe (10%), and North America (5%). The leading contributing countries include India, Brazil, China, and Nigeria, reflecting both a strong cultural heritage of ethnopharmacology and rich biodiversity in these areas (El Allaoui et al., 2024; Zouine et al., 2024; Alarcón-Ruiz et al., 2023).</w:t>
      </w:r>
    </w:p>
    <w:p w14:paraId="1D1D0EAF" w14:textId="77777777"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This geographic pattern is consistent with the longstanding tradition of medicinal plant use in these regions, combined with growing academic interest in phytochemicals as alternatives to conventional antimicrobials. In India and China, national research programs have supported bioactive compound discovery, while Brazil and Nigeria have shown increasing regional investment in ethnobotanical and preclinical studies (Chassagne et al., 2021; Anokwuru et al., 2025; Hu et al., 2024).</w:t>
      </w:r>
    </w:p>
    <w:p w14:paraId="7EC91E2C" w14:textId="77777777"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Despite this promising output, there remains a significant imbalance between regions with high biodiversity and those with advanced translational research capacity. High-income regions such as North America and Western Europe contribute proportionally fewer studies focused on clinical validation, regulatory pathways, and commercial development of plant-derived antimicrobials (El-Saadony et al., 2025; Vaou et al., 2021; Guedes et al., 2024). This gap may slow the global translation of promising discoveries into market-ready antimicrobial solutions.</w:t>
      </w:r>
    </w:p>
    <w:p w14:paraId="04976C95" w14:textId="7DFBE093"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Bridging this divide will require international, interdisciplinary collaborations. Partnerships between biodiversity-rich regions and technologically advanced research centers could facilitate technology transfer, standardization of methodologies, and implementation of clinical trials. These efforts align with the One Health framework, integrating environmental, human, and animal health perspectives to address antimicrobial resistance more effectively (Pérez-Flores et al., 2025; El Allaoui et al., 2024).</w:t>
      </w:r>
    </w:p>
    <w:p w14:paraId="2C7914E1" w14:textId="77777777" w:rsidR="00ED10B6" w:rsidRPr="00FA0253" w:rsidRDefault="00ED10B6" w:rsidP="00441B6F">
      <w:pPr>
        <w:pStyle w:val="Body"/>
        <w:spacing w:after="0"/>
        <w:rPr>
          <w:rFonts w:ascii="Arial" w:hAnsi="Arial" w:cs="Arial"/>
        </w:rPr>
      </w:pPr>
    </w:p>
    <w:p w14:paraId="55BDB94C" w14:textId="63EAB047" w:rsidR="00E053D0" w:rsidRDefault="00ED10B6" w:rsidP="00441B6F">
      <w:pPr>
        <w:pStyle w:val="Body"/>
        <w:spacing w:after="0"/>
        <w:rPr>
          <w:rStyle w:val="Strong"/>
          <w:rFonts w:ascii="Arial" w:hAnsi="Arial" w:cs="Arial"/>
          <w:sz w:val="22"/>
          <w:szCs w:val="22"/>
        </w:rPr>
      </w:pPr>
      <w:r w:rsidRPr="00FA0253">
        <w:rPr>
          <w:rFonts w:ascii="Arial" w:hAnsi="Arial" w:cs="Arial"/>
          <w:b/>
          <w:bCs/>
          <w:sz w:val="22"/>
          <w:szCs w:val="22"/>
        </w:rPr>
        <w:t>3.</w:t>
      </w:r>
      <w:r w:rsidR="00FA0253" w:rsidRPr="00FA0253">
        <w:rPr>
          <w:rFonts w:ascii="Arial" w:hAnsi="Arial" w:cs="Arial"/>
          <w:b/>
          <w:bCs/>
          <w:sz w:val="22"/>
          <w:szCs w:val="22"/>
        </w:rPr>
        <w:t>4</w:t>
      </w:r>
      <w:r w:rsidRPr="00FA0253">
        <w:rPr>
          <w:rFonts w:ascii="Arial" w:hAnsi="Arial" w:cs="Arial"/>
          <w:b/>
          <w:bCs/>
          <w:sz w:val="22"/>
          <w:szCs w:val="22"/>
        </w:rPr>
        <w:t xml:space="preserve">. </w:t>
      </w:r>
      <w:r w:rsidRPr="00FA0253">
        <w:rPr>
          <w:rStyle w:val="Strong"/>
          <w:rFonts w:ascii="Arial" w:hAnsi="Arial" w:cs="Arial"/>
          <w:sz w:val="22"/>
          <w:szCs w:val="22"/>
        </w:rPr>
        <w:t>Taxonomic and Phytochemical Diversity</w:t>
      </w:r>
    </w:p>
    <w:p w14:paraId="094A7554" w14:textId="77777777" w:rsidR="00617CEC" w:rsidRDefault="00617CEC" w:rsidP="00441B6F">
      <w:pPr>
        <w:pStyle w:val="Body"/>
        <w:spacing w:after="0"/>
        <w:rPr>
          <w:rFonts w:ascii="Arial" w:hAnsi="Arial" w:cs="Arial"/>
          <w:b/>
          <w:bCs/>
          <w:sz w:val="22"/>
          <w:szCs w:val="22"/>
        </w:rPr>
      </w:pPr>
    </w:p>
    <w:p w14:paraId="0939EE78" w14:textId="77777777" w:rsidR="00FE0E0C" w:rsidRDefault="00617CEC" w:rsidP="00617CEC">
      <w:pPr>
        <w:pStyle w:val="Body"/>
        <w:spacing w:after="0"/>
        <w:rPr>
          <w:rFonts w:ascii="Arial" w:hAnsi="Arial" w:cs="Arial"/>
          <w:i/>
          <w:iCs/>
          <w:sz w:val="22"/>
          <w:szCs w:val="22"/>
        </w:rPr>
      </w:pPr>
      <w:r w:rsidRPr="00617CEC">
        <w:rPr>
          <w:rFonts w:ascii="Arial" w:hAnsi="Arial" w:cs="Arial"/>
          <w:sz w:val="22"/>
          <w:szCs w:val="22"/>
        </w:rPr>
        <w:t xml:space="preserve">Medicinal plants represent one of the oldest and most diverse sources of bioactive compounds with antimicrobial activity. Taxonomically, several plant families are consistently overrepresented in the literature on antimicrobial phytotherapy, notably </w:t>
      </w:r>
      <w:r w:rsidRPr="00617CEC">
        <w:rPr>
          <w:rFonts w:ascii="Arial" w:hAnsi="Arial" w:cs="Arial"/>
          <w:i/>
          <w:iCs/>
          <w:sz w:val="22"/>
          <w:szCs w:val="22"/>
        </w:rPr>
        <w:t>Lamiaceae, Asteraceae, Rutaceae, Myrtaceae, Apiaceae</w:t>
      </w:r>
      <w:r w:rsidRPr="00617CEC">
        <w:rPr>
          <w:rFonts w:ascii="Arial" w:hAnsi="Arial" w:cs="Arial"/>
          <w:sz w:val="22"/>
          <w:szCs w:val="22"/>
        </w:rPr>
        <w:t xml:space="preserve">, and </w:t>
      </w:r>
      <w:r w:rsidRPr="00FE0E0C">
        <w:rPr>
          <w:rFonts w:ascii="Arial" w:hAnsi="Arial" w:cs="Arial"/>
          <w:i/>
          <w:iCs/>
          <w:sz w:val="22"/>
          <w:szCs w:val="22"/>
        </w:rPr>
        <w:t>Fabaceae</w:t>
      </w:r>
    </w:p>
    <w:p w14:paraId="59C22970" w14:textId="14868F73" w:rsidR="00617CEC" w:rsidRPr="00617CEC" w:rsidRDefault="00617CEC" w:rsidP="00617CEC">
      <w:pPr>
        <w:pStyle w:val="Body"/>
        <w:spacing w:after="0"/>
        <w:rPr>
          <w:rFonts w:ascii="Arial" w:hAnsi="Arial" w:cs="Arial"/>
          <w:sz w:val="22"/>
          <w:szCs w:val="22"/>
        </w:rPr>
      </w:pPr>
      <w:r w:rsidRPr="00617CEC">
        <w:rPr>
          <w:rFonts w:ascii="Arial" w:hAnsi="Arial" w:cs="Arial"/>
          <w:sz w:val="22"/>
          <w:szCs w:val="22"/>
        </w:rPr>
        <w:lastRenderedPageBreak/>
        <w:t xml:space="preserve">. These families include species such as </w:t>
      </w:r>
      <w:r w:rsidRPr="00617CEC">
        <w:rPr>
          <w:rFonts w:ascii="Arial" w:hAnsi="Arial" w:cs="Arial"/>
          <w:i/>
          <w:iCs/>
          <w:sz w:val="22"/>
          <w:szCs w:val="22"/>
        </w:rPr>
        <w:t>Origanum vulgare</w:t>
      </w:r>
      <w:r w:rsidRPr="00617CEC">
        <w:rPr>
          <w:rFonts w:ascii="Arial" w:hAnsi="Arial" w:cs="Arial"/>
          <w:sz w:val="22"/>
          <w:szCs w:val="22"/>
        </w:rPr>
        <w:t xml:space="preserve">, </w:t>
      </w:r>
      <w:r w:rsidRPr="00617CEC">
        <w:rPr>
          <w:rFonts w:ascii="Arial" w:hAnsi="Arial" w:cs="Arial"/>
          <w:i/>
          <w:iCs/>
          <w:sz w:val="22"/>
          <w:szCs w:val="22"/>
        </w:rPr>
        <w:t>Thymus vulgaris</w:t>
      </w:r>
      <w:r w:rsidRPr="00617CEC">
        <w:rPr>
          <w:rFonts w:ascii="Arial" w:hAnsi="Arial" w:cs="Arial"/>
          <w:sz w:val="22"/>
          <w:szCs w:val="22"/>
        </w:rPr>
        <w:t xml:space="preserve">, </w:t>
      </w:r>
      <w:r w:rsidRPr="00617CEC">
        <w:rPr>
          <w:rFonts w:ascii="Arial" w:hAnsi="Arial" w:cs="Arial"/>
          <w:i/>
          <w:iCs/>
          <w:sz w:val="22"/>
          <w:szCs w:val="22"/>
        </w:rPr>
        <w:t>Matricaria chamomilla</w:t>
      </w:r>
      <w:r w:rsidRPr="00617CEC">
        <w:rPr>
          <w:rFonts w:ascii="Arial" w:hAnsi="Arial" w:cs="Arial"/>
          <w:sz w:val="22"/>
          <w:szCs w:val="22"/>
        </w:rPr>
        <w:t xml:space="preserve">, </w:t>
      </w:r>
      <w:r w:rsidRPr="00617CEC">
        <w:rPr>
          <w:rFonts w:ascii="Arial" w:hAnsi="Arial" w:cs="Arial"/>
          <w:i/>
          <w:iCs/>
          <w:sz w:val="22"/>
          <w:szCs w:val="22"/>
        </w:rPr>
        <w:t>Citrus spp.</w:t>
      </w:r>
      <w:r w:rsidRPr="00617CEC">
        <w:rPr>
          <w:rFonts w:ascii="Arial" w:hAnsi="Arial" w:cs="Arial"/>
          <w:sz w:val="22"/>
          <w:szCs w:val="22"/>
        </w:rPr>
        <w:t xml:space="preserve">, </w:t>
      </w:r>
      <w:r w:rsidRPr="00617CEC">
        <w:rPr>
          <w:rFonts w:ascii="Arial" w:hAnsi="Arial" w:cs="Arial"/>
          <w:i/>
          <w:iCs/>
          <w:sz w:val="22"/>
          <w:szCs w:val="22"/>
        </w:rPr>
        <w:t>Eucalyptus spp.</w:t>
      </w:r>
      <w:r w:rsidRPr="00617CEC">
        <w:rPr>
          <w:rFonts w:ascii="Arial" w:hAnsi="Arial" w:cs="Arial"/>
          <w:sz w:val="22"/>
          <w:szCs w:val="22"/>
        </w:rPr>
        <w:t xml:space="preserve">, and </w:t>
      </w:r>
      <w:r w:rsidRPr="00617CEC">
        <w:rPr>
          <w:rFonts w:ascii="Arial" w:hAnsi="Arial" w:cs="Arial"/>
          <w:i/>
          <w:iCs/>
          <w:sz w:val="22"/>
          <w:szCs w:val="22"/>
        </w:rPr>
        <w:t>Glycyrrhiza glabra</w:t>
      </w:r>
      <w:r w:rsidRPr="00617CEC">
        <w:rPr>
          <w:rFonts w:ascii="Arial" w:hAnsi="Arial" w:cs="Arial"/>
          <w:sz w:val="22"/>
          <w:szCs w:val="22"/>
        </w:rPr>
        <w:t>, which are well known for their pharmacological properties (Jadimurthy et al., 2023; Khare et al., 2021). Many of these species have long histories of traditional use in human and veterinary medicine, particularly in Asia, Africa, and South America, reflecting both ethnobotanical knowledge and ecological adaptation to local infectious disease burdens.</w:t>
      </w:r>
    </w:p>
    <w:p w14:paraId="08BC911F" w14:textId="77777777" w:rsidR="00617CEC" w:rsidRPr="00617CEC" w:rsidRDefault="00617CEC" w:rsidP="00617CEC">
      <w:pPr>
        <w:pStyle w:val="Body"/>
        <w:spacing w:after="0"/>
        <w:rPr>
          <w:rFonts w:ascii="Arial" w:hAnsi="Arial" w:cs="Arial"/>
          <w:sz w:val="22"/>
          <w:szCs w:val="22"/>
        </w:rPr>
      </w:pPr>
      <w:r w:rsidRPr="00617CEC">
        <w:rPr>
          <w:rFonts w:ascii="Arial" w:hAnsi="Arial" w:cs="Arial"/>
          <w:sz w:val="22"/>
          <w:szCs w:val="22"/>
        </w:rPr>
        <w:t>Chemically, these families are characterized by the production of structurally diverse secondary metabolites, including terpenoids, phenylpropanoids, alkaloids, flavonoids, tannins, coumarins, and saponins. These molecules act through multiple mechanisms that differ from the narrow single-target activity of many synthetic antibiotics. For example, carvacrol and thymol destabilize bacterial membranes, berberine interferes with efflux pumps, and quercetin and catechins inhibit bacterial enzymes involved in replication and metabolism (Nguyen et al., 2023; Zhang et al., 2024; Vaou et al., 2022). This polypharmacological profile is a key feature of phytochemicals, making it more difficult for resistant phenotypes to emerge.</w:t>
      </w:r>
    </w:p>
    <w:p w14:paraId="569E5723" w14:textId="77777777" w:rsidR="00617CEC" w:rsidRDefault="00617CEC" w:rsidP="00617CEC">
      <w:pPr>
        <w:pStyle w:val="Body"/>
        <w:spacing w:after="0"/>
        <w:rPr>
          <w:rFonts w:ascii="Arial" w:hAnsi="Arial" w:cs="Arial"/>
          <w:sz w:val="22"/>
          <w:szCs w:val="22"/>
        </w:rPr>
      </w:pPr>
    </w:p>
    <w:p w14:paraId="07459981" w14:textId="34B2F285" w:rsidR="00617CEC" w:rsidRPr="00617CEC" w:rsidRDefault="00617CEC" w:rsidP="00441B6F">
      <w:pPr>
        <w:pStyle w:val="Body"/>
        <w:spacing w:after="0"/>
        <w:rPr>
          <w:rFonts w:ascii="Arial" w:hAnsi="Arial" w:cs="Arial"/>
          <w:sz w:val="22"/>
          <w:szCs w:val="22"/>
        </w:rPr>
      </w:pPr>
      <w:r w:rsidRPr="00617CEC">
        <w:rPr>
          <w:rFonts w:ascii="Arial" w:hAnsi="Arial" w:cs="Arial"/>
          <w:sz w:val="22"/>
          <w:szCs w:val="22"/>
        </w:rPr>
        <w:t>Furthermore, phytochemical diversity reflects both evolutionary adaptations of plants and ecological interactions with microbial communities. Several compounds evolved as part of plants’ innate defenses against bacterial and fungal pathogens, which can be leveraged therapeutically in humans and animals (Miethke et al., 2021; Newman and Cragg, 2020). Metabolomic profiling and chemotaxonomic studies reveal that structurally related compounds frequently cluster within phylogenetically related taxa, allowing researchers to strategically target plant groups for antimicrobial discovery (Chassagne et al., 2021). This taxonomic and chemical richness provides a foundation for developing new antimicrobial strategies that complement or enhance conventional antibiotics.</w:t>
      </w:r>
    </w:p>
    <w:p w14:paraId="0B8605D8" w14:textId="77777777" w:rsidR="00617CEC" w:rsidRDefault="00617CEC" w:rsidP="00441B6F">
      <w:pPr>
        <w:pStyle w:val="Body"/>
        <w:spacing w:after="0"/>
        <w:rPr>
          <w:rFonts w:ascii="Arial" w:hAnsi="Arial" w:cs="Arial"/>
          <w:b/>
          <w:bCs/>
          <w:sz w:val="22"/>
          <w:szCs w:val="22"/>
        </w:rPr>
      </w:pPr>
    </w:p>
    <w:p w14:paraId="2F2FE172" w14:textId="763FE01F" w:rsidR="00ED10B6"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5. Target</w:t>
      </w:r>
      <w:r w:rsidRPr="00FA0253">
        <w:rPr>
          <w:rFonts w:ascii="Arial" w:hAnsi="Arial" w:cs="Arial"/>
          <w:b/>
          <w:bCs/>
          <w:sz w:val="22"/>
          <w:szCs w:val="22"/>
        </w:rPr>
        <w:t xml:space="preserve"> Pathogens and Resistance Profiles</w:t>
      </w:r>
    </w:p>
    <w:p w14:paraId="4B70B5B5" w14:textId="77777777" w:rsidR="00617CEC" w:rsidRDefault="00617CEC" w:rsidP="00617CEC">
      <w:pPr>
        <w:pStyle w:val="Body"/>
        <w:rPr>
          <w:rFonts w:ascii="Arial" w:hAnsi="Arial" w:cs="Arial"/>
          <w:sz w:val="22"/>
          <w:szCs w:val="22"/>
        </w:rPr>
      </w:pPr>
    </w:p>
    <w:p w14:paraId="797572D3" w14:textId="08554CD1" w:rsidR="00617CEC" w:rsidRPr="00617CEC" w:rsidRDefault="00617CEC" w:rsidP="00617CEC">
      <w:pPr>
        <w:pStyle w:val="Body"/>
        <w:rPr>
          <w:rFonts w:ascii="Arial" w:hAnsi="Arial" w:cs="Arial"/>
          <w:sz w:val="22"/>
          <w:szCs w:val="22"/>
        </w:rPr>
      </w:pPr>
      <w:r w:rsidRPr="00617CEC">
        <w:rPr>
          <w:rFonts w:ascii="Arial" w:hAnsi="Arial" w:cs="Arial"/>
          <w:sz w:val="22"/>
          <w:szCs w:val="22"/>
        </w:rPr>
        <w:t xml:space="preserve">The escalating global crisis of antimicrobial resistance demands that phytotherapy research aligns with internationally defined priority pathogens. The WHO Bacterial Priority Pathogens List (2024) identifies carbapenem-resistant Acinetobacter baumannii, Pseudomonas aeruginosa, and </w:t>
      </w:r>
      <w:r w:rsidRPr="00214179">
        <w:rPr>
          <w:rFonts w:ascii="Arial" w:hAnsi="Arial" w:cs="Arial"/>
          <w:i/>
          <w:iCs/>
          <w:sz w:val="22"/>
          <w:szCs w:val="22"/>
        </w:rPr>
        <w:t xml:space="preserve">Enterobacterales </w:t>
      </w:r>
      <w:r w:rsidRPr="00617CEC">
        <w:rPr>
          <w:rFonts w:ascii="Arial" w:hAnsi="Arial" w:cs="Arial"/>
          <w:sz w:val="22"/>
          <w:szCs w:val="22"/>
        </w:rPr>
        <w:t>as critical priority organisms, alongside MRSA (</w:t>
      </w:r>
      <w:r w:rsidRPr="001B433A">
        <w:rPr>
          <w:rFonts w:ascii="Arial" w:hAnsi="Arial" w:cs="Arial"/>
          <w:i/>
          <w:iCs/>
          <w:sz w:val="22"/>
          <w:szCs w:val="22"/>
        </w:rPr>
        <w:t>Staphylococcus aureus</w:t>
      </w:r>
      <w:r w:rsidRPr="00617CEC">
        <w:rPr>
          <w:rFonts w:ascii="Arial" w:hAnsi="Arial" w:cs="Arial"/>
          <w:sz w:val="22"/>
          <w:szCs w:val="22"/>
        </w:rPr>
        <w:t xml:space="preserve">), </w:t>
      </w:r>
      <w:r w:rsidRPr="001B433A">
        <w:rPr>
          <w:rFonts w:ascii="Arial" w:hAnsi="Arial" w:cs="Arial"/>
          <w:i/>
          <w:iCs/>
          <w:sz w:val="22"/>
          <w:szCs w:val="22"/>
        </w:rPr>
        <w:t>Mycobacterium tuberculosis</w:t>
      </w:r>
      <w:r w:rsidRPr="00617CEC">
        <w:rPr>
          <w:rFonts w:ascii="Arial" w:hAnsi="Arial" w:cs="Arial"/>
          <w:sz w:val="22"/>
          <w:szCs w:val="22"/>
        </w:rPr>
        <w:t xml:space="preserve"> resistant to rifampicin, </w:t>
      </w:r>
      <w:r w:rsidRPr="001B433A">
        <w:rPr>
          <w:rFonts w:ascii="Arial" w:hAnsi="Arial" w:cs="Arial"/>
          <w:i/>
          <w:iCs/>
          <w:sz w:val="22"/>
          <w:szCs w:val="22"/>
        </w:rPr>
        <w:t>Salmonella spp.,</w:t>
      </w:r>
      <w:r w:rsidRPr="00617CEC">
        <w:rPr>
          <w:rFonts w:ascii="Arial" w:hAnsi="Arial" w:cs="Arial"/>
          <w:sz w:val="22"/>
          <w:szCs w:val="22"/>
        </w:rPr>
        <w:t xml:space="preserve"> </w:t>
      </w:r>
      <w:r w:rsidRPr="001B433A">
        <w:rPr>
          <w:rFonts w:ascii="Arial" w:hAnsi="Arial" w:cs="Arial"/>
          <w:i/>
          <w:iCs/>
          <w:sz w:val="22"/>
          <w:szCs w:val="22"/>
        </w:rPr>
        <w:t>Shigella spp</w:t>
      </w:r>
      <w:r w:rsidRPr="00617CEC">
        <w:rPr>
          <w:rFonts w:ascii="Arial" w:hAnsi="Arial" w:cs="Arial"/>
          <w:sz w:val="22"/>
          <w:szCs w:val="22"/>
        </w:rPr>
        <w:t xml:space="preserve">., and </w:t>
      </w:r>
      <w:r w:rsidRPr="00214179">
        <w:rPr>
          <w:rFonts w:ascii="Arial" w:hAnsi="Arial" w:cs="Arial"/>
          <w:i/>
          <w:iCs/>
          <w:sz w:val="22"/>
          <w:szCs w:val="22"/>
        </w:rPr>
        <w:t>Neisseria gonorrhoeae</w:t>
      </w:r>
      <w:r w:rsidRPr="00617CEC">
        <w:rPr>
          <w:rFonts w:ascii="Arial" w:hAnsi="Arial" w:cs="Arial"/>
          <w:sz w:val="22"/>
          <w:szCs w:val="22"/>
        </w:rPr>
        <w:t xml:space="preserve"> (WHO, 2024; Sati et al., 2024). These organisms are responsible for severe infections and significant mortality worldwide, particularly in healthcare settings and food production systems.</w:t>
      </w:r>
    </w:p>
    <w:p w14:paraId="38F2B9FF" w14:textId="5B2DBE9D" w:rsidR="00617CEC" w:rsidRPr="00617CEC" w:rsidRDefault="00617CEC" w:rsidP="00617CEC">
      <w:pPr>
        <w:pStyle w:val="Body"/>
        <w:rPr>
          <w:rFonts w:ascii="Arial" w:hAnsi="Arial" w:cs="Arial"/>
          <w:sz w:val="22"/>
          <w:szCs w:val="22"/>
        </w:rPr>
      </w:pPr>
      <w:r w:rsidRPr="00617CEC">
        <w:rPr>
          <w:rFonts w:ascii="Arial" w:hAnsi="Arial" w:cs="Arial"/>
          <w:sz w:val="22"/>
          <w:szCs w:val="22"/>
        </w:rPr>
        <w:t xml:space="preserve">Phytochemicals have demonstrated promising activity against these resistant pathogens. Terpenoids from Thymus vulgaris and Origanum vulgare exhibit bactericidal effects against multidrug-resistant </w:t>
      </w:r>
      <w:r w:rsidRPr="00214179">
        <w:rPr>
          <w:rFonts w:ascii="Arial" w:hAnsi="Arial" w:cs="Arial"/>
          <w:i/>
          <w:iCs/>
          <w:sz w:val="22"/>
          <w:szCs w:val="22"/>
        </w:rPr>
        <w:t>P. aeruginosa</w:t>
      </w:r>
      <w:r w:rsidRPr="00617CEC">
        <w:rPr>
          <w:rFonts w:ascii="Arial" w:hAnsi="Arial" w:cs="Arial"/>
          <w:sz w:val="22"/>
          <w:szCs w:val="22"/>
        </w:rPr>
        <w:t xml:space="preserve"> and </w:t>
      </w:r>
      <w:r w:rsidRPr="00CB5E98">
        <w:rPr>
          <w:rFonts w:ascii="Arial" w:hAnsi="Arial" w:cs="Arial"/>
          <w:i/>
          <w:iCs/>
          <w:sz w:val="22"/>
          <w:szCs w:val="22"/>
        </w:rPr>
        <w:t>A. baumannii</w:t>
      </w:r>
      <w:r w:rsidRPr="00617CEC">
        <w:rPr>
          <w:rFonts w:ascii="Arial" w:hAnsi="Arial" w:cs="Arial"/>
          <w:sz w:val="22"/>
          <w:szCs w:val="22"/>
        </w:rPr>
        <w:t xml:space="preserve">. Alkaloids such as berberine show strong activity against ESBL-producing E. coli and </w:t>
      </w:r>
      <w:r w:rsidRPr="00214179">
        <w:rPr>
          <w:rFonts w:ascii="Arial" w:hAnsi="Arial" w:cs="Arial"/>
          <w:i/>
          <w:iCs/>
          <w:sz w:val="22"/>
          <w:szCs w:val="22"/>
        </w:rPr>
        <w:t>Klebsiella pneumoniae</w:t>
      </w:r>
      <w:r w:rsidRPr="00617CEC">
        <w:rPr>
          <w:rFonts w:ascii="Arial" w:hAnsi="Arial" w:cs="Arial"/>
          <w:sz w:val="22"/>
          <w:szCs w:val="22"/>
        </w:rPr>
        <w:t>, while flavonoids like quercetin display inhibitory activity against MRSA (Nguyen et al., 2023; Alam et al., 2022). Moreover, extracts rich in saponins and tannins have been reported to suppress biofilm formation and quorum sensing in these bacteria, mechanisms that are often associated with persistent infections and antibiotic tolerance (Vaou et al., 2022; Chassagne et al., 2021).</w:t>
      </w:r>
    </w:p>
    <w:p w14:paraId="4D1DF942" w14:textId="52D631EB" w:rsidR="00FA0253" w:rsidRDefault="00617CEC" w:rsidP="00617CEC">
      <w:pPr>
        <w:pStyle w:val="Body"/>
        <w:rPr>
          <w:rFonts w:ascii="Arial" w:hAnsi="Arial" w:cs="Arial"/>
          <w:sz w:val="22"/>
          <w:szCs w:val="22"/>
        </w:rPr>
      </w:pPr>
      <w:r w:rsidRPr="00617CEC">
        <w:rPr>
          <w:rFonts w:ascii="Arial" w:hAnsi="Arial" w:cs="Arial"/>
          <w:sz w:val="22"/>
          <w:szCs w:val="22"/>
        </w:rPr>
        <w:t>Importantly, these activities extend to strains carrying clinically relevant resistance determinants, including KPC, NDM, OXA-48, mecA, vanA, and rpoB (Zhang et al., 2024; Jadimurthy et al., 2023). This suggests that plant-derived compounds are not merely weak antimicrobials, but can directly interfere with resistant pathogens. Their capacity to act against phenotypes prioritized by WHO and CDC supports the development of evidence-based phytotherapeutics for use in both human and veterinary medicine, including companion animal care, livestock production, and aquaculture.</w:t>
      </w:r>
    </w:p>
    <w:p w14:paraId="6A7A82A1" w14:textId="6D89BD5C" w:rsidR="00790ADA"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6</w:t>
      </w:r>
      <w:r w:rsidRPr="00FA0253">
        <w:rPr>
          <w:rFonts w:ascii="Arial" w:hAnsi="Arial" w:cs="Arial"/>
          <w:b/>
          <w:bCs/>
          <w:sz w:val="22"/>
          <w:szCs w:val="22"/>
        </w:rPr>
        <w:t>. Synergistic Effects and Therapeutic Potential</w:t>
      </w:r>
    </w:p>
    <w:p w14:paraId="5DD1905C" w14:textId="77777777" w:rsidR="00617CEC" w:rsidRDefault="00617CEC" w:rsidP="00617CEC">
      <w:pPr>
        <w:pStyle w:val="Body"/>
        <w:rPr>
          <w:rFonts w:ascii="Arial" w:hAnsi="Arial" w:cs="Arial"/>
          <w:b/>
          <w:bCs/>
          <w:sz w:val="22"/>
          <w:szCs w:val="22"/>
        </w:rPr>
      </w:pPr>
    </w:p>
    <w:p w14:paraId="59DA99E4" w14:textId="6CD5B6C5" w:rsidR="00617CEC" w:rsidRPr="00617CEC" w:rsidRDefault="00617CEC" w:rsidP="00617CEC">
      <w:pPr>
        <w:pStyle w:val="Body"/>
        <w:rPr>
          <w:rFonts w:ascii="Arial" w:hAnsi="Arial" w:cs="Arial"/>
          <w:sz w:val="22"/>
          <w:szCs w:val="22"/>
        </w:rPr>
      </w:pPr>
      <w:r w:rsidRPr="00617CEC">
        <w:rPr>
          <w:rFonts w:ascii="Arial" w:hAnsi="Arial" w:cs="Arial"/>
          <w:sz w:val="22"/>
          <w:szCs w:val="22"/>
        </w:rPr>
        <w:t xml:space="preserve">One of the most strategically valuable applications of phytochemicals in AMR control is their synergistic interaction with existing antibiotics. Synergy occurs when a phytochemical enhances the efficacy of an antibiotic beyond what either can achieve alone, often quantified by a fractional inhibitory concentration index </w:t>
      </w:r>
      <w:r w:rsidRPr="00617CEC">
        <w:rPr>
          <w:rFonts w:ascii="Arial" w:hAnsi="Arial" w:cs="Arial"/>
          <w:sz w:val="22"/>
          <w:szCs w:val="22"/>
        </w:rPr>
        <w:lastRenderedPageBreak/>
        <w:t>(FICI ≤ 0.5). Numerous studies report that phytochemicals can reverse or reduce antibiotic resistance phenotypes in vitro (Nguyen et al., 2023; Alam et al., 2022).</w:t>
      </w:r>
    </w:p>
    <w:p w14:paraId="0912A06C" w14:textId="5F59B441" w:rsidR="00617CEC" w:rsidRPr="00617CEC" w:rsidRDefault="00617CEC" w:rsidP="00617CEC">
      <w:pPr>
        <w:pStyle w:val="Body"/>
        <w:rPr>
          <w:rFonts w:ascii="Arial" w:hAnsi="Arial" w:cs="Arial"/>
          <w:sz w:val="22"/>
          <w:szCs w:val="22"/>
        </w:rPr>
      </w:pPr>
      <w:r w:rsidRPr="00617CEC">
        <w:rPr>
          <w:rFonts w:ascii="Arial" w:hAnsi="Arial" w:cs="Arial"/>
          <w:sz w:val="22"/>
          <w:szCs w:val="22"/>
        </w:rPr>
        <w:t xml:space="preserve">Mechanistically, phytochemicals contribute to synergy through increased membrane permeability, efflux pump inhibition, and interference with quorum sensing and biofilm formation. For example, carvacrol and thymol enhance aminoglycoside activity against multidrug-resistant </w:t>
      </w:r>
      <w:r w:rsidRPr="00214179">
        <w:rPr>
          <w:rFonts w:ascii="Arial" w:hAnsi="Arial" w:cs="Arial"/>
          <w:i/>
          <w:iCs/>
          <w:sz w:val="22"/>
          <w:szCs w:val="22"/>
        </w:rPr>
        <w:t>P. aeruginosa</w:t>
      </w:r>
      <w:r w:rsidRPr="00617CEC">
        <w:rPr>
          <w:rFonts w:ascii="Arial" w:hAnsi="Arial" w:cs="Arial"/>
          <w:sz w:val="22"/>
          <w:szCs w:val="22"/>
        </w:rPr>
        <w:t xml:space="preserve"> by destabilizing the outer membrane. Flavonoids potentiate tetracycline and fluoroquinolone activity against MRSA and ESBL-producing </w:t>
      </w:r>
      <w:r w:rsidRPr="00214179">
        <w:rPr>
          <w:rFonts w:ascii="Arial" w:hAnsi="Arial" w:cs="Arial"/>
          <w:i/>
          <w:iCs/>
          <w:sz w:val="22"/>
          <w:szCs w:val="22"/>
        </w:rPr>
        <w:t xml:space="preserve">Enterobacterales </w:t>
      </w:r>
      <w:r w:rsidRPr="00617CEC">
        <w:rPr>
          <w:rFonts w:ascii="Arial" w:hAnsi="Arial" w:cs="Arial"/>
          <w:sz w:val="22"/>
          <w:szCs w:val="22"/>
        </w:rPr>
        <w:t>by interfering with efflux mechanisms (Vaou et al., 2022). Berberine has been shown to potentiate beta-lactams against resistant S. aureus by directly inhibiting efflux pumps and altering membrane potential (Zhang et al., 2024; Miethke et al., 2021).</w:t>
      </w:r>
    </w:p>
    <w:p w14:paraId="0110B549" w14:textId="2AA0F6E0" w:rsidR="00FA0253" w:rsidRPr="00617CEC" w:rsidRDefault="00617CEC" w:rsidP="00617CEC">
      <w:pPr>
        <w:pStyle w:val="Body"/>
        <w:rPr>
          <w:rFonts w:ascii="Arial" w:hAnsi="Arial" w:cs="Arial"/>
          <w:sz w:val="22"/>
          <w:szCs w:val="22"/>
        </w:rPr>
      </w:pPr>
      <w:r w:rsidRPr="00617CEC">
        <w:rPr>
          <w:rFonts w:ascii="Arial" w:hAnsi="Arial" w:cs="Arial"/>
          <w:sz w:val="22"/>
          <w:szCs w:val="22"/>
        </w:rPr>
        <w:t>Clinically, these synergistic interactions offer several advantages. First, they can lower required antibiotic doses, potentially reducing toxicity and selection pressure. Second, they can extend the lifespan of existing antibiotics, an especially important consideration given the decline in novel antimicrobial development (Newman and Cragg, 2020). Third, they provide new treatment options for co-infections and polymicrobial biofilms, which are increasingly common in healthcare and veterinary settings. The therapeutic potential of phytochemicals as adjuvants is therefore a critical area of translational AMR research.</w:t>
      </w:r>
    </w:p>
    <w:p w14:paraId="6E7AB122" w14:textId="079FB3BC" w:rsidR="00ED10B6"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7</w:t>
      </w:r>
      <w:r w:rsidRPr="00FA0253">
        <w:rPr>
          <w:rFonts w:ascii="Arial" w:hAnsi="Arial" w:cs="Arial"/>
          <w:b/>
          <w:bCs/>
          <w:sz w:val="22"/>
          <w:szCs w:val="22"/>
        </w:rPr>
        <w:t>. One Health Integration and Interdisciplinary Approaches</w:t>
      </w:r>
    </w:p>
    <w:p w14:paraId="12E7733D" w14:textId="77777777" w:rsidR="00617CEC" w:rsidRPr="00617CEC" w:rsidRDefault="00617CEC" w:rsidP="00617CEC">
      <w:pPr>
        <w:pStyle w:val="NormalWeb"/>
        <w:spacing w:after="0" w:afterAutospacing="0"/>
        <w:jc w:val="both"/>
        <w:rPr>
          <w:rFonts w:ascii="Arial" w:hAnsi="Arial" w:cs="Arial"/>
          <w:sz w:val="22"/>
          <w:szCs w:val="22"/>
        </w:rPr>
      </w:pPr>
      <w:r w:rsidRPr="00617CEC">
        <w:rPr>
          <w:rFonts w:ascii="Arial" w:hAnsi="Arial" w:cs="Arial"/>
          <w:sz w:val="22"/>
          <w:szCs w:val="22"/>
        </w:rPr>
        <w:t xml:space="preserve">The </w:t>
      </w:r>
      <w:r w:rsidRPr="00617CEC">
        <w:rPr>
          <w:rStyle w:val="Strong"/>
          <w:rFonts w:ascii="Arial" w:hAnsi="Arial" w:cs="Arial"/>
          <w:b w:val="0"/>
          <w:bCs w:val="0"/>
          <w:sz w:val="22"/>
          <w:szCs w:val="22"/>
        </w:rPr>
        <w:t>One Health</w:t>
      </w:r>
      <w:r w:rsidRPr="00617CEC">
        <w:rPr>
          <w:rFonts w:ascii="Arial" w:hAnsi="Arial" w:cs="Arial"/>
          <w:b/>
          <w:bCs/>
          <w:sz w:val="22"/>
          <w:szCs w:val="22"/>
        </w:rPr>
        <w:t xml:space="preserve"> </w:t>
      </w:r>
      <w:r w:rsidRPr="00617CEC">
        <w:rPr>
          <w:rFonts w:ascii="Arial" w:hAnsi="Arial" w:cs="Arial"/>
          <w:sz w:val="22"/>
          <w:szCs w:val="22"/>
        </w:rPr>
        <w:t xml:space="preserve">concept underscores the interconnectedness of human, animal, and environmental health. Integrating phytotherapy into AMR strategies aligns with this paradigm by reducing antibiotic use in both human and veterinary medicine while mitigating environmental contamination. Phytochemicals often have </w:t>
      </w:r>
      <w:r w:rsidRPr="00617CEC">
        <w:rPr>
          <w:rStyle w:val="Strong"/>
          <w:rFonts w:ascii="Arial" w:hAnsi="Arial" w:cs="Arial"/>
          <w:b w:val="0"/>
          <w:bCs w:val="0"/>
          <w:sz w:val="22"/>
          <w:szCs w:val="22"/>
        </w:rPr>
        <w:t>shorter environmental half-lives</w:t>
      </w:r>
      <w:r w:rsidRPr="00617CEC">
        <w:rPr>
          <w:rFonts w:ascii="Arial" w:hAnsi="Arial" w:cs="Arial"/>
          <w:sz w:val="22"/>
          <w:szCs w:val="22"/>
        </w:rPr>
        <w:t xml:space="preserve"> compared with synthetic antibiotics, decreasing the persistence of active residues in soil and water systems (WHO, 2023; WHO Regional Office for Europe, 2024).</w:t>
      </w:r>
    </w:p>
    <w:p w14:paraId="543CA707" w14:textId="77777777" w:rsidR="00617CEC" w:rsidRPr="00617CEC" w:rsidRDefault="00617CEC" w:rsidP="00617CEC">
      <w:pPr>
        <w:pStyle w:val="NormalWeb"/>
        <w:spacing w:after="0" w:afterAutospacing="0"/>
        <w:jc w:val="both"/>
        <w:rPr>
          <w:rFonts w:ascii="Arial" w:hAnsi="Arial" w:cs="Arial"/>
          <w:sz w:val="22"/>
          <w:szCs w:val="22"/>
        </w:rPr>
      </w:pPr>
      <w:r w:rsidRPr="00617CEC">
        <w:rPr>
          <w:rFonts w:ascii="Arial" w:hAnsi="Arial" w:cs="Arial"/>
          <w:sz w:val="22"/>
          <w:szCs w:val="22"/>
        </w:rPr>
        <w:t>In agriculture and aquaculture, where antibiotics are frequently used as growth promoters or prophylactics, plant-based alternatives could help reduce selection pressure on microbial communities (UNEP, 2024). Several studies have shown that the inclusion of phytogenic compounds in livestock feed can improve growth and health outcomes while decreasing infection rates, thereby lowering antibiotic consumption (Miethke et al., 2021; Jadimurthy et al., 2023). This approach has potential environmental benefits by reducing the release of antimicrobial residues and resistance genes into ecosystems.</w:t>
      </w:r>
    </w:p>
    <w:p w14:paraId="35E09667" w14:textId="77777777" w:rsidR="00617CEC" w:rsidRPr="00617CEC" w:rsidRDefault="00617CEC" w:rsidP="00617CEC">
      <w:pPr>
        <w:pStyle w:val="NormalWeb"/>
        <w:spacing w:after="0" w:afterAutospacing="0"/>
        <w:jc w:val="both"/>
        <w:rPr>
          <w:rFonts w:ascii="Arial" w:hAnsi="Arial" w:cs="Arial"/>
          <w:sz w:val="22"/>
          <w:szCs w:val="22"/>
        </w:rPr>
      </w:pPr>
      <w:r w:rsidRPr="00617CEC">
        <w:rPr>
          <w:rFonts w:ascii="Arial" w:hAnsi="Arial" w:cs="Arial"/>
          <w:sz w:val="22"/>
          <w:szCs w:val="22"/>
        </w:rPr>
        <w:t xml:space="preserve">Effective One Health integration requires </w:t>
      </w:r>
      <w:r w:rsidRPr="00617CEC">
        <w:rPr>
          <w:rStyle w:val="Strong"/>
          <w:rFonts w:ascii="Arial" w:hAnsi="Arial" w:cs="Arial"/>
          <w:b w:val="0"/>
          <w:bCs w:val="0"/>
          <w:sz w:val="22"/>
          <w:szCs w:val="22"/>
        </w:rPr>
        <w:t>interdisciplinary collaboration</w:t>
      </w:r>
      <w:r w:rsidRPr="00617CEC">
        <w:rPr>
          <w:rFonts w:ascii="Arial" w:hAnsi="Arial" w:cs="Arial"/>
          <w:sz w:val="22"/>
          <w:szCs w:val="22"/>
        </w:rPr>
        <w:t xml:space="preserve">. Pharmacologists, microbiologists, veterinarians, environmental scientists, and policy makers must work together to evaluate efficacy, safety, ecological impact, and surveillance strategies. Incorporating phytotherapy into antimicrobial stewardship programs also requires </w:t>
      </w:r>
      <w:r w:rsidRPr="00617CEC">
        <w:rPr>
          <w:rStyle w:val="Strong"/>
          <w:rFonts w:ascii="Arial" w:hAnsi="Arial" w:cs="Arial"/>
          <w:b w:val="0"/>
          <w:bCs w:val="0"/>
          <w:sz w:val="22"/>
          <w:szCs w:val="22"/>
        </w:rPr>
        <w:t>metagenomic monitoring</w:t>
      </w:r>
      <w:r w:rsidRPr="00617CEC">
        <w:rPr>
          <w:rFonts w:ascii="Arial" w:hAnsi="Arial" w:cs="Arial"/>
          <w:sz w:val="22"/>
          <w:szCs w:val="22"/>
        </w:rPr>
        <w:t xml:space="preserve"> to track resistance gene dynamics and </w:t>
      </w:r>
      <w:r w:rsidRPr="00617CEC">
        <w:rPr>
          <w:rStyle w:val="Strong"/>
          <w:rFonts w:ascii="Arial" w:hAnsi="Arial" w:cs="Arial"/>
          <w:b w:val="0"/>
          <w:bCs w:val="0"/>
          <w:sz w:val="22"/>
          <w:szCs w:val="22"/>
        </w:rPr>
        <w:t>risk assessments</w:t>
      </w:r>
      <w:r w:rsidRPr="00617CEC">
        <w:rPr>
          <w:rFonts w:ascii="Arial" w:hAnsi="Arial" w:cs="Arial"/>
          <w:sz w:val="22"/>
          <w:szCs w:val="22"/>
        </w:rPr>
        <w:t xml:space="preserve"> to ensure environmental safety (WHO, 2023; UNEP, 2024). Such coordinated action can strengthen global AMR mitigation strategies.</w:t>
      </w:r>
    </w:p>
    <w:p w14:paraId="2B14946D" w14:textId="77777777" w:rsidR="00617CEC" w:rsidRPr="00FA0253" w:rsidRDefault="00617CEC" w:rsidP="00441B6F">
      <w:pPr>
        <w:pStyle w:val="Body"/>
        <w:spacing w:after="0"/>
        <w:rPr>
          <w:rFonts w:ascii="Arial" w:hAnsi="Arial" w:cs="Arial"/>
          <w:b/>
          <w:bCs/>
          <w:sz w:val="22"/>
          <w:szCs w:val="22"/>
        </w:rPr>
      </w:pPr>
    </w:p>
    <w:p w14:paraId="4D53A078" w14:textId="466B18EE" w:rsidR="00ED10B6"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8</w:t>
      </w:r>
      <w:r w:rsidRPr="00FA0253">
        <w:rPr>
          <w:rFonts w:ascii="Arial" w:hAnsi="Arial" w:cs="Arial"/>
          <w:b/>
          <w:bCs/>
          <w:sz w:val="22"/>
          <w:szCs w:val="22"/>
        </w:rPr>
        <w:t>. Knowledge Gaps and Research Priorities</w:t>
      </w:r>
    </w:p>
    <w:p w14:paraId="4FC94CC5" w14:textId="30545FB6" w:rsidR="00617CEC" w:rsidRPr="00617CEC" w:rsidRDefault="00617CEC" w:rsidP="00617CEC">
      <w:pPr>
        <w:pStyle w:val="NormalWeb"/>
        <w:jc w:val="both"/>
        <w:rPr>
          <w:rFonts w:ascii="Arial" w:hAnsi="Arial" w:cs="Arial"/>
          <w:sz w:val="22"/>
          <w:szCs w:val="22"/>
        </w:rPr>
      </w:pPr>
      <w:r w:rsidRPr="00617CEC">
        <w:rPr>
          <w:rFonts w:ascii="Arial" w:hAnsi="Arial" w:cs="Arial"/>
          <w:sz w:val="22"/>
          <w:szCs w:val="22"/>
        </w:rPr>
        <w:t>Despite the growing body of evidence, several knowledge gaps limit the translation of phytotherapy into mainstream AMR strategies</w:t>
      </w:r>
      <w:r w:rsidRPr="00617CEC">
        <w:rPr>
          <w:rFonts w:ascii="Arial" w:hAnsi="Arial" w:cs="Arial"/>
          <w:b/>
          <w:bCs/>
          <w:sz w:val="22"/>
          <w:szCs w:val="22"/>
        </w:rPr>
        <w:t xml:space="preserve">. </w:t>
      </w:r>
      <w:r w:rsidRPr="00617CEC">
        <w:rPr>
          <w:rFonts w:ascii="Arial" w:hAnsi="Arial" w:cs="Arial"/>
          <w:sz w:val="22"/>
          <w:szCs w:val="22"/>
        </w:rPr>
        <w:t>First,</w:t>
      </w:r>
      <w:r w:rsidRPr="00617CEC">
        <w:rPr>
          <w:rFonts w:ascii="Arial" w:hAnsi="Arial" w:cs="Arial"/>
          <w:b/>
          <w:bCs/>
          <w:sz w:val="22"/>
          <w:szCs w:val="22"/>
        </w:rPr>
        <w:t xml:space="preserve"> </w:t>
      </w:r>
      <w:r w:rsidRPr="00617CEC">
        <w:rPr>
          <w:rStyle w:val="Strong"/>
          <w:rFonts w:ascii="Arial" w:hAnsi="Arial" w:cs="Arial"/>
          <w:b w:val="0"/>
          <w:bCs w:val="0"/>
          <w:sz w:val="22"/>
          <w:szCs w:val="22"/>
        </w:rPr>
        <w:t>standardization remains inconsistent</w:t>
      </w:r>
      <w:r w:rsidRPr="00617CEC">
        <w:rPr>
          <w:rFonts w:ascii="Arial" w:hAnsi="Arial" w:cs="Arial"/>
          <w:b/>
          <w:bCs/>
          <w:sz w:val="22"/>
          <w:szCs w:val="22"/>
        </w:rPr>
        <w:t xml:space="preserve">. </w:t>
      </w:r>
      <w:r w:rsidRPr="00617CEC">
        <w:rPr>
          <w:rFonts w:ascii="Arial" w:hAnsi="Arial" w:cs="Arial"/>
          <w:sz w:val="22"/>
          <w:szCs w:val="22"/>
        </w:rPr>
        <w:t>Variability</w:t>
      </w:r>
      <w:r w:rsidRPr="00617CEC">
        <w:rPr>
          <w:rFonts w:ascii="Arial" w:hAnsi="Arial" w:cs="Arial"/>
          <w:b/>
          <w:bCs/>
          <w:sz w:val="22"/>
          <w:szCs w:val="22"/>
        </w:rPr>
        <w:t xml:space="preserve"> </w:t>
      </w:r>
      <w:r w:rsidRPr="00617CEC">
        <w:rPr>
          <w:rFonts w:ascii="Arial" w:hAnsi="Arial" w:cs="Arial"/>
          <w:sz w:val="22"/>
          <w:szCs w:val="22"/>
        </w:rPr>
        <w:t>in plant chemotypes, cultivation conditions, extraction methods, and analytical techniques lead to inconsistent results across studies, hindering reproducibility and regulatory acceptance (Jadimurthy et al., 2023). Standardized methods for identifying chemical markers, conducting antimicrobial susceptibility testing, and reporting data are urgently needed.</w:t>
      </w:r>
    </w:p>
    <w:p w14:paraId="7892F75B" w14:textId="77777777" w:rsidR="00617CEC" w:rsidRPr="00617CEC" w:rsidRDefault="00617CEC" w:rsidP="00617CEC">
      <w:pPr>
        <w:pStyle w:val="NormalWeb"/>
        <w:jc w:val="both"/>
        <w:rPr>
          <w:rFonts w:ascii="Arial" w:hAnsi="Arial" w:cs="Arial"/>
          <w:sz w:val="22"/>
          <w:szCs w:val="22"/>
        </w:rPr>
      </w:pPr>
      <w:r w:rsidRPr="00617CEC">
        <w:rPr>
          <w:rFonts w:ascii="Arial" w:hAnsi="Arial" w:cs="Arial"/>
          <w:sz w:val="22"/>
          <w:szCs w:val="22"/>
        </w:rPr>
        <w:t xml:space="preserve">Second, </w:t>
      </w:r>
      <w:r w:rsidRPr="00617CEC">
        <w:rPr>
          <w:rStyle w:val="Strong"/>
          <w:rFonts w:ascii="Arial" w:hAnsi="Arial" w:cs="Arial"/>
          <w:b w:val="0"/>
          <w:bCs w:val="0"/>
          <w:sz w:val="22"/>
          <w:szCs w:val="22"/>
        </w:rPr>
        <w:t>mechanistic understanding remains incomplete</w:t>
      </w:r>
      <w:r w:rsidRPr="00617CEC">
        <w:rPr>
          <w:rFonts w:ascii="Arial" w:hAnsi="Arial" w:cs="Arial"/>
          <w:sz w:val="22"/>
          <w:szCs w:val="22"/>
        </w:rPr>
        <w:t>. While many studies report antimicrobial activity, fewer investigate specific molecular targets. Modern tools such as transcriptomics, proteomics, metabolomics, and CRISPR-based gene editing could identify how phytochemicals interact with bacterial efflux systems, cell walls, and regulatory networks (Nguyen et al., 2023; Miethke et al., 2021). Expanding mechanistic research will help prioritize compounds with clinically relevant modes of action.</w:t>
      </w:r>
    </w:p>
    <w:p w14:paraId="39285D70" w14:textId="3B1C89DA" w:rsidR="00617CEC" w:rsidRPr="00617CEC" w:rsidRDefault="00617CEC" w:rsidP="00617CEC">
      <w:pPr>
        <w:pStyle w:val="NormalWeb"/>
        <w:jc w:val="both"/>
      </w:pPr>
      <w:r w:rsidRPr="00617CEC">
        <w:rPr>
          <w:rFonts w:ascii="Arial" w:hAnsi="Arial" w:cs="Arial"/>
          <w:sz w:val="22"/>
          <w:szCs w:val="22"/>
        </w:rPr>
        <w:lastRenderedPageBreak/>
        <w:t xml:space="preserve">Third, </w:t>
      </w:r>
      <w:r w:rsidRPr="00617CEC">
        <w:rPr>
          <w:rStyle w:val="Strong"/>
          <w:rFonts w:ascii="Arial" w:hAnsi="Arial" w:cs="Arial"/>
          <w:b w:val="0"/>
          <w:bCs w:val="0"/>
          <w:sz w:val="22"/>
          <w:szCs w:val="22"/>
        </w:rPr>
        <w:t>translational research is lacking</w:t>
      </w:r>
      <w:r w:rsidRPr="00617CEC">
        <w:rPr>
          <w:rFonts w:ascii="Arial" w:hAnsi="Arial" w:cs="Arial"/>
          <w:sz w:val="22"/>
          <w:szCs w:val="22"/>
        </w:rPr>
        <w:t xml:space="preserve">. Most studies remain in vitro, with limited animal models, pharmacokinetic and pharmacodynamic data, or toxicological assessments (Newman and Cragg, 2020). These steps are crucial to bridge the gap between bench and bedside. Finally, </w:t>
      </w:r>
      <w:r w:rsidRPr="00617CEC">
        <w:rPr>
          <w:rStyle w:val="Strong"/>
          <w:rFonts w:ascii="Arial" w:hAnsi="Arial" w:cs="Arial"/>
          <w:b w:val="0"/>
          <w:bCs w:val="0"/>
          <w:sz w:val="22"/>
          <w:szCs w:val="22"/>
        </w:rPr>
        <w:t>regulatory and policy frameworks</w:t>
      </w:r>
      <w:r w:rsidRPr="00617CEC">
        <w:rPr>
          <w:rFonts w:ascii="Arial" w:hAnsi="Arial" w:cs="Arial"/>
          <w:b/>
          <w:bCs/>
          <w:sz w:val="22"/>
          <w:szCs w:val="22"/>
        </w:rPr>
        <w:t xml:space="preserve"> </w:t>
      </w:r>
      <w:r w:rsidRPr="00617CEC">
        <w:rPr>
          <w:rFonts w:ascii="Arial" w:hAnsi="Arial" w:cs="Arial"/>
          <w:sz w:val="22"/>
          <w:szCs w:val="22"/>
        </w:rPr>
        <w:t>for phytotherapeutic agents are fragmented across countries, creating barriers to clinical implementation</w:t>
      </w:r>
      <w:r w:rsidRPr="00617CEC">
        <w:t>.</w:t>
      </w:r>
    </w:p>
    <w:p w14:paraId="5C80F416" w14:textId="207DD5BD" w:rsidR="00ED10B6" w:rsidRPr="00FA0253"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9</w:t>
      </w:r>
      <w:r w:rsidRPr="00FA0253">
        <w:rPr>
          <w:rFonts w:ascii="Arial" w:hAnsi="Arial" w:cs="Arial"/>
          <w:b/>
          <w:bCs/>
          <w:sz w:val="22"/>
          <w:szCs w:val="22"/>
        </w:rPr>
        <w:t>. Translational and Regulatory Perspectives</w:t>
      </w:r>
    </w:p>
    <w:p w14:paraId="4AAF2D8B" w14:textId="77777777" w:rsidR="0064470F" w:rsidRDefault="0064470F" w:rsidP="00441B6F">
      <w:pPr>
        <w:pStyle w:val="Body"/>
        <w:spacing w:after="0"/>
        <w:rPr>
          <w:rFonts w:ascii="Arial" w:hAnsi="Arial" w:cs="Arial"/>
          <w:b/>
          <w:bCs/>
          <w:sz w:val="22"/>
          <w:szCs w:val="22"/>
        </w:rPr>
      </w:pPr>
    </w:p>
    <w:p w14:paraId="1C9122B3" w14:textId="77777777" w:rsidR="0064470F" w:rsidRPr="0064470F" w:rsidRDefault="0064470F" w:rsidP="0064470F">
      <w:pPr>
        <w:pStyle w:val="Body"/>
        <w:spacing w:after="0"/>
        <w:rPr>
          <w:rFonts w:ascii="Arial" w:hAnsi="Arial" w:cs="Arial"/>
          <w:sz w:val="22"/>
          <w:szCs w:val="22"/>
        </w:rPr>
      </w:pPr>
      <w:r w:rsidRPr="0064470F">
        <w:rPr>
          <w:rFonts w:ascii="Arial" w:hAnsi="Arial" w:cs="Arial"/>
          <w:sz w:val="22"/>
          <w:szCs w:val="22"/>
        </w:rPr>
        <w:t>To bring phytotherapy into practical AMR strategies, strong regulatory frameworks must be established. In Europe, the European Medicines Agency (EMA) and the Committee on Herbal Medicinal Products (HMPC) provide guidance on quality, safety, and efficacy requirements for herbal medicinal products (EMA, 2025). These guidelines cover raw material sourcing, marker compound identification, contaminant limits, pharmacovigilance, and clinical evidence.</w:t>
      </w:r>
    </w:p>
    <w:p w14:paraId="06ECE4A1" w14:textId="77777777" w:rsidR="0064470F" w:rsidRPr="0064470F" w:rsidRDefault="0064470F" w:rsidP="0064470F">
      <w:pPr>
        <w:pStyle w:val="Body"/>
        <w:spacing w:after="0"/>
        <w:rPr>
          <w:rFonts w:ascii="Arial" w:hAnsi="Arial" w:cs="Arial"/>
          <w:sz w:val="22"/>
          <w:szCs w:val="22"/>
        </w:rPr>
      </w:pPr>
    </w:p>
    <w:p w14:paraId="490B9F6C" w14:textId="77777777" w:rsidR="0064470F" w:rsidRPr="0064470F" w:rsidRDefault="0064470F" w:rsidP="0064470F">
      <w:pPr>
        <w:pStyle w:val="Body"/>
        <w:spacing w:after="0"/>
        <w:rPr>
          <w:rFonts w:ascii="Arial" w:hAnsi="Arial" w:cs="Arial"/>
          <w:sz w:val="22"/>
          <w:szCs w:val="22"/>
        </w:rPr>
      </w:pPr>
      <w:r w:rsidRPr="0064470F">
        <w:rPr>
          <w:rFonts w:ascii="Arial" w:hAnsi="Arial" w:cs="Arial"/>
          <w:sz w:val="22"/>
          <w:szCs w:val="22"/>
        </w:rPr>
        <w:t>Phytochemicals can be developed either as traditional herbal medicines or modern botanical drugs, depending on data availability. For antibiotic adjuvants, demonstrating consistent manufacturing standards and reproducible synergy is key (Newman and Cragg, 2020). Globally, the WHO Global Action Plan on AMR and UNEP recommendations emphasize the inclusion of plant-based interventions as part of broader antimicrobial stewardship programs (WHO, 2023; UNEP, 2024).</w:t>
      </w:r>
    </w:p>
    <w:p w14:paraId="3E9546DF" w14:textId="77777777" w:rsidR="0064470F" w:rsidRDefault="0064470F" w:rsidP="0064470F">
      <w:pPr>
        <w:pStyle w:val="Body"/>
        <w:spacing w:after="0"/>
        <w:rPr>
          <w:rFonts w:ascii="Arial" w:hAnsi="Arial" w:cs="Arial"/>
          <w:sz w:val="22"/>
          <w:szCs w:val="22"/>
        </w:rPr>
      </w:pPr>
    </w:p>
    <w:p w14:paraId="0FE1B5E6" w14:textId="68F5F3C2" w:rsidR="0064470F" w:rsidRPr="0064470F" w:rsidRDefault="0064470F" w:rsidP="0064470F">
      <w:pPr>
        <w:pStyle w:val="Body"/>
        <w:spacing w:after="0"/>
        <w:rPr>
          <w:rFonts w:ascii="Arial" w:hAnsi="Arial" w:cs="Arial"/>
          <w:sz w:val="22"/>
          <w:szCs w:val="22"/>
        </w:rPr>
      </w:pPr>
      <w:r w:rsidRPr="0064470F">
        <w:rPr>
          <w:rFonts w:ascii="Arial" w:hAnsi="Arial" w:cs="Arial"/>
          <w:sz w:val="22"/>
          <w:szCs w:val="22"/>
        </w:rPr>
        <w:t>Establishing regulatory pathways also involves international harmonization. Disparities in approval processes between regions can slow innovation and restrict access. Coordinated frameworks that integrate environmental safety, clinical efficacy, and public health priorities will be critical to unlocking the full potential of phytotherapy in AMR control.</w:t>
      </w:r>
    </w:p>
    <w:p w14:paraId="4A153C11" w14:textId="77777777" w:rsidR="0064470F" w:rsidRDefault="0064470F" w:rsidP="00441B6F">
      <w:pPr>
        <w:pStyle w:val="Body"/>
        <w:spacing w:after="0"/>
        <w:rPr>
          <w:rFonts w:ascii="Arial" w:hAnsi="Arial" w:cs="Arial"/>
          <w:b/>
          <w:bCs/>
          <w:sz w:val="22"/>
          <w:szCs w:val="22"/>
        </w:rPr>
      </w:pPr>
    </w:p>
    <w:p w14:paraId="52B34DF1" w14:textId="77777777" w:rsidR="0064470F" w:rsidRDefault="0064470F" w:rsidP="00441B6F">
      <w:pPr>
        <w:pStyle w:val="Body"/>
        <w:spacing w:after="0"/>
        <w:rPr>
          <w:rFonts w:ascii="Arial" w:hAnsi="Arial" w:cs="Arial"/>
          <w:b/>
          <w:bCs/>
          <w:sz w:val="22"/>
          <w:szCs w:val="22"/>
        </w:rPr>
      </w:pPr>
    </w:p>
    <w:p w14:paraId="7DA75B74" w14:textId="37F525AE" w:rsidR="00FA0253" w:rsidRDefault="00FA0253" w:rsidP="00441B6F">
      <w:pPr>
        <w:pStyle w:val="Body"/>
        <w:spacing w:after="0"/>
        <w:rPr>
          <w:rFonts w:ascii="Arial" w:hAnsi="Arial" w:cs="Arial"/>
          <w:b/>
          <w:bCs/>
          <w:sz w:val="22"/>
          <w:szCs w:val="22"/>
        </w:rPr>
      </w:pPr>
      <w:r w:rsidRPr="00FA0253">
        <w:rPr>
          <w:rFonts w:ascii="Arial" w:hAnsi="Arial" w:cs="Arial"/>
          <w:b/>
          <w:bCs/>
          <w:sz w:val="22"/>
          <w:szCs w:val="22"/>
        </w:rPr>
        <w:t>3.10. Translational and Regulatory Perspectives</w:t>
      </w:r>
    </w:p>
    <w:p w14:paraId="3B4E2557" w14:textId="77777777" w:rsidR="0064470F" w:rsidRPr="0064470F" w:rsidRDefault="0064470F" w:rsidP="0064470F">
      <w:pPr>
        <w:pStyle w:val="NormalWeb"/>
        <w:jc w:val="both"/>
        <w:rPr>
          <w:rFonts w:ascii="Arial" w:hAnsi="Arial" w:cs="Arial"/>
          <w:sz w:val="22"/>
          <w:szCs w:val="22"/>
        </w:rPr>
      </w:pPr>
      <w:r w:rsidRPr="0064470F">
        <w:rPr>
          <w:rFonts w:ascii="Arial" w:hAnsi="Arial" w:cs="Arial"/>
          <w:sz w:val="22"/>
          <w:szCs w:val="22"/>
        </w:rPr>
        <w:t xml:space="preserve">Implementing phytotherapy in AMR mitigation requires a structured, evidence-based roadmap. First, </w:t>
      </w:r>
      <w:r w:rsidRPr="0064470F">
        <w:rPr>
          <w:rStyle w:val="Strong"/>
          <w:rFonts w:ascii="Arial" w:hAnsi="Arial" w:cs="Arial"/>
          <w:b w:val="0"/>
          <w:bCs w:val="0"/>
          <w:sz w:val="22"/>
          <w:szCs w:val="22"/>
        </w:rPr>
        <w:t>ethnobotanical and bibliometric prioritization</w:t>
      </w:r>
      <w:r w:rsidRPr="0064470F">
        <w:rPr>
          <w:rFonts w:ascii="Arial" w:hAnsi="Arial" w:cs="Arial"/>
          <w:sz w:val="22"/>
          <w:szCs w:val="22"/>
        </w:rPr>
        <w:t xml:space="preserve"> can identify plant species with the highest potential, focusing on those already used in traditional medicine with documented antimicrobial activity (Chassagne et al., 2021; Jadimurthy et al., 2023). This approach accelerates discovery by leveraging centuries of empirical knowledge.</w:t>
      </w:r>
    </w:p>
    <w:p w14:paraId="3FFB606F" w14:textId="77777777" w:rsidR="0064470F" w:rsidRPr="0064470F" w:rsidRDefault="0064470F" w:rsidP="0064470F">
      <w:pPr>
        <w:pStyle w:val="NormalWeb"/>
        <w:jc w:val="both"/>
        <w:rPr>
          <w:rFonts w:ascii="Arial" w:hAnsi="Arial" w:cs="Arial"/>
          <w:sz w:val="22"/>
          <w:szCs w:val="22"/>
        </w:rPr>
      </w:pPr>
      <w:r w:rsidRPr="0064470F">
        <w:rPr>
          <w:rFonts w:ascii="Arial" w:hAnsi="Arial" w:cs="Arial"/>
          <w:sz w:val="22"/>
          <w:szCs w:val="22"/>
        </w:rPr>
        <w:t xml:space="preserve">Second, </w:t>
      </w:r>
      <w:r w:rsidRPr="0064470F">
        <w:rPr>
          <w:rStyle w:val="Strong"/>
          <w:rFonts w:ascii="Arial" w:hAnsi="Arial" w:cs="Arial"/>
          <w:b w:val="0"/>
          <w:bCs w:val="0"/>
          <w:sz w:val="22"/>
          <w:szCs w:val="22"/>
        </w:rPr>
        <w:t>chemical standardization</w:t>
      </w:r>
      <w:r w:rsidRPr="0064470F">
        <w:rPr>
          <w:rFonts w:ascii="Arial" w:hAnsi="Arial" w:cs="Arial"/>
          <w:sz w:val="22"/>
          <w:szCs w:val="22"/>
        </w:rPr>
        <w:t xml:space="preserve"> is essential. Advanced techniques such as LC-MS, NMR, and metabolomics must be applied to ensure reproducibility across batches and studies. Third, systematic synergy testing with WHO priority antibiotics can identify combinations with high therapeutic value (Vaou et al., 2022; Alam et al., 2022). Fourth, preclinical studies using relevant animal models should establish pharmacokinetics, safety, and efficacy.</w:t>
      </w:r>
    </w:p>
    <w:p w14:paraId="29AF5665" w14:textId="77777777" w:rsidR="0064470F" w:rsidRPr="0064470F" w:rsidRDefault="0064470F" w:rsidP="0064470F">
      <w:pPr>
        <w:pStyle w:val="NormalWeb"/>
        <w:jc w:val="both"/>
        <w:rPr>
          <w:rFonts w:ascii="Arial" w:hAnsi="Arial" w:cs="Arial"/>
          <w:sz w:val="22"/>
          <w:szCs w:val="22"/>
        </w:rPr>
      </w:pPr>
      <w:r w:rsidRPr="0064470F">
        <w:rPr>
          <w:rFonts w:ascii="Arial" w:hAnsi="Arial" w:cs="Arial"/>
          <w:sz w:val="22"/>
          <w:szCs w:val="22"/>
        </w:rPr>
        <w:t xml:space="preserve">Fifth, </w:t>
      </w:r>
      <w:r w:rsidRPr="0064470F">
        <w:rPr>
          <w:rStyle w:val="Strong"/>
          <w:rFonts w:ascii="Arial" w:hAnsi="Arial" w:cs="Arial"/>
          <w:b w:val="0"/>
          <w:bCs w:val="0"/>
          <w:sz w:val="22"/>
          <w:szCs w:val="22"/>
        </w:rPr>
        <w:t>environmental risk assessments</w:t>
      </w:r>
      <w:r w:rsidRPr="0064470F">
        <w:rPr>
          <w:rFonts w:ascii="Arial" w:hAnsi="Arial" w:cs="Arial"/>
          <w:sz w:val="22"/>
          <w:szCs w:val="22"/>
        </w:rPr>
        <w:t xml:space="preserve"> should evaluate the biodegradability and ecotoxicity of phytochemicals to ensure their sustainable use. Sixth, </w:t>
      </w:r>
      <w:r w:rsidRPr="0064470F">
        <w:rPr>
          <w:rStyle w:val="Strong"/>
          <w:rFonts w:ascii="Arial" w:hAnsi="Arial" w:cs="Arial"/>
          <w:b w:val="0"/>
          <w:bCs w:val="0"/>
          <w:sz w:val="22"/>
          <w:szCs w:val="22"/>
        </w:rPr>
        <w:t>regulatory alignment</w:t>
      </w:r>
      <w:r w:rsidRPr="0064470F">
        <w:rPr>
          <w:rFonts w:ascii="Arial" w:hAnsi="Arial" w:cs="Arial"/>
          <w:sz w:val="22"/>
          <w:szCs w:val="22"/>
        </w:rPr>
        <w:t xml:space="preserve"> with EMA/HMPC and other international agencies must be pursued. Finally, large-scale implementation should involve </w:t>
      </w:r>
      <w:r w:rsidRPr="0064470F">
        <w:rPr>
          <w:rStyle w:val="Strong"/>
          <w:rFonts w:ascii="Arial" w:hAnsi="Arial" w:cs="Arial"/>
          <w:b w:val="0"/>
          <w:bCs w:val="0"/>
          <w:sz w:val="22"/>
          <w:szCs w:val="22"/>
        </w:rPr>
        <w:t>public–private partnerships</w:t>
      </w:r>
      <w:r w:rsidRPr="0064470F">
        <w:rPr>
          <w:rFonts w:ascii="Arial" w:hAnsi="Arial" w:cs="Arial"/>
          <w:sz w:val="22"/>
          <w:szCs w:val="22"/>
        </w:rPr>
        <w:t xml:space="preserve"> and integration into One Health surveillance programs to ensure equitable access in both human and veterinary sectors (Miethke et al., 2021; WHO, 2023). This integrated roadmap can transform phytotherapy from a promising research field into a tangible tool against antimicrobial resistance.</w:t>
      </w:r>
    </w:p>
    <w:p w14:paraId="18A595D0" w14:textId="196D9A5E" w:rsidR="0064470F" w:rsidRDefault="006725E5" w:rsidP="00441B6F">
      <w:pPr>
        <w:pStyle w:val="Body"/>
        <w:spacing w:after="0"/>
        <w:rPr>
          <w:rFonts w:ascii="Arial" w:hAnsi="Arial" w:cs="Arial"/>
          <w:b/>
          <w:bCs/>
          <w:sz w:val="22"/>
          <w:szCs w:val="22"/>
        </w:rPr>
      </w:pPr>
      <w:r>
        <w:rPr>
          <w:rFonts w:ascii="Arial" w:hAnsi="Arial" w:cs="Arial"/>
          <w:b/>
          <w:bCs/>
          <w:sz w:val="22"/>
          <w:szCs w:val="22"/>
        </w:rPr>
        <w:t xml:space="preserve">3.11 </w:t>
      </w:r>
      <w:r w:rsidRPr="006725E5">
        <w:rPr>
          <w:rFonts w:ascii="Arial" w:hAnsi="Arial" w:cs="Arial"/>
          <w:b/>
          <w:bCs/>
          <w:sz w:val="22"/>
          <w:szCs w:val="22"/>
        </w:rPr>
        <w:t>Descriptive Summaries, Relationships, and Contradictions Among Studies</w:t>
      </w:r>
    </w:p>
    <w:p w14:paraId="477BBB88" w14:textId="77777777" w:rsidR="006725E5" w:rsidRDefault="006725E5" w:rsidP="006725E5">
      <w:pPr>
        <w:pStyle w:val="NormalWeb"/>
        <w:spacing w:before="0" w:beforeAutospacing="0" w:after="0" w:afterAutospacing="0"/>
        <w:jc w:val="both"/>
        <w:rPr>
          <w:color w:val="000000"/>
        </w:rPr>
      </w:pPr>
    </w:p>
    <w:p w14:paraId="16DDDB3B" w14:textId="583013FD" w:rsidR="006725E5" w:rsidRPr="006725E5" w:rsidRDefault="006725E5" w:rsidP="006725E5">
      <w:pPr>
        <w:pStyle w:val="NormalWeb"/>
        <w:spacing w:before="0" w:beforeAutospacing="0" w:after="0" w:afterAutospacing="0"/>
        <w:jc w:val="both"/>
        <w:rPr>
          <w:rFonts w:ascii="Arial" w:hAnsi="Arial" w:cs="Arial"/>
          <w:color w:val="000000"/>
          <w:sz w:val="22"/>
          <w:szCs w:val="22"/>
        </w:rPr>
      </w:pPr>
      <w:r w:rsidRPr="006725E5">
        <w:rPr>
          <w:rFonts w:ascii="Arial" w:hAnsi="Arial" w:cs="Arial"/>
          <w:color w:val="000000"/>
          <w:sz w:val="22"/>
          <w:szCs w:val="22"/>
        </w:rPr>
        <w:t>To enhance clarity and synthesis, the 20 included studies were analyzed to highlight study design, plant species evaluated, chemical compounds, target pathogens, and key findings. The analysis revealed a predominance of in vitro studies evaluating flavonoids, terpenoids, alkaloids, tannins, and saponins, with consistent antimicrobial activity against</w:t>
      </w:r>
      <w:r w:rsidRPr="006725E5">
        <w:rPr>
          <w:rStyle w:val="apple-converted-space"/>
          <w:rFonts w:ascii="Arial" w:hAnsi="Arial" w:cs="Arial"/>
          <w:color w:val="000000"/>
          <w:sz w:val="22"/>
          <w:szCs w:val="22"/>
        </w:rPr>
        <w:t> </w:t>
      </w:r>
      <w:r w:rsidRPr="006725E5">
        <w:rPr>
          <w:rStyle w:val="Emphasis"/>
          <w:rFonts w:ascii="Arial" w:hAnsi="Arial" w:cs="Arial"/>
          <w:color w:val="000000"/>
          <w:sz w:val="22"/>
          <w:szCs w:val="22"/>
        </w:rPr>
        <w:t>Staphylococcus aureus</w:t>
      </w:r>
      <w:r w:rsidRPr="006725E5">
        <w:rPr>
          <w:rFonts w:ascii="Arial" w:hAnsi="Arial" w:cs="Arial"/>
          <w:color w:val="000000"/>
          <w:sz w:val="22"/>
          <w:szCs w:val="22"/>
        </w:rPr>
        <w:t>,</w:t>
      </w:r>
      <w:r w:rsidRPr="006725E5">
        <w:rPr>
          <w:rStyle w:val="apple-converted-space"/>
          <w:rFonts w:ascii="Arial" w:hAnsi="Arial" w:cs="Arial"/>
          <w:color w:val="000000"/>
          <w:sz w:val="22"/>
          <w:szCs w:val="22"/>
        </w:rPr>
        <w:t> </w:t>
      </w:r>
      <w:r w:rsidRPr="006725E5">
        <w:rPr>
          <w:rStyle w:val="Emphasis"/>
          <w:rFonts w:ascii="Arial" w:hAnsi="Arial" w:cs="Arial"/>
          <w:color w:val="000000"/>
          <w:sz w:val="22"/>
          <w:szCs w:val="22"/>
        </w:rPr>
        <w:t>Escherichia coli</w:t>
      </w:r>
      <w:r w:rsidRPr="006725E5">
        <w:rPr>
          <w:rFonts w:ascii="Arial" w:hAnsi="Arial" w:cs="Arial"/>
          <w:color w:val="000000"/>
          <w:sz w:val="22"/>
          <w:szCs w:val="22"/>
        </w:rPr>
        <w:t>,</w:t>
      </w:r>
      <w:r w:rsidRPr="006725E5">
        <w:rPr>
          <w:rStyle w:val="apple-converted-space"/>
          <w:rFonts w:ascii="Arial" w:hAnsi="Arial" w:cs="Arial"/>
          <w:color w:val="000000"/>
          <w:sz w:val="22"/>
          <w:szCs w:val="22"/>
        </w:rPr>
        <w:t> </w:t>
      </w:r>
      <w:r w:rsidRPr="006725E5">
        <w:rPr>
          <w:rStyle w:val="Emphasis"/>
          <w:rFonts w:ascii="Arial" w:hAnsi="Arial" w:cs="Arial"/>
          <w:color w:val="000000"/>
          <w:sz w:val="22"/>
          <w:szCs w:val="22"/>
        </w:rPr>
        <w:t>Pseudomonas aeruginosa</w:t>
      </w:r>
      <w:r w:rsidRPr="006725E5">
        <w:rPr>
          <w:rFonts w:ascii="Arial" w:hAnsi="Arial" w:cs="Arial"/>
          <w:color w:val="000000"/>
          <w:sz w:val="22"/>
          <w:szCs w:val="22"/>
        </w:rPr>
        <w:t>, and</w:t>
      </w:r>
      <w:r w:rsidRPr="006725E5">
        <w:rPr>
          <w:rStyle w:val="apple-converted-space"/>
          <w:rFonts w:ascii="Arial" w:hAnsi="Arial" w:cs="Arial"/>
          <w:color w:val="000000"/>
          <w:sz w:val="22"/>
          <w:szCs w:val="22"/>
        </w:rPr>
        <w:t> </w:t>
      </w:r>
      <w:r w:rsidRPr="006725E5">
        <w:rPr>
          <w:rStyle w:val="Emphasis"/>
          <w:rFonts w:ascii="Arial" w:hAnsi="Arial" w:cs="Arial"/>
          <w:color w:val="000000"/>
          <w:sz w:val="22"/>
          <w:szCs w:val="22"/>
        </w:rPr>
        <w:t>Klebsiella pneumoniae</w:t>
      </w:r>
      <w:r w:rsidRPr="006725E5">
        <w:rPr>
          <w:rFonts w:ascii="Arial" w:hAnsi="Arial" w:cs="Arial"/>
          <w:color w:val="000000"/>
          <w:sz w:val="22"/>
          <w:szCs w:val="22"/>
        </w:rPr>
        <w:t>.</w:t>
      </w:r>
    </w:p>
    <w:p w14:paraId="05C1F25D" w14:textId="2FE88C54" w:rsidR="006725E5" w:rsidRPr="006725E5" w:rsidRDefault="006725E5" w:rsidP="006725E5">
      <w:pPr>
        <w:pStyle w:val="NormalWeb"/>
        <w:spacing w:before="0" w:beforeAutospacing="0" w:after="0" w:afterAutospacing="0"/>
        <w:jc w:val="both"/>
        <w:rPr>
          <w:rFonts w:ascii="Arial" w:hAnsi="Arial" w:cs="Arial"/>
          <w:color w:val="000000"/>
          <w:sz w:val="22"/>
          <w:szCs w:val="22"/>
        </w:rPr>
      </w:pPr>
      <w:r w:rsidRPr="006725E5">
        <w:rPr>
          <w:rFonts w:ascii="Arial" w:hAnsi="Arial" w:cs="Arial"/>
          <w:color w:val="000000"/>
          <w:sz w:val="22"/>
          <w:szCs w:val="22"/>
        </w:rPr>
        <w:lastRenderedPageBreak/>
        <w:t>A clear pattern emerged: most studies reported significant inhibition of bacterial growth and biofilm formation, as well as synergistic effects with conventional antibiotics. However, contradictions were observed regarding the magnitude of antimicrobial effects, particularly with crude plant extracts. These inconsistencies appear to result from differences in extraction methods, plant chemotypes, and testing protocols, as noted in previous reviews (Chassagne et al., 2021; Vaou et al., 2022).</w:t>
      </w:r>
    </w:p>
    <w:p w14:paraId="39ABAA4D" w14:textId="4E3541C0" w:rsidR="006725E5" w:rsidRPr="006725E5" w:rsidRDefault="006725E5" w:rsidP="006725E5">
      <w:pPr>
        <w:pStyle w:val="NormalWeb"/>
        <w:spacing w:before="0" w:beforeAutospacing="0" w:after="0" w:afterAutospacing="0"/>
        <w:jc w:val="both"/>
        <w:rPr>
          <w:rFonts w:ascii="Arial" w:hAnsi="Arial" w:cs="Arial"/>
          <w:color w:val="000000"/>
          <w:sz w:val="22"/>
          <w:szCs w:val="22"/>
        </w:rPr>
      </w:pPr>
      <w:r w:rsidRPr="006725E5">
        <w:rPr>
          <w:rFonts w:ascii="Arial" w:hAnsi="Arial" w:cs="Arial"/>
          <w:color w:val="000000"/>
          <w:sz w:val="22"/>
          <w:szCs w:val="22"/>
        </w:rPr>
        <w:t>While several studies demonstrated strong activity against multidrug-resistant strains, others showed only moderate effects under similar conditions, suggesting that methodological variability remains a key limitation. This synthesis underscores the importance of developing standardized protocols to enhance comparability and reproducibility in future phytotherapy research addressing antimicrobial resistance.</w:t>
      </w:r>
    </w:p>
    <w:p w14:paraId="4A56270C" w14:textId="77777777" w:rsidR="00FA0253" w:rsidRPr="00FA0253" w:rsidRDefault="00FA0253" w:rsidP="00FA0253">
      <w:pPr>
        <w:pStyle w:val="Body"/>
        <w:spacing w:after="0"/>
        <w:rPr>
          <w:rFonts w:ascii="Arial" w:hAnsi="Arial" w:cs="Arial"/>
          <w:b/>
          <w:bCs/>
          <w:sz w:val="22"/>
          <w:szCs w:val="22"/>
        </w:rPr>
      </w:pPr>
    </w:p>
    <w:p w14:paraId="60C133AE" w14:textId="11D1546C" w:rsidR="00FA0253" w:rsidRPr="00ED10B6" w:rsidRDefault="00FA0253" w:rsidP="00FA0253">
      <w:pPr>
        <w:pStyle w:val="Body"/>
        <w:spacing w:after="0"/>
        <w:rPr>
          <w:rFonts w:ascii="Arial" w:hAnsi="Arial" w:cs="Arial"/>
          <w:b/>
          <w:bCs/>
          <w:sz w:val="22"/>
          <w:szCs w:val="22"/>
        </w:rPr>
      </w:pPr>
      <w:r w:rsidRPr="00ED10B6">
        <w:rPr>
          <w:rFonts w:ascii="Arial" w:hAnsi="Arial" w:cs="Arial"/>
          <w:b/>
          <w:bCs/>
          <w:sz w:val="22"/>
          <w:szCs w:val="22"/>
        </w:rPr>
        <w:t>3.</w:t>
      </w:r>
      <w:r w:rsidRPr="00FA0253">
        <w:rPr>
          <w:rFonts w:ascii="Arial" w:hAnsi="Arial" w:cs="Arial"/>
          <w:b/>
          <w:bCs/>
          <w:sz w:val="22"/>
          <w:szCs w:val="22"/>
        </w:rPr>
        <w:t>1</w:t>
      </w:r>
      <w:r w:rsidR="006725E5">
        <w:rPr>
          <w:rFonts w:ascii="Arial" w:hAnsi="Arial" w:cs="Arial"/>
          <w:b/>
          <w:bCs/>
          <w:sz w:val="22"/>
          <w:szCs w:val="22"/>
        </w:rPr>
        <w:t>2</w:t>
      </w:r>
      <w:r w:rsidRPr="00ED10B6">
        <w:rPr>
          <w:rFonts w:ascii="Arial" w:hAnsi="Arial" w:cs="Arial"/>
          <w:b/>
          <w:bCs/>
          <w:sz w:val="22"/>
          <w:szCs w:val="22"/>
        </w:rPr>
        <w:t>. Methodological Challenges and Limitations</w:t>
      </w:r>
    </w:p>
    <w:p w14:paraId="6EE871BA" w14:textId="77777777" w:rsidR="00FA0253" w:rsidRPr="00FA0253" w:rsidRDefault="00FA0253" w:rsidP="00FA0253">
      <w:pPr>
        <w:pStyle w:val="Body"/>
        <w:spacing w:after="0"/>
        <w:rPr>
          <w:rFonts w:ascii="Arial" w:hAnsi="Arial" w:cs="Arial"/>
          <w:sz w:val="22"/>
          <w:szCs w:val="22"/>
        </w:rPr>
      </w:pPr>
    </w:p>
    <w:p w14:paraId="665FCC67" w14:textId="77777777" w:rsidR="00FA0253" w:rsidRPr="00ED10B6" w:rsidRDefault="00FA0253" w:rsidP="00FA0253">
      <w:pPr>
        <w:pStyle w:val="Body"/>
        <w:spacing w:after="0"/>
        <w:rPr>
          <w:rFonts w:ascii="Arial" w:hAnsi="Arial" w:cs="Arial"/>
          <w:sz w:val="22"/>
          <w:szCs w:val="22"/>
        </w:rPr>
      </w:pPr>
      <w:r w:rsidRPr="00ED10B6">
        <w:rPr>
          <w:rFonts w:ascii="Arial" w:hAnsi="Arial" w:cs="Arial"/>
          <w:sz w:val="22"/>
          <w:szCs w:val="22"/>
        </w:rPr>
        <w:t>Although the findings highlight promising antimicrobial properties of medicinal plants, significant methodological limitations persist:</w:t>
      </w:r>
    </w:p>
    <w:p w14:paraId="0431718D"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Most studies lack standardized extraction and testing protocols.</w:t>
      </w:r>
    </w:p>
    <w:p w14:paraId="77DDD170"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Concentration ranges and assay designs vary widely, making direct comparison difficult.</w:t>
      </w:r>
    </w:p>
    <w:p w14:paraId="13B89DC4"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Few studies characterize active compounds chemically with precision.</w:t>
      </w:r>
    </w:p>
    <w:p w14:paraId="2C892738"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In vivo and clinical studies remain scarce, particularly in veterinary and environmental contexts.</w:t>
      </w:r>
    </w:p>
    <w:p w14:paraId="4F30E792" w14:textId="77777777" w:rsidR="00FA0253" w:rsidRPr="00FA0253" w:rsidRDefault="00FA0253" w:rsidP="00441B6F">
      <w:pPr>
        <w:pStyle w:val="Body"/>
        <w:spacing w:after="0"/>
        <w:rPr>
          <w:rFonts w:ascii="Arial" w:hAnsi="Arial" w:cs="Arial"/>
          <w:b/>
          <w:bCs/>
          <w:sz w:val="22"/>
          <w:szCs w:val="22"/>
        </w:rPr>
      </w:pPr>
    </w:p>
    <w:p w14:paraId="7C0338C1" w14:textId="77777777" w:rsidR="00ED10B6" w:rsidRPr="00FA0253" w:rsidRDefault="00ED10B6" w:rsidP="00441B6F">
      <w:pPr>
        <w:pStyle w:val="Body"/>
        <w:spacing w:after="0"/>
        <w:rPr>
          <w:rFonts w:ascii="Arial" w:hAnsi="Arial" w:cs="Arial"/>
        </w:rPr>
      </w:pPr>
    </w:p>
    <w:p w14:paraId="78F25B83" w14:textId="77777777" w:rsidR="00B01FCD" w:rsidRPr="00FA0253" w:rsidRDefault="00000F8F" w:rsidP="00441B6F">
      <w:pPr>
        <w:pStyle w:val="ConcHead"/>
        <w:spacing w:after="0"/>
        <w:jc w:val="both"/>
        <w:rPr>
          <w:rFonts w:ascii="Arial" w:hAnsi="Arial" w:cs="Arial"/>
        </w:rPr>
      </w:pPr>
      <w:r w:rsidRPr="00FA0253">
        <w:rPr>
          <w:rFonts w:ascii="Arial" w:hAnsi="Arial" w:cs="Arial"/>
        </w:rPr>
        <w:t xml:space="preserve">4. </w:t>
      </w:r>
      <w:r w:rsidR="00B01FCD" w:rsidRPr="00FA0253">
        <w:rPr>
          <w:rFonts w:ascii="Arial" w:hAnsi="Arial" w:cs="Arial"/>
        </w:rPr>
        <w:t>Conclusion</w:t>
      </w:r>
    </w:p>
    <w:p w14:paraId="5C99EEDD" w14:textId="77777777" w:rsidR="003053BF" w:rsidRPr="00FA0253" w:rsidRDefault="003053BF" w:rsidP="003053BF">
      <w:pPr>
        <w:pStyle w:val="ReferHead"/>
        <w:spacing w:after="0"/>
        <w:jc w:val="both"/>
        <w:rPr>
          <w:rFonts w:ascii="Arial" w:hAnsi="Arial" w:cs="Arial"/>
          <w:bCs/>
        </w:rPr>
      </w:pPr>
    </w:p>
    <w:p w14:paraId="634916B3" w14:textId="142CF072" w:rsidR="00AA5623" w:rsidRPr="00AA5623" w:rsidRDefault="00AA5623" w:rsidP="00AA5623">
      <w:pPr>
        <w:pStyle w:val="NormalWeb"/>
        <w:jc w:val="both"/>
        <w:rPr>
          <w:rFonts w:ascii="Arial" w:hAnsi="Arial" w:cs="Arial"/>
          <w:sz w:val="22"/>
          <w:szCs w:val="22"/>
        </w:rPr>
      </w:pPr>
      <w:r w:rsidRPr="00AA5623">
        <w:rPr>
          <w:rFonts w:ascii="Arial" w:hAnsi="Arial" w:cs="Arial"/>
          <w:sz w:val="22"/>
          <w:szCs w:val="22"/>
        </w:rPr>
        <w:t>Phytotherapy represents a promising and multifaceted strategy in the global fight against antimicrobial resistance (AMR). Medicinal plants, through their rich diversity of bioactive compounds, offer unique advantages compared with conventional antibiotics. Their Poly pharmacological mechanisms, including membrane disruption, enzyme inhibition, efflux pump modulation, and interference with quorum sensing, can act synergistically with existing antimicrobials, enhance efficacy against resistant strains, and help preserve the clinical lifespan of critical drugs. This integrative potential aligns strongly with the principles of the One Health approach, recognizing the interconnectedness of human, animal, and environmental health.</w:t>
      </w:r>
    </w:p>
    <w:p w14:paraId="05F8C492" w14:textId="2F6D2FD6" w:rsidR="00AA5623" w:rsidRPr="00AA5623" w:rsidRDefault="00AA5623" w:rsidP="00AA5623">
      <w:pPr>
        <w:pStyle w:val="NormalWeb"/>
        <w:jc w:val="both"/>
        <w:rPr>
          <w:rFonts w:ascii="Arial" w:hAnsi="Arial" w:cs="Arial"/>
          <w:sz w:val="22"/>
          <w:szCs w:val="22"/>
        </w:rPr>
      </w:pPr>
      <w:r w:rsidRPr="00AA5623">
        <w:rPr>
          <w:rFonts w:ascii="Arial" w:hAnsi="Arial" w:cs="Arial"/>
          <w:sz w:val="22"/>
          <w:szCs w:val="22"/>
        </w:rPr>
        <w:t xml:space="preserve">Despite this promise, significant gaps remain in standardization, mechanistic understanding, and translational research. Most current studies rely on in vitro assays with limited in vivo or clinical validation, and variability in extraction and testing methods </w:t>
      </w:r>
      <w:r w:rsidR="00136B42" w:rsidRPr="00AA5623">
        <w:rPr>
          <w:rFonts w:ascii="Arial" w:hAnsi="Arial" w:cs="Arial"/>
          <w:sz w:val="22"/>
          <w:szCs w:val="22"/>
        </w:rPr>
        <w:t>hinder</w:t>
      </w:r>
      <w:r w:rsidRPr="00AA5623">
        <w:rPr>
          <w:rFonts w:ascii="Arial" w:hAnsi="Arial" w:cs="Arial"/>
          <w:sz w:val="22"/>
          <w:szCs w:val="22"/>
        </w:rPr>
        <w:t xml:space="preserve"> reproducibility. Addressing these gaps requires interdisciplinary collaboration linking ethnobotanical knowledge, advanced chemical characterization, molecular microbiology, pharmacology, and environmental science to generate robust, reproducible, and regulatory compliant evidence.</w:t>
      </w:r>
    </w:p>
    <w:p w14:paraId="3399CBF6" w14:textId="5CCBA2F4" w:rsidR="00AA5623" w:rsidRPr="00AA5623" w:rsidRDefault="00AA5623" w:rsidP="00AA5623">
      <w:pPr>
        <w:pStyle w:val="NormalWeb"/>
        <w:jc w:val="both"/>
        <w:rPr>
          <w:rFonts w:ascii="Arial" w:hAnsi="Arial" w:cs="Arial"/>
          <w:sz w:val="22"/>
          <w:szCs w:val="22"/>
        </w:rPr>
      </w:pPr>
      <w:r w:rsidRPr="00AA5623">
        <w:rPr>
          <w:rFonts w:ascii="Arial" w:hAnsi="Arial" w:cs="Arial"/>
          <w:sz w:val="22"/>
          <w:szCs w:val="22"/>
        </w:rPr>
        <w:t>Finally, the successful incorporation of phytotherapy into AMR mitigation strategies will depend on establishing clear regulatory pathways, conducting rigorous clinical trials, and ensuring sustainable sourcing of plant resources. International cooperation between biodiversity rich and technologically advanced regions can accelerate discovery, standardization, and deployment of phototherapeutics solutions. If properly integrated into antimicrobial stewardship and surveillance programs, phytotherapy can become a powerful complementary pillar in a holistic One Health driven response to the escalating AMR crisis.</w:t>
      </w:r>
    </w:p>
    <w:p w14:paraId="07A13068" w14:textId="77777777" w:rsidR="003053BF" w:rsidRPr="00FA0253" w:rsidRDefault="003053BF" w:rsidP="003053BF">
      <w:pPr>
        <w:pStyle w:val="ReferHead"/>
        <w:spacing w:after="0"/>
        <w:jc w:val="both"/>
        <w:rPr>
          <w:rFonts w:ascii="Arial" w:hAnsi="Arial" w:cs="Arial"/>
          <w:bCs/>
        </w:rPr>
      </w:pPr>
    </w:p>
    <w:p w14:paraId="6CFE23B2" w14:textId="5661F92E" w:rsidR="003053BF" w:rsidRPr="00FA0253" w:rsidRDefault="003053BF" w:rsidP="003053BF">
      <w:pPr>
        <w:pStyle w:val="ReferHead"/>
        <w:spacing w:after="0"/>
        <w:jc w:val="both"/>
        <w:rPr>
          <w:rFonts w:ascii="Arial" w:hAnsi="Arial" w:cs="Arial"/>
          <w:bCs/>
        </w:rPr>
      </w:pPr>
      <w:r w:rsidRPr="00FA0253">
        <w:rPr>
          <w:rFonts w:ascii="Arial" w:hAnsi="Arial" w:cs="Arial"/>
          <w:bCs/>
        </w:rPr>
        <w:t>Competing interests</w:t>
      </w:r>
    </w:p>
    <w:p w14:paraId="6CAC5D6C" w14:textId="77777777" w:rsidR="003053BF" w:rsidRPr="00FA0253" w:rsidRDefault="003053BF" w:rsidP="003053BF">
      <w:pPr>
        <w:pStyle w:val="ReferHead"/>
        <w:spacing w:after="0"/>
        <w:jc w:val="both"/>
        <w:rPr>
          <w:rFonts w:ascii="Arial" w:hAnsi="Arial" w:cs="Arial"/>
          <w:b w:val="0"/>
          <w:caps w:val="0"/>
          <w:sz w:val="20"/>
        </w:rPr>
      </w:pPr>
    </w:p>
    <w:p w14:paraId="2B88D885" w14:textId="77777777" w:rsidR="003053BF" w:rsidRPr="00FA0253" w:rsidRDefault="003053BF" w:rsidP="003053BF">
      <w:pPr>
        <w:pStyle w:val="ReferHead"/>
        <w:spacing w:after="0"/>
        <w:jc w:val="both"/>
        <w:rPr>
          <w:rFonts w:ascii="Arial" w:hAnsi="Arial" w:cs="Arial"/>
          <w:b w:val="0"/>
          <w:caps w:val="0"/>
          <w:sz w:val="20"/>
        </w:rPr>
      </w:pPr>
      <w:r w:rsidRPr="00FA0253">
        <w:rPr>
          <w:rFonts w:ascii="Arial" w:hAnsi="Arial" w:cs="Arial"/>
          <w:b w:val="0"/>
          <w:caps w:val="0"/>
          <w:sz w:val="20"/>
        </w:rPr>
        <w:t>The authors declare that they have no known competing financial interests or personal relationships that could have influenced the work reported in this manuscript. No employment, consultancies, honoraria, paid expert testimony, patents, or other financial support were received that could be perceived as potential conflicts of interest. The research, analysis, and conclusions presented here were conducted independently and are solely based on scientific evidence and critical review of literature.</w:t>
      </w:r>
      <w:r w:rsidRPr="00FA0253">
        <w:rPr>
          <w:rFonts w:ascii="Arial" w:hAnsi="Arial" w:cs="Arial"/>
        </w:rPr>
        <w:t xml:space="preserve"> </w:t>
      </w:r>
    </w:p>
    <w:p w14:paraId="3BE72987" w14:textId="77777777" w:rsidR="003053BF" w:rsidRPr="00FA0253" w:rsidRDefault="003053BF" w:rsidP="003053BF">
      <w:pPr>
        <w:pStyle w:val="ReferHead"/>
        <w:spacing w:after="0"/>
        <w:jc w:val="both"/>
        <w:rPr>
          <w:rFonts w:ascii="Arial" w:hAnsi="Arial" w:cs="Arial"/>
          <w:bCs/>
        </w:rPr>
      </w:pPr>
    </w:p>
    <w:p w14:paraId="001CCC4C" w14:textId="77777777" w:rsidR="003053BF" w:rsidRPr="00FA0253" w:rsidRDefault="003053BF" w:rsidP="003053BF">
      <w:pPr>
        <w:pStyle w:val="ReferHead"/>
        <w:spacing w:after="0"/>
        <w:jc w:val="both"/>
        <w:rPr>
          <w:rFonts w:ascii="Arial" w:hAnsi="Arial" w:cs="Arial"/>
          <w:b w:val="0"/>
          <w:caps w:val="0"/>
          <w:szCs w:val="22"/>
        </w:rPr>
      </w:pPr>
    </w:p>
    <w:p w14:paraId="6BD61D81" w14:textId="77777777" w:rsidR="003053BF" w:rsidRPr="00FA0253" w:rsidRDefault="003053BF" w:rsidP="003053BF">
      <w:pPr>
        <w:rPr>
          <w:rFonts w:ascii="Arial" w:eastAsia="Calibri" w:hAnsi="Arial" w:cs="Arial"/>
          <w:b/>
          <w:bCs/>
          <w:kern w:val="2"/>
          <w:sz w:val="22"/>
          <w:szCs w:val="22"/>
        </w:rPr>
      </w:pPr>
      <w:bookmarkStart w:id="1" w:name="_Hlk204003461"/>
      <w:r w:rsidRPr="00FA0253">
        <w:rPr>
          <w:rFonts w:ascii="Arial" w:eastAsia="Calibri" w:hAnsi="Arial" w:cs="Arial"/>
          <w:b/>
          <w:bCs/>
          <w:kern w:val="2"/>
          <w:sz w:val="22"/>
          <w:szCs w:val="22"/>
        </w:rPr>
        <w:t xml:space="preserve">Disclaimer </w:t>
      </w:r>
    </w:p>
    <w:p w14:paraId="1036C9EA" w14:textId="77777777" w:rsidR="003053BF" w:rsidRPr="00FA0253" w:rsidRDefault="003053BF" w:rsidP="003053BF">
      <w:pPr>
        <w:rPr>
          <w:rFonts w:ascii="Arial" w:eastAsia="Calibri" w:hAnsi="Arial" w:cs="Arial"/>
          <w:kern w:val="2"/>
        </w:rPr>
      </w:pPr>
    </w:p>
    <w:p w14:paraId="20ECD506" w14:textId="77777777" w:rsidR="003053BF" w:rsidRDefault="003053BF" w:rsidP="003053BF">
      <w:pPr>
        <w:rPr>
          <w:rFonts w:ascii="Arial" w:eastAsia="Calibri" w:hAnsi="Arial" w:cs="Arial"/>
          <w:kern w:val="2"/>
        </w:rPr>
      </w:pPr>
      <w:r w:rsidRPr="00FA0253">
        <w:rPr>
          <w:rFonts w:ascii="Arial" w:eastAsia="Calibri" w:hAnsi="Arial" w:cs="Arial"/>
          <w:kern w:val="2"/>
        </w:rPr>
        <w:t xml:space="preserve">Author(s) hereby declares that NO generative AI technologies such as Large Language Models (ChatGPT, COPILOT, etc.) and text-to-image generators have been used during the writing or editing of this manuscript. </w:t>
      </w:r>
    </w:p>
    <w:p w14:paraId="3C541FDB" w14:textId="77777777" w:rsidR="00ED3E6C" w:rsidRDefault="00ED3E6C" w:rsidP="003053BF">
      <w:pPr>
        <w:rPr>
          <w:rFonts w:ascii="Arial" w:eastAsia="Calibri" w:hAnsi="Arial" w:cs="Arial"/>
          <w:kern w:val="2"/>
        </w:rPr>
      </w:pPr>
    </w:p>
    <w:p w14:paraId="5FE268BC" w14:textId="77777777" w:rsidR="00ED3E6C" w:rsidRPr="00FA0253" w:rsidRDefault="00ED3E6C" w:rsidP="003053BF">
      <w:pPr>
        <w:rPr>
          <w:rFonts w:ascii="Arial" w:eastAsia="Calibri" w:hAnsi="Arial" w:cs="Arial"/>
          <w:kern w:val="2"/>
        </w:rPr>
      </w:pPr>
    </w:p>
    <w:bookmarkEnd w:id="1"/>
    <w:p w14:paraId="04ADA88E" w14:textId="77777777" w:rsidR="00790ADA" w:rsidRPr="00FA0253" w:rsidRDefault="00790ADA" w:rsidP="00441B6F">
      <w:pPr>
        <w:pStyle w:val="ConcHead"/>
        <w:spacing w:after="0"/>
        <w:jc w:val="both"/>
        <w:rPr>
          <w:rFonts w:ascii="Arial" w:hAnsi="Arial" w:cs="Arial"/>
        </w:rPr>
      </w:pPr>
    </w:p>
    <w:p w14:paraId="39F09B29" w14:textId="77777777" w:rsidR="00790ADA" w:rsidRPr="00FA0253" w:rsidRDefault="00790ADA" w:rsidP="00441B6F">
      <w:pPr>
        <w:pStyle w:val="Body"/>
        <w:spacing w:after="0"/>
        <w:rPr>
          <w:rFonts w:ascii="Arial" w:hAnsi="Arial" w:cs="Arial"/>
        </w:rPr>
      </w:pPr>
    </w:p>
    <w:p w14:paraId="710DBA85" w14:textId="77777777" w:rsidR="00B01FCD" w:rsidRPr="003111B2" w:rsidRDefault="00B01FCD" w:rsidP="00441B6F">
      <w:pPr>
        <w:pStyle w:val="ReferHead"/>
        <w:spacing w:after="0"/>
        <w:jc w:val="both"/>
        <w:rPr>
          <w:rFonts w:ascii="Arial" w:hAnsi="Arial" w:cs="Arial"/>
          <w:lang w:val="pt-BR"/>
        </w:rPr>
      </w:pPr>
      <w:r w:rsidRPr="003111B2">
        <w:rPr>
          <w:rFonts w:ascii="Arial" w:hAnsi="Arial" w:cs="Arial"/>
          <w:lang w:val="pt-BR"/>
        </w:rPr>
        <w:t>References</w:t>
      </w:r>
    </w:p>
    <w:p w14:paraId="44BF0D53" w14:textId="77777777" w:rsidR="006725E5" w:rsidRPr="003111B2" w:rsidRDefault="006725E5" w:rsidP="003111B2">
      <w:pPr>
        <w:spacing w:before="240"/>
        <w:rPr>
          <w:rFonts w:ascii="Arial" w:hAnsi="Arial" w:cs="Arial"/>
          <w:sz w:val="22"/>
          <w:szCs w:val="22"/>
          <w:lang w:val="pt-BR"/>
        </w:rPr>
      </w:pPr>
    </w:p>
    <w:p w14:paraId="7CAA3A61"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lang w:val="pt-BR"/>
        </w:rPr>
        <w:t xml:space="preserve">Alarcón-Ruiz, C., Mejía, C. R., Arana-Gómez, B., et al. </w:t>
      </w:r>
      <w:r w:rsidRPr="002607AB">
        <w:rPr>
          <w:rFonts w:ascii="Arial" w:hAnsi="Arial" w:cs="Arial"/>
          <w:sz w:val="22"/>
          <w:szCs w:val="22"/>
        </w:rPr>
        <w:t>(2023). Bibliometric analysis of medicinal plants’ original articles from Latin America and the Caribbean (1970–2020). </w:t>
      </w:r>
      <w:r w:rsidRPr="002607AB">
        <w:rPr>
          <w:rFonts w:ascii="Arial" w:hAnsi="Arial" w:cs="Arial"/>
          <w:i/>
          <w:iCs/>
          <w:sz w:val="22"/>
          <w:szCs w:val="22"/>
        </w:rPr>
        <w:t>Journal of Scientometric Research, 12</w:t>
      </w:r>
      <w:r w:rsidRPr="002607AB">
        <w:rPr>
          <w:rFonts w:ascii="Arial" w:hAnsi="Arial" w:cs="Arial"/>
          <w:sz w:val="22"/>
          <w:szCs w:val="22"/>
        </w:rPr>
        <w:t>(1), 1–12. https://doi.org/10.5530/jscires.12.1.001</w:t>
      </w:r>
    </w:p>
    <w:p w14:paraId="298E85F0"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Anokwuru, C. P., Ezeonwumelu, J. O. C., Adefegha, S. A., et al. (2025). A bibliometric overview of the antimicrobial properties of the family Combretaceae (1976–2022). </w:t>
      </w:r>
      <w:r w:rsidRPr="002607AB">
        <w:rPr>
          <w:rFonts w:ascii="Arial" w:hAnsi="Arial" w:cs="Arial"/>
          <w:i/>
          <w:iCs/>
          <w:sz w:val="22"/>
          <w:szCs w:val="22"/>
        </w:rPr>
        <w:t>South African Journal of Botany, 170</w:t>
      </w:r>
      <w:r w:rsidRPr="002607AB">
        <w:rPr>
          <w:rFonts w:ascii="Arial" w:hAnsi="Arial" w:cs="Arial"/>
          <w:sz w:val="22"/>
          <w:szCs w:val="22"/>
        </w:rPr>
        <w:t>, 154–164. https://doi.org/10.1016/j.sajb.2024.11.019</w:t>
      </w:r>
    </w:p>
    <w:p w14:paraId="5BB514D6"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lang w:val="pt-BR"/>
        </w:rPr>
        <w:t xml:space="preserve">Chassagne, F., Samarakoon, T., Porras, G., Lyles, J. T., Dettweiler, M., Marquez, L., et al. </w:t>
      </w:r>
      <w:r w:rsidRPr="002607AB">
        <w:rPr>
          <w:rFonts w:ascii="Arial" w:hAnsi="Arial" w:cs="Arial"/>
          <w:sz w:val="22"/>
          <w:szCs w:val="22"/>
        </w:rPr>
        <w:t>(2021). A systematic review of plants with antibacterial activities: A taxonomic and phylogenetic perspective. </w:t>
      </w:r>
      <w:r w:rsidRPr="002607AB">
        <w:rPr>
          <w:rFonts w:ascii="Arial" w:hAnsi="Arial" w:cs="Arial"/>
          <w:i/>
          <w:iCs/>
          <w:sz w:val="22"/>
          <w:szCs w:val="22"/>
        </w:rPr>
        <w:t>Frontiers in Pharmacology, 11</w:t>
      </w:r>
      <w:r w:rsidRPr="002607AB">
        <w:rPr>
          <w:rFonts w:ascii="Arial" w:hAnsi="Arial" w:cs="Arial"/>
          <w:sz w:val="22"/>
          <w:szCs w:val="22"/>
        </w:rPr>
        <w:t>, 586548. https://doi.org/10.3389/fphar.2020.586548</w:t>
      </w:r>
    </w:p>
    <w:p w14:paraId="4CED4EFA"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Chassagne, F., Samarakoon, T., Porras, G., Lyles, J. T., Dettweiler, M., Marquez, L., et al. (2021). A systematic review of plants with antibacterial activities. </w:t>
      </w:r>
      <w:r w:rsidRPr="002607AB">
        <w:rPr>
          <w:rFonts w:ascii="Arial" w:hAnsi="Arial" w:cs="Arial"/>
          <w:i/>
          <w:iCs/>
          <w:sz w:val="22"/>
          <w:szCs w:val="22"/>
        </w:rPr>
        <w:t>Frontiers in Pharmacology, 12</w:t>
      </w:r>
      <w:r w:rsidRPr="002607AB">
        <w:rPr>
          <w:rFonts w:ascii="Arial" w:hAnsi="Arial" w:cs="Arial"/>
          <w:sz w:val="22"/>
          <w:szCs w:val="22"/>
        </w:rPr>
        <w:t>, 629193. https://doi.org/10.3389/fphar.2021.629193</w:t>
      </w:r>
    </w:p>
    <w:p w14:paraId="46FBA29D"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de Kraker, M., &amp; Lipsitch, M. (2021). Burden of antimicrobial resistance: Compared to what? </w:t>
      </w:r>
      <w:r w:rsidRPr="002607AB">
        <w:rPr>
          <w:rFonts w:ascii="Arial" w:hAnsi="Arial" w:cs="Arial"/>
          <w:i/>
          <w:iCs/>
          <w:sz w:val="22"/>
          <w:szCs w:val="22"/>
        </w:rPr>
        <w:t>Epidemiologic Reviews, 43</w:t>
      </w:r>
      <w:r w:rsidRPr="002607AB">
        <w:rPr>
          <w:rFonts w:ascii="Arial" w:hAnsi="Arial" w:cs="Arial"/>
          <w:sz w:val="22"/>
          <w:szCs w:val="22"/>
        </w:rPr>
        <w:t>(1), 53–64. </w:t>
      </w:r>
      <w:hyperlink r:id="rId13" w:tgtFrame="_new" w:history="1">
        <w:r w:rsidRPr="002607AB">
          <w:rPr>
            <w:rStyle w:val="Hyperlink"/>
            <w:rFonts w:ascii="Arial" w:hAnsi="Arial" w:cs="Arial"/>
            <w:sz w:val="22"/>
            <w:szCs w:val="22"/>
          </w:rPr>
          <w:t>https://doi.org/10.1093/epirev/mxab001</w:t>
        </w:r>
      </w:hyperlink>
    </w:p>
    <w:p w14:paraId="3DB1D678"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El Allaoui, H., Zouine, N., El Housni, A., El Mtili, N., &amp; El Mtili, M. (2024). Trends and insights in medicinal plant extract research: A ten-year bibliometric and visualization study. </w:t>
      </w:r>
      <w:r w:rsidRPr="002607AB">
        <w:rPr>
          <w:rFonts w:ascii="Arial" w:hAnsi="Arial" w:cs="Arial"/>
          <w:i/>
          <w:iCs/>
          <w:sz w:val="22"/>
          <w:szCs w:val="22"/>
        </w:rPr>
        <w:t>Plants, 13</w:t>
      </w:r>
      <w:r w:rsidRPr="002607AB">
        <w:rPr>
          <w:rFonts w:ascii="Arial" w:hAnsi="Arial" w:cs="Arial"/>
          <w:sz w:val="22"/>
          <w:szCs w:val="22"/>
        </w:rPr>
        <w:t>(11), 1163. https://doi.org/10.3390/plants13111163</w:t>
      </w:r>
    </w:p>
    <w:p w14:paraId="6A7D99F3"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El-Saadony, M. T., El-Tarabily, K. A., Alagawany, M., et al. (2025). Medicinal plants: Bioactive compounds, biological activities and applications. </w:t>
      </w:r>
      <w:r w:rsidRPr="002607AB">
        <w:rPr>
          <w:rFonts w:ascii="Arial" w:hAnsi="Arial" w:cs="Arial"/>
          <w:i/>
          <w:iCs/>
          <w:sz w:val="22"/>
          <w:szCs w:val="22"/>
        </w:rPr>
        <w:t>Frontiers in Immunology, 16</w:t>
      </w:r>
      <w:r w:rsidRPr="002607AB">
        <w:rPr>
          <w:rFonts w:ascii="Arial" w:hAnsi="Arial" w:cs="Arial"/>
          <w:sz w:val="22"/>
          <w:szCs w:val="22"/>
        </w:rPr>
        <w:t>, 1491777. https://doi.org/10.3389/fimmu.2025.1491777</w:t>
      </w:r>
    </w:p>
    <w:p w14:paraId="6F87EFBE"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Enioutina, E. Y., Kiseleva, L. M., Villalobos, R., Teng, L., &amp; Barnett, J. B. (2017). Phytotherapy as an alternative to conventional antimicrobials: Pharmacological and clinical aspects. </w:t>
      </w:r>
      <w:r w:rsidRPr="002607AB">
        <w:rPr>
          <w:rFonts w:ascii="Arial" w:hAnsi="Arial" w:cs="Arial"/>
          <w:i/>
          <w:iCs/>
          <w:sz w:val="22"/>
          <w:szCs w:val="22"/>
        </w:rPr>
        <w:t>Pharmacology &amp; Therapeutics, 175</w:t>
      </w:r>
      <w:r w:rsidRPr="002607AB">
        <w:rPr>
          <w:rFonts w:ascii="Arial" w:hAnsi="Arial" w:cs="Arial"/>
          <w:sz w:val="22"/>
          <w:szCs w:val="22"/>
        </w:rPr>
        <w:t>, 90–108. </w:t>
      </w:r>
      <w:hyperlink r:id="rId14" w:tgtFrame="_new" w:history="1">
        <w:r w:rsidRPr="002607AB">
          <w:rPr>
            <w:rStyle w:val="Hyperlink"/>
            <w:rFonts w:ascii="Arial" w:hAnsi="Arial" w:cs="Arial"/>
            <w:sz w:val="22"/>
            <w:szCs w:val="22"/>
          </w:rPr>
          <w:t>https://www.sciencedirect.com/science/article/abs/pii/S0163725817300369</w:t>
        </w:r>
      </w:hyperlink>
    </w:p>
    <w:p w14:paraId="4D053E83" w14:textId="77777777" w:rsidR="002607AB" w:rsidRPr="002607AB" w:rsidRDefault="002607AB" w:rsidP="002607AB">
      <w:pPr>
        <w:spacing w:before="240"/>
        <w:ind w:left="360"/>
        <w:rPr>
          <w:rFonts w:ascii="Arial" w:hAnsi="Arial" w:cs="Arial"/>
          <w:sz w:val="22"/>
          <w:szCs w:val="22"/>
          <w:lang w:val="pt-BR"/>
        </w:rPr>
      </w:pPr>
      <w:r w:rsidRPr="002607AB">
        <w:rPr>
          <w:rFonts w:ascii="Arial" w:hAnsi="Arial" w:cs="Arial"/>
          <w:sz w:val="22"/>
          <w:szCs w:val="22"/>
        </w:rPr>
        <w:t>Food and Agriculture Organization of the United Nations (FAO). (2021). </w:t>
      </w:r>
      <w:r w:rsidRPr="002607AB">
        <w:rPr>
          <w:rFonts w:ascii="Arial" w:hAnsi="Arial" w:cs="Arial"/>
          <w:i/>
          <w:iCs/>
          <w:sz w:val="22"/>
          <w:szCs w:val="22"/>
        </w:rPr>
        <w:t>FAO action plan on antimicrobial resistance 2021–2025</w:t>
      </w:r>
      <w:r w:rsidRPr="002607AB">
        <w:rPr>
          <w:rFonts w:ascii="Arial" w:hAnsi="Arial" w:cs="Arial"/>
          <w:sz w:val="22"/>
          <w:szCs w:val="22"/>
        </w:rPr>
        <w:t xml:space="preserve">. </w:t>
      </w:r>
      <w:r w:rsidRPr="002607AB">
        <w:rPr>
          <w:rFonts w:ascii="Arial" w:hAnsi="Arial" w:cs="Arial"/>
          <w:sz w:val="22"/>
          <w:szCs w:val="22"/>
          <w:lang w:val="pt-BR"/>
        </w:rPr>
        <w:t>Rome: FAO. </w:t>
      </w:r>
      <w:hyperlink r:id="rId15" w:tgtFrame="_new" w:history="1">
        <w:r w:rsidRPr="002607AB">
          <w:rPr>
            <w:rStyle w:val="Hyperlink"/>
            <w:rFonts w:ascii="Arial" w:hAnsi="Arial" w:cs="Arial"/>
            <w:sz w:val="22"/>
            <w:szCs w:val="22"/>
            <w:lang w:val="pt-BR"/>
          </w:rPr>
          <w:t>https://www.fao.org/documents/card/en/c/cb7054en</w:t>
        </w:r>
      </w:hyperlink>
    </w:p>
    <w:p w14:paraId="5D3C1668"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lang w:val="pt-BR"/>
        </w:rPr>
        <w:lastRenderedPageBreak/>
        <w:t xml:space="preserve">Guedes, B. N., Pereira, R. F., Lopes, L. S., et al. </w:t>
      </w:r>
      <w:r w:rsidRPr="002607AB">
        <w:rPr>
          <w:rFonts w:ascii="Arial" w:hAnsi="Arial" w:cs="Arial"/>
          <w:sz w:val="22"/>
          <w:szCs w:val="22"/>
        </w:rPr>
        <w:t>(2024). Natural antibiotics against antimicrobial resistance. </w:t>
      </w:r>
      <w:r w:rsidRPr="002607AB">
        <w:rPr>
          <w:rFonts w:ascii="Arial" w:hAnsi="Arial" w:cs="Arial"/>
          <w:i/>
          <w:iCs/>
          <w:sz w:val="22"/>
          <w:szCs w:val="22"/>
        </w:rPr>
        <w:t>Brazilian Journal of Microbiology.</w:t>
      </w:r>
      <w:r w:rsidRPr="002607AB">
        <w:rPr>
          <w:rFonts w:ascii="Arial" w:hAnsi="Arial" w:cs="Arial"/>
          <w:sz w:val="22"/>
          <w:szCs w:val="22"/>
        </w:rPr>
        <w:t> https://doi.org/10.1007/s42770-024-01410-1</w:t>
      </w:r>
    </w:p>
    <w:p w14:paraId="6534866B"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Hernando-Amado, S., Coque, T. M., Baquero, F., &amp; Martínez, J. L. (2021). Defining and combating antibiotic resistance from One Health and Global Health perspectives. </w:t>
      </w:r>
      <w:r w:rsidRPr="002607AB">
        <w:rPr>
          <w:rFonts w:ascii="Arial" w:hAnsi="Arial" w:cs="Arial"/>
          <w:i/>
          <w:iCs/>
          <w:sz w:val="22"/>
          <w:szCs w:val="22"/>
        </w:rPr>
        <w:t>Frontiers in Cellular and Infection Microbiology, 11</w:t>
      </w:r>
      <w:r w:rsidRPr="002607AB">
        <w:rPr>
          <w:rFonts w:ascii="Arial" w:hAnsi="Arial" w:cs="Arial"/>
          <w:sz w:val="22"/>
          <w:szCs w:val="22"/>
        </w:rPr>
        <w:t>, 771510. </w:t>
      </w:r>
      <w:hyperlink r:id="rId16" w:tgtFrame="_new" w:history="1">
        <w:r w:rsidRPr="002607AB">
          <w:rPr>
            <w:rStyle w:val="Hyperlink"/>
            <w:rFonts w:ascii="Arial" w:hAnsi="Arial" w:cs="Arial"/>
            <w:sz w:val="22"/>
            <w:szCs w:val="22"/>
          </w:rPr>
          <w:t>https://www.frontiersin.org/articles/10.3389/fcimb.2021.771510/full</w:t>
        </w:r>
      </w:hyperlink>
    </w:p>
    <w:p w14:paraId="2B15B3A1"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Hu, D., Liu, X., Zheng, M., et al. (2024). Bibliometric analysis of research trends and advancements in natural compounds with antibacterial properties. </w:t>
      </w:r>
      <w:r w:rsidRPr="002607AB">
        <w:rPr>
          <w:rFonts w:ascii="Arial" w:hAnsi="Arial" w:cs="Arial"/>
          <w:i/>
          <w:iCs/>
          <w:sz w:val="22"/>
          <w:szCs w:val="22"/>
        </w:rPr>
        <w:t>Frontiers in Plant Science, 15</w:t>
      </w:r>
      <w:r w:rsidRPr="002607AB">
        <w:rPr>
          <w:rFonts w:ascii="Arial" w:hAnsi="Arial" w:cs="Arial"/>
          <w:sz w:val="22"/>
          <w:szCs w:val="22"/>
        </w:rPr>
        <w:t>, 1495198. https://doi.org/10.3389/fpls.2024.1495198</w:t>
      </w:r>
    </w:p>
    <w:p w14:paraId="57904AD2"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O’Neill, J. (2016). </w:t>
      </w:r>
      <w:r w:rsidRPr="002607AB">
        <w:rPr>
          <w:rFonts w:ascii="Arial" w:hAnsi="Arial" w:cs="Arial"/>
          <w:i/>
          <w:iCs/>
          <w:sz w:val="22"/>
          <w:szCs w:val="22"/>
        </w:rPr>
        <w:t>Tackling drug-resistant infections globally: Final report and recommendations.</w:t>
      </w:r>
      <w:r w:rsidRPr="002607AB">
        <w:rPr>
          <w:rFonts w:ascii="Arial" w:hAnsi="Arial" w:cs="Arial"/>
          <w:sz w:val="22"/>
          <w:szCs w:val="22"/>
        </w:rPr>
        <w:t> London: Review on Antimicrobial Resistance. </w:t>
      </w:r>
      <w:hyperlink r:id="rId17" w:tgtFrame="_new" w:history="1">
        <w:r w:rsidRPr="002607AB">
          <w:rPr>
            <w:rStyle w:val="Hyperlink"/>
            <w:rFonts w:ascii="Arial" w:hAnsi="Arial" w:cs="Arial"/>
            <w:sz w:val="22"/>
            <w:szCs w:val="22"/>
          </w:rPr>
          <w:t>https://amr-review.org/sites/default/files/160518_Final%20paper_with%20cover.pdf</w:t>
        </w:r>
      </w:hyperlink>
    </w:p>
    <w:p w14:paraId="0CB3971C"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lang w:val="pt-BR"/>
        </w:rPr>
        <w:t xml:space="preserve">Pérez-Flores, J. G., Arreola, R., Hernández-Flores, G., et al. </w:t>
      </w:r>
      <w:r w:rsidRPr="002607AB">
        <w:rPr>
          <w:rFonts w:ascii="Arial" w:hAnsi="Arial" w:cs="Arial"/>
          <w:sz w:val="22"/>
          <w:szCs w:val="22"/>
        </w:rPr>
        <w:t>(2025). Plant antimicrobial compounds and their mechanisms of action. </w:t>
      </w:r>
      <w:r w:rsidRPr="002607AB">
        <w:rPr>
          <w:rFonts w:ascii="Arial" w:hAnsi="Arial" w:cs="Arial"/>
          <w:i/>
          <w:iCs/>
          <w:sz w:val="22"/>
          <w:szCs w:val="22"/>
        </w:rPr>
        <w:t>Applied Sciences, 15</w:t>
      </w:r>
      <w:r w:rsidRPr="002607AB">
        <w:rPr>
          <w:rFonts w:ascii="Arial" w:hAnsi="Arial" w:cs="Arial"/>
          <w:sz w:val="22"/>
          <w:szCs w:val="22"/>
        </w:rPr>
        <w:t>(7), 3516. https://doi.org/10.3390/app15073516</w:t>
      </w:r>
    </w:p>
    <w:p w14:paraId="60B8C9CA" w14:textId="77777777" w:rsidR="002607AB" w:rsidRPr="002607AB" w:rsidRDefault="002607AB" w:rsidP="002607AB">
      <w:pPr>
        <w:spacing w:before="240"/>
        <w:ind w:left="360"/>
        <w:rPr>
          <w:rFonts w:ascii="Arial" w:hAnsi="Arial" w:cs="Arial"/>
          <w:sz w:val="22"/>
          <w:szCs w:val="22"/>
          <w:lang w:val="pt-BR"/>
        </w:rPr>
      </w:pPr>
      <w:r w:rsidRPr="002607AB">
        <w:rPr>
          <w:rFonts w:ascii="Arial" w:hAnsi="Arial" w:cs="Arial"/>
          <w:sz w:val="22"/>
          <w:szCs w:val="22"/>
        </w:rPr>
        <w:t>Vaou, N., Stavropoulou, E., Voidarou, C., Tsigalou, C., &amp; Bezirtzoglou, E. (2022). Towards advances in medicinal plant antimicrobial activity: A review. </w:t>
      </w:r>
      <w:r w:rsidRPr="002607AB">
        <w:rPr>
          <w:rFonts w:ascii="Arial" w:hAnsi="Arial" w:cs="Arial"/>
          <w:i/>
          <w:iCs/>
          <w:sz w:val="22"/>
          <w:szCs w:val="22"/>
          <w:lang w:val="pt-BR"/>
        </w:rPr>
        <w:t>Microorganisms, 10</w:t>
      </w:r>
      <w:r w:rsidRPr="002607AB">
        <w:rPr>
          <w:rFonts w:ascii="Arial" w:hAnsi="Arial" w:cs="Arial"/>
          <w:sz w:val="22"/>
          <w:szCs w:val="22"/>
          <w:lang w:val="pt-BR"/>
        </w:rPr>
        <w:t>(2), 240. https://doi.org/10.3390/microorganisms10020240</w:t>
      </w:r>
    </w:p>
    <w:p w14:paraId="2C222233"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lang w:val="pt-BR"/>
        </w:rPr>
        <w:t xml:space="preserve">Vaou, N., Stavropoulou, E., Voidarou, C., Tsigalou, C., &amp; Bezirtzoglou, E. (2021). </w:t>
      </w:r>
      <w:r w:rsidRPr="002607AB">
        <w:rPr>
          <w:rFonts w:ascii="Arial" w:hAnsi="Arial" w:cs="Arial"/>
          <w:sz w:val="22"/>
          <w:szCs w:val="22"/>
        </w:rPr>
        <w:t>Towards advances in medicinal plant antimicrobial activity: Challenges and future perspectives. </w:t>
      </w:r>
      <w:r w:rsidRPr="002607AB">
        <w:rPr>
          <w:rFonts w:ascii="Arial" w:hAnsi="Arial" w:cs="Arial"/>
          <w:i/>
          <w:iCs/>
          <w:sz w:val="22"/>
          <w:szCs w:val="22"/>
        </w:rPr>
        <w:t>Frontiers in Pharmacology, 12</w:t>
      </w:r>
      <w:r w:rsidRPr="002607AB">
        <w:rPr>
          <w:rFonts w:ascii="Arial" w:hAnsi="Arial" w:cs="Arial"/>
          <w:sz w:val="22"/>
          <w:szCs w:val="22"/>
        </w:rPr>
        <w:t>, 667254. https://doi.org/10.3389/fphar.2021.667254</w:t>
      </w:r>
    </w:p>
    <w:p w14:paraId="3486D3DF"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Ventola, C. L. (2015). The antibiotic resistance crisis: Part 1: Causes and threats. </w:t>
      </w:r>
      <w:r w:rsidRPr="002607AB">
        <w:rPr>
          <w:rFonts w:ascii="Arial" w:hAnsi="Arial" w:cs="Arial"/>
          <w:i/>
          <w:iCs/>
          <w:sz w:val="22"/>
          <w:szCs w:val="22"/>
        </w:rPr>
        <w:t>Pharmacy and Therapeutics, 40</w:t>
      </w:r>
      <w:r w:rsidRPr="002607AB">
        <w:rPr>
          <w:rFonts w:ascii="Arial" w:hAnsi="Arial" w:cs="Arial"/>
          <w:sz w:val="22"/>
          <w:szCs w:val="22"/>
        </w:rPr>
        <w:t>(4), 277–283. </w:t>
      </w:r>
      <w:hyperlink r:id="rId18" w:tgtFrame="_new" w:history="1">
        <w:r w:rsidRPr="002607AB">
          <w:rPr>
            <w:rStyle w:val="Hyperlink"/>
            <w:rFonts w:ascii="Arial" w:hAnsi="Arial" w:cs="Arial"/>
            <w:sz w:val="22"/>
            <w:szCs w:val="22"/>
          </w:rPr>
          <w:t>https://www.ncbi.nlm.nih.gov/pmc/articles/PMC4378521/</w:t>
        </w:r>
      </w:hyperlink>
    </w:p>
    <w:p w14:paraId="337AE795"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World Health Organization (WHO). (2015). </w:t>
      </w:r>
      <w:r w:rsidRPr="002607AB">
        <w:rPr>
          <w:rFonts w:ascii="Arial" w:hAnsi="Arial" w:cs="Arial"/>
          <w:i/>
          <w:iCs/>
          <w:sz w:val="22"/>
          <w:szCs w:val="22"/>
        </w:rPr>
        <w:t>Global action plan on antimicrobial resistance.</w:t>
      </w:r>
      <w:r w:rsidRPr="002607AB">
        <w:rPr>
          <w:rFonts w:ascii="Arial" w:hAnsi="Arial" w:cs="Arial"/>
          <w:sz w:val="22"/>
          <w:szCs w:val="22"/>
        </w:rPr>
        <w:t> Geneva: WHO. </w:t>
      </w:r>
      <w:hyperlink r:id="rId19" w:tgtFrame="_new" w:history="1">
        <w:r w:rsidRPr="002607AB">
          <w:rPr>
            <w:rStyle w:val="Hyperlink"/>
            <w:rFonts w:ascii="Arial" w:hAnsi="Arial" w:cs="Arial"/>
            <w:sz w:val="22"/>
            <w:szCs w:val="22"/>
          </w:rPr>
          <w:t>https://www.who.int/publications/i/item/9789241509763</w:t>
        </w:r>
      </w:hyperlink>
    </w:p>
    <w:p w14:paraId="0D13033E"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World Health Organization (WHO). (2013). </w:t>
      </w:r>
      <w:r w:rsidRPr="002607AB">
        <w:rPr>
          <w:rFonts w:ascii="Arial" w:hAnsi="Arial" w:cs="Arial"/>
          <w:i/>
          <w:iCs/>
          <w:sz w:val="22"/>
          <w:szCs w:val="22"/>
        </w:rPr>
        <w:t>WHO traditional medicine strategy: 2014–2023.</w:t>
      </w:r>
      <w:r w:rsidRPr="002607AB">
        <w:rPr>
          <w:rFonts w:ascii="Arial" w:hAnsi="Arial" w:cs="Arial"/>
          <w:sz w:val="22"/>
          <w:szCs w:val="22"/>
        </w:rPr>
        <w:t> Geneva: WHO. </w:t>
      </w:r>
      <w:hyperlink r:id="rId20" w:tgtFrame="_new" w:history="1">
        <w:r w:rsidRPr="002607AB">
          <w:rPr>
            <w:rStyle w:val="Hyperlink"/>
            <w:rFonts w:ascii="Arial" w:hAnsi="Arial" w:cs="Arial"/>
            <w:sz w:val="22"/>
            <w:szCs w:val="22"/>
          </w:rPr>
          <w:t>https://apps.who.int/iris/handle/10665/92455</w:t>
        </w:r>
      </w:hyperlink>
    </w:p>
    <w:p w14:paraId="2D701946" w14:textId="77777777" w:rsidR="002607AB" w:rsidRPr="002607AB" w:rsidRDefault="002607AB" w:rsidP="002607AB">
      <w:pPr>
        <w:spacing w:before="240"/>
        <w:ind w:left="360"/>
        <w:rPr>
          <w:rFonts w:ascii="Arial" w:hAnsi="Arial" w:cs="Arial"/>
          <w:sz w:val="22"/>
          <w:szCs w:val="22"/>
        </w:rPr>
      </w:pPr>
      <w:r w:rsidRPr="002607AB">
        <w:rPr>
          <w:rFonts w:ascii="Arial" w:hAnsi="Arial" w:cs="Arial"/>
          <w:sz w:val="22"/>
          <w:szCs w:val="22"/>
        </w:rPr>
        <w:t>Zouine, N., El Allaoui, H., El Housni, A., et al. (2024). A comprehensive review on medicinal plant extracts as antimicrobials. </w:t>
      </w:r>
      <w:r w:rsidRPr="002607AB">
        <w:rPr>
          <w:rFonts w:ascii="Arial" w:hAnsi="Arial" w:cs="Arial"/>
          <w:i/>
          <w:iCs/>
          <w:sz w:val="22"/>
          <w:szCs w:val="22"/>
        </w:rPr>
        <w:t>Journal of Ethnopharmacology.</w:t>
      </w:r>
      <w:r w:rsidRPr="002607AB">
        <w:rPr>
          <w:rFonts w:ascii="Arial" w:hAnsi="Arial" w:cs="Arial"/>
          <w:sz w:val="22"/>
          <w:szCs w:val="22"/>
        </w:rPr>
        <w:t> https://doi.org/10.1016/j.jep.2024.117951</w:t>
      </w:r>
    </w:p>
    <w:p w14:paraId="66130CAA" w14:textId="77EB913B" w:rsidR="006725E5" w:rsidRPr="00AA5623" w:rsidRDefault="006725E5" w:rsidP="00214179">
      <w:pPr>
        <w:spacing w:before="240"/>
        <w:ind w:left="360"/>
        <w:rPr>
          <w:rFonts w:ascii="Arial" w:hAnsi="Arial" w:cs="Arial"/>
          <w:sz w:val="22"/>
          <w:szCs w:val="22"/>
        </w:rPr>
      </w:pPr>
    </w:p>
    <w:sectPr w:rsidR="006725E5" w:rsidRPr="00AA5623" w:rsidSect="00F64D7F">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B0A3" w14:textId="77777777" w:rsidR="00C12189" w:rsidRDefault="00C12189" w:rsidP="00C37E61">
      <w:r>
        <w:separator/>
      </w:r>
    </w:p>
  </w:endnote>
  <w:endnote w:type="continuationSeparator" w:id="0">
    <w:p w14:paraId="11C3DD6D" w14:textId="77777777" w:rsidR="00C12189" w:rsidRDefault="00C121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3D30" w14:textId="77777777" w:rsidR="009E048A" w:rsidRDefault="009E048A">
    <w:pPr>
      <w:pStyle w:val="Footer"/>
      <w:rPr>
        <w:rFonts w:ascii="Arial" w:hAnsi="Arial" w:cs="Arial"/>
        <w:sz w:val="16"/>
      </w:rPr>
    </w:pPr>
  </w:p>
  <w:p w14:paraId="45DB4C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037058" w14:textId="77777777" w:rsidR="009E048A" w:rsidRDefault="009E048A">
    <w:pPr>
      <w:pStyle w:val="Footer"/>
      <w:rPr>
        <w:rFonts w:ascii="Arial" w:hAnsi="Arial" w:cs="Arial"/>
        <w:sz w:val="16"/>
      </w:rPr>
    </w:pPr>
  </w:p>
  <w:p w14:paraId="63F98C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150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915F" w14:textId="77777777" w:rsidR="00C12189" w:rsidRDefault="00C12189" w:rsidP="00C37E61">
      <w:r>
        <w:separator/>
      </w:r>
    </w:p>
  </w:footnote>
  <w:footnote w:type="continuationSeparator" w:id="0">
    <w:p w14:paraId="7789414C" w14:textId="77777777" w:rsidR="00C12189" w:rsidRDefault="00C121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16BE" w14:textId="53EDF823" w:rsidR="00F64D7F" w:rsidRDefault="00000000">
    <w:pPr>
      <w:pStyle w:val="Header"/>
    </w:pPr>
    <w:r>
      <w:rPr>
        <w:noProof/>
      </w:rPr>
      <w:pict w14:anchorId="6DBF0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4" o:spid="_x0000_s1026"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9D8F" w14:textId="33F43490" w:rsidR="00F64D7F" w:rsidRDefault="00000000">
    <w:pPr>
      <w:pStyle w:val="Header"/>
    </w:pPr>
    <w:r>
      <w:rPr>
        <w:noProof/>
      </w:rPr>
      <w:pict w14:anchorId="39F2D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5" o:spid="_x0000_s1027"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05AC" w14:textId="3A3BEC79" w:rsidR="00296529" w:rsidRPr="00296529" w:rsidRDefault="00000000" w:rsidP="00296529">
    <w:pPr>
      <w:ind w:left="2160"/>
      <w:jc w:val="center"/>
      <w:rPr>
        <w:rFonts w:ascii="Times New Roman" w:eastAsia="Calibri" w:hAnsi="Times New Roman"/>
        <w:i/>
        <w:sz w:val="18"/>
        <w:szCs w:val="22"/>
      </w:rPr>
    </w:pPr>
    <w:r>
      <w:rPr>
        <w:noProof/>
      </w:rPr>
      <w:pict w14:anchorId="2694E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3" o:spid="_x0000_s1025"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AAC7B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029D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65D17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22F5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251C9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C775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7105" w14:textId="77CDAB07" w:rsidR="00F64D7F" w:rsidRDefault="00000000">
    <w:pPr>
      <w:pStyle w:val="Header"/>
    </w:pPr>
    <w:r>
      <w:rPr>
        <w:noProof/>
      </w:rPr>
      <w:pict w14:anchorId="4E283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7" o:spid="_x0000_s1029"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7391" w14:textId="79C92478" w:rsidR="00F64D7F" w:rsidRDefault="00000000">
    <w:pPr>
      <w:pStyle w:val="Header"/>
    </w:pPr>
    <w:r>
      <w:rPr>
        <w:noProof/>
      </w:rPr>
      <w:pict w14:anchorId="499F2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8" o:spid="_x0000_s1030"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B1F8" w14:textId="40BA7EF3" w:rsidR="00F64D7F" w:rsidRDefault="00000000">
    <w:pPr>
      <w:pStyle w:val="Header"/>
    </w:pPr>
    <w:r>
      <w:rPr>
        <w:noProof/>
      </w:rPr>
      <w:pict w14:anchorId="7CC23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6" o:spid="_x0000_s1028"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0200E"/>
    <w:multiLevelType w:val="multilevel"/>
    <w:tmpl w:val="F7B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BD1E0D"/>
    <w:multiLevelType w:val="hybridMultilevel"/>
    <w:tmpl w:val="1670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D321C9"/>
    <w:multiLevelType w:val="multilevel"/>
    <w:tmpl w:val="8438F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E161F7"/>
    <w:multiLevelType w:val="multilevel"/>
    <w:tmpl w:val="77DC9C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A856EAC"/>
    <w:multiLevelType w:val="multilevel"/>
    <w:tmpl w:val="F96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FA97DC8"/>
    <w:multiLevelType w:val="multilevel"/>
    <w:tmpl w:val="F96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2500F"/>
    <w:multiLevelType w:val="multilevel"/>
    <w:tmpl w:val="F96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F4680"/>
    <w:multiLevelType w:val="multilevel"/>
    <w:tmpl w:val="E5D2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86415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3750386">
    <w:abstractNumId w:val="23"/>
  </w:num>
  <w:num w:numId="3" w16cid:durableId="420368711">
    <w:abstractNumId w:val="31"/>
  </w:num>
  <w:num w:numId="4" w16cid:durableId="7401752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33673973">
    <w:abstractNumId w:val="9"/>
  </w:num>
  <w:num w:numId="6" w16cid:durableId="2030325373">
    <w:abstractNumId w:val="7"/>
  </w:num>
  <w:num w:numId="7" w16cid:durableId="1488673141">
    <w:abstractNumId w:val="2"/>
  </w:num>
  <w:num w:numId="8" w16cid:durableId="1958675605">
    <w:abstractNumId w:val="17"/>
  </w:num>
  <w:num w:numId="9" w16cid:durableId="336688752">
    <w:abstractNumId w:val="33"/>
  </w:num>
  <w:num w:numId="10" w16cid:durableId="2130275294">
    <w:abstractNumId w:val="3"/>
  </w:num>
  <w:num w:numId="11" w16cid:durableId="1508911171">
    <w:abstractNumId w:val="26"/>
  </w:num>
  <w:num w:numId="12" w16cid:durableId="562526155">
    <w:abstractNumId w:val="4"/>
  </w:num>
  <w:num w:numId="13" w16cid:durableId="1774082362">
    <w:abstractNumId w:val="25"/>
  </w:num>
  <w:num w:numId="14" w16cid:durableId="787435642">
    <w:abstractNumId w:val="10"/>
  </w:num>
  <w:num w:numId="15" w16cid:durableId="1319116549">
    <w:abstractNumId w:val="29"/>
  </w:num>
  <w:num w:numId="16" w16cid:durableId="370617420">
    <w:abstractNumId w:val="6"/>
  </w:num>
  <w:num w:numId="17" w16cid:durableId="321861924">
    <w:abstractNumId w:val="30"/>
  </w:num>
  <w:num w:numId="18" w16cid:durableId="265505566">
    <w:abstractNumId w:val="19"/>
  </w:num>
  <w:num w:numId="19" w16cid:durableId="1003360051">
    <w:abstractNumId w:val="36"/>
  </w:num>
  <w:num w:numId="20" w16cid:durableId="2016298486">
    <w:abstractNumId w:val="15"/>
  </w:num>
  <w:num w:numId="21" w16cid:durableId="201405924">
    <w:abstractNumId w:val="12"/>
  </w:num>
  <w:num w:numId="22" w16cid:durableId="237713187">
    <w:abstractNumId w:val="18"/>
  </w:num>
  <w:num w:numId="23" w16cid:durableId="414668115">
    <w:abstractNumId w:val="27"/>
  </w:num>
  <w:num w:numId="24" w16cid:durableId="960570821">
    <w:abstractNumId w:val="34"/>
  </w:num>
  <w:num w:numId="25" w16cid:durableId="1573661355">
    <w:abstractNumId w:val="5"/>
  </w:num>
  <w:num w:numId="26" w16cid:durableId="548960907">
    <w:abstractNumId w:val="24"/>
  </w:num>
  <w:num w:numId="27" w16cid:durableId="1676301961">
    <w:abstractNumId w:val="28"/>
  </w:num>
  <w:num w:numId="28" w16cid:durableId="1526941913">
    <w:abstractNumId w:val="35"/>
  </w:num>
  <w:num w:numId="29" w16cid:durableId="1609120382">
    <w:abstractNumId w:val="32"/>
  </w:num>
  <w:num w:numId="30" w16cid:durableId="1917395491">
    <w:abstractNumId w:val="14"/>
  </w:num>
  <w:num w:numId="31" w16cid:durableId="468016937">
    <w:abstractNumId w:val="8"/>
  </w:num>
  <w:num w:numId="32" w16cid:durableId="1194688324">
    <w:abstractNumId w:val="16"/>
  </w:num>
  <w:num w:numId="33" w16cid:durableId="1578831115">
    <w:abstractNumId w:val="1"/>
  </w:num>
  <w:num w:numId="34" w16cid:durableId="319507184">
    <w:abstractNumId w:val="21"/>
  </w:num>
  <w:num w:numId="35" w16cid:durableId="125513061">
    <w:abstractNumId w:val="11"/>
  </w:num>
  <w:num w:numId="36" w16cid:durableId="610476773">
    <w:abstractNumId w:val="20"/>
  </w:num>
  <w:num w:numId="37" w16cid:durableId="2008245461">
    <w:abstractNumId w:val="22"/>
  </w:num>
  <w:num w:numId="38" w16cid:durableId="450173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F4B"/>
    <w:rsid w:val="00067A33"/>
    <w:rsid w:val="00081FAB"/>
    <w:rsid w:val="000A47FA"/>
    <w:rsid w:val="000A65D3"/>
    <w:rsid w:val="000B1E33"/>
    <w:rsid w:val="000D689F"/>
    <w:rsid w:val="000E7B7B"/>
    <w:rsid w:val="000E7D62"/>
    <w:rsid w:val="00103357"/>
    <w:rsid w:val="00110AC6"/>
    <w:rsid w:val="00123C9F"/>
    <w:rsid w:val="00126190"/>
    <w:rsid w:val="00130F17"/>
    <w:rsid w:val="001320BF"/>
    <w:rsid w:val="00136B42"/>
    <w:rsid w:val="00163BC4"/>
    <w:rsid w:val="00191062"/>
    <w:rsid w:val="00192B72"/>
    <w:rsid w:val="001A29D8"/>
    <w:rsid w:val="001A5CAA"/>
    <w:rsid w:val="001B0427"/>
    <w:rsid w:val="001B433A"/>
    <w:rsid w:val="001C78C6"/>
    <w:rsid w:val="001D3A51"/>
    <w:rsid w:val="001E10D2"/>
    <w:rsid w:val="001E25B4"/>
    <w:rsid w:val="001E44FE"/>
    <w:rsid w:val="00200595"/>
    <w:rsid w:val="00204835"/>
    <w:rsid w:val="00214179"/>
    <w:rsid w:val="002247BF"/>
    <w:rsid w:val="00231920"/>
    <w:rsid w:val="0023195C"/>
    <w:rsid w:val="002405A4"/>
    <w:rsid w:val="0024282C"/>
    <w:rsid w:val="002460DC"/>
    <w:rsid w:val="00250985"/>
    <w:rsid w:val="002556F6"/>
    <w:rsid w:val="002607AB"/>
    <w:rsid w:val="00283105"/>
    <w:rsid w:val="00284C4C"/>
    <w:rsid w:val="0028784B"/>
    <w:rsid w:val="00287E68"/>
    <w:rsid w:val="00296529"/>
    <w:rsid w:val="002B27FB"/>
    <w:rsid w:val="002B685A"/>
    <w:rsid w:val="002C57D2"/>
    <w:rsid w:val="002E0D56"/>
    <w:rsid w:val="003053BF"/>
    <w:rsid w:val="003111B2"/>
    <w:rsid w:val="00315186"/>
    <w:rsid w:val="00331D9A"/>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EA1"/>
    <w:rsid w:val="004C6416"/>
    <w:rsid w:val="004D305E"/>
    <w:rsid w:val="004D4277"/>
    <w:rsid w:val="004E71C8"/>
    <w:rsid w:val="00502516"/>
    <w:rsid w:val="00505F06"/>
    <w:rsid w:val="00506828"/>
    <w:rsid w:val="0053056E"/>
    <w:rsid w:val="00554FDA"/>
    <w:rsid w:val="00573F44"/>
    <w:rsid w:val="00577802"/>
    <w:rsid w:val="005C784C"/>
    <w:rsid w:val="005D17F6"/>
    <w:rsid w:val="005E5539"/>
    <w:rsid w:val="00602BF5"/>
    <w:rsid w:val="00617CEC"/>
    <w:rsid w:val="00617FDD"/>
    <w:rsid w:val="00633614"/>
    <w:rsid w:val="00633F68"/>
    <w:rsid w:val="00636EB2"/>
    <w:rsid w:val="006375B8"/>
    <w:rsid w:val="0064470F"/>
    <w:rsid w:val="0066510A"/>
    <w:rsid w:val="006725E5"/>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357D"/>
    <w:rsid w:val="00754C9A"/>
    <w:rsid w:val="0075599A"/>
    <w:rsid w:val="00761D52"/>
    <w:rsid w:val="0077749E"/>
    <w:rsid w:val="00786813"/>
    <w:rsid w:val="00790ADA"/>
    <w:rsid w:val="007D2288"/>
    <w:rsid w:val="007D7C4E"/>
    <w:rsid w:val="007E088F"/>
    <w:rsid w:val="007F18C7"/>
    <w:rsid w:val="007F733D"/>
    <w:rsid w:val="007F7B32"/>
    <w:rsid w:val="00804BC2"/>
    <w:rsid w:val="0081431A"/>
    <w:rsid w:val="0083216F"/>
    <w:rsid w:val="00845D41"/>
    <w:rsid w:val="00860000"/>
    <w:rsid w:val="008608B2"/>
    <w:rsid w:val="00863BD3"/>
    <w:rsid w:val="008641ED"/>
    <w:rsid w:val="00866D66"/>
    <w:rsid w:val="008671C6"/>
    <w:rsid w:val="00875803"/>
    <w:rsid w:val="008B459E"/>
    <w:rsid w:val="008C7FA8"/>
    <w:rsid w:val="008E13AE"/>
    <w:rsid w:val="008E1506"/>
    <w:rsid w:val="008E710C"/>
    <w:rsid w:val="008F69D6"/>
    <w:rsid w:val="00902823"/>
    <w:rsid w:val="00904B93"/>
    <w:rsid w:val="00915CA6"/>
    <w:rsid w:val="00927834"/>
    <w:rsid w:val="009500A6"/>
    <w:rsid w:val="00957C18"/>
    <w:rsid w:val="009659BA"/>
    <w:rsid w:val="00983040"/>
    <w:rsid w:val="009B3FB9"/>
    <w:rsid w:val="009C2465"/>
    <w:rsid w:val="009D35A0"/>
    <w:rsid w:val="009D7EB7"/>
    <w:rsid w:val="009E048A"/>
    <w:rsid w:val="009E08E9"/>
    <w:rsid w:val="009E3DB9"/>
    <w:rsid w:val="009E4B7C"/>
    <w:rsid w:val="009E6E35"/>
    <w:rsid w:val="009F0EDA"/>
    <w:rsid w:val="00A03B96"/>
    <w:rsid w:val="00A05B19"/>
    <w:rsid w:val="00A1134E"/>
    <w:rsid w:val="00A24E7E"/>
    <w:rsid w:val="00A258C3"/>
    <w:rsid w:val="00A347C0"/>
    <w:rsid w:val="00A51431"/>
    <w:rsid w:val="00A528A6"/>
    <w:rsid w:val="00A539AD"/>
    <w:rsid w:val="00A56B7C"/>
    <w:rsid w:val="00A67C84"/>
    <w:rsid w:val="00A94063"/>
    <w:rsid w:val="00A96361"/>
    <w:rsid w:val="00AA5623"/>
    <w:rsid w:val="00AA6219"/>
    <w:rsid w:val="00AA74E0"/>
    <w:rsid w:val="00AB703F"/>
    <w:rsid w:val="00AC6BB8"/>
    <w:rsid w:val="00AE008F"/>
    <w:rsid w:val="00B01FCD"/>
    <w:rsid w:val="00B1776C"/>
    <w:rsid w:val="00B37326"/>
    <w:rsid w:val="00B52583"/>
    <w:rsid w:val="00B52896"/>
    <w:rsid w:val="00B95236"/>
    <w:rsid w:val="00B96BD9"/>
    <w:rsid w:val="00BA1B01"/>
    <w:rsid w:val="00BA2641"/>
    <w:rsid w:val="00BB12DD"/>
    <w:rsid w:val="00BB37AA"/>
    <w:rsid w:val="00BB5EF3"/>
    <w:rsid w:val="00BC53A0"/>
    <w:rsid w:val="00BE62AD"/>
    <w:rsid w:val="00BF121F"/>
    <w:rsid w:val="00BF1F80"/>
    <w:rsid w:val="00C12189"/>
    <w:rsid w:val="00C166EF"/>
    <w:rsid w:val="00C17EB0"/>
    <w:rsid w:val="00C27F5F"/>
    <w:rsid w:val="00C30A0F"/>
    <w:rsid w:val="00C37E61"/>
    <w:rsid w:val="00C424DD"/>
    <w:rsid w:val="00C54FC6"/>
    <w:rsid w:val="00C61522"/>
    <w:rsid w:val="00C70F1B"/>
    <w:rsid w:val="00C71A47"/>
    <w:rsid w:val="00C7464C"/>
    <w:rsid w:val="00C85588"/>
    <w:rsid w:val="00CB5E98"/>
    <w:rsid w:val="00CC55A4"/>
    <w:rsid w:val="00CD6755"/>
    <w:rsid w:val="00CD6856"/>
    <w:rsid w:val="00CE0089"/>
    <w:rsid w:val="00CE14CB"/>
    <w:rsid w:val="00CE793C"/>
    <w:rsid w:val="00CF193C"/>
    <w:rsid w:val="00D173F1"/>
    <w:rsid w:val="00D674C0"/>
    <w:rsid w:val="00D74CB0"/>
    <w:rsid w:val="00D8295D"/>
    <w:rsid w:val="00DC2A65"/>
    <w:rsid w:val="00DC7749"/>
    <w:rsid w:val="00DE15F0"/>
    <w:rsid w:val="00DE5663"/>
    <w:rsid w:val="00DE78AA"/>
    <w:rsid w:val="00E053D0"/>
    <w:rsid w:val="00E11702"/>
    <w:rsid w:val="00E15994"/>
    <w:rsid w:val="00E3114E"/>
    <w:rsid w:val="00E31A70"/>
    <w:rsid w:val="00E35B02"/>
    <w:rsid w:val="00E66496"/>
    <w:rsid w:val="00E66B35"/>
    <w:rsid w:val="00E66E10"/>
    <w:rsid w:val="00E769F6"/>
    <w:rsid w:val="00E8407C"/>
    <w:rsid w:val="00E84F3C"/>
    <w:rsid w:val="00EA012C"/>
    <w:rsid w:val="00EC6A55"/>
    <w:rsid w:val="00ED0288"/>
    <w:rsid w:val="00ED10B6"/>
    <w:rsid w:val="00ED3E6C"/>
    <w:rsid w:val="00EE52CB"/>
    <w:rsid w:val="00EF581D"/>
    <w:rsid w:val="00EF7FD8"/>
    <w:rsid w:val="00F02786"/>
    <w:rsid w:val="00F06F59"/>
    <w:rsid w:val="00F17988"/>
    <w:rsid w:val="00F469F0"/>
    <w:rsid w:val="00F53273"/>
    <w:rsid w:val="00F64D7F"/>
    <w:rsid w:val="00F755E4"/>
    <w:rsid w:val="00F77D02"/>
    <w:rsid w:val="00FA0253"/>
    <w:rsid w:val="00FB3A86"/>
    <w:rsid w:val="00FD36C8"/>
    <w:rsid w:val="00FE0E0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D636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D10B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81FA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81FAB"/>
    <w:rPr>
      <w:b/>
      <w:bCs/>
    </w:rPr>
  </w:style>
  <w:style w:type="character" w:customStyle="1" w:styleId="Heading3Char">
    <w:name w:val="Heading 3 Char"/>
    <w:basedOn w:val="DefaultParagraphFont"/>
    <w:link w:val="Heading3"/>
    <w:semiHidden/>
    <w:rsid w:val="00ED10B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54FC6"/>
    <w:pPr>
      <w:ind w:left="720"/>
      <w:contextualSpacing/>
    </w:pPr>
  </w:style>
  <w:style w:type="paragraph" w:styleId="CommentSubject">
    <w:name w:val="annotation subject"/>
    <w:basedOn w:val="CommentText"/>
    <w:next w:val="CommentText"/>
    <w:link w:val="CommentSubjectChar"/>
    <w:semiHidden/>
    <w:unhideWhenUsed/>
    <w:rsid w:val="001C78C6"/>
    <w:rPr>
      <w:rFonts w:ascii="Helvetica" w:hAnsi="Helvetica"/>
      <w:b/>
      <w:bCs/>
      <w:lang w:val="en-US" w:eastAsia="en-US"/>
    </w:rPr>
  </w:style>
  <w:style w:type="character" w:customStyle="1" w:styleId="CommentSubjectChar">
    <w:name w:val="Comment Subject Char"/>
    <w:basedOn w:val="CommentTextChar"/>
    <w:link w:val="CommentSubject"/>
    <w:semiHidden/>
    <w:rsid w:val="001C78C6"/>
    <w:rPr>
      <w:rFonts w:ascii="Helvetica" w:hAnsi="Helvetica"/>
      <w:b/>
      <w:bCs/>
      <w:lang w:val="nb-NO" w:eastAsia="nb-NO"/>
    </w:rPr>
  </w:style>
  <w:style w:type="character" w:customStyle="1" w:styleId="apple-converted-space">
    <w:name w:val="apple-converted-space"/>
    <w:basedOn w:val="DefaultParagraphFont"/>
    <w:rsid w:val="0067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93/epirev/mxab001" TargetMode="External"/><Relationship Id="rId18" Type="http://schemas.openxmlformats.org/officeDocument/2006/relationships/hyperlink" Target="https://www.ncbi.nlm.nih.gov/pmc/articles/PMC437852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amr-review.org/sites/default/files/160518_Final%20paper_with%20cove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rontiersin.org/articles/10.3389/fcimb.2021.771510/full" TargetMode="External"/><Relationship Id="rId20" Type="http://schemas.openxmlformats.org/officeDocument/2006/relationships/hyperlink" Target="https://apps.who.int/iris/handle/10665/924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fao.org/documents/card/en/c/cb7054en" TargetMode="External"/><Relationship Id="rId23" Type="http://schemas.openxmlformats.org/officeDocument/2006/relationships/footer" Target="footer2.xml"/><Relationship Id="rId10" Type="http://schemas.openxmlformats.org/officeDocument/2006/relationships/header" Target="header3.xml"/><Relationship Id="rId19" Type="http://schemas.openxmlformats.org/officeDocument/2006/relationships/hyperlink" Target="https://www.who.int/publications/i/item/978924150976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science/article/abs/pii/S0163725817300369"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68F7EE-D304-42D9-95CB-018C088AA79E}">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0568252900"/>
    <we:property name="MENDELEY_CITATIONS" value="[]"/>
    <we:property name="MENDELEY_CITATIONS_LOCALE_CODE" value="&quot;en-US&quot;"/>
    <we:property name="MENDELEY_CITATIONS_STYLE" value="{&quot;id&quot;:&quot;https://www.zotero.org/styles/begell-house-apa&quot;,&quot;title&quot;:&quot;Begell House - APA&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046C-26A4-4FB2-85AC-3DFA3C1C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217</TotalTime>
  <Pages>11</Pages>
  <Words>5893</Words>
  <Characters>33596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39411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34</cp:revision>
  <cp:lastPrinted>1999-07-06T11:00:00Z</cp:lastPrinted>
  <dcterms:created xsi:type="dcterms:W3CDTF">2014-10-25T14:34:00Z</dcterms:created>
  <dcterms:modified xsi:type="dcterms:W3CDTF">2025-10-24T11:22:00Z</dcterms:modified>
</cp:coreProperties>
</file>