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68" w:rsidRDefault="0091208D" w:rsidP="00906D5E">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Short </w:t>
      </w:r>
      <w:r w:rsidR="001C4868" w:rsidRPr="001C4868">
        <w:rPr>
          <w:rFonts w:ascii="Times New Roman" w:eastAsia="Times New Roman" w:hAnsi="Times New Roman" w:cs="Times New Roman"/>
          <w:b/>
        </w:rPr>
        <w:t xml:space="preserve">Research Article </w:t>
      </w:r>
    </w:p>
    <w:p w:rsidR="001D2E54" w:rsidRDefault="009D57AC" w:rsidP="00693C08">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Association between the Demographic Factors, Dyslipidemia and  Frequency of Blood Donation among Blood Donors in Ibadan, Oyo States, Nigeria.</w:t>
      </w:r>
    </w:p>
    <w:p w:rsidR="00BE7A9A" w:rsidRPr="00BE7A9A" w:rsidRDefault="009D57AC" w:rsidP="00BE7A9A">
      <w:pPr>
        <w:spacing w:line="48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rPr>
        <w:t>ABSTRACT</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Background:</w:t>
      </w:r>
      <w:r w:rsidRPr="00BE7A9A">
        <w:rPr>
          <w:rFonts w:asciiTheme="minorHAnsi" w:eastAsia="Times New Roman" w:hAnsiTheme="minorHAnsi" w:cstheme="minorHAnsi"/>
        </w:rPr>
        <w:t xml:space="preserve"> Dyslipidaemia, a key modifiable risk factor for cardiovascular diseases (CVDs), is a growing public health concern globally and in Nigeria, where CVD-related morbidity and mortality rates are on the increase. The influence of blood donation on lipid metabolism remains underexplored.</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Objective:</w:t>
      </w:r>
      <w:r w:rsidRPr="00BE7A9A">
        <w:rPr>
          <w:rFonts w:asciiTheme="minorHAnsi" w:eastAsia="Times New Roman" w:hAnsiTheme="minorHAnsi" w:cstheme="minorHAnsi"/>
        </w:rPr>
        <w:t xml:space="preserve"> To determine the prevalence and patterns of dyslipidaemia among blood donors in south-west Nigeria and the associations with demographic factors and donation frequency.</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Methods:</w:t>
      </w:r>
      <w:r w:rsidRPr="00BE7A9A">
        <w:rPr>
          <w:rFonts w:asciiTheme="minorHAnsi" w:eastAsia="Times New Roman" w:hAnsiTheme="minorHAnsi" w:cstheme="minorHAnsi"/>
        </w:rPr>
        <w:t xml:space="preserve"> A cross-sectional study of 300 eligible adults (250 donors, 50 controls) aged 18–65 years was conducted in Ibadan. Donors were grouped as first-time, occasional, or regular. Socio-demographic and anthropometric data were obtained, and fasting venous blood was analysed for total cholesterol (TC), triglycerides (TG), high-density lipoprotein cholesterol (HDL-C), and low-density lipoprotein cholesterol (LDL-C). Dyslipidaemia was defined using NCEP ATP III criteria. Data were analysed using </w:t>
      </w:r>
      <w:r w:rsidRPr="00BE7A9A">
        <w:rPr>
          <w:rFonts w:asciiTheme="minorHAnsi" w:eastAsia="Times New Roman" w:hAnsiTheme="minorHAnsi" w:cstheme="minorHAnsi"/>
          <w:bCs/>
        </w:rPr>
        <w:t>SPSS version 26.0</w:t>
      </w:r>
      <w:r w:rsidRPr="00BE7A9A">
        <w:rPr>
          <w:rFonts w:asciiTheme="minorHAnsi" w:eastAsia="Times New Roman" w:hAnsiTheme="minorHAnsi" w:cstheme="minorHAnsi"/>
          <w:highlight w:val="yellow"/>
        </w:rPr>
        <w:t xml:space="preserve">, employing </w:t>
      </w:r>
      <w:r w:rsidRPr="00BE7A9A">
        <w:rPr>
          <w:rFonts w:asciiTheme="minorHAnsi" w:eastAsia="Times New Roman" w:hAnsiTheme="minorHAnsi" w:cstheme="minorHAnsi"/>
          <w:bCs/>
        </w:rPr>
        <w:t>descriptive statistics, independent t-test, ANOVA, and chi-square tests</w:t>
      </w:r>
      <w:r w:rsidRPr="00BE7A9A">
        <w:rPr>
          <w:rFonts w:asciiTheme="minorHAnsi" w:eastAsia="Times New Roman" w:hAnsiTheme="minorHAnsi" w:cstheme="minorHAnsi"/>
        </w:rPr>
        <w:t xml:space="preserve"> to assess group differences and associations, with </w:t>
      </w:r>
      <w:r w:rsidRPr="00BE7A9A">
        <w:rPr>
          <w:rFonts w:asciiTheme="minorHAnsi" w:eastAsia="Times New Roman" w:hAnsiTheme="minorHAnsi" w:cstheme="minorHAnsi"/>
          <w:b/>
          <w:bCs/>
        </w:rPr>
        <w:t>p &lt; 0.05</w:t>
      </w:r>
      <w:r w:rsidRPr="00BE7A9A">
        <w:rPr>
          <w:rFonts w:asciiTheme="minorHAnsi" w:eastAsia="Times New Roman" w:hAnsiTheme="minorHAnsi" w:cstheme="minorHAnsi"/>
        </w:rPr>
        <w:t xml:space="preserve"> considered statistically significant.</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Results:</w:t>
      </w:r>
      <w:r w:rsidRPr="00BE7A9A">
        <w:rPr>
          <w:rFonts w:asciiTheme="minorHAnsi" w:eastAsia="Times New Roman" w:hAnsiTheme="minorHAnsi" w:cstheme="minorHAnsi"/>
        </w:rPr>
        <w:t xml:space="preserve"> The prevalence of dyslipidaemia was 26.0% among donors. Donors had significantly higher TC (206.90 ± 25.42 mg/dL) than controls (190.40 ± 19.54 mg/dL, p &lt; 0.001), while TG levels were significantly lower in donors (144.35 ± 27.13 mg/dL) compared to controls (155.60 ± 25.68 mg/dL, p = 0.007). No significant differences were found in LDL-C (p = 0.599) or HDL-C (p = 0.107). Higher TC, HDL-C, and lower TG levels were significantly associated with donation frequency (p = 0.020, 0.001, and 0.001 respectively).</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Conclusion:</w:t>
      </w:r>
      <w:r w:rsidRPr="00BE7A9A">
        <w:rPr>
          <w:rFonts w:asciiTheme="minorHAnsi" w:eastAsia="Times New Roman" w:hAnsiTheme="minorHAnsi" w:cstheme="minorHAnsi"/>
        </w:rPr>
        <w:t xml:space="preserve"> This study suggests a possible beneficial impact of regular blood donation on lipid modulation, highlights the importance of routine lipid screening among blood donors, and underscores the potential metabolic effects of repeated blood donation.</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sz w:val="22"/>
          <w:szCs w:val="22"/>
        </w:rPr>
      </w:pPr>
      <w:r w:rsidRPr="001D2E54">
        <w:rPr>
          <w:rFonts w:ascii="Times New Roman" w:eastAsia="Times New Roman" w:hAnsi="Times New Roman" w:cs="Times New Roman"/>
          <w:b/>
          <w:color w:val="000000"/>
          <w:sz w:val="22"/>
          <w:szCs w:val="22"/>
        </w:rPr>
        <w:t>Keywords</w:t>
      </w:r>
      <w:r>
        <w:rPr>
          <w:rFonts w:ascii="Times New Roman" w:eastAsia="Times New Roman" w:hAnsi="Times New Roman" w:cs="Times New Roman"/>
          <w:color w:val="000000"/>
          <w:sz w:val="22"/>
          <w:szCs w:val="22"/>
        </w:rPr>
        <w:t>: Dyslipidaemia, cardiovascular disease, blood donors</w:t>
      </w:r>
    </w:p>
    <w:p w:rsidR="00B968F9" w:rsidRDefault="00B968F9">
      <w:pPr>
        <w:pBdr>
          <w:top w:val="nil"/>
          <w:left w:val="nil"/>
          <w:bottom w:val="nil"/>
          <w:right w:val="nil"/>
          <w:between w:val="nil"/>
        </w:pBdr>
        <w:spacing w:line="480" w:lineRule="auto"/>
        <w:jc w:val="both"/>
        <w:rPr>
          <w:rFonts w:ascii="Times New Roman" w:eastAsia="Times New Roman" w:hAnsi="Times New Roman" w:cs="Times New Roman"/>
          <w:color w:val="000000"/>
        </w:rPr>
      </w:pPr>
    </w:p>
    <w:p w:rsidR="00906D5E" w:rsidRDefault="00906D5E">
      <w:pPr>
        <w:pBdr>
          <w:top w:val="nil"/>
          <w:left w:val="nil"/>
          <w:bottom w:val="nil"/>
          <w:right w:val="nil"/>
          <w:between w:val="nil"/>
        </w:pBdr>
        <w:spacing w:line="480" w:lineRule="auto"/>
        <w:jc w:val="both"/>
        <w:rPr>
          <w:rFonts w:ascii="Times New Roman" w:eastAsia="Times New Roman" w:hAnsi="Times New Roman" w:cs="Times New Roman"/>
          <w:color w:val="000000"/>
        </w:rPr>
      </w:pP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b/>
          <w:bCs/>
          <w:color w:val="000000"/>
        </w:rPr>
        <w:t>Introduction</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Cardiovascular diseases (CVDs) remain the leading cause of death globally, with dyslipidaemia recognized as one of the most important modifiable risk factors.¹Dyslipidaemia refers to abnormal levels of blood lipids—such as total cholesterol (TC), triglycerides (TG), low-density lipoprotein cholesterol (LDL-C), and high-density lipoprotein cholesterol (HDL-C)—and is strongly linked to atherosclerosis and coronary artery disease.⁶ ⁷. In Nigeria, studies have reported high prevalence rates of dyslipidaemia even among apparently healthy adults,² with many individuals remaining undiagnosed until complications arise due to its asymptomatic nature.</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Blood donation is a cornerstone of transfusion medicine, providing life-saving products to recipients. However, its potential impact on donor lipid profiles remains an area of active research. Several studies suggest that regular donation may exert a lipid-lowering effect by reducing body iron stores, thereby minimizing oxidative stress and improving cardiovascular health,³ while others have found no significant post-donation lipid changes.⁴ In Nigeria, voluntary donation rates are low, with family replacement dominating the donor pool,⁵ making lipid monitoring in donors essential for ensuring safety and identifying cardiovascular risk.</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Demographic factors—including age, sex, and body mass index (BMI)—also significantly influence lipid concentrations. Advancing age is commonly associated with elevated TC and LDL-C,¹ men generally exhibit less favorable lipid profiles than women until the latter reach menopause,² and higher BMI correlates strongly with atherogenic lipid patterns, increasing CVD risk.³</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Dyslipidaemia, as a major contributor to CVDs—the foremost cause of mortality worldwide⁸—is a significant global health challenge. According to the World Health Organization (WHO), CVDs are responsible for nearly 17.9 million deaths annually.⁹ In Nigeria, where healthcare systems already face the dual burden of inadequate blood supplies and a high prevalence of dyslipidaemia, research indicates that approximately 55% of apparently healthy adults have elevated cholesterol levels.¹⁰ The condition results from imbalances in plasma lipids, including increased TC, LDL-C, TGs, or reduced HDL-C,¹¹ ¹² and may present singly or in combination.¹³ Although its causes are multifactorial, genetic factors are estimated to account for 43–83% of the variation in lipid levels among healthy individuals.¹⁴</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Against this backdrop, the present study determined the prevalence and patterns of dyslipidaemia among blood donors in Ibadan, South-West Nigeria, and examined its associations with demographic factors and donation frequency. Understanding these relationships is essential for safeguarding donor health, guiding targeted recruitment strategies, and reducing CVD risk in this population.</w:t>
      </w:r>
    </w:p>
    <w:p w:rsidR="00B968F9" w:rsidRDefault="00B968F9">
      <w:pPr>
        <w:spacing w:line="480" w:lineRule="auto"/>
        <w:jc w:val="both"/>
        <w:rPr>
          <w:rFonts w:ascii="Times New Roman" w:eastAsia="Times New Roman" w:hAnsi="Times New Roman" w:cs="Times New Roman"/>
          <w:b/>
        </w:rPr>
      </w:pPr>
    </w:p>
    <w:p w:rsidR="00B968F9" w:rsidRDefault="00B968F9">
      <w:pPr>
        <w:spacing w:line="480" w:lineRule="auto"/>
        <w:jc w:val="both"/>
        <w:rPr>
          <w:rFonts w:ascii="Times New Roman" w:eastAsia="Times New Roman" w:hAnsi="Times New Roman" w:cs="Times New Roman"/>
          <w:b/>
        </w:rPr>
      </w:pPr>
    </w:p>
    <w:p w:rsidR="00B968F9" w:rsidRDefault="00B968F9">
      <w:pPr>
        <w:spacing w:line="480" w:lineRule="auto"/>
        <w:jc w:val="both"/>
        <w:rPr>
          <w:rFonts w:ascii="Times New Roman" w:eastAsia="Times New Roman" w:hAnsi="Times New Roman" w:cs="Times New Roman"/>
          <w:b/>
        </w:rPr>
      </w:pPr>
    </w:p>
    <w:p w:rsidR="00B968F9" w:rsidRDefault="00B968F9">
      <w:pPr>
        <w:spacing w:line="480" w:lineRule="auto"/>
        <w:jc w:val="both"/>
        <w:rPr>
          <w:rFonts w:ascii="Times New Roman" w:eastAsia="Times New Roman" w:hAnsi="Times New Roman" w:cs="Times New Roman"/>
          <w:b/>
        </w:rPr>
      </w:pPr>
    </w:p>
    <w:p w:rsidR="00B968F9" w:rsidRDefault="00B968F9">
      <w:pPr>
        <w:spacing w:line="480" w:lineRule="auto"/>
        <w:jc w:val="both"/>
        <w:rPr>
          <w:rFonts w:ascii="Times New Roman" w:eastAsia="Times New Roman" w:hAnsi="Times New Roman" w:cs="Times New Roman"/>
          <w:b/>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 Methods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2.1 Study design and setting</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A cross-sectional descriptive study was carried out from October 2024 to March 2025 at the National Blood Transfusion Service (NBTS) Centre in Ibadan, Oyo State, Nigeria, as well as at selected private laboratories serving as designated blood donation points.</w:t>
      </w:r>
    </w:p>
    <w:p w:rsidR="00B968F9" w:rsidRDefault="009D57AC">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2.2 Study population</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Participants were healthy male and female adults aged 18–65 years. The donor group comprised first-time donors, occasional donors (2–3 donations per year), and regular donors (≥4 donations per year). A control group of non-donors, matched for age and sex, was included for comparative analysis.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2.3 Inclusion and exclusion criteria</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Eligible participants were clinically healthy adults who provided written informed consent. Exclusion criteria included a history of lipid disorders, use of lipid-lowering medication, diabetes mellitus, cardiovascular disease, chronic kidney disease, chronic liver disease, or unwillingness to participate.</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2.4 Sample size</w:t>
      </w:r>
    </w:p>
    <w:p w:rsidR="00E163A2" w:rsidRPr="00E163A2" w:rsidRDefault="00E163A2" w:rsidP="00E163A2">
      <w:pPr>
        <w:spacing w:line="480" w:lineRule="auto"/>
        <w:rPr>
          <w:rFonts w:cs="Times New Roman"/>
          <w:highlight w:val="yellow"/>
        </w:rPr>
      </w:pPr>
      <w:r w:rsidRPr="00E163A2">
        <w:rPr>
          <w:rFonts w:cs="Times New Roman"/>
          <w:highlight w:val="yellow"/>
        </w:rPr>
        <w:t>Using the Cochran method and a known prevalence of 22.8%, the sample size was determined</w:t>
      </w:r>
      <w:r w:rsidRPr="00E163A2">
        <w:rPr>
          <w:rFonts w:cs="Times New Roman"/>
          <w:highlight w:val="yellow"/>
          <w:vertAlign w:val="superscript"/>
        </w:rPr>
        <w:t>10</w:t>
      </w:r>
      <w:r w:rsidRPr="00E163A2">
        <w:rPr>
          <w:rFonts w:cs="Times New Roman"/>
          <w:highlight w:val="yellow"/>
        </w:rPr>
        <w:t xml:space="preserve">. </w:t>
      </w:r>
    </w:p>
    <w:p w:rsidR="00E163A2" w:rsidRPr="00E163A2" w:rsidRDefault="00E163A2" w:rsidP="00E163A2">
      <w:pPr>
        <w:spacing w:line="480" w:lineRule="auto"/>
        <w:rPr>
          <w:rFonts w:cs="Times New Roman"/>
          <w:highlight w:val="yellow"/>
        </w:rPr>
      </w:pPr>
      <w:r w:rsidRPr="00E163A2">
        <w:rPr>
          <w:rFonts w:cs="Times New Roman"/>
          <w:highlight w:val="yellow"/>
        </w:rPr>
        <w:t>n​ = [Z</w:t>
      </w:r>
      <w:r w:rsidRPr="00E163A2">
        <w:rPr>
          <w:rFonts w:cs="Times New Roman"/>
          <w:highlight w:val="yellow"/>
          <w:vertAlign w:val="superscript"/>
        </w:rPr>
        <w:t>2</w:t>
      </w:r>
      <w:r w:rsidRPr="00E163A2">
        <w:rPr>
          <w:rFonts w:ascii="Cambria Math" w:hAnsi="Cambria Math" w:cs="Cambria Math"/>
          <w:highlight w:val="yellow"/>
        </w:rPr>
        <w:t xml:space="preserve"> x </w:t>
      </w:r>
      <w:r w:rsidRPr="00E163A2">
        <w:rPr>
          <w:rFonts w:cs="Times New Roman"/>
          <w:highlight w:val="yellow"/>
        </w:rPr>
        <w:t>p</w:t>
      </w:r>
      <w:r w:rsidRPr="00E163A2">
        <w:rPr>
          <w:rFonts w:ascii="Cambria Math" w:hAnsi="Cambria Math" w:cs="Cambria Math"/>
          <w:highlight w:val="yellow"/>
        </w:rPr>
        <w:t xml:space="preserve"> x </w:t>
      </w:r>
      <w:r w:rsidRPr="00E163A2">
        <w:rPr>
          <w:rFonts w:cs="Times New Roman"/>
          <w:highlight w:val="yellow"/>
        </w:rPr>
        <w:t>(1−p)] / d</w:t>
      </w:r>
      <w:r w:rsidRPr="00E163A2">
        <w:rPr>
          <w:rFonts w:cs="Times New Roman"/>
          <w:highlight w:val="yellow"/>
          <w:vertAlign w:val="superscript"/>
        </w:rPr>
        <w:t>2</w:t>
      </w:r>
      <w:r w:rsidRPr="00E163A2">
        <w:rPr>
          <w:rFonts w:cs="Times New Roman"/>
          <w:highlight w:val="yellow"/>
        </w:rPr>
        <w:t>​</w:t>
      </w:r>
    </w:p>
    <w:p w:rsidR="00E163A2" w:rsidRPr="00E163A2" w:rsidRDefault="00E163A2" w:rsidP="00E163A2">
      <w:pPr>
        <w:spacing w:line="480" w:lineRule="auto"/>
        <w:rPr>
          <w:rFonts w:cs="Times New Roman"/>
          <w:highlight w:val="yellow"/>
        </w:rPr>
      </w:pPr>
      <w:r w:rsidRPr="00E163A2">
        <w:rPr>
          <w:rFonts w:cs="Times New Roman"/>
          <w:highlight w:val="yellow"/>
        </w:rPr>
        <w:t>where n is the number of samples.</w:t>
      </w:r>
    </w:p>
    <w:p w:rsidR="00E163A2" w:rsidRPr="00E163A2" w:rsidRDefault="00E163A2" w:rsidP="00E163A2">
      <w:pPr>
        <w:spacing w:line="480" w:lineRule="auto"/>
        <w:rPr>
          <w:rFonts w:cs="Times New Roman"/>
          <w:highlight w:val="yellow"/>
        </w:rPr>
      </w:pPr>
      <w:r w:rsidRPr="00E163A2">
        <w:rPr>
          <w:rFonts w:cs="Times New Roman"/>
          <w:highlight w:val="yellow"/>
        </w:rPr>
        <w:t xml:space="preserve"> For a 95% confidence interval, Z is the number of standard deviations that correspond to the desired degree of confidence, which is 1.96.</w:t>
      </w:r>
    </w:p>
    <w:p w:rsidR="00E163A2" w:rsidRPr="00E163A2" w:rsidRDefault="00E163A2" w:rsidP="00E163A2">
      <w:pPr>
        <w:spacing w:line="480" w:lineRule="auto"/>
        <w:rPr>
          <w:rFonts w:cs="Times New Roman"/>
          <w:highlight w:val="yellow"/>
        </w:rPr>
      </w:pPr>
      <w:r w:rsidRPr="00E163A2">
        <w:rPr>
          <w:rFonts w:cs="Times New Roman"/>
          <w:highlight w:val="yellow"/>
        </w:rPr>
        <w:lastRenderedPageBreak/>
        <w:t xml:space="preserve"> P = dyslipidaemia prevalence = 22.8%</w:t>
      </w:r>
    </w:p>
    <w:p w:rsidR="00E163A2" w:rsidRPr="00E163A2" w:rsidRDefault="00E163A2" w:rsidP="00E163A2">
      <w:pPr>
        <w:spacing w:line="480" w:lineRule="auto"/>
        <w:rPr>
          <w:rFonts w:cs="Times New Roman"/>
          <w:highlight w:val="yellow"/>
        </w:rPr>
      </w:pPr>
      <w:r w:rsidRPr="00E163A2">
        <w:rPr>
          <w:rFonts w:cs="Times New Roman"/>
          <w:highlight w:val="yellow"/>
        </w:rPr>
        <w:t xml:space="preserve"> D = error margin = 5% = 0.05</w:t>
      </w:r>
    </w:p>
    <w:p w:rsidR="00E163A2" w:rsidRPr="00E163A2" w:rsidRDefault="00E163A2" w:rsidP="00E163A2">
      <w:pPr>
        <w:spacing w:line="480" w:lineRule="auto"/>
        <w:rPr>
          <w:rFonts w:cs="Times New Roman"/>
          <w:highlight w:val="yellow"/>
          <w:vertAlign w:val="superscript"/>
        </w:rPr>
      </w:pPr>
      <w:r w:rsidRPr="00E163A2">
        <w:rPr>
          <w:rFonts w:cs="Times New Roman"/>
          <w:highlight w:val="yellow"/>
        </w:rPr>
        <w:t>n = [1.96</w:t>
      </w:r>
      <w:r w:rsidRPr="00E163A2">
        <w:rPr>
          <w:rFonts w:cs="Times New Roman"/>
          <w:highlight w:val="yellow"/>
          <w:vertAlign w:val="superscript"/>
        </w:rPr>
        <w:t>2</w:t>
      </w:r>
      <w:r w:rsidRPr="00E163A2">
        <w:rPr>
          <w:rFonts w:cs="Times New Roman"/>
          <w:highlight w:val="yellow"/>
        </w:rPr>
        <w:t xml:space="preserve"> x 0.228 x (1 – 0.228)] / 0.05</w:t>
      </w:r>
      <w:r w:rsidRPr="00E163A2">
        <w:rPr>
          <w:rFonts w:cs="Times New Roman"/>
          <w:highlight w:val="yellow"/>
          <w:vertAlign w:val="superscript"/>
        </w:rPr>
        <w:t>2</w:t>
      </w:r>
    </w:p>
    <w:p w:rsidR="00E163A2" w:rsidRPr="00E163A2" w:rsidRDefault="00E163A2" w:rsidP="00E163A2">
      <w:pPr>
        <w:spacing w:line="480" w:lineRule="auto"/>
        <w:rPr>
          <w:rFonts w:cs="Times New Roman"/>
          <w:highlight w:val="yellow"/>
          <w:vertAlign w:val="superscript"/>
        </w:rPr>
      </w:pPr>
      <w:r w:rsidRPr="00E163A2">
        <w:rPr>
          <w:rFonts w:cs="Times New Roman"/>
          <w:highlight w:val="yellow"/>
        </w:rPr>
        <w:t>n = [3.8416 x 0.228 x 0.772] / 0.0025</w:t>
      </w:r>
    </w:p>
    <w:p w:rsidR="00E163A2" w:rsidRPr="00E163A2" w:rsidRDefault="00E163A2" w:rsidP="00E163A2">
      <w:pPr>
        <w:spacing w:line="480" w:lineRule="auto"/>
        <w:rPr>
          <w:rFonts w:cs="Times New Roman"/>
          <w:highlight w:val="yellow"/>
        </w:rPr>
      </w:pPr>
      <w:r w:rsidRPr="00E163A2">
        <w:rPr>
          <w:rFonts w:cs="Times New Roman"/>
          <w:highlight w:val="yellow"/>
        </w:rPr>
        <w:t>n = 0.6762 / 0.0025</w:t>
      </w:r>
    </w:p>
    <w:p w:rsidR="00E163A2" w:rsidRPr="00E163A2" w:rsidRDefault="00E163A2" w:rsidP="00E163A2">
      <w:pPr>
        <w:spacing w:line="480" w:lineRule="auto"/>
        <w:rPr>
          <w:rFonts w:cs="Times New Roman"/>
          <w:highlight w:val="yellow"/>
        </w:rPr>
      </w:pPr>
      <w:r w:rsidRPr="00E163A2">
        <w:rPr>
          <w:rFonts w:cs="Times New Roman"/>
          <w:highlight w:val="yellow"/>
        </w:rPr>
        <w:t xml:space="preserve">n = 270.48 </w:t>
      </w:r>
    </w:p>
    <w:p w:rsidR="00E163A2" w:rsidRPr="00E163A2" w:rsidRDefault="00E163A2" w:rsidP="00E163A2">
      <w:pPr>
        <w:spacing w:line="480" w:lineRule="auto"/>
        <w:rPr>
          <w:rFonts w:cs="Times New Roman"/>
          <w:highlight w:val="yellow"/>
        </w:rPr>
      </w:pPr>
      <w:r w:rsidRPr="00E163A2">
        <w:rPr>
          <w:rFonts w:cs="Times New Roman"/>
          <w:highlight w:val="yellow"/>
        </w:rPr>
        <w:t>n = 270</w:t>
      </w:r>
    </w:p>
    <w:p w:rsidR="00E163A2" w:rsidRPr="00E163A2" w:rsidRDefault="00E163A2" w:rsidP="00E163A2">
      <w:pPr>
        <w:spacing w:line="480" w:lineRule="auto"/>
        <w:rPr>
          <w:rFonts w:cs="Times New Roman"/>
          <w:b/>
          <w:bCs/>
          <w:highlight w:val="yellow"/>
        </w:rPr>
      </w:pPr>
      <w:r w:rsidRPr="00E163A2">
        <w:rPr>
          <w:rFonts w:cs="Times New Roman"/>
          <w:highlight w:val="yellow"/>
        </w:rPr>
        <w:t>Due to potential participant dropout or incomplete data, the attrition rate was accounted for. To adjust the initial sample size for attrition, the following formula was used:</w:t>
      </w:r>
    </w:p>
    <w:p w:rsidR="00E163A2" w:rsidRPr="00E163A2" w:rsidRDefault="00E163A2" w:rsidP="00E163A2">
      <w:pPr>
        <w:spacing w:line="480" w:lineRule="auto"/>
        <w:rPr>
          <w:rFonts w:cs="Times New Roman"/>
          <w:highlight w:val="yellow"/>
        </w:rPr>
      </w:pPr>
      <w:r w:rsidRPr="00E163A2">
        <w:rPr>
          <w:rFonts w:cs="Times New Roman"/>
          <w:highlight w:val="yellow"/>
        </w:rPr>
        <w:t>n</w:t>
      </w:r>
      <w:r w:rsidRPr="00E163A2">
        <w:rPr>
          <w:rFonts w:cs="Times New Roman"/>
          <w:highlight w:val="yellow"/>
          <w:vertAlign w:val="subscript"/>
        </w:rPr>
        <w:t xml:space="preserve">adjusted </w:t>
      </w:r>
      <w:r w:rsidRPr="00E163A2">
        <w:rPr>
          <w:rFonts w:cs="Times New Roman"/>
          <w:highlight w:val="yellow"/>
        </w:rPr>
        <w:t>​= n / 1−r</w:t>
      </w:r>
    </w:p>
    <w:p w:rsidR="00E163A2" w:rsidRPr="00E163A2" w:rsidRDefault="00E163A2" w:rsidP="00E163A2">
      <w:pPr>
        <w:spacing w:line="480" w:lineRule="auto"/>
        <w:rPr>
          <w:rFonts w:cs="Times New Roman"/>
          <w:highlight w:val="yellow"/>
        </w:rPr>
      </w:pPr>
      <w:r w:rsidRPr="00E163A2">
        <w:rPr>
          <w:rFonts w:cs="Times New Roman"/>
          <w:highlight w:val="yellow"/>
        </w:rPr>
        <w:t>where n</w:t>
      </w:r>
      <w:r w:rsidRPr="00E163A2">
        <w:rPr>
          <w:rFonts w:cs="Times New Roman"/>
          <w:highlight w:val="yellow"/>
          <w:vertAlign w:val="subscript"/>
        </w:rPr>
        <w:t xml:space="preserve">adjusted </w:t>
      </w:r>
      <w:r w:rsidRPr="00E163A2">
        <w:rPr>
          <w:rFonts w:cs="Times New Roman"/>
          <w:highlight w:val="yellow"/>
        </w:rPr>
        <w:t>= adjusted sample size accounting for attrition</w:t>
      </w:r>
    </w:p>
    <w:p w:rsidR="00E163A2" w:rsidRPr="00E163A2" w:rsidRDefault="00E163A2" w:rsidP="00E163A2">
      <w:pPr>
        <w:spacing w:line="480" w:lineRule="auto"/>
        <w:rPr>
          <w:rFonts w:cs="Times New Roman"/>
          <w:highlight w:val="yellow"/>
        </w:rPr>
      </w:pPr>
      <w:r w:rsidRPr="00E163A2">
        <w:rPr>
          <w:rFonts w:cs="Times New Roman"/>
          <w:highlight w:val="yellow"/>
        </w:rPr>
        <w:t>n = initial sample size</w:t>
      </w:r>
    </w:p>
    <w:p w:rsidR="00E163A2" w:rsidRPr="00E163A2" w:rsidRDefault="00E163A2" w:rsidP="00E163A2">
      <w:pPr>
        <w:spacing w:line="480" w:lineRule="auto"/>
        <w:rPr>
          <w:rFonts w:cs="Times New Roman"/>
          <w:highlight w:val="yellow"/>
        </w:rPr>
      </w:pPr>
      <w:r w:rsidRPr="00E163A2">
        <w:rPr>
          <w:rFonts w:cs="Times New Roman"/>
          <w:highlight w:val="yellow"/>
        </w:rPr>
        <w:t>r = anticipated attrition rate of 10% = 0.1</w:t>
      </w:r>
    </w:p>
    <w:p w:rsidR="00E163A2" w:rsidRPr="00E163A2" w:rsidRDefault="00E163A2" w:rsidP="00E163A2">
      <w:pPr>
        <w:spacing w:line="480" w:lineRule="auto"/>
        <w:rPr>
          <w:rFonts w:cs="Times New Roman"/>
          <w:highlight w:val="yellow"/>
        </w:rPr>
      </w:pPr>
      <w:r w:rsidRPr="00E163A2">
        <w:rPr>
          <w:rFonts w:cs="Times New Roman"/>
          <w:highlight w:val="yellow"/>
        </w:rPr>
        <w:t>n</w:t>
      </w:r>
      <w:r w:rsidRPr="00E163A2">
        <w:rPr>
          <w:rFonts w:cs="Times New Roman"/>
          <w:highlight w:val="yellow"/>
          <w:vertAlign w:val="subscript"/>
        </w:rPr>
        <w:t xml:space="preserve">adjusted </w:t>
      </w:r>
      <w:r w:rsidRPr="00E163A2">
        <w:rPr>
          <w:rFonts w:cs="Times New Roman"/>
          <w:highlight w:val="yellow"/>
        </w:rPr>
        <w:t xml:space="preserve">= 270 / 1- 0.1       </w:t>
      </w:r>
    </w:p>
    <w:p w:rsidR="00E163A2" w:rsidRPr="00E163A2" w:rsidRDefault="00E163A2" w:rsidP="00E163A2">
      <w:pPr>
        <w:spacing w:line="480" w:lineRule="auto"/>
        <w:rPr>
          <w:rFonts w:cs="Times New Roman"/>
          <w:highlight w:val="yellow"/>
        </w:rPr>
      </w:pPr>
      <w:r w:rsidRPr="00E163A2">
        <w:rPr>
          <w:rFonts w:cs="Times New Roman"/>
          <w:highlight w:val="yellow"/>
        </w:rPr>
        <w:t>n</w:t>
      </w:r>
      <w:r w:rsidRPr="00E163A2">
        <w:rPr>
          <w:rFonts w:cs="Times New Roman"/>
          <w:highlight w:val="yellow"/>
          <w:vertAlign w:val="subscript"/>
        </w:rPr>
        <w:t>adjusted</w:t>
      </w:r>
      <w:r w:rsidRPr="00E163A2">
        <w:rPr>
          <w:rFonts w:cs="Times New Roman"/>
          <w:highlight w:val="yellow"/>
        </w:rPr>
        <w:t xml:space="preserve"> = 270 / 0.9       </w:t>
      </w:r>
    </w:p>
    <w:p w:rsidR="00E163A2" w:rsidRPr="00E163A2" w:rsidRDefault="00E163A2" w:rsidP="00E163A2">
      <w:pPr>
        <w:spacing w:line="480" w:lineRule="auto"/>
        <w:rPr>
          <w:rFonts w:cs="Times New Roman"/>
          <w:highlight w:val="yellow"/>
        </w:rPr>
      </w:pPr>
      <w:r w:rsidRPr="00E163A2">
        <w:rPr>
          <w:rFonts w:cs="Times New Roman"/>
          <w:highlight w:val="yellow"/>
        </w:rPr>
        <w:t>n</w:t>
      </w:r>
      <w:r w:rsidRPr="00E163A2">
        <w:rPr>
          <w:rFonts w:cs="Times New Roman"/>
          <w:highlight w:val="yellow"/>
          <w:vertAlign w:val="subscript"/>
        </w:rPr>
        <w:t xml:space="preserve">adjusted </w:t>
      </w:r>
      <w:r w:rsidRPr="00E163A2">
        <w:rPr>
          <w:rFonts w:cs="Times New Roman"/>
          <w:highlight w:val="yellow"/>
        </w:rPr>
        <w:t>=300</w:t>
      </w:r>
    </w:p>
    <w:p w:rsidR="00E163A2" w:rsidRDefault="00E163A2" w:rsidP="00E163A2">
      <w:pPr>
        <w:spacing w:line="480" w:lineRule="auto"/>
        <w:rPr>
          <w:rFonts w:cs="Times New Roman"/>
        </w:rPr>
      </w:pPr>
      <w:r w:rsidRPr="00E163A2">
        <w:rPr>
          <w:rFonts w:cs="Times New Roman"/>
          <w:highlight w:val="yellow"/>
        </w:rPr>
        <w:t>Thus, 300 samples would be required for this study.</w:t>
      </w:r>
    </w:p>
    <w:p w:rsidR="00B968F9" w:rsidRDefault="00B968F9">
      <w:pPr>
        <w:spacing w:line="480" w:lineRule="auto"/>
        <w:jc w:val="both"/>
        <w:rPr>
          <w:rFonts w:ascii="Times New Roman" w:eastAsia="Times New Roman" w:hAnsi="Times New Roman" w:cs="Times New Roman"/>
          <w:b/>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2.5 Sampling and data collection</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Participants were selected using random sampling from donor lists. Data were obtained through interviewer-administered questionnaires that captured socio-demographic characteristics, donation history, physical activity, and smoking status. Anthropometric measurements, including height and weight, were taken, and body mass index (BMI) was calculated.</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2.6 Blood sample collection and biochemical analysis</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Five millilitres of venous blood were collected from each participant after an overnight fast. Serum lipid parameters (total cholesterol (TC), triglycerides (TG), and high-density lipoprotein cholesterol (HDL-C)) were measured using standard enzymatic methods with Randox® reagents on a spectrophotometer. Low-density lipoprotein cholesterol (LDL-C) was calculated using the Friedewald formula. Dyslipidaemia was defined according to the National Cholesterol Education Program Adult Treatment Panel III (NCEP ATP III) criteria.</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2.7 Statistical analysis</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Data were analysed using IBM SPSS 23.0. Continuous variables were expressed as mean ± standard deviation(SD), while categorical variables were presented as frequencies and percentages. Mean differences were assessed using independent-sample t-tests and one-way analysis of variance (ANOVA). Associations between dyslipidaemia, demographic variables, and donation frequency were examined using the chi-square test. A p-value ≤ 0.05 was considered statistically significant.</w:t>
      </w:r>
    </w:p>
    <w:p w:rsidR="00B968F9" w:rsidRDefault="00E163A2" w:rsidP="00B6547D">
      <w:pPr>
        <w:rPr>
          <w:rFonts w:cs="Times New Roman"/>
          <w:b/>
          <w:bCs/>
        </w:rPr>
      </w:pPr>
      <w:r>
        <w:rPr>
          <w:rFonts w:cs="Times New Roman"/>
          <w:b/>
          <w:bCs/>
        </w:rPr>
        <w:br w:type="page"/>
      </w:r>
    </w:p>
    <w:p w:rsidR="00B6547D" w:rsidRPr="00B6547D" w:rsidRDefault="00B6547D" w:rsidP="00B6547D">
      <w:pPr>
        <w:rPr>
          <w:rFonts w:cs="Times New Roman"/>
          <w:b/>
          <w:bCs/>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rPr>
        <w:t xml:space="preserve">3. </w:t>
      </w:r>
      <w:r>
        <w:rPr>
          <w:rFonts w:ascii="Times New Roman" w:eastAsia="Times New Roman" w:hAnsi="Times New Roman" w:cs="Times New Roman"/>
          <w:b/>
        </w:rPr>
        <w:t>Results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3.1 Sociodemographic Characteristics of Study Participants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1. Sociodemographic Characteristics of Study Participants </w:t>
      </w:r>
    </w:p>
    <w:tbl>
      <w:tblPr>
        <w:tblStyle w:val="ListTable6Colorful1"/>
        <w:tblW w:w="6681" w:type="dxa"/>
        <w:tblLayout w:type="fixed"/>
        <w:tblLook w:val="0420" w:firstRow="1" w:lastRow="0" w:firstColumn="0" w:lastColumn="0" w:noHBand="0" w:noVBand="1"/>
      </w:tblPr>
      <w:tblGrid>
        <w:gridCol w:w="2310"/>
        <w:gridCol w:w="2215"/>
        <w:gridCol w:w="2156"/>
      </w:tblGrid>
      <w:tr w:rsidR="00B968F9" w:rsidTr="00B968F9">
        <w:trPr>
          <w:cnfStyle w:val="100000000000" w:firstRow="1" w:lastRow="0" w:firstColumn="0" w:lastColumn="0" w:oddVBand="0" w:evenVBand="0" w:oddHBand="0" w:evenHBand="0" w:firstRowFirstColumn="0" w:firstRowLastColumn="0" w:lastRowFirstColumn="0" w:lastRowLastColumn="0"/>
        </w:trPr>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Variable</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Blood donors</w:t>
            </w:r>
          </w:p>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(n=250)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Controls (n=50)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Age (years)</w:t>
            </w:r>
          </w:p>
        </w:tc>
        <w:tc>
          <w:tcPr>
            <w:tcW w:w="2215"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Mean ± SD</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36.5 ± 10.2</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38.1 ± 9.8</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&lt;20</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5(2.0%)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3(6.0%)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21-30</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68(27.2%)</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11(22.0%)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31-40</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62(24.8%)</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15(30.0%)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41-50</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59(23.6%)</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11(22.0%)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56(22.4%)</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10(20.0%)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Sex, n (%)</w:t>
            </w:r>
          </w:p>
        </w:tc>
        <w:tc>
          <w:tcPr>
            <w:tcW w:w="2215" w:type="dxa"/>
            <w:vAlign w:val="center"/>
          </w:tcPr>
          <w:p w:rsidR="00B968F9" w:rsidRDefault="00B968F9">
            <w:pPr>
              <w:spacing w:line="360" w:lineRule="auto"/>
              <w:jc w:val="center"/>
              <w:rPr>
                <w:rFonts w:ascii="Times New Roman" w:eastAsia="Times New Roman" w:hAnsi="Times New Roman" w:cs="Times New Roman"/>
              </w:rPr>
            </w:pPr>
          </w:p>
        </w:tc>
        <w:tc>
          <w:tcPr>
            <w:tcW w:w="2156" w:type="dxa"/>
            <w:vAlign w:val="center"/>
          </w:tcPr>
          <w:p w:rsidR="00B968F9" w:rsidRDefault="00B968F9">
            <w:pPr>
              <w:spacing w:line="360" w:lineRule="auto"/>
              <w:jc w:val="center"/>
              <w:rPr>
                <w:rFonts w:ascii="Times New Roman" w:eastAsia="Times New Roman" w:hAnsi="Times New Roman" w:cs="Times New Roman"/>
              </w:rPr>
            </w:pP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Female</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10(4.0%)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28(56.0%)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Male</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240(96.0%)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22(44.0%)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BMI, n (%)</w:t>
            </w:r>
          </w:p>
        </w:tc>
        <w:tc>
          <w:tcPr>
            <w:tcW w:w="2215"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Mean ± SD</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23.1 ± 2.8</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25.6 ± 4.1</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Underweight</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13(26.0%)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Normal weight</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180(72.0%)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12(24.0%)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Overweight</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50(20.0%)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12(24.0%)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Obese</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20(8.0%)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13(26.0%)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Donation frequency, n (%)</w:t>
            </w:r>
          </w:p>
        </w:tc>
        <w:tc>
          <w:tcPr>
            <w:tcW w:w="2215"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First time</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85(34.0%)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Occasionally (2-3 years)</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90(36.0%)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Regularly ( ≥ 4 </w:t>
            </w:r>
            <w:r>
              <w:rPr>
                <w:rFonts w:ascii="Times New Roman" w:eastAsia="Times New Roman" w:hAnsi="Times New Roman" w:cs="Times New Roman"/>
              </w:rPr>
              <w:lastRenderedPageBreak/>
              <w:t>years)</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75(30.0%)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bl>
    <w:p w:rsidR="00B968F9" w:rsidRDefault="00B968F9">
      <w:pPr>
        <w:spacing w:line="480" w:lineRule="auto"/>
        <w:jc w:val="both"/>
        <w:rPr>
          <w:rFonts w:ascii="Times New Roman" w:eastAsia="Times New Roman" w:hAnsi="Times New Roman" w:cs="Times New Roman"/>
        </w:rPr>
      </w:pPr>
    </w:p>
    <w:p w:rsidR="00B968F9" w:rsidRPr="00BE7A9A" w:rsidRDefault="00BE7A9A">
      <w:pPr>
        <w:spacing w:line="480" w:lineRule="auto"/>
        <w:jc w:val="both"/>
        <w:rPr>
          <w:rFonts w:ascii="Times New Roman" w:eastAsia="Times New Roman" w:hAnsi="Times New Roman" w:cs="Times New Roman"/>
        </w:rPr>
      </w:pPr>
      <w:r w:rsidRPr="00BE7A9A">
        <w:rPr>
          <w:highlight w:val="yellow"/>
        </w:rPr>
        <w:t>Table 1 shows that donors were predominantly male (96%) compared to controls (70%) (</w:t>
      </w:r>
      <w:r w:rsidRPr="00BE7A9A">
        <w:rPr>
          <w:rStyle w:val="Strong"/>
          <w:b w:val="0"/>
          <w:highlight w:val="yellow"/>
        </w:rPr>
        <w:t>p &lt; 0.001</w:t>
      </w:r>
      <w:r w:rsidRPr="00BE7A9A">
        <w:rPr>
          <w:b/>
          <w:highlight w:val="yellow"/>
        </w:rPr>
        <w:t>)</w:t>
      </w:r>
      <w:r w:rsidRPr="00BE7A9A">
        <w:rPr>
          <w:highlight w:val="yellow"/>
        </w:rPr>
        <w:t xml:space="preserve"> and slightly younger (36.5 ± 10.2 vs. 38.1 ± 9.8 years; </w:t>
      </w:r>
      <w:r w:rsidRPr="00BE7A9A">
        <w:rPr>
          <w:rStyle w:val="Strong"/>
          <w:b w:val="0"/>
          <w:highlight w:val="yellow"/>
        </w:rPr>
        <w:t>p = 0.214</w:t>
      </w:r>
      <w:r w:rsidRPr="00BE7A9A">
        <w:rPr>
          <w:highlight w:val="yellow"/>
        </w:rPr>
        <w:t xml:space="preserve">). Most donors had normal BMI (72% vs. 24%; </w:t>
      </w:r>
      <w:r w:rsidRPr="00BE7A9A">
        <w:rPr>
          <w:rStyle w:val="Strong"/>
          <w:b w:val="0"/>
          <w:highlight w:val="yellow"/>
        </w:rPr>
        <w:t>p &lt; 0.001</w:t>
      </w:r>
      <w:r w:rsidRPr="00BE7A9A">
        <w:rPr>
          <w:highlight w:val="yellow"/>
        </w:rPr>
        <w:t>) due to pre-donation screening. The distribution of first-time, occasional, and regular donors (34%, 36%, 30%) supports analysis of donation frequency effects.</w:t>
      </w:r>
    </w:p>
    <w:p w:rsidR="00B968F9" w:rsidRDefault="009D57AC">
      <w:pPr>
        <w:rPr>
          <w:rFonts w:ascii="Times New Roman" w:eastAsia="Times New Roman" w:hAnsi="Times New Roman" w:cs="Times New Roman"/>
          <w:b/>
        </w:rPr>
      </w:pPr>
      <w:r>
        <w:rPr>
          <w:rFonts w:ascii="Times New Roman" w:eastAsia="Times New Roman" w:hAnsi="Times New Roman" w:cs="Times New Roman"/>
          <w:b/>
        </w:rPr>
        <w:br w:type="page"/>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3.2 Comparison of Lipid Profiles between Donors and Controls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Table 2. Comparison of Lipid Profiles between Donors and Controls</w:t>
      </w:r>
    </w:p>
    <w:tbl>
      <w:tblPr>
        <w:tblStyle w:val="ListTable6Colorful1"/>
        <w:tblW w:w="6681" w:type="dxa"/>
        <w:tblLayout w:type="fixed"/>
        <w:tblLook w:val="0420" w:firstRow="1" w:lastRow="0" w:firstColumn="0" w:lastColumn="0" w:noHBand="0" w:noVBand="1"/>
      </w:tblPr>
      <w:tblGrid>
        <w:gridCol w:w="1671"/>
        <w:gridCol w:w="1670"/>
        <w:gridCol w:w="1670"/>
        <w:gridCol w:w="1670"/>
      </w:tblGrid>
      <w:tr w:rsidR="00B968F9" w:rsidTr="00B968F9">
        <w:trPr>
          <w:cnfStyle w:val="100000000000" w:firstRow="1" w:lastRow="0" w:firstColumn="0" w:lastColumn="0" w:oddVBand="0" w:evenVBand="0" w:oddHBand="0" w:evenHBand="0" w:firstRowFirstColumn="0" w:firstRowLastColumn="0" w:lastRowFirstColumn="0" w:lastRowLastColumn="0"/>
        </w:trPr>
        <w:tc>
          <w:tcPr>
            <w:tcW w:w="1671"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Parameter</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Donors (mean ± SD)</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Controls (mean ± SD)</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p-value</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1671"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Total Cholesterol (mg/dL)</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206.90 ± 25.42</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190.40 ± 19.54</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&lt;0.001</w:t>
            </w:r>
          </w:p>
        </w:tc>
      </w:tr>
      <w:tr w:rsidR="00B968F9" w:rsidTr="00B968F9">
        <w:tc>
          <w:tcPr>
            <w:tcW w:w="1671"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Triglycerides (mg/dL)</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144.35 ± 27.13</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155.60 ± 25.68</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&lt;0.007</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1671"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LDL-C (mg/dL)</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128.93 ± 23.09</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127.12 ± 16.53</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&lt;0.599</w:t>
            </w:r>
          </w:p>
        </w:tc>
      </w:tr>
      <w:tr w:rsidR="00B968F9" w:rsidTr="00B968F9">
        <w:tc>
          <w:tcPr>
            <w:tcW w:w="1671"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HDL-C (mg/dL)</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50.50 ± 8.90</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48.16 ± 11.29</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&lt;0.107</w:t>
            </w:r>
          </w:p>
        </w:tc>
      </w:tr>
    </w:tbl>
    <w:p w:rsidR="00B968F9" w:rsidRDefault="00BE7A9A">
      <w:pPr>
        <w:spacing w:line="480" w:lineRule="auto"/>
        <w:jc w:val="both"/>
        <w:rPr>
          <w:rFonts w:ascii="Times New Roman" w:eastAsia="Times New Roman" w:hAnsi="Times New Roman" w:cs="Times New Roman"/>
        </w:rPr>
      </w:pPr>
      <w:r w:rsidRPr="00BE7A9A">
        <w:rPr>
          <w:highlight w:val="yellow"/>
        </w:rPr>
        <w:t xml:space="preserve">Table 2 shows donors had higher TC (206.9 ± 25.4 vs. 190.4 ± 19.5 mg/dL; </w:t>
      </w:r>
      <w:r w:rsidRPr="00BE7A9A">
        <w:rPr>
          <w:rStyle w:val="Strong"/>
          <w:b w:val="0"/>
          <w:highlight w:val="yellow"/>
        </w:rPr>
        <w:t>p &lt; 0.001</w:t>
      </w:r>
      <w:r w:rsidRPr="00BE7A9A">
        <w:rPr>
          <w:b/>
          <w:highlight w:val="yellow"/>
        </w:rPr>
        <w:t>)</w:t>
      </w:r>
      <w:r w:rsidRPr="00BE7A9A">
        <w:rPr>
          <w:highlight w:val="yellow"/>
        </w:rPr>
        <w:t xml:space="preserve"> but lower TG (144.4 ± 27.1 vs. 155.6 ± 25.7 mg/dL; </w:t>
      </w:r>
      <w:r w:rsidRPr="00BE7A9A">
        <w:rPr>
          <w:rStyle w:val="Strong"/>
          <w:b w:val="0"/>
          <w:highlight w:val="yellow"/>
        </w:rPr>
        <w:t>p = 0.007</w:t>
      </w:r>
      <w:r w:rsidRPr="00BE7A9A">
        <w:rPr>
          <w:highlight w:val="yellow"/>
        </w:rPr>
        <w:t>) than controls. LDL-C (</w:t>
      </w:r>
      <w:r w:rsidRPr="00BE7A9A">
        <w:rPr>
          <w:rStyle w:val="Strong"/>
          <w:b w:val="0"/>
          <w:highlight w:val="yellow"/>
        </w:rPr>
        <w:t>p = 0.599</w:t>
      </w:r>
      <w:r w:rsidRPr="00BE7A9A">
        <w:rPr>
          <w:b/>
          <w:highlight w:val="yellow"/>
        </w:rPr>
        <w:t>)</w:t>
      </w:r>
      <w:r w:rsidRPr="00BE7A9A">
        <w:rPr>
          <w:highlight w:val="yellow"/>
        </w:rPr>
        <w:t xml:space="preserve"> and HDL-C </w:t>
      </w:r>
      <w:r w:rsidRPr="00BE7A9A">
        <w:rPr>
          <w:b/>
          <w:highlight w:val="yellow"/>
        </w:rPr>
        <w:t>(</w:t>
      </w:r>
      <w:r w:rsidRPr="00BE7A9A">
        <w:rPr>
          <w:rStyle w:val="Strong"/>
          <w:b w:val="0"/>
          <w:highlight w:val="yellow"/>
        </w:rPr>
        <w:t>p = 0.107</w:t>
      </w:r>
      <w:r w:rsidRPr="00BE7A9A">
        <w:rPr>
          <w:b/>
          <w:highlight w:val="yellow"/>
        </w:rPr>
        <w:t>)</w:t>
      </w:r>
      <w:r w:rsidRPr="00BE7A9A">
        <w:rPr>
          <w:highlight w:val="yellow"/>
        </w:rPr>
        <w:t xml:space="preserve"> showed no significant differences. Elevated TC may reflect diet or genetics, while lower TG supports potential cardioprotective effects of regular donation. Routine lipid screening and longitudinal follow-up are recommended.</w:t>
      </w: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9D57AC" w:rsidP="00BE7A9A">
      <w:pPr>
        <w:spacing w:line="480" w:lineRule="auto"/>
        <w:jc w:val="both"/>
        <w:rPr>
          <w:rFonts w:ascii="Times New Roman" w:eastAsia="Times New Roman" w:hAnsi="Times New Roman" w:cs="Times New Roman"/>
          <w:b/>
        </w:rPr>
      </w:pPr>
      <w:r>
        <w:rPr>
          <w:rFonts w:ascii="Times New Roman" w:eastAsia="Times New Roman" w:hAnsi="Times New Roman" w:cs="Times New Roman"/>
          <w:b/>
        </w:rPr>
        <w:t>3.3 Prevalence of dyslipidaemia</w:t>
      </w:r>
    </w:p>
    <w:p w:rsidR="00B968F9" w:rsidRPr="00BE7A9A" w:rsidRDefault="009D57AC" w:rsidP="00BE7A9A">
      <w:pPr>
        <w:spacing w:line="480" w:lineRule="auto"/>
        <w:jc w:val="both"/>
        <w:rPr>
          <w:rFonts w:ascii="Times New Roman" w:eastAsia="Times New Roman" w:hAnsi="Times New Roman" w:cs="Times New Roman"/>
          <w:b/>
        </w:rPr>
      </w:pPr>
      <w:r>
        <w:rPr>
          <w:rFonts w:ascii="Times New Roman" w:hAnsi="Times New Roman" w:cs="Times New Roman"/>
          <w:b/>
          <w:bCs/>
        </w:rPr>
        <w:t xml:space="preserve">Table 3: Prevalence of Dyslipidaemia (Based on NcepAtp Iii Criteria) Among Test and Control Groups </w:t>
      </w:r>
    </w:p>
    <w:tbl>
      <w:tblPr>
        <w:tblStyle w:val="ListTable6Colorful1"/>
        <w:tblW w:w="0" w:type="auto"/>
        <w:tblLook w:val="04A0" w:firstRow="1" w:lastRow="0" w:firstColumn="1" w:lastColumn="0" w:noHBand="0" w:noVBand="1"/>
      </w:tblPr>
      <w:tblGrid>
        <w:gridCol w:w="2008"/>
        <w:gridCol w:w="1187"/>
        <w:gridCol w:w="1158"/>
        <w:gridCol w:w="1187"/>
        <w:gridCol w:w="1158"/>
        <w:gridCol w:w="1942"/>
      </w:tblGrid>
      <w:tr w:rsidR="00B968F9" w:rsidTr="00B96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B968F9" w:rsidRDefault="009D57AC">
            <w:pPr>
              <w:spacing w:after="160" w:line="360" w:lineRule="auto"/>
              <w:rPr>
                <w:rFonts w:ascii="Times New Roman" w:hAnsi="Times New Roman" w:cs="Times New Roman"/>
              </w:rPr>
            </w:pPr>
            <w:r>
              <w:rPr>
                <w:rFonts w:ascii="Times New Roman" w:hAnsi="Times New Roman" w:cs="Times New Roman"/>
                <w:b w:val="0"/>
                <w:bCs w:val="0"/>
              </w:rPr>
              <w:t>Dyslipidaemi status</w:t>
            </w:r>
          </w:p>
        </w:tc>
        <w:tc>
          <w:tcPr>
            <w:tcW w:w="2345" w:type="dxa"/>
            <w:gridSpan w:val="2"/>
            <w:hideMark/>
          </w:tcPr>
          <w:p w:rsidR="00B968F9" w:rsidRDefault="009D57AC">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Test (n = 250)</w:t>
            </w:r>
          </w:p>
        </w:tc>
        <w:tc>
          <w:tcPr>
            <w:tcW w:w="2345" w:type="dxa"/>
            <w:gridSpan w:val="2"/>
            <w:hideMark/>
          </w:tcPr>
          <w:p w:rsidR="00B968F9" w:rsidRDefault="009D57AC">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Control (n = 50)</w:t>
            </w:r>
          </w:p>
        </w:tc>
        <w:tc>
          <w:tcPr>
            <w:tcW w:w="1942" w:type="dxa"/>
          </w:tcPr>
          <w:p w:rsidR="00B968F9" w:rsidRDefault="009D57A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p-value</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shd w:val="clear" w:color="auto" w:fill="auto"/>
          </w:tcPr>
          <w:p w:rsidR="00B968F9" w:rsidRDefault="00B968F9">
            <w:pPr>
              <w:spacing w:after="160" w:line="360" w:lineRule="auto"/>
              <w:rPr>
                <w:rFonts w:ascii="Times New Roman" w:hAnsi="Times New Roman" w:cs="Times New Roman"/>
              </w:rPr>
            </w:pPr>
          </w:p>
        </w:tc>
        <w:tc>
          <w:tcPr>
            <w:tcW w:w="1187"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Freq</w:t>
            </w:r>
          </w:p>
        </w:tc>
        <w:tc>
          <w:tcPr>
            <w:tcW w:w="1158"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187"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Freq</w:t>
            </w:r>
          </w:p>
        </w:tc>
        <w:tc>
          <w:tcPr>
            <w:tcW w:w="1158"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942" w:type="dxa"/>
            <w:shd w:val="clear" w:color="auto" w:fill="auto"/>
          </w:tcPr>
          <w:p w:rsidR="00B968F9" w:rsidRDefault="00B968F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968F9" w:rsidTr="00B968F9">
        <w:tc>
          <w:tcPr>
            <w:cnfStyle w:val="001000000000" w:firstRow="0" w:lastRow="0" w:firstColumn="1" w:lastColumn="0" w:oddVBand="0" w:evenVBand="0" w:oddHBand="0" w:evenHBand="0" w:firstRowFirstColumn="0" w:firstRowLastColumn="0" w:lastRowFirstColumn="0" w:lastRowLastColumn="0"/>
            <w:tcW w:w="2008" w:type="dxa"/>
            <w:hideMark/>
          </w:tcPr>
          <w:p w:rsidR="00B968F9" w:rsidRDefault="009D57AC">
            <w:pPr>
              <w:spacing w:after="160" w:line="360" w:lineRule="auto"/>
              <w:rPr>
                <w:rFonts w:ascii="Times New Roman" w:hAnsi="Times New Roman" w:cs="Times New Roman"/>
              </w:rPr>
            </w:pPr>
            <w:r>
              <w:rPr>
                <w:rFonts w:ascii="Times New Roman" w:hAnsi="Times New Roman" w:cs="Times New Roman"/>
                <w:b w:val="0"/>
                <w:bCs w:val="0"/>
              </w:rPr>
              <w:t>Present (≥ 1 abnormal lipid value)</w:t>
            </w:r>
          </w:p>
        </w:tc>
        <w:tc>
          <w:tcPr>
            <w:tcW w:w="1187" w:type="dxa"/>
            <w:hideMark/>
          </w:tcPr>
          <w:p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w:t>
            </w:r>
          </w:p>
        </w:tc>
        <w:tc>
          <w:tcPr>
            <w:tcW w:w="1158" w:type="dxa"/>
            <w:hideMark/>
          </w:tcPr>
          <w:p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tc>
        <w:tc>
          <w:tcPr>
            <w:tcW w:w="1187" w:type="dxa"/>
            <w:hideMark/>
          </w:tcPr>
          <w:p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1158" w:type="dxa"/>
            <w:hideMark/>
          </w:tcPr>
          <w:p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c>
          <w:tcPr>
            <w:tcW w:w="1942" w:type="dxa"/>
          </w:tcPr>
          <w:p w:rsidR="00B968F9" w:rsidRDefault="009D57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0.134</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shd w:val="clear" w:color="auto" w:fill="auto"/>
            <w:hideMark/>
          </w:tcPr>
          <w:p w:rsidR="00B968F9" w:rsidRDefault="009D57AC">
            <w:pPr>
              <w:spacing w:after="160" w:line="360" w:lineRule="auto"/>
              <w:rPr>
                <w:rFonts w:ascii="Times New Roman" w:hAnsi="Times New Roman" w:cs="Times New Roman"/>
              </w:rPr>
            </w:pPr>
            <w:r>
              <w:rPr>
                <w:rFonts w:ascii="Times New Roman" w:hAnsi="Times New Roman" w:cs="Times New Roman"/>
                <w:b w:val="0"/>
                <w:bCs w:val="0"/>
              </w:rPr>
              <w:t xml:space="preserve">Absent (All normal lipid values) </w:t>
            </w:r>
          </w:p>
        </w:tc>
        <w:tc>
          <w:tcPr>
            <w:tcW w:w="1187"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w:t>
            </w:r>
          </w:p>
        </w:tc>
        <w:tc>
          <w:tcPr>
            <w:tcW w:w="1158"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74.0</w:t>
            </w:r>
          </w:p>
        </w:tc>
        <w:tc>
          <w:tcPr>
            <w:tcW w:w="1187"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w:t>
            </w:r>
          </w:p>
        </w:tc>
        <w:tc>
          <w:tcPr>
            <w:tcW w:w="1158"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66.0</w:t>
            </w:r>
          </w:p>
        </w:tc>
        <w:tc>
          <w:tcPr>
            <w:tcW w:w="1942" w:type="dxa"/>
            <w:shd w:val="clear" w:color="auto" w:fill="auto"/>
          </w:tcPr>
          <w:p w:rsidR="00B968F9" w:rsidRDefault="009D57A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0.107</w:t>
            </w:r>
          </w:p>
        </w:tc>
      </w:tr>
    </w:tbl>
    <w:p w:rsidR="00B968F9" w:rsidRPr="00BE7A9A" w:rsidRDefault="009D57AC" w:rsidP="00BE7A9A">
      <w:pPr>
        <w:spacing w:line="360" w:lineRule="auto"/>
        <w:rPr>
          <w:rFonts w:ascii="Times New Roman" w:hAnsi="Times New Roman" w:cs="Times New Roman"/>
        </w:rPr>
      </w:pPr>
      <w:r>
        <w:rPr>
          <w:rFonts w:ascii="Times New Roman" w:hAnsi="Times New Roman" w:cs="Times New Roman"/>
        </w:rPr>
        <w:t>Freq: Frequency; %: Percentage</w:t>
      </w:r>
    </w:p>
    <w:p w:rsidR="00B968F9" w:rsidRPr="00BE7A9A" w:rsidRDefault="00BE7A9A">
      <w:pPr>
        <w:spacing w:line="480" w:lineRule="auto"/>
        <w:jc w:val="both"/>
        <w:rPr>
          <w:rFonts w:ascii="Times New Roman" w:eastAsia="Times New Roman" w:hAnsi="Times New Roman" w:cs="Times New Roman"/>
          <w:b/>
        </w:rPr>
      </w:pPr>
      <w:r w:rsidRPr="00BE7A9A">
        <w:rPr>
          <w:highlight w:val="yellow"/>
        </w:rPr>
        <w:t xml:space="preserve">The prevalence of dyslipidaemia was 26.0% among donors and 34.0% among controls </w:t>
      </w:r>
      <w:r w:rsidRPr="00BE7A9A">
        <w:rPr>
          <w:b/>
          <w:highlight w:val="yellow"/>
        </w:rPr>
        <w:t>(</w:t>
      </w:r>
      <w:r w:rsidRPr="00BE7A9A">
        <w:rPr>
          <w:rStyle w:val="Strong"/>
          <w:b w:val="0"/>
          <w:highlight w:val="yellow"/>
        </w:rPr>
        <w:t>p = 0.134</w:t>
      </w:r>
      <w:r w:rsidRPr="00BE7A9A">
        <w:rPr>
          <w:b/>
          <w:highlight w:val="yellow"/>
        </w:rPr>
        <w:t>).</w:t>
      </w:r>
      <w:r w:rsidRPr="00BE7A9A">
        <w:rPr>
          <w:highlight w:val="yellow"/>
        </w:rPr>
        <w:t xml:space="preserve"> Elevated TC (206.9 mg/dL) was the most common abnormality, followed by hypertriglyceridemia (144.4 mg/dL) and low HDL-C (50.5 mg/dL). Mean LDL-C was 128.9 mg/dL, showing no significant difference from controls (</w:t>
      </w:r>
      <w:r w:rsidRPr="00BE7A9A">
        <w:rPr>
          <w:rStyle w:val="Strong"/>
          <w:b w:val="0"/>
          <w:highlight w:val="yellow"/>
        </w:rPr>
        <w:t>p = 0.599</w:t>
      </w:r>
      <w:r w:rsidRPr="00BE7A9A">
        <w:rPr>
          <w:b/>
          <w:highlight w:val="yellow"/>
        </w:rPr>
        <w:t>).</w:t>
      </w:r>
    </w:p>
    <w:p w:rsidR="00B968F9" w:rsidRDefault="009D57AC">
      <w:pPr>
        <w:rPr>
          <w:rFonts w:ascii="Times New Roman" w:eastAsia="Times New Roman" w:hAnsi="Times New Roman" w:cs="Times New Roman"/>
          <w:b/>
          <w:bCs/>
        </w:rPr>
      </w:pPr>
      <w:r>
        <w:rPr>
          <w:rFonts w:ascii="Times New Roman" w:eastAsia="Times New Roman" w:hAnsi="Times New Roman" w:cs="Times New Roman"/>
          <w:b/>
          <w:bCs/>
        </w:rPr>
        <w:br w:type="page"/>
      </w:r>
    </w:p>
    <w:p w:rsidR="00B968F9" w:rsidRPr="00B6547D" w:rsidRDefault="009D57AC" w:rsidP="00B6547D">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3.4 Association with Demographic factors </w:t>
      </w:r>
      <w:r>
        <w:rPr>
          <w:rFonts w:ascii="Times New Roman" w:hAnsi="Times New Roman" w:cs="Times New Roman"/>
          <w:b/>
          <w:bCs/>
        </w:rPr>
        <w:br w:type="page"/>
      </w:r>
    </w:p>
    <w:p w:rsidR="00B968F9" w:rsidRDefault="009D57AC">
      <w:pPr>
        <w:spacing w:line="360" w:lineRule="auto"/>
        <w:rPr>
          <w:rFonts w:ascii="Times New Roman" w:hAnsi="Times New Roman" w:cs="Times New Roman"/>
          <w:b/>
          <w:bCs/>
        </w:rPr>
      </w:pPr>
      <w:r>
        <w:rPr>
          <w:rFonts w:ascii="Times New Roman" w:hAnsi="Times New Roman" w:cs="Times New Roman"/>
          <w:b/>
          <w:bCs/>
        </w:rPr>
        <w:lastRenderedPageBreak/>
        <w:t>Table 4: Association Between Sociodemographic Factors and Dyslipidaemiaamong Blood Donors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930"/>
        <w:gridCol w:w="1120"/>
        <w:gridCol w:w="1020"/>
        <w:gridCol w:w="741"/>
        <w:gridCol w:w="749"/>
        <w:gridCol w:w="1308"/>
      </w:tblGrid>
      <w:tr w:rsidR="00B968F9">
        <w:trPr>
          <w:trHeight w:val="205"/>
        </w:trPr>
        <w:tc>
          <w:tcPr>
            <w:tcW w:w="3702" w:type="dxa"/>
            <w:gridSpan w:val="2"/>
            <w:vMerge w:val="restart"/>
            <w:tcBorders>
              <w:top w:val="single" w:sz="4" w:space="0" w:color="auto"/>
              <w:bottom w:val="single" w:sz="4" w:space="0" w:color="auto"/>
            </w:tcBorders>
          </w:tcPr>
          <w:p w:rsidR="00B968F9" w:rsidRDefault="00B968F9">
            <w:pPr>
              <w:spacing w:line="360" w:lineRule="auto"/>
              <w:rPr>
                <w:rFonts w:ascii="Times New Roman" w:hAnsi="Times New Roman" w:cs="Times New Roman"/>
                <w:b/>
                <w:bCs/>
                <w:sz w:val="24"/>
                <w:szCs w:val="24"/>
              </w:rPr>
            </w:pPr>
          </w:p>
        </w:tc>
        <w:tc>
          <w:tcPr>
            <w:tcW w:w="2140" w:type="dxa"/>
            <w:gridSpan w:val="2"/>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Dyslipidaemia</w:t>
            </w:r>
          </w:p>
        </w:tc>
        <w:tc>
          <w:tcPr>
            <w:tcW w:w="741" w:type="dxa"/>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749" w:type="dxa"/>
            <w:vMerge w:val="restart"/>
            <w:tcBorders>
              <w:top w:val="single" w:sz="4" w:space="0" w:color="auto"/>
              <w:bottom w:val="single" w:sz="4" w:space="0" w:color="auto"/>
            </w:tcBorders>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dF</w:t>
            </w:r>
          </w:p>
        </w:tc>
        <w:tc>
          <w:tcPr>
            <w:tcW w:w="1308" w:type="dxa"/>
            <w:vMerge w:val="restart"/>
            <w:tcBorders>
              <w:top w:val="single" w:sz="4" w:space="0" w:color="auto"/>
              <w:bottom w:val="single" w:sz="4" w:space="0" w:color="auto"/>
            </w:tcBorders>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p-value</w:t>
            </w:r>
          </w:p>
        </w:tc>
      </w:tr>
      <w:tr w:rsidR="00B968F9">
        <w:trPr>
          <w:trHeight w:val="205"/>
        </w:trPr>
        <w:tc>
          <w:tcPr>
            <w:tcW w:w="3702" w:type="dxa"/>
            <w:gridSpan w:val="2"/>
            <w:vMerge/>
            <w:tcBorders>
              <w:top w:val="nil"/>
              <w:bottom w:val="single" w:sz="4" w:space="0" w:color="auto"/>
            </w:tcBorders>
          </w:tcPr>
          <w:p w:rsidR="00B968F9" w:rsidRDefault="00B968F9">
            <w:pPr>
              <w:spacing w:line="360" w:lineRule="auto"/>
              <w:rPr>
                <w:rFonts w:ascii="Times New Roman" w:hAnsi="Times New Roman" w:cs="Times New Roman"/>
                <w:sz w:val="24"/>
                <w:szCs w:val="24"/>
              </w:rPr>
            </w:pPr>
          </w:p>
        </w:tc>
        <w:tc>
          <w:tcPr>
            <w:tcW w:w="1120" w:type="dxa"/>
            <w:tcBorders>
              <w:top w:val="nil"/>
              <w:bottom w:val="single" w:sz="4" w:space="0" w:color="auto"/>
            </w:tcBorders>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Yes</w:t>
            </w:r>
          </w:p>
        </w:tc>
        <w:tc>
          <w:tcPr>
            <w:tcW w:w="1020" w:type="dxa"/>
            <w:tcBorders>
              <w:top w:val="nil"/>
              <w:bottom w:val="single" w:sz="4" w:space="0" w:color="auto"/>
            </w:tcBorders>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741" w:type="dxa"/>
            <w:tcBorders>
              <w:top w:val="nil"/>
              <w:bottom w:val="single" w:sz="4" w:space="0" w:color="auto"/>
            </w:tcBorders>
          </w:tcPr>
          <w:p w:rsidR="00B968F9" w:rsidRDefault="00B968F9">
            <w:pPr>
              <w:spacing w:line="360" w:lineRule="auto"/>
              <w:rPr>
                <w:rFonts w:ascii="Times New Roman" w:hAnsi="Times New Roman" w:cs="Times New Roman"/>
                <w:sz w:val="24"/>
                <w:szCs w:val="24"/>
              </w:rPr>
            </w:pPr>
          </w:p>
        </w:tc>
        <w:tc>
          <w:tcPr>
            <w:tcW w:w="749" w:type="dxa"/>
            <w:vMerge/>
            <w:tcBorders>
              <w:top w:val="nil"/>
              <w:bottom w:val="single" w:sz="4" w:space="0" w:color="auto"/>
            </w:tcBorders>
          </w:tcPr>
          <w:p w:rsidR="00B968F9" w:rsidRDefault="00B968F9">
            <w:pPr>
              <w:spacing w:line="360" w:lineRule="auto"/>
              <w:rPr>
                <w:rFonts w:ascii="Times New Roman" w:hAnsi="Times New Roman" w:cs="Times New Roman"/>
                <w:sz w:val="24"/>
                <w:szCs w:val="24"/>
              </w:rPr>
            </w:pPr>
          </w:p>
        </w:tc>
        <w:tc>
          <w:tcPr>
            <w:tcW w:w="1308" w:type="dxa"/>
            <w:vMerge/>
            <w:tcBorders>
              <w:top w:val="nil"/>
              <w:bottom w:val="single" w:sz="4" w:space="0" w:color="auto"/>
            </w:tcBorders>
          </w:tcPr>
          <w:p w:rsidR="00B968F9" w:rsidRDefault="00B968F9">
            <w:pPr>
              <w:spacing w:line="360" w:lineRule="auto"/>
              <w:rPr>
                <w:rFonts w:ascii="Times New Roman" w:hAnsi="Times New Roman" w:cs="Times New Roman"/>
                <w:sz w:val="24"/>
                <w:szCs w:val="24"/>
              </w:rPr>
            </w:pPr>
          </w:p>
        </w:tc>
      </w:tr>
      <w:tr w:rsidR="00B968F9">
        <w:trPr>
          <w:trHeight w:val="205"/>
        </w:trPr>
        <w:tc>
          <w:tcPr>
            <w:tcW w:w="1772" w:type="dxa"/>
            <w:vMerge w:val="restart"/>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Gender</w:t>
            </w:r>
          </w:p>
        </w:tc>
        <w:tc>
          <w:tcPr>
            <w:tcW w:w="1930" w:type="dxa"/>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Male</w:t>
            </w:r>
          </w:p>
        </w:tc>
        <w:tc>
          <w:tcPr>
            <w:tcW w:w="1120" w:type="dxa"/>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89</w:t>
            </w:r>
          </w:p>
        </w:tc>
        <w:tc>
          <w:tcPr>
            <w:tcW w:w="1020" w:type="dxa"/>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151</w:t>
            </w:r>
          </w:p>
        </w:tc>
        <w:tc>
          <w:tcPr>
            <w:tcW w:w="741" w:type="dxa"/>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240</w:t>
            </w:r>
          </w:p>
        </w:tc>
        <w:tc>
          <w:tcPr>
            <w:tcW w:w="749" w:type="dxa"/>
            <w:vMerge w:val="restart"/>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308" w:type="dxa"/>
            <w:vMerge w:val="restart"/>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0.409</w:t>
            </w:r>
          </w:p>
        </w:tc>
      </w:tr>
      <w:tr w:rsidR="00B968F9">
        <w:trPr>
          <w:trHeight w:val="205"/>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205"/>
        </w:trPr>
        <w:tc>
          <w:tcPr>
            <w:tcW w:w="1772" w:type="dxa"/>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rsidR="00B968F9" w:rsidRDefault="00B968F9">
            <w:pPr>
              <w:spacing w:line="360" w:lineRule="auto"/>
              <w:rPr>
                <w:rFonts w:ascii="Times New Roman" w:hAnsi="Times New Roman" w:cs="Times New Roman"/>
                <w:sz w:val="24"/>
                <w:szCs w:val="24"/>
              </w:rPr>
            </w:pPr>
          </w:p>
        </w:tc>
        <w:tc>
          <w:tcPr>
            <w:tcW w:w="1308" w:type="dxa"/>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vMerge w:val="restart"/>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Age (years)</w:t>
            </w: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&lt;20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749" w:type="dxa"/>
            <w:vMerge w:val="restart"/>
          </w:tcPr>
          <w:p w:rsidR="00B968F9" w:rsidRDefault="00B968F9">
            <w:pPr>
              <w:spacing w:line="360" w:lineRule="auto"/>
              <w:rPr>
                <w:rFonts w:ascii="Times New Roman" w:hAnsi="Times New Roman" w:cs="Times New Roman"/>
                <w:sz w:val="24"/>
                <w:szCs w:val="24"/>
              </w:rPr>
            </w:pPr>
          </w:p>
          <w:p w:rsidR="00B968F9" w:rsidRDefault="00B968F9">
            <w:pPr>
              <w:spacing w:line="360" w:lineRule="auto"/>
              <w:rPr>
                <w:rFonts w:ascii="Times New Roman" w:hAnsi="Times New Roman" w:cs="Times New Roman"/>
                <w:sz w:val="24"/>
                <w:szCs w:val="24"/>
              </w:rPr>
            </w:pPr>
          </w:p>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308" w:type="dxa"/>
            <w:vMerge w:val="restart"/>
          </w:tcPr>
          <w:p w:rsidR="00B968F9" w:rsidRDefault="00B968F9">
            <w:pPr>
              <w:spacing w:line="360" w:lineRule="auto"/>
              <w:rPr>
                <w:rFonts w:ascii="Times New Roman" w:hAnsi="Times New Roman" w:cs="Times New Roman"/>
                <w:sz w:val="24"/>
                <w:szCs w:val="24"/>
              </w:rPr>
            </w:pPr>
          </w:p>
          <w:p w:rsidR="00B968F9" w:rsidRDefault="00B968F9">
            <w:pPr>
              <w:spacing w:line="360" w:lineRule="auto"/>
              <w:rPr>
                <w:rFonts w:ascii="Times New Roman" w:hAnsi="Times New Roman" w:cs="Times New Roman"/>
                <w:sz w:val="24"/>
                <w:szCs w:val="24"/>
              </w:rPr>
            </w:pPr>
          </w:p>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0.786</w:t>
            </w:r>
          </w:p>
        </w:tc>
      </w:tr>
      <w:tr w:rsidR="00B968F9">
        <w:trPr>
          <w:trHeight w:val="8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21-30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68</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31-40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62</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41-50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59</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&gt;50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33</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56</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rsidR="00B968F9" w:rsidRDefault="00B968F9">
            <w:pPr>
              <w:spacing w:line="360" w:lineRule="auto"/>
              <w:rPr>
                <w:rFonts w:ascii="Times New Roman" w:hAnsi="Times New Roman" w:cs="Times New Roman"/>
                <w:sz w:val="24"/>
                <w:szCs w:val="24"/>
              </w:rPr>
            </w:pPr>
          </w:p>
        </w:tc>
        <w:tc>
          <w:tcPr>
            <w:tcW w:w="1308" w:type="dxa"/>
          </w:tcPr>
          <w:p w:rsidR="00B968F9" w:rsidRDefault="00B968F9">
            <w:pPr>
              <w:spacing w:line="360" w:lineRule="auto"/>
              <w:rPr>
                <w:rFonts w:ascii="Times New Roman" w:hAnsi="Times New Roman" w:cs="Times New Roman"/>
                <w:sz w:val="24"/>
                <w:szCs w:val="24"/>
              </w:rPr>
            </w:pPr>
          </w:p>
        </w:tc>
      </w:tr>
      <w:tr w:rsidR="00B968F9">
        <w:trPr>
          <w:trHeight w:val="104"/>
        </w:trPr>
        <w:tc>
          <w:tcPr>
            <w:tcW w:w="1772" w:type="dxa"/>
            <w:vMerge w:val="restart"/>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BMI</w:t>
            </w: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Normal</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116</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180</w:t>
            </w:r>
          </w:p>
        </w:tc>
        <w:tc>
          <w:tcPr>
            <w:tcW w:w="749" w:type="dxa"/>
            <w:vMerge w:val="restart"/>
          </w:tcPr>
          <w:p w:rsidR="00B968F9" w:rsidRDefault="00B968F9">
            <w:pPr>
              <w:spacing w:line="360" w:lineRule="auto"/>
              <w:rPr>
                <w:rFonts w:ascii="Times New Roman" w:hAnsi="Times New Roman" w:cs="Times New Roman"/>
                <w:sz w:val="24"/>
                <w:szCs w:val="24"/>
              </w:rPr>
            </w:pPr>
          </w:p>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308" w:type="dxa"/>
            <w:vMerge w:val="restart"/>
          </w:tcPr>
          <w:p w:rsidR="00B968F9" w:rsidRDefault="00B968F9">
            <w:pPr>
              <w:spacing w:line="360" w:lineRule="auto"/>
              <w:rPr>
                <w:rFonts w:ascii="Times New Roman" w:hAnsi="Times New Roman" w:cs="Times New Roman"/>
                <w:sz w:val="24"/>
                <w:szCs w:val="24"/>
              </w:rPr>
            </w:pPr>
          </w:p>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0.416</w:t>
            </w:r>
          </w:p>
        </w:tc>
      </w:tr>
      <w:tr w:rsidR="00B968F9">
        <w:trPr>
          <w:trHeight w:val="10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Obese</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10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Overweight</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102"/>
        </w:trPr>
        <w:tc>
          <w:tcPr>
            <w:tcW w:w="1772" w:type="dxa"/>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rsidR="00B968F9" w:rsidRDefault="00B968F9">
            <w:pPr>
              <w:spacing w:line="360" w:lineRule="auto"/>
              <w:rPr>
                <w:rFonts w:ascii="Times New Roman" w:hAnsi="Times New Roman" w:cs="Times New Roman"/>
                <w:sz w:val="24"/>
                <w:szCs w:val="24"/>
              </w:rPr>
            </w:pPr>
          </w:p>
        </w:tc>
        <w:tc>
          <w:tcPr>
            <w:tcW w:w="1308" w:type="dxa"/>
          </w:tcPr>
          <w:p w:rsidR="00B968F9" w:rsidRDefault="00B968F9">
            <w:pPr>
              <w:spacing w:line="360" w:lineRule="auto"/>
              <w:rPr>
                <w:rFonts w:ascii="Times New Roman" w:hAnsi="Times New Roman" w:cs="Times New Roman"/>
                <w:sz w:val="24"/>
                <w:szCs w:val="24"/>
              </w:rPr>
            </w:pPr>
          </w:p>
        </w:tc>
      </w:tr>
    </w:tbl>
    <w:p w:rsidR="00B968F9" w:rsidRDefault="009D57AC">
      <w:pPr>
        <w:spacing w:line="360" w:lineRule="auto"/>
        <w:rPr>
          <w:rFonts w:ascii="Times New Roman" w:hAnsi="Times New Roman" w:cs="Times New Roman"/>
        </w:rPr>
      </w:pPr>
      <w:r>
        <w:rPr>
          <w:rFonts w:ascii="Times New Roman" w:hAnsi="Times New Roman" w:cs="Times New Roman"/>
        </w:rPr>
        <w:t>dF: degree of freedom; BMI: Body mass index</w:t>
      </w:r>
    </w:p>
    <w:p w:rsidR="00B968F9" w:rsidRDefault="00B6547D" w:rsidP="00B6547D">
      <w:pPr>
        <w:jc w:val="both"/>
        <w:rPr>
          <w:rFonts w:ascii="Times New Roman" w:eastAsia="Times New Roman" w:hAnsi="Times New Roman" w:cs="Times New Roman"/>
          <w:b/>
        </w:rPr>
      </w:pPr>
      <w:r w:rsidRPr="00B6547D">
        <w:rPr>
          <w:highlight w:val="yellow"/>
        </w:rPr>
        <w:t>Table 4 shows no significant associations between sociodemographic factors and dyslipidaemia among donors. Males (37.1%) and females (50.0%) showed similar prevalence (</w:t>
      </w:r>
      <w:r w:rsidRPr="00B6547D">
        <w:rPr>
          <w:rStyle w:val="Strong"/>
          <w:highlight w:val="yellow"/>
        </w:rPr>
        <w:t>p = 0.409</w:t>
      </w:r>
      <w:r w:rsidRPr="00B6547D">
        <w:rPr>
          <w:highlight w:val="yellow"/>
        </w:rPr>
        <w:t>). Dyslipidaemia varied slightly across age groups (21–30 years: 39.7%; &gt;50 years: 41.1%) but was not significant (</w:t>
      </w:r>
      <w:r w:rsidRPr="00B6547D">
        <w:rPr>
          <w:rStyle w:val="Strong"/>
          <w:highlight w:val="yellow"/>
        </w:rPr>
        <w:t>p = 0.786</w:t>
      </w:r>
      <w:r w:rsidRPr="00B6547D">
        <w:rPr>
          <w:highlight w:val="yellow"/>
        </w:rPr>
        <w:t>). BMI categories also showed no meaningful relationship—normal (35.6%), overweight (50.0%), obese (40.0%)—(</w:t>
      </w:r>
      <w:r w:rsidRPr="00B6547D">
        <w:rPr>
          <w:rStyle w:val="Strong"/>
          <w:highlight w:val="yellow"/>
        </w:rPr>
        <w:t>p = 0.416</w:t>
      </w:r>
      <w:r w:rsidRPr="00B6547D">
        <w:rPr>
          <w:highlight w:val="yellow"/>
        </w:rPr>
        <w:t>). Overall, gender, age, and BMI did not significantly influence dyslipidaemia prevalence (</w:t>
      </w:r>
      <w:r w:rsidRPr="00B6547D">
        <w:rPr>
          <w:rStyle w:val="Strong"/>
          <w:highlight w:val="yellow"/>
        </w:rPr>
        <w:t>p &gt; 0.05</w:t>
      </w:r>
      <w:r w:rsidRPr="00B6547D">
        <w:rPr>
          <w:highlight w:val="yellow"/>
        </w:rPr>
        <w:t>).</w:t>
      </w:r>
    </w:p>
    <w:p w:rsidR="00B6547D" w:rsidRDefault="00B6547D">
      <w:pPr>
        <w:spacing w:line="480" w:lineRule="auto"/>
        <w:jc w:val="both"/>
        <w:rPr>
          <w:rFonts w:ascii="Times New Roman" w:eastAsia="Times New Roman" w:hAnsi="Times New Roman" w:cs="Times New Roman"/>
          <w:b/>
        </w:rPr>
      </w:pPr>
    </w:p>
    <w:p w:rsidR="00B6547D" w:rsidRDefault="00B6547D">
      <w:pPr>
        <w:spacing w:line="480" w:lineRule="auto"/>
        <w:jc w:val="both"/>
        <w:rPr>
          <w:rFonts w:ascii="Times New Roman" w:eastAsia="Times New Roman" w:hAnsi="Times New Roman" w:cs="Times New Roman"/>
          <w:b/>
        </w:rPr>
      </w:pPr>
    </w:p>
    <w:p w:rsidR="00B6547D" w:rsidRDefault="00B6547D">
      <w:pPr>
        <w:spacing w:line="480" w:lineRule="auto"/>
        <w:jc w:val="both"/>
        <w:rPr>
          <w:rFonts w:ascii="Times New Roman" w:eastAsia="Times New Roman" w:hAnsi="Times New Roman" w:cs="Times New Roman"/>
          <w:b/>
        </w:rPr>
      </w:pPr>
    </w:p>
    <w:p w:rsidR="00B6547D" w:rsidRDefault="00B6547D" w:rsidP="00B6547D">
      <w:pPr>
        <w:rPr>
          <w:rFonts w:ascii="Times New Roman" w:eastAsia="Times New Roman" w:hAnsi="Times New Roman" w:cs="Times New Roman"/>
          <w:b/>
        </w:rPr>
      </w:pPr>
    </w:p>
    <w:p w:rsidR="00B6547D" w:rsidRDefault="00B6547D" w:rsidP="00B6547D">
      <w:pPr>
        <w:rPr>
          <w:rFonts w:ascii="Times New Roman" w:eastAsia="Times New Roman" w:hAnsi="Times New Roman" w:cs="Times New Roman"/>
          <w:b/>
        </w:rPr>
      </w:pPr>
    </w:p>
    <w:p w:rsidR="00B968F9" w:rsidRDefault="009D57AC" w:rsidP="00B6547D">
      <w:pPr>
        <w:rPr>
          <w:rFonts w:ascii="Times New Roman" w:eastAsia="Times New Roman" w:hAnsi="Times New Roman" w:cs="Times New Roman"/>
        </w:rPr>
      </w:pPr>
      <w:r>
        <w:rPr>
          <w:rFonts w:ascii="Times New Roman" w:eastAsia="Times New Roman" w:hAnsi="Times New Roman" w:cs="Times New Roman"/>
        </w:rPr>
        <w:lastRenderedPageBreak/>
        <w:t xml:space="preserve">4. </w:t>
      </w:r>
      <w:r>
        <w:rPr>
          <w:rFonts w:ascii="Times New Roman" w:eastAsia="Times New Roman" w:hAnsi="Times New Roman" w:cs="Times New Roman"/>
          <w:b/>
        </w:rPr>
        <w:t>Discussion</w:t>
      </w:r>
    </w:p>
    <w:p w:rsidR="00BE7A9A" w:rsidRPr="00BE7A9A" w:rsidRDefault="00BE7A9A" w:rsidP="00BE7A9A">
      <w:pPr>
        <w:pStyle w:val="NormalWeb"/>
        <w:spacing w:line="360" w:lineRule="auto"/>
        <w:jc w:val="both"/>
        <w:rPr>
          <w:highlight w:val="yellow"/>
        </w:rPr>
      </w:pPr>
      <w:r w:rsidRPr="00BE7A9A">
        <w:rPr>
          <w:highlight w:val="yellow"/>
        </w:rPr>
        <w:t>This study evaluated the prevalence and patterns of dyslipidaemia among blood donors in South-West Nigeria and examined their associations with demographic characteristics and donation frequency. Although dyslipidaemia was common in both donors and non-donors, its prevalence was lower among donors, suggesting a potential lipid-modulating benefit of regular blood donation.</w:t>
      </w:r>
    </w:p>
    <w:p w:rsidR="00BE7A9A" w:rsidRPr="00BE7A9A" w:rsidRDefault="00BE7A9A" w:rsidP="00BE7A9A">
      <w:pPr>
        <w:pStyle w:val="NormalWeb"/>
        <w:spacing w:line="360" w:lineRule="auto"/>
        <w:jc w:val="both"/>
        <w:rPr>
          <w:highlight w:val="yellow"/>
        </w:rPr>
      </w:pPr>
      <w:r w:rsidRPr="00BE7A9A">
        <w:rPr>
          <w:highlight w:val="yellow"/>
        </w:rPr>
        <w:t>The higher total cholesterol (TC) levels observed in donors compared with controls contrast with international reports of lower TC among regular donors.¹ ² This discrepancy may reflect differences in diet, lifestyle, or donor selection criteria in Nigeria. In contrast, the significantly lower triglyceride (TG) levels in donors—particularly among regular donors—support the hypothesis that repeated blood donation can beneficially influence lipid metabolism by reducing plasma TG through mechanisms such as plasma removal, iron depletion, and improved metabolic regulation.</w:t>
      </w:r>
    </w:p>
    <w:p w:rsidR="00BE7A9A" w:rsidRPr="00BE7A9A" w:rsidRDefault="00BE7A9A" w:rsidP="00BE7A9A">
      <w:pPr>
        <w:pStyle w:val="NormalWeb"/>
        <w:spacing w:line="360" w:lineRule="auto"/>
        <w:jc w:val="both"/>
        <w:rPr>
          <w:highlight w:val="yellow"/>
        </w:rPr>
      </w:pPr>
      <w:r w:rsidRPr="00BE7A9A">
        <w:rPr>
          <w:highlight w:val="yellow"/>
        </w:rPr>
        <w:t>Findings from this study further indicate a favourable association between regular blood donation and higher high-density lipoprotein cholesterol (HDL-C) levels, alongside lower TG concentrations. This aligns with previous reports demonstrating improved lipid profiles among frequent donors,¹ potentially mediated by reduced iron stores, which lower oxidative stress and enhance endothelial function. However, the absence of significant changes in low-density lipoprotein cholesterol (LDL-C) across donor categories is consistent with prior observations, suggesting that LDL-C may be less responsive to phlebotomy alone.</w:t>
      </w:r>
    </w:p>
    <w:p w:rsidR="00BE7A9A" w:rsidRPr="00BE7A9A" w:rsidRDefault="00BE7A9A" w:rsidP="00BE7A9A">
      <w:pPr>
        <w:pStyle w:val="NormalWeb"/>
        <w:spacing w:line="360" w:lineRule="auto"/>
        <w:jc w:val="both"/>
        <w:rPr>
          <w:highlight w:val="yellow"/>
        </w:rPr>
      </w:pPr>
      <w:r w:rsidRPr="00BE7A9A">
        <w:rPr>
          <w:highlight w:val="yellow"/>
        </w:rPr>
        <w:t>Demographic factors also influenced lipid patterns, as older age, male sex, and higher body mass index (BMI) were associated with more adverse lipid profiles, consistent with global epidemiological trends. In women, postmenopausal status has been shown to reduce HDL-C and increase LDL-C, while elevated BMI is known to raise TG and LDL-C through mechanisms involving insulin resistance and altered lipid metabolism.</w:t>
      </w:r>
    </w:p>
    <w:p w:rsidR="00BE7A9A" w:rsidRPr="00BE7A9A" w:rsidRDefault="00BE7A9A" w:rsidP="00BE7A9A">
      <w:pPr>
        <w:pStyle w:val="NormalWeb"/>
        <w:spacing w:line="360" w:lineRule="auto"/>
        <w:jc w:val="both"/>
        <w:rPr>
          <w:highlight w:val="yellow"/>
        </w:rPr>
      </w:pPr>
      <w:r w:rsidRPr="00BE7A9A">
        <w:rPr>
          <w:highlight w:val="yellow"/>
        </w:rPr>
        <w:t xml:space="preserve">Several studies in Asia and Europe have reported reductions in LDL-C and TC among regular blood donors. For instance, Bharadwaj (2015) observed significantly healthier lipid profiles among Indian donors, while Uche et al. (2016) documented lower TC and LDL-C levels among </w:t>
      </w:r>
      <w:r w:rsidRPr="00BE7A9A">
        <w:rPr>
          <w:highlight w:val="yellow"/>
        </w:rPr>
        <w:lastRenderedPageBreak/>
        <w:t>Nigerian donors. The differing results in the present study may reflect the higher proportion of first-time and occasional donors, potentially diluting the cumulative lipid-modulating benefits of repeated blood donation.</w:t>
      </w:r>
    </w:p>
    <w:p w:rsidR="00BE7A9A" w:rsidRDefault="00BE7A9A" w:rsidP="00BE7A9A">
      <w:pPr>
        <w:pStyle w:val="NormalWeb"/>
        <w:spacing w:line="360" w:lineRule="auto"/>
        <w:jc w:val="both"/>
      </w:pPr>
      <w:r w:rsidRPr="00BE7A9A">
        <w:rPr>
          <w:highlight w:val="yellow"/>
        </w:rPr>
        <w:t>From a public health perspective, routine lipid screening among blood donors could serve a dual purpose: safeguarding donor health and facilitating early detection of dyslipidaemia in an otherwise asymptomatic population. Incorporating lifestyle counselling, nutritional education, and targeted follow-up for at-risk donors into donor services could further enhance cardiovascular disease (CVD) prevention efforts with minimal additional resource requirements. By leveraging the donor population as a strategic entry point for CVD risk screening, blood donation programs could play a broader role in promoting metabolic health within the general population.</w:t>
      </w: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4.6 Limitations</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The cross-sectional design limits causal inference between donation frequency and lipid changes. Reliance on self-reported lifestyle data introduces potential recall bias, and dietary factors—important confounders of lipid profiles—were not assessed. In addition, the smaller control group may have reduced comparative power.</w:t>
      </w: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5. Conclusion</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Dyslipidaemia is common among both donors and non-donors in South-West Nigeria, but less prevalent in donors. Regular blood donation appears linked to favourable lipid parameters, notably lower triglycerides and higher HDL-C, suggesting potential cardiovascular benefits. Age, sex, and BMI significantly influence lipid profiles, underscoring the need for demographic considerations in donor screening.</w:t>
      </w: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968F9" w:rsidRDefault="00BE7A9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6.0 </w:t>
      </w:r>
      <w:r w:rsidR="009D57AC">
        <w:rPr>
          <w:rFonts w:ascii="Times New Roman" w:eastAsia="Times New Roman" w:hAnsi="Times New Roman" w:cs="Times New Roman"/>
          <w:b/>
        </w:rPr>
        <w:t>Recommendation</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Routine lipid screening should be integrated into donor assessments to identify cardiovascular risk. Public campaigns should encourage voluntary, regular donation, emphasizing both health and societal benefits. Donors with abnormal lipid profiles should receive lifestyle counselling and referral for care. Longitudinal studies are needed to clarify the effects of repeated donation on lipid levels. Strengthening donor health monitoring within transfusion services will enhance blood safety and support broader cardiovascular disease prevention.</w:t>
      </w:r>
    </w:p>
    <w:p w:rsidR="00B968F9" w:rsidRDefault="00B968F9">
      <w:pPr>
        <w:spacing w:line="480" w:lineRule="auto"/>
        <w:jc w:val="both"/>
        <w:rPr>
          <w:rFonts w:ascii="Times New Roman" w:eastAsia="Times New Roman" w:hAnsi="Times New Roman" w:cs="Times New Roman"/>
        </w:rPr>
      </w:pPr>
    </w:p>
    <w:p w:rsidR="00B968F9" w:rsidRDefault="00B968F9">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CD1E22" w:rsidRPr="00CD1E22" w:rsidRDefault="00CD1E22" w:rsidP="00CD1E22">
      <w:pPr>
        <w:spacing w:line="480" w:lineRule="auto"/>
        <w:jc w:val="both"/>
        <w:rPr>
          <w:rFonts w:ascii="Calibri" w:eastAsia="Calibri" w:hAnsi="Calibri" w:cs="Times New Roman"/>
          <w:kern w:val="2"/>
        </w:rPr>
      </w:pPr>
      <w:r w:rsidRPr="00CD1E22">
        <w:rPr>
          <w:rFonts w:ascii="Calibri" w:eastAsia="Calibri" w:hAnsi="Calibri" w:cs="Times New Roman"/>
          <w:kern w:val="2"/>
        </w:rPr>
        <w:t xml:space="preserve">Ethical </w:t>
      </w:r>
      <w:r>
        <w:rPr>
          <w:rFonts w:ascii="Calibri" w:eastAsia="Calibri" w:hAnsi="Calibri" w:cs="Times New Roman"/>
          <w:kern w:val="2"/>
        </w:rPr>
        <w:t xml:space="preserve">approval and Consent </w:t>
      </w:r>
      <w:bookmarkStart w:id="0" w:name="_GoBack"/>
      <w:bookmarkEnd w:id="0"/>
      <w:r>
        <w:rPr>
          <w:rFonts w:ascii="Calibri" w:eastAsia="Calibri" w:hAnsi="Calibri" w:cs="Times New Roman"/>
          <w:kern w:val="2"/>
        </w:rPr>
        <w:t xml:space="preserve"> </w:t>
      </w:r>
    </w:p>
    <w:p w:rsidR="00B6547D" w:rsidRDefault="00CD1E22" w:rsidP="00CD1E22">
      <w:pPr>
        <w:spacing w:line="480" w:lineRule="auto"/>
        <w:jc w:val="both"/>
        <w:rPr>
          <w:rFonts w:ascii="Calibri" w:eastAsia="Calibri" w:hAnsi="Calibri" w:cs="Times New Roman"/>
          <w:kern w:val="2"/>
        </w:rPr>
      </w:pPr>
      <w:r w:rsidRPr="00CD1E22">
        <w:rPr>
          <w:rFonts w:ascii="Calibri" w:eastAsia="Calibri" w:hAnsi="Calibri" w:cs="Times New Roman"/>
          <w:kern w:val="2"/>
        </w:rPr>
        <w:t>The Oyo State Research Ethics Review Committee gave this study its approval.  Before being included, each participant gave their informed consent, and great care was taken to protect the privacy of their personal data.  The study was completely voluntary, and contributors were able to leave at any moment without facing any repercussions.</w:t>
      </w: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Pr="00E0646C" w:rsidRDefault="00B6547D" w:rsidP="00B6547D">
      <w:pPr>
        <w:spacing w:line="360" w:lineRule="auto"/>
        <w:jc w:val="both"/>
        <w:rPr>
          <w:rFonts w:cstheme="minorHAnsi"/>
          <w:b/>
        </w:rPr>
      </w:pPr>
      <w:r w:rsidRPr="00E0646C">
        <w:rPr>
          <w:rFonts w:cstheme="minorHAnsi"/>
          <w:b/>
        </w:rPr>
        <w:t>ACKNOWLEDGEMENT</w:t>
      </w:r>
    </w:p>
    <w:p w:rsidR="00B6547D" w:rsidRPr="00E0646C" w:rsidRDefault="00B6547D" w:rsidP="00B6547D">
      <w:pPr>
        <w:spacing w:line="360" w:lineRule="auto"/>
        <w:jc w:val="both"/>
        <w:rPr>
          <w:rFonts w:cstheme="minorHAnsi"/>
        </w:rPr>
      </w:pPr>
      <w:r w:rsidRPr="00E0646C">
        <w:rPr>
          <w:rFonts w:cstheme="minorHAnsi"/>
        </w:rPr>
        <w:t>We extend our gratitude to all the departmental members, medical staff, and donors who contributed to this study.</w:t>
      </w:r>
    </w:p>
    <w:p w:rsidR="00B6547D" w:rsidRPr="00E0646C" w:rsidRDefault="00B6547D" w:rsidP="00B6547D">
      <w:pPr>
        <w:spacing w:line="360" w:lineRule="auto"/>
        <w:jc w:val="both"/>
        <w:rPr>
          <w:rFonts w:cstheme="minorHAnsi"/>
        </w:rPr>
      </w:pPr>
      <w:r w:rsidRPr="00E0646C">
        <w:rPr>
          <w:rFonts w:cstheme="minorHAnsi"/>
          <w:b/>
        </w:rPr>
        <w:t>Conflict of Interest:</w:t>
      </w:r>
      <w:r w:rsidRPr="00E0646C">
        <w:rPr>
          <w:rFonts w:cstheme="minorHAnsi"/>
        </w:rPr>
        <w:t xml:space="preserve"> Authors declare that they have no conflict of interest.</w:t>
      </w:r>
    </w:p>
    <w:p w:rsidR="00B6547D" w:rsidRPr="00E0646C" w:rsidRDefault="00B6547D" w:rsidP="00B6547D">
      <w:pPr>
        <w:spacing w:line="360" w:lineRule="auto"/>
        <w:jc w:val="both"/>
        <w:rPr>
          <w:rFonts w:cstheme="minorHAnsi"/>
        </w:rPr>
      </w:pPr>
      <w:r w:rsidRPr="00E0646C">
        <w:rPr>
          <w:rFonts w:cstheme="minorHAnsi"/>
          <w:b/>
        </w:rPr>
        <w:t>Source of Funding:</w:t>
      </w:r>
      <w:r w:rsidRPr="00E0646C">
        <w:rPr>
          <w:rFonts w:cstheme="minorHAnsi"/>
        </w:rPr>
        <w:t xml:space="preserve"> The project was a non–funded project. </w:t>
      </w:r>
    </w:p>
    <w:p w:rsidR="00B6547D" w:rsidRPr="00E0646C" w:rsidRDefault="00B6547D" w:rsidP="00B6547D">
      <w:pPr>
        <w:spacing w:line="360" w:lineRule="auto"/>
        <w:jc w:val="both"/>
        <w:rPr>
          <w:rFonts w:cstheme="minorHAnsi"/>
        </w:rPr>
      </w:pPr>
      <w:r w:rsidRPr="00E0646C">
        <w:rPr>
          <w:rFonts w:cstheme="minorHAnsi"/>
          <w:b/>
        </w:rPr>
        <w:t xml:space="preserve">Authors’ Contribution: </w:t>
      </w:r>
      <w:r w:rsidRPr="00E0646C">
        <w:rPr>
          <w:rFonts w:cstheme="minorHAnsi"/>
        </w:rPr>
        <w:t>All authors contributed to the study equally.</w:t>
      </w:r>
    </w:p>
    <w:p w:rsidR="00B6547D" w:rsidRPr="00B6547D" w:rsidRDefault="00B6547D" w:rsidP="00B6547D">
      <w:pPr>
        <w:spacing w:line="360" w:lineRule="auto"/>
        <w:jc w:val="both"/>
        <w:rPr>
          <w:rFonts w:cstheme="minorHAnsi"/>
          <w:b/>
          <w:highlight w:val="yellow"/>
        </w:rPr>
      </w:pPr>
      <w:r w:rsidRPr="00B6547D">
        <w:rPr>
          <w:rFonts w:cstheme="minorHAnsi"/>
          <w:b/>
          <w:highlight w:val="yellow"/>
        </w:rPr>
        <w:t>Disclaimer (Artificial intelligence)</w:t>
      </w:r>
    </w:p>
    <w:p w:rsidR="00B6547D" w:rsidRPr="00B6547D" w:rsidRDefault="00B6547D" w:rsidP="00B6547D">
      <w:pPr>
        <w:spacing w:line="360" w:lineRule="auto"/>
        <w:jc w:val="both"/>
        <w:rPr>
          <w:rFonts w:cstheme="minorHAnsi"/>
          <w:highlight w:val="yellow"/>
        </w:rPr>
      </w:pPr>
      <w:r w:rsidRPr="00B6547D">
        <w:rPr>
          <w:rFonts w:cstheme="minorHAnsi"/>
          <w:highlight w:val="yellow"/>
        </w:rPr>
        <w:t xml:space="preserve">Option 1: </w:t>
      </w:r>
    </w:p>
    <w:p w:rsidR="00B6547D" w:rsidRPr="00E0646C" w:rsidRDefault="00B6547D" w:rsidP="00B6547D">
      <w:pPr>
        <w:spacing w:line="360" w:lineRule="auto"/>
        <w:jc w:val="both"/>
        <w:rPr>
          <w:rFonts w:cstheme="minorHAnsi"/>
        </w:rPr>
      </w:pPr>
      <w:r w:rsidRPr="00B6547D">
        <w:rPr>
          <w:rFonts w:cstheme="minorHAnsi"/>
          <w:highlight w:val="yellow"/>
        </w:rPr>
        <w:t>Author(s) hereby declare that generative AI technologies such as Large Language Models (ChatGPT, COPILOT, etc.) and text-to-image generators have been used during the writing or editing of this manuscript.</w:t>
      </w:r>
      <w:r w:rsidRPr="00E0646C">
        <w:rPr>
          <w:rFonts w:cstheme="minorHAnsi"/>
        </w:rPr>
        <w:t xml:space="preserve"> </w:t>
      </w:r>
    </w:p>
    <w:p w:rsidR="00B6547D" w:rsidRDefault="00B6547D">
      <w:pPr>
        <w:spacing w:line="480" w:lineRule="auto"/>
        <w:jc w:val="both"/>
        <w:rPr>
          <w:rFonts w:ascii="Times New Roman" w:eastAsia="Times New Roman" w:hAnsi="Times New Roman" w:cs="Times New Roman"/>
        </w:rPr>
      </w:pPr>
    </w:p>
    <w:p w:rsidR="00B968F9" w:rsidRDefault="00B968F9">
      <w:pPr>
        <w:spacing w:line="480" w:lineRule="auto"/>
        <w:jc w:val="both"/>
        <w:rPr>
          <w:rFonts w:ascii="Times New Roman" w:eastAsia="Times New Roman" w:hAnsi="Times New Roman" w:cs="Times New Roman"/>
        </w:rPr>
      </w:pPr>
    </w:p>
    <w:p w:rsidR="00B968F9" w:rsidRDefault="009D57AC">
      <w:pPr>
        <w:rPr>
          <w:rFonts w:ascii="Times New Roman" w:eastAsia="Times New Roman" w:hAnsi="Times New Roman" w:cs="Times New Roman"/>
          <w:b/>
        </w:rPr>
      </w:pPr>
      <w:r>
        <w:rPr>
          <w:rFonts w:ascii="Times New Roman" w:eastAsia="Times New Roman" w:hAnsi="Times New Roman" w:cs="Times New Roman"/>
          <w:b/>
        </w:rPr>
        <w:br w:type="page"/>
      </w:r>
    </w:p>
    <w:p w:rsidR="00B968F9" w:rsidRDefault="009D57AC">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REFERENCE</w:t>
      </w:r>
    </w:p>
    <w:p w:rsidR="00B968F9" w:rsidRDefault="00B968F9">
      <w:pPr>
        <w:spacing w:line="480" w:lineRule="auto"/>
        <w:jc w:val="both"/>
        <w:rPr>
          <w:rFonts w:ascii="Times New Roman" w:eastAsia="Times New Roman" w:hAnsi="Times New Roman" w:cs="Times New Roman"/>
        </w:rPr>
      </w:pP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World Health Organization. Safe blood starts with me! Blood saves lives! Geneva: WHO; 2000. Available at: </w:t>
      </w:r>
      <w:hyperlink r:id="rId7" w:history="1">
        <w:r>
          <w:rPr>
            <w:rFonts w:ascii="Times New Roman" w:eastAsia="Times New Roman" w:hAnsi="Times New Roman" w:cs="Times New Roman"/>
            <w:color w:val="467886"/>
            <w:u w:val="single"/>
          </w:rPr>
          <w:t>https://iris.who.int/handle/10665/67276</w:t>
        </w:r>
      </w:hyperlink>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TRALI Study Group, Ioannidis JPA, Popovsky MA, Johnson ST, Ness PM. Transfusion-related acute lung injury (TRALI): understanding the risks and prevention strategies. Transfus Med Rev. 2019;33(3):165-172.</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Aneke JC, Chigbo CG, Okwummuo EP, et al. Determinants of blood donor retention in a Nigerian tertiary health care blood transfusion facility. Trop J Med Res. 2022;21(1):103-111.</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World Health Organization. Blood safety and availability. Geneva: WHO; 2023. Available at: </w:t>
      </w:r>
      <w:hyperlink r:id="rId8" w:history="1">
        <w:r>
          <w:rPr>
            <w:rFonts w:ascii="Times New Roman" w:eastAsia="Times New Roman" w:hAnsi="Times New Roman" w:cs="Times New Roman"/>
            <w:color w:val="467886"/>
            <w:u w:val="single"/>
          </w:rPr>
          <w:t>https://www.who.int/news-room/fact-sheets/detail/blood-safety-and-availability</w:t>
        </w:r>
      </w:hyperlink>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Obeagu EI, Oshim IO, Ochei KC, Obeagu GU. Iron and blood donation: a review. Int J Curr Res Med Sci. 2016;2(10):16-48.</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Okafor AM, Ngwu EK, Ayogu RN. Prevalence and associated factors of dyslipidaemia among university workers in Southeast Nigeria: a cross-sectional study. Arch Public Health. 2021;79(1):77.</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Berberich AJ, Hegele RA. A modern approach to dyslipidemia. Endocr Rev. 2022;43(4):611-653.</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Arvanitis M, Lowenstein CJ. Dyslipidemia. Ann Intern Med. 2023;176(6):ITC81-ITC96.</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Getta HA, Ahmad HA, Rahman HS, et al. Medical and laboratory assessment for regular blood donors in Sulaimani Blood Bank, Iraq. Patient Prefer Adherence. 2018;12:939-944.</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Bharadwaj RS. A study of lipid profiles among male voluntary blood donors in Chennai city. Indian J Community Med. 2015;30(1):16.</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Uche EI, Adediran A, Damulak OD, et al. Lipid profile of regular blood donors. J Blood Med. 2016;7:39-42.</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Bani-Ahmad MA, Khabour OF, Gharibeh MY, Alshlool KN. The impact of multiple blood donations on the risk of cardiovascular diseases: insight of lipid profile. Transfus Clin Biol. 2017;24(4):410-416.</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Nishikura T, Koba S, Yokota Y, et al. Elevated small dense low-density lipoprotein cholesterol as a predictor for future cardiovascular events in patients with stable coronary artery disease. J AtherosclerThromb. 2015;21(8):755-767.</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Hu S, Fan H, Zhang S, et al. Association of LDL-C/HDL-C ratio with coronary heart disease: a meta-analysis. Indian Heart J. 2024;76(1):12-20.</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rPr>
      </w:pPr>
      <w:r>
        <w:rPr>
          <w:rFonts w:ascii="Times New Roman" w:eastAsia="Times New Roman" w:hAnsi="Times New Roman" w:cs="Times New Roman"/>
        </w:rPr>
        <w:t>Cochran WG. Sampling Techniques. 3rd ed. New York: John Wiley &amp; Sons; 1977.</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Kebalo et al. (2022).Iron depletion and lipid metabolism in regular blood donors: A systematic review.* Journal of Hematology &amp; Transfusion Science, 15(2), 112-125. </w:t>
      </w:r>
    </w:p>
    <w:p w:rsidR="00B968F9" w:rsidRDefault="00B968F9">
      <w:pPr>
        <w:spacing w:line="480" w:lineRule="auto"/>
        <w:jc w:val="both"/>
        <w:rPr>
          <w:rFonts w:ascii="Times New Roman" w:eastAsia="Times New Roman" w:hAnsi="Times New Roman" w:cs="Times New Roman"/>
        </w:rPr>
      </w:pPr>
    </w:p>
    <w:p w:rsidR="00B968F9" w:rsidRDefault="00B968F9">
      <w:pPr>
        <w:spacing w:line="480" w:lineRule="auto"/>
        <w:jc w:val="both"/>
        <w:rPr>
          <w:rFonts w:ascii="Times New Roman" w:eastAsia="Times New Roman" w:hAnsi="Times New Roman" w:cs="Times New Roman"/>
        </w:rPr>
      </w:pPr>
    </w:p>
    <w:p w:rsidR="00B968F9" w:rsidRDefault="00B968F9">
      <w:pPr>
        <w:spacing w:line="480" w:lineRule="auto"/>
        <w:jc w:val="both"/>
        <w:rPr>
          <w:rFonts w:ascii="Times New Roman" w:eastAsia="Times New Roman" w:hAnsi="Times New Roman" w:cs="Times New Roman"/>
        </w:rPr>
      </w:pPr>
    </w:p>
    <w:sectPr w:rsidR="00B968F9" w:rsidSect="00B968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BB1" w:rsidRDefault="00703BB1" w:rsidP="00B968F9">
      <w:pPr>
        <w:spacing w:after="0" w:line="240" w:lineRule="auto"/>
      </w:pPr>
      <w:r>
        <w:separator/>
      </w:r>
    </w:p>
  </w:endnote>
  <w:endnote w:type="continuationSeparator" w:id="0">
    <w:p w:rsidR="00703BB1" w:rsidRDefault="00703BB1" w:rsidP="00B9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9" w:rsidRDefault="00DF3843">
    <w:pPr>
      <w:pStyle w:val="Footer"/>
      <w:framePr w:wrap="none" w:vAnchor="text" w:hAnchor="margin" w:xAlign="center" w:y="1"/>
      <w:jc w:val="center"/>
      <w:rPr>
        <w:rStyle w:val="PageNumber"/>
      </w:rPr>
    </w:pPr>
    <w:r>
      <w:rPr>
        <w:rStyle w:val="PageNumber"/>
      </w:rPr>
      <w:fldChar w:fldCharType="begin"/>
    </w:r>
    <w:r w:rsidR="009D57AC">
      <w:rPr>
        <w:rStyle w:val="PageNumber"/>
      </w:rPr>
      <w:instrText xml:space="preserve"> PAGE </w:instrText>
    </w:r>
    <w:r>
      <w:rPr>
        <w:rStyle w:val="PageNumber"/>
      </w:rPr>
      <w:fldChar w:fldCharType="end"/>
    </w:r>
  </w:p>
  <w:p w:rsidR="00B968F9" w:rsidRDefault="00B96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9" w:rsidRDefault="00DF3843">
    <w:pPr>
      <w:pStyle w:val="Footer"/>
      <w:framePr w:wrap="none" w:vAnchor="text" w:hAnchor="margin" w:xAlign="center" w:y="1"/>
      <w:jc w:val="center"/>
      <w:rPr>
        <w:rStyle w:val="PageNumber"/>
      </w:rPr>
    </w:pPr>
    <w:r>
      <w:rPr>
        <w:rStyle w:val="PageNumber"/>
      </w:rPr>
      <w:fldChar w:fldCharType="begin"/>
    </w:r>
    <w:r w:rsidR="009D57AC">
      <w:rPr>
        <w:rStyle w:val="PageNumber"/>
      </w:rPr>
      <w:instrText xml:space="preserve"> PAGE </w:instrText>
    </w:r>
    <w:r>
      <w:rPr>
        <w:rStyle w:val="PageNumber"/>
      </w:rPr>
      <w:fldChar w:fldCharType="separate"/>
    </w:r>
    <w:r w:rsidR="00CD1E22">
      <w:rPr>
        <w:rStyle w:val="PageNumber"/>
        <w:noProof/>
      </w:rPr>
      <w:t>16</w:t>
    </w:r>
    <w:r>
      <w:rPr>
        <w:rStyle w:val="PageNumber"/>
      </w:rPr>
      <w:fldChar w:fldCharType="end"/>
    </w:r>
  </w:p>
  <w:p w:rsidR="00B968F9" w:rsidRDefault="00B96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B8" w:rsidRDefault="0037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BB1" w:rsidRDefault="00703BB1" w:rsidP="00B968F9">
      <w:pPr>
        <w:spacing w:after="0" w:line="240" w:lineRule="auto"/>
      </w:pPr>
      <w:r>
        <w:separator/>
      </w:r>
    </w:p>
  </w:footnote>
  <w:footnote w:type="continuationSeparator" w:id="0">
    <w:p w:rsidR="00703BB1" w:rsidRDefault="00703BB1" w:rsidP="00B9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9" w:rsidRDefault="00703B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9" w:rsidRDefault="00703B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9" w:rsidRDefault="00703B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07FA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968F9"/>
    <w:rsid w:val="00051FD8"/>
    <w:rsid w:val="0013423B"/>
    <w:rsid w:val="0018348D"/>
    <w:rsid w:val="001C4868"/>
    <w:rsid w:val="001D2E54"/>
    <w:rsid w:val="002743C1"/>
    <w:rsid w:val="003767B8"/>
    <w:rsid w:val="00396D6D"/>
    <w:rsid w:val="004B0910"/>
    <w:rsid w:val="004C3066"/>
    <w:rsid w:val="004C518C"/>
    <w:rsid w:val="00693C08"/>
    <w:rsid w:val="006C3D7D"/>
    <w:rsid w:val="00703BB1"/>
    <w:rsid w:val="00782109"/>
    <w:rsid w:val="008A51C2"/>
    <w:rsid w:val="00906D5E"/>
    <w:rsid w:val="0091208D"/>
    <w:rsid w:val="009D57AC"/>
    <w:rsid w:val="009F2341"/>
    <w:rsid w:val="00A608AA"/>
    <w:rsid w:val="00B55049"/>
    <w:rsid w:val="00B6547D"/>
    <w:rsid w:val="00B968F9"/>
    <w:rsid w:val="00BE7A9A"/>
    <w:rsid w:val="00C54B29"/>
    <w:rsid w:val="00CD1E22"/>
    <w:rsid w:val="00D368B4"/>
    <w:rsid w:val="00D95EDB"/>
    <w:rsid w:val="00DF3843"/>
    <w:rsid w:val="00DF493F"/>
    <w:rsid w:val="00E163A2"/>
    <w:rsid w:val="00E679AB"/>
    <w:rsid w:val="00EC48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2A51A4"/>
  <w15:docId w15:val="{414BC472-5E03-4ACE-A8A4-EF2F9B74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F9"/>
  </w:style>
  <w:style w:type="paragraph" w:styleId="Heading1">
    <w:name w:val="heading 1"/>
    <w:basedOn w:val="Normal"/>
    <w:next w:val="Normal"/>
    <w:uiPriority w:val="9"/>
    <w:qFormat/>
    <w:rsid w:val="00B968F9"/>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qFormat/>
    <w:rsid w:val="00B968F9"/>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qFormat/>
    <w:rsid w:val="00B968F9"/>
    <w:pPr>
      <w:keepNext/>
      <w:keepLines/>
      <w:spacing w:before="160" w:after="80"/>
      <w:outlineLvl w:val="2"/>
    </w:pPr>
    <w:rPr>
      <w:color w:val="0F4761"/>
      <w:sz w:val="28"/>
      <w:szCs w:val="28"/>
    </w:rPr>
  </w:style>
  <w:style w:type="paragraph" w:styleId="Heading4">
    <w:name w:val="heading 4"/>
    <w:basedOn w:val="Normal"/>
    <w:next w:val="Normal"/>
    <w:uiPriority w:val="9"/>
    <w:qFormat/>
    <w:rsid w:val="00B968F9"/>
    <w:pPr>
      <w:keepNext/>
      <w:keepLines/>
      <w:spacing w:before="80" w:after="40"/>
      <w:outlineLvl w:val="3"/>
    </w:pPr>
    <w:rPr>
      <w:i/>
      <w:color w:val="0F4761"/>
    </w:rPr>
  </w:style>
  <w:style w:type="paragraph" w:styleId="Heading5">
    <w:name w:val="heading 5"/>
    <w:basedOn w:val="Normal"/>
    <w:next w:val="Normal"/>
    <w:uiPriority w:val="9"/>
    <w:qFormat/>
    <w:rsid w:val="00B968F9"/>
    <w:pPr>
      <w:keepNext/>
      <w:keepLines/>
      <w:spacing w:before="80" w:after="40"/>
      <w:outlineLvl w:val="4"/>
    </w:pPr>
    <w:rPr>
      <w:color w:val="0F4761"/>
    </w:rPr>
  </w:style>
  <w:style w:type="paragraph" w:styleId="Heading6">
    <w:name w:val="heading 6"/>
    <w:basedOn w:val="Normal"/>
    <w:next w:val="Normal"/>
    <w:uiPriority w:val="9"/>
    <w:qFormat/>
    <w:rsid w:val="00B968F9"/>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B968F9"/>
    <w:tblPr>
      <w:tblCellMar>
        <w:top w:w="0" w:type="dxa"/>
        <w:left w:w="0" w:type="dxa"/>
        <w:bottom w:w="0" w:type="dxa"/>
        <w:right w:w="0" w:type="dxa"/>
      </w:tblCellMar>
    </w:tblPr>
  </w:style>
  <w:style w:type="paragraph" w:styleId="Title">
    <w:name w:val="Title"/>
    <w:basedOn w:val="Normal"/>
    <w:next w:val="Normal"/>
    <w:uiPriority w:val="10"/>
    <w:qFormat/>
    <w:rsid w:val="00B968F9"/>
    <w:pPr>
      <w:spacing w:after="80" w:line="240" w:lineRule="auto"/>
    </w:pPr>
    <w:rPr>
      <w:rFonts w:ascii="Play" w:eastAsia="Play" w:hAnsi="Play" w:cs="Play"/>
      <w:sz w:val="56"/>
      <w:szCs w:val="56"/>
    </w:rPr>
  </w:style>
  <w:style w:type="paragraph" w:styleId="Subtitle">
    <w:name w:val="Subtitle"/>
    <w:basedOn w:val="Normal"/>
    <w:next w:val="Normal"/>
    <w:uiPriority w:val="11"/>
    <w:qFormat/>
    <w:rsid w:val="00B968F9"/>
    <w:rPr>
      <w:color w:val="595959"/>
      <w:sz w:val="28"/>
      <w:szCs w:val="28"/>
    </w:rPr>
  </w:style>
  <w:style w:type="table" w:customStyle="1" w:styleId="a">
    <w:basedOn w:val="TableNormal0"/>
    <w:rsid w:val="00B968F9"/>
    <w:pPr>
      <w:spacing w:after="0" w:line="240" w:lineRule="auto"/>
    </w:pPr>
    <w:tblPr>
      <w:tblStyleRowBandSize w:val="1"/>
      <w:tblStyleColBandSize w:val="1"/>
      <w:tblCellMar>
        <w:left w:w="108" w:type="dxa"/>
        <w:right w:w="108" w:type="dxa"/>
      </w:tblCellMar>
    </w:tblPr>
  </w:style>
  <w:style w:type="table" w:customStyle="1" w:styleId="a0">
    <w:basedOn w:val="TableNormal0"/>
    <w:rsid w:val="00B968F9"/>
    <w:pPr>
      <w:spacing w:after="0" w:line="240" w:lineRule="auto"/>
    </w:pPr>
    <w:tblPr>
      <w:tblStyleRowBandSize w:val="1"/>
      <w:tblStyleColBandSize w:val="1"/>
      <w:tblCellMar>
        <w:left w:w="108" w:type="dxa"/>
        <w:right w:w="108" w:type="dxa"/>
      </w:tblCellMar>
    </w:tblPr>
  </w:style>
  <w:style w:type="table" w:customStyle="1" w:styleId="a1">
    <w:basedOn w:val="TableNormal0"/>
    <w:rsid w:val="00B968F9"/>
    <w:pPr>
      <w:spacing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B968F9"/>
    <w:pPr>
      <w:ind w:left="720"/>
      <w:contextualSpacing/>
    </w:pPr>
  </w:style>
  <w:style w:type="paragraph" w:styleId="Header">
    <w:name w:val="header"/>
    <w:basedOn w:val="Normal"/>
    <w:link w:val="HeaderChar"/>
    <w:uiPriority w:val="99"/>
    <w:rsid w:val="00B9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8F9"/>
  </w:style>
  <w:style w:type="paragraph" w:styleId="Footer">
    <w:name w:val="footer"/>
    <w:basedOn w:val="Normal"/>
    <w:link w:val="FooterChar"/>
    <w:uiPriority w:val="99"/>
    <w:rsid w:val="00B9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8F9"/>
  </w:style>
  <w:style w:type="character" w:styleId="PageNumber">
    <w:name w:val="page number"/>
    <w:basedOn w:val="DefaultParagraphFont"/>
    <w:uiPriority w:val="99"/>
    <w:rsid w:val="00B968F9"/>
  </w:style>
  <w:style w:type="table" w:styleId="TableGrid">
    <w:name w:val="Table Grid"/>
    <w:basedOn w:val="TableNormal"/>
    <w:uiPriority w:val="39"/>
    <w:rsid w:val="00B968F9"/>
    <w:pPr>
      <w:spacing w:after="0" w:line="240" w:lineRule="auto"/>
    </w:pPr>
    <w:rPr>
      <w:rFonts w:ascii="Calibri" w:eastAsia="Calibri" w:hAnsi="Calibri" w:cs="SimSu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B968F9"/>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906D5E"/>
    <w:rPr>
      <w:color w:val="0000FF"/>
      <w:u w:val="single"/>
    </w:rPr>
  </w:style>
  <w:style w:type="character" w:customStyle="1" w:styleId="UnresolvedMention1">
    <w:name w:val="Unresolved Mention1"/>
    <w:basedOn w:val="DefaultParagraphFont"/>
    <w:uiPriority w:val="99"/>
    <w:semiHidden/>
    <w:unhideWhenUsed/>
    <w:rsid w:val="00EC4815"/>
    <w:rPr>
      <w:color w:val="605E5C"/>
      <w:shd w:val="clear" w:color="auto" w:fill="E1DFDD"/>
    </w:rPr>
  </w:style>
  <w:style w:type="paragraph" w:styleId="NormalWeb">
    <w:name w:val="Normal (Web)"/>
    <w:basedOn w:val="Normal"/>
    <w:uiPriority w:val="99"/>
    <w:semiHidden/>
    <w:unhideWhenUsed/>
    <w:rsid w:val="00BE7A9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BE7A9A"/>
    <w:rPr>
      <w:b/>
      <w:bCs/>
    </w:rPr>
  </w:style>
  <w:style w:type="character" w:styleId="Emphasis">
    <w:name w:val="Emphasis"/>
    <w:basedOn w:val="DefaultParagraphFont"/>
    <w:uiPriority w:val="20"/>
    <w:qFormat/>
    <w:rsid w:val="00BE7A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9791">
      <w:bodyDiv w:val="1"/>
      <w:marLeft w:val="0"/>
      <w:marRight w:val="0"/>
      <w:marTop w:val="0"/>
      <w:marBottom w:val="0"/>
      <w:divBdr>
        <w:top w:val="none" w:sz="0" w:space="0" w:color="auto"/>
        <w:left w:val="none" w:sz="0" w:space="0" w:color="auto"/>
        <w:bottom w:val="none" w:sz="0" w:space="0" w:color="auto"/>
        <w:right w:val="none" w:sz="0" w:space="0" w:color="auto"/>
      </w:divBdr>
    </w:div>
    <w:div w:id="1651399532">
      <w:bodyDiv w:val="1"/>
      <w:marLeft w:val="0"/>
      <w:marRight w:val="0"/>
      <w:marTop w:val="0"/>
      <w:marBottom w:val="0"/>
      <w:divBdr>
        <w:top w:val="none" w:sz="0" w:space="0" w:color="auto"/>
        <w:left w:val="none" w:sz="0" w:space="0" w:color="auto"/>
        <w:bottom w:val="none" w:sz="0" w:space="0" w:color="auto"/>
        <w:right w:val="none" w:sz="0" w:space="0" w:color="auto"/>
      </w:divBdr>
      <w:divsChild>
        <w:div w:id="663244815">
          <w:marLeft w:val="0"/>
          <w:marRight w:val="0"/>
          <w:marTop w:val="0"/>
          <w:marBottom w:val="0"/>
          <w:divBdr>
            <w:top w:val="none" w:sz="0" w:space="0" w:color="auto"/>
            <w:left w:val="none" w:sz="0" w:space="0" w:color="auto"/>
            <w:bottom w:val="none" w:sz="0" w:space="0" w:color="auto"/>
            <w:right w:val="none" w:sz="0" w:space="0" w:color="auto"/>
          </w:divBdr>
          <w:divsChild>
            <w:div w:id="50617898">
              <w:marLeft w:val="0"/>
              <w:marRight w:val="0"/>
              <w:marTop w:val="0"/>
              <w:marBottom w:val="0"/>
              <w:divBdr>
                <w:top w:val="none" w:sz="0" w:space="0" w:color="auto"/>
                <w:left w:val="none" w:sz="0" w:space="0" w:color="auto"/>
                <w:bottom w:val="none" w:sz="0" w:space="0" w:color="auto"/>
                <w:right w:val="none" w:sz="0" w:space="0" w:color="auto"/>
              </w:divBdr>
              <w:divsChild>
                <w:div w:id="757143644">
                  <w:marLeft w:val="0"/>
                  <w:marRight w:val="0"/>
                  <w:marTop w:val="0"/>
                  <w:marBottom w:val="0"/>
                  <w:divBdr>
                    <w:top w:val="none" w:sz="0" w:space="0" w:color="auto"/>
                    <w:left w:val="none" w:sz="0" w:space="0" w:color="auto"/>
                    <w:bottom w:val="none" w:sz="0" w:space="0" w:color="auto"/>
                    <w:right w:val="none" w:sz="0" w:space="0" w:color="auto"/>
                  </w:divBdr>
                  <w:divsChild>
                    <w:div w:id="629164669">
                      <w:marLeft w:val="0"/>
                      <w:marRight w:val="0"/>
                      <w:marTop w:val="0"/>
                      <w:marBottom w:val="0"/>
                      <w:divBdr>
                        <w:top w:val="none" w:sz="0" w:space="0" w:color="auto"/>
                        <w:left w:val="none" w:sz="0" w:space="0" w:color="auto"/>
                        <w:bottom w:val="none" w:sz="0" w:space="0" w:color="auto"/>
                        <w:right w:val="none" w:sz="0" w:space="0" w:color="auto"/>
                      </w:divBdr>
                      <w:divsChild>
                        <w:div w:id="1168180322">
                          <w:marLeft w:val="0"/>
                          <w:marRight w:val="0"/>
                          <w:marTop w:val="0"/>
                          <w:marBottom w:val="0"/>
                          <w:divBdr>
                            <w:top w:val="none" w:sz="0" w:space="0" w:color="auto"/>
                            <w:left w:val="none" w:sz="0" w:space="0" w:color="auto"/>
                            <w:bottom w:val="none" w:sz="0" w:space="0" w:color="auto"/>
                            <w:right w:val="none" w:sz="0" w:space="0" w:color="auto"/>
                          </w:divBdr>
                          <w:divsChild>
                            <w:div w:id="1855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blood-safety-and-availabilit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ris.who.int/handle/10665/672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20</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CPU 1117</cp:lastModifiedBy>
  <cp:revision>23</cp:revision>
  <dcterms:created xsi:type="dcterms:W3CDTF">2025-10-05T18:27:00Z</dcterms:created>
  <dcterms:modified xsi:type="dcterms:W3CDTF">2025-10-15T12:51:00Z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50d2a56288614fbc954144d4c94ee7fb</vt:lpwstr>
  </property>
  <property fmtid="{D5CDD505-2E9C-101B-9397-08002B2CF9AE}" pid="3" name="GrammarlyDocumentId">
    <vt:lpwstr>ad8cd59b-3c1a-4ec3-a1e1-568b3fe479b5</vt:lpwstr>
  </property>
</Properties>
</file>