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8DF5" w14:textId="77777777" w:rsidR="00754C9A" w:rsidRDefault="00754C9A" w:rsidP="00441B6F">
      <w:pPr>
        <w:pStyle w:val="Title"/>
        <w:spacing w:after="0"/>
        <w:jc w:val="both"/>
        <w:rPr>
          <w:rFonts w:ascii="Arial" w:hAnsi="Arial" w:cs="Arial"/>
        </w:rPr>
      </w:pPr>
    </w:p>
    <w:p w14:paraId="3923E079" w14:textId="592CB4D0" w:rsidR="00163BC4" w:rsidRPr="00163BC4" w:rsidRDefault="00531DBB" w:rsidP="00441B6F">
      <w:pPr>
        <w:pStyle w:val="Author"/>
        <w:spacing w:line="240" w:lineRule="auto"/>
        <w:rPr>
          <w:rFonts w:ascii="Arial" w:hAnsi="Arial" w:cs="Arial"/>
          <w:bCs/>
          <w:iCs/>
          <w:kern w:val="28"/>
          <w:sz w:val="36"/>
        </w:rPr>
      </w:pPr>
      <w:r w:rsidRPr="00531DBB">
        <w:rPr>
          <w:rFonts w:ascii="Arial" w:hAnsi="Arial" w:cs="Arial"/>
          <w:bCs/>
          <w:iCs/>
          <w:kern w:val="28"/>
          <w:sz w:val="36"/>
        </w:rPr>
        <w:t>Implementation and Impact of the Advanced HIV Disease Package of Care in Ekiti State, Nigeria: A Retrospective Cohort Study</w:t>
      </w:r>
      <w:r w:rsidR="00231920">
        <w:rPr>
          <w:rFonts w:ascii="Arial" w:hAnsi="Arial" w:cs="Arial"/>
          <w:bCs/>
          <w:iCs/>
          <w:kern w:val="28"/>
          <w:sz w:val="36"/>
        </w:rPr>
        <w:t xml:space="preserve"> </w:t>
      </w:r>
    </w:p>
    <w:p w14:paraId="30674E16" w14:textId="77777777" w:rsidR="00A258C3" w:rsidRPr="00790ADA" w:rsidRDefault="00A258C3" w:rsidP="00441B6F">
      <w:pPr>
        <w:pStyle w:val="Author"/>
        <w:spacing w:line="240" w:lineRule="auto"/>
        <w:jc w:val="both"/>
        <w:rPr>
          <w:rFonts w:ascii="Arial" w:hAnsi="Arial" w:cs="Arial"/>
          <w:sz w:val="36"/>
        </w:rPr>
      </w:pPr>
    </w:p>
    <w:p w14:paraId="7BBE9679" w14:textId="77777777" w:rsidR="00AC6F87" w:rsidRPr="00FB3A86" w:rsidRDefault="00AC6F87" w:rsidP="00441B6F">
      <w:pPr>
        <w:pStyle w:val="Affiliation"/>
        <w:spacing w:after="0" w:line="240" w:lineRule="auto"/>
        <w:jc w:val="both"/>
        <w:rPr>
          <w:rFonts w:ascii="Arial" w:hAnsi="Arial" w:cs="Arial"/>
        </w:rPr>
      </w:pPr>
    </w:p>
    <w:p w14:paraId="3649C49C" w14:textId="77777777" w:rsidR="00B01FCD" w:rsidRPr="00FB3A86" w:rsidRDefault="00B55335" w:rsidP="00441B6F">
      <w:pPr>
        <w:pStyle w:val="Copyright"/>
        <w:spacing w:after="0" w:line="240" w:lineRule="auto"/>
        <w:jc w:val="both"/>
        <w:rPr>
          <w:rFonts w:ascii="Arial" w:hAnsi="Arial" w:cs="Arial"/>
        </w:rPr>
        <w:sectPr w:rsidR="00B01FCD" w:rsidRPr="00FB3A86" w:rsidSect="00955C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A4FC21" wp14:editId="6569513B">
                <wp:extent cx="5303520" cy="635"/>
                <wp:effectExtent l="0" t="12700" r="8890" b="0"/>
                <wp:docPr id="18430173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DFEA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7086C7D" w14:textId="2D30D6FA" w:rsidR="00B01FCD" w:rsidRDefault="00B01FCD" w:rsidP="00441B6F">
      <w:pPr>
        <w:pStyle w:val="AbstHead"/>
        <w:spacing w:after="0"/>
        <w:jc w:val="both"/>
        <w:rPr>
          <w:rFonts w:ascii="Arial" w:hAnsi="Arial" w:cs="Arial"/>
        </w:rPr>
      </w:pPr>
      <w:r w:rsidRPr="00FB3A86">
        <w:rPr>
          <w:rFonts w:ascii="Arial" w:hAnsi="Arial" w:cs="Arial"/>
        </w:rPr>
        <w:t>ABSTRACT</w:t>
      </w:r>
    </w:p>
    <w:p w14:paraId="2936CC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35A609" w14:textId="77777777" w:rsidTr="001E44FE">
        <w:tc>
          <w:tcPr>
            <w:tcW w:w="9576" w:type="dxa"/>
            <w:shd w:val="clear" w:color="auto" w:fill="F2F2F2"/>
          </w:tcPr>
          <w:p w14:paraId="19946E3B" w14:textId="586D5866" w:rsidR="00BA1B01" w:rsidRPr="00BA1B01" w:rsidRDefault="000C2246" w:rsidP="00441B6F">
            <w:pPr>
              <w:pStyle w:val="Body"/>
              <w:spacing w:after="0"/>
              <w:rPr>
                <w:rFonts w:ascii="Arial" w:eastAsia="Calibri" w:hAnsi="Arial" w:cs="Arial"/>
                <w:szCs w:val="22"/>
              </w:rPr>
            </w:pPr>
            <w:r>
              <w:rPr>
                <w:rFonts w:ascii="Arial" w:eastAsia="Calibri" w:hAnsi="Arial" w:cs="Arial"/>
                <w:b/>
                <w:szCs w:val="22"/>
              </w:rPr>
              <w:t>Background</w:t>
            </w:r>
            <w:r w:rsidR="00BA1B01" w:rsidRPr="00BA1B01">
              <w:rPr>
                <w:rFonts w:ascii="Arial" w:eastAsia="Calibri" w:hAnsi="Arial" w:cs="Arial"/>
                <w:b/>
                <w:szCs w:val="22"/>
              </w:rPr>
              <w:t xml:space="preserve">: </w:t>
            </w:r>
            <w:r w:rsidR="00456532" w:rsidRPr="00456532">
              <w:rPr>
                <w:rFonts w:ascii="Arial" w:eastAsia="Calibri" w:hAnsi="Arial" w:cs="Arial"/>
                <w:szCs w:val="22"/>
              </w:rPr>
              <w:t>Advanced HIV Disease remains a major driver of HIV-related morbidity and mortality in low- and middle-income countries, including Nigeria. Evidence on the real-world impact of the WHO-recommended AHD package of care in Nigeria is limited. This study examined its effect on diagnostics, treatment, and outcomes in Ekiti State</w:t>
            </w:r>
            <w:r w:rsidR="00BA1B01" w:rsidRPr="00BA1B01">
              <w:rPr>
                <w:rFonts w:ascii="Arial" w:eastAsia="Calibri" w:hAnsi="Arial" w:cs="Arial"/>
                <w:szCs w:val="22"/>
              </w:rPr>
              <w:t>.</w:t>
            </w:r>
          </w:p>
          <w:p w14:paraId="6E559044" w14:textId="4519190E" w:rsidR="00BA1B01" w:rsidRPr="00BA1B01" w:rsidRDefault="000C2246" w:rsidP="00441B6F">
            <w:pPr>
              <w:pStyle w:val="Body"/>
              <w:spacing w:after="0"/>
              <w:rPr>
                <w:rFonts w:ascii="Arial" w:eastAsia="Calibri" w:hAnsi="Arial" w:cs="Arial"/>
                <w:szCs w:val="22"/>
              </w:rPr>
            </w:pPr>
            <w:r>
              <w:rPr>
                <w:rFonts w:ascii="Arial" w:eastAsia="Calibri" w:hAnsi="Arial" w:cs="Arial"/>
                <w:b/>
                <w:szCs w:val="22"/>
              </w:rPr>
              <w:t xml:space="preserve">Methods: </w:t>
            </w:r>
            <w:r w:rsidRPr="000C2246">
              <w:rPr>
                <w:rFonts w:ascii="Arial" w:eastAsia="Calibri" w:hAnsi="Arial" w:cs="Arial"/>
                <w:szCs w:val="22"/>
              </w:rPr>
              <w:t>We conducted a retrospective cohort study across 15 ART sites using the National Medical Records System data. Patients aged ≥5 years who newly enrolled in HIV care between December 2019 and November 2021(before the implementation of the WHO AHD package of care) and December 2021 and May 2023(implementation period) were included. Data were analyzed using STATA version 16.1</w:t>
            </w:r>
            <w:r w:rsidR="00BA1B01" w:rsidRPr="00BA1B01">
              <w:rPr>
                <w:rFonts w:ascii="Arial" w:eastAsia="Calibri" w:hAnsi="Arial" w:cs="Arial"/>
                <w:szCs w:val="22"/>
              </w:rPr>
              <w:t>.</w:t>
            </w:r>
          </w:p>
          <w:p w14:paraId="638C81CD" w14:textId="5F77E173" w:rsidR="00BA1B01" w:rsidRPr="00BA1B01" w:rsidRDefault="000C2246" w:rsidP="00441B6F">
            <w:pPr>
              <w:pStyle w:val="Body"/>
              <w:spacing w:after="0"/>
              <w:rPr>
                <w:rFonts w:ascii="Arial" w:eastAsia="Calibri" w:hAnsi="Arial" w:cs="Arial"/>
                <w:szCs w:val="22"/>
              </w:rPr>
            </w:pPr>
            <w:r>
              <w:rPr>
                <w:rFonts w:ascii="Arial" w:eastAsia="Calibri" w:hAnsi="Arial" w:cs="Arial"/>
                <w:b/>
                <w:szCs w:val="22"/>
              </w:rPr>
              <w:t>Results:</w:t>
            </w:r>
            <w:r w:rsidR="00BA1B01" w:rsidRPr="00BA1B01">
              <w:rPr>
                <w:rFonts w:ascii="Arial" w:eastAsia="Calibri" w:hAnsi="Arial" w:cs="Arial"/>
                <w:szCs w:val="22"/>
              </w:rPr>
              <w:t xml:space="preserve"> </w:t>
            </w:r>
            <w:r w:rsidRPr="000C2246">
              <w:rPr>
                <w:rFonts w:ascii="Arial" w:eastAsia="Calibri" w:hAnsi="Arial" w:cs="Arial"/>
                <w:szCs w:val="22"/>
              </w:rPr>
              <w:t>892 patients were included in the study with a median age of 35 years (IQR: 28 - 44), and the majority were females (59.3%). Many of the patients were from the key population typology. The study showed an increase in the uptake of CD4 from 83.7% to 99.3%. It also showed an increase in the diagnosis of tuberculosis using TB LAM, although the level of service uptake was generally low. Diagnostic services for cryptococcal meningitis were also seen to be very poor. Clinical outcomes at six months showed a significant difference (p &lt;0.01) in the mortality outcome</w:t>
            </w:r>
            <w:r w:rsidR="00BA1B01" w:rsidRPr="00BA1B01">
              <w:rPr>
                <w:rFonts w:ascii="Arial" w:eastAsia="Calibri" w:hAnsi="Arial" w:cs="Arial"/>
                <w:szCs w:val="22"/>
              </w:rPr>
              <w:t>.</w:t>
            </w:r>
          </w:p>
          <w:p w14:paraId="11BD4CBD" w14:textId="5293E351" w:rsidR="00505F06" w:rsidRPr="00352230" w:rsidRDefault="000C2246" w:rsidP="00441B6F">
            <w:pPr>
              <w:pStyle w:val="Body"/>
              <w:spacing w:after="0"/>
              <w:rPr>
                <w:rFonts w:ascii="Arial" w:eastAsia="Calibri" w:hAnsi="Arial" w:cs="Arial"/>
                <w:szCs w:val="22"/>
              </w:rPr>
            </w:pPr>
            <w:r>
              <w:rPr>
                <w:rFonts w:ascii="Arial" w:eastAsia="Calibri" w:hAnsi="Arial" w:cs="Arial"/>
                <w:b/>
                <w:bCs/>
                <w:szCs w:val="22"/>
              </w:rPr>
              <w:t>Conclusion:</w:t>
            </w:r>
            <w:r w:rsidR="00BA1B01" w:rsidRPr="00BA1B01">
              <w:rPr>
                <w:rFonts w:ascii="Arial" w:eastAsia="Calibri" w:hAnsi="Arial" w:cs="Arial"/>
                <w:szCs w:val="22"/>
              </w:rPr>
              <w:t xml:space="preserve"> </w:t>
            </w:r>
            <w:r w:rsidR="00352230" w:rsidRPr="00352230">
              <w:rPr>
                <w:rFonts w:ascii="Arial" w:eastAsia="Calibri" w:hAnsi="Arial" w:cs="Arial"/>
                <w:szCs w:val="22"/>
              </w:rPr>
              <w:t xml:space="preserve">The AHD package improved CD4 testing coverage and reduced mortality, demonstrating its potential to strengthen HIV care in Nigeria. Persistent gaps in </w:t>
            </w:r>
            <w:r w:rsidR="00985A42" w:rsidRPr="00985A42">
              <w:rPr>
                <w:rFonts w:ascii="Arial" w:eastAsia="Calibri" w:hAnsi="Arial" w:cs="Arial"/>
                <w:szCs w:val="22"/>
              </w:rPr>
              <w:t>Tuberculosis Lipoarabinomannan Assay</w:t>
            </w:r>
            <w:r w:rsidR="00352230" w:rsidRPr="00352230">
              <w:rPr>
                <w:rFonts w:ascii="Arial" w:eastAsia="Calibri" w:hAnsi="Arial" w:cs="Arial"/>
                <w:szCs w:val="22"/>
              </w:rPr>
              <w:t xml:space="preserve"> and </w:t>
            </w:r>
            <w:r w:rsidR="00A06F9B">
              <w:rPr>
                <w:rFonts w:ascii="Arial" w:eastAsia="Calibri" w:hAnsi="Arial" w:cs="Arial"/>
                <w:szCs w:val="22"/>
              </w:rPr>
              <w:t>cryptococcal antigen</w:t>
            </w:r>
            <w:r w:rsidR="00352230" w:rsidRPr="00352230">
              <w:rPr>
                <w:rFonts w:ascii="Arial" w:eastAsia="Calibri" w:hAnsi="Arial" w:cs="Arial"/>
                <w:szCs w:val="22"/>
              </w:rPr>
              <w:t xml:space="preserve"> testing highlight the need for stronger diagnostic capacity and full adoption of the package. These findings provide early evidence to guide scale-up and optimization of AHD care in similar settings</w:t>
            </w:r>
            <w:r w:rsidR="00BA1B01" w:rsidRPr="00BA1B01">
              <w:rPr>
                <w:rFonts w:ascii="Arial" w:eastAsia="Calibri" w:hAnsi="Arial" w:cs="Arial"/>
                <w:szCs w:val="22"/>
              </w:rPr>
              <w:t>.</w:t>
            </w:r>
          </w:p>
        </w:tc>
      </w:tr>
    </w:tbl>
    <w:p w14:paraId="732F63A9" w14:textId="77777777" w:rsidR="00636EB2" w:rsidRDefault="00636EB2" w:rsidP="00441B6F">
      <w:pPr>
        <w:pStyle w:val="Body"/>
        <w:spacing w:after="0"/>
        <w:rPr>
          <w:rFonts w:ascii="Arial" w:hAnsi="Arial" w:cs="Arial"/>
          <w:i/>
        </w:rPr>
      </w:pPr>
    </w:p>
    <w:p w14:paraId="7C0F33AA" w14:textId="022CE66F" w:rsidR="00A24E7E" w:rsidRDefault="00A24E7E" w:rsidP="00441B6F">
      <w:pPr>
        <w:pStyle w:val="Body"/>
        <w:spacing w:after="0"/>
        <w:rPr>
          <w:rFonts w:ascii="Arial" w:hAnsi="Arial" w:cs="Arial"/>
          <w:i/>
        </w:rPr>
      </w:pPr>
      <w:r>
        <w:rPr>
          <w:rFonts w:ascii="Arial" w:hAnsi="Arial" w:cs="Arial"/>
          <w:i/>
        </w:rPr>
        <w:t xml:space="preserve">Keywords: </w:t>
      </w:r>
      <w:r w:rsidR="000A4A87" w:rsidRPr="000A4A87">
        <w:rPr>
          <w:rFonts w:ascii="Arial" w:hAnsi="Arial" w:cs="Arial"/>
          <w:i/>
        </w:rPr>
        <w:t>Advanced HIV Disease (AHD), AHD package of care, antiretroviral therapy (ART)</w:t>
      </w:r>
      <w:r w:rsidR="000A4A87">
        <w:rPr>
          <w:rFonts w:ascii="Arial" w:hAnsi="Arial" w:cs="Arial"/>
          <w:i/>
        </w:rPr>
        <w:t>, Implementation</w:t>
      </w:r>
    </w:p>
    <w:p w14:paraId="6D41F8BD" w14:textId="77777777" w:rsidR="0024282C" w:rsidRDefault="0024282C" w:rsidP="00441B6F">
      <w:pPr>
        <w:pStyle w:val="Body"/>
        <w:spacing w:after="0"/>
        <w:rPr>
          <w:rFonts w:ascii="Arial" w:hAnsi="Arial" w:cs="Arial"/>
          <w:i/>
          <w:sz w:val="18"/>
        </w:rPr>
      </w:pPr>
    </w:p>
    <w:p w14:paraId="16F05C67" w14:textId="77777777" w:rsidR="00505F06" w:rsidRPr="00A24E7E" w:rsidRDefault="00505F06" w:rsidP="00441B6F">
      <w:pPr>
        <w:pStyle w:val="Body"/>
        <w:spacing w:after="0"/>
        <w:rPr>
          <w:rFonts w:ascii="Arial" w:hAnsi="Arial" w:cs="Arial"/>
          <w:i/>
        </w:rPr>
      </w:pPr>
    </w:p>
    <w:p w14:paraId="1E15AAEB" w14:textId="47801FF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4AC87F" w14:textId="77777777" w:rsidR="00790ADA" w:rsidRPr="00FB3A86" w:rsidRDefault="00790ADA" w:rsidP="00441B6F">
      <w:pPr>
        <w:pStyle w:val="AbstHead"/>
        <w:spacing w:after="0"/>
        <w:jc w:val="both"/>
        <w:rPr>
          <w:rFonts w:ascii="Arial" w:hAnsi="Arial" w:cs="Arial"/>
        </w:rPr>
      </w:pPr>
    </w:p>
    <w:p w14:paraId="57F1B471" w14:textId="7F7EB720" w:rsidR="000A4A87" w:rsidRPr="000A4A87" w:rsidRDefault="00623558" w:rsidP="00C16EB7">
      <w:pPr>
        <w:pStyle w:val="Body"/>
        <w:spacing w:after="0"/>
        <w:rPr>
          <w:rFonts w:ascii="Arial" w:eastAsia="Calibri" w:hAnsi="Arial" w:cs="Arial"/>
          <w:szCs w:val="22"/>
        </w:rPr>
      </w:pPr>
      <w:r>
        <w:rPr>
          <w:rFonts w:ascii="Arial" w:eastAsia="Calibri" w:hAnsi="Arial" w:cs="Arial"/>
          <w:szCs w:val="22"/>
        </w:rPr>
        <w:t>“</w:t>
      </w:r>
      <w:r w:rsidR="000A4A87" w:rsidRPr="000A4A87">
        <w:rPr>
          <w:rFonts w:ascii="Arial" w:eastAsia="Calibri" w:hAnsi="Arial" w:cs="Arial"/>
          <w:szCs w:val="22"/>
        </w:rPr>
        <w:t>Despite significant progress in the global fight against HIV and AIDS, more than one-third of people living with HIV (PLHIV) in low- and middle-income countries (LMICs) present with advanced HIV disease (AHD)</w:t>
      </w:r>
      <w:r>
        <w:rPr>
          <w:rFonts w:ascii="Arial" w:eastAsia="Calibri" w:hAnsi="Arial" w:cs="Arial"/>
          <w:szCs w:val="22"/>
        </w:rPr>
        <w:t>”</w:t>
      </w:r>
      <w:r w:rsidR="000A4A87" w:rsidRPr="000A4A87">
        <w:rPr>
          <w:rFonts w:ascii="Arial" w:eastAsia="Calibri" w:hAnsi="Arial" w:cs="Arial"/>
          <w:szCs w:val="22"/>
        </w:rPr>
        <w:t xml:space="preserve"> [1]. </w:t>
      </w:r>
      <w:r>
        <w:rPr>
          <w:rFonts w:ascii="Arial" w:eastAsia="Calibri" w:hAnsi="Arial" w:cs="Arial"/>
          <w:szCs w:val="22"/>
        </w:rPr>
        <w:t>“</w:t>
      </w:r>
      <w:r w:rsidR="000A4A87" w:rsidRPr="000A4A87">
        <w:rPr>
          <w:rFonts w:ascii="Arial" w:eastAsia="Calibri" w:hAnsi="Arial" w:cs="Arial"/>
          <w:szCs w:val="22"/>
        </w:rPr>
        <w:t>The World Health Organization (WHO) defines AHD in adults, adolescents, and children older than five years as having a CD4 cell count of &lt;200 cells/mm3 or WHO stage 3 or 4, including both ART-naive individuals and those who interrupt treatment and are returning to care, and all children younger than 5 years living with HIV</w:t>
      </w:r>
      <w:r>
        <w:rPr>
          <w:rFonts w:ascii="Arial" w:eastAsia="Calibri" w:hAnsi="Arial" w:cs="Arial"/>
          <w:szCs w:val="22"/>
        </w:rPr>
        <w:t>”</w:t>
      </w:r>
      <w:bookmarkStart w:id="0" w:name="_GoBack"/>
      <w:bookmarkEnd w:id="0"/>
      <w:r w:rsidR="000A4A87" w:rsidRPr="000A4A87">
        <w:rPr>
          <w:rFonts w:ascii="Arial" w:eastAsia="Calibri" w:hAnsi="Arial" w:cs="Arial"/>
          <w:szCs w:val="22"/>
        </w:rPr>
        <w:t xml:space="preserve"> [2]. Most common causes of AIDS-related deaths are preventable. They can be attributed to AHD, including undiagnosed tuberculosis (TB) and cryptococcal meningitis, which account for approximately 27% and 15% of all global AIDS-related deaths, respectively [3-5]. AHD continues to account for a substantial proportion of HIV-related morbidity and mortality globally. Studies have shown that 30-50% of people newly enrolling into HIV care in sub-</w:t>
      </w:r>
      <w:r w:rsidR="000A4A87" w:rsidRPr="000A4A87">
        <w:rPr>
          <w:rFonts w:ascii="Arial" w:eastAsia="Calibri" w:hAnsi="Arial" w:cs="Arial"/>
          <w:szCs w:val="22"/>
        </w:rPr>
        <w:lastRenderedPageBreak/>
        <w:t>Saharan Africa, including Nigeria, present with advanced disease, defined by a CD4 count below 200 cells/mm3 or WHO stage 3 or 4 clinical conditions [6-9].</w:t>
      </w:r>
    </w:p>
    <w:p w14:paraId="3BAE835D" w14:textId="77777777" w:rsidR="00C16EB7" w:rsidRDefault="00C16EB7" w:rsidP="00C16EB7">
      <w:pPr>
        <w:pStyle w:val="Body"/>
        <w:spacing w:after="0"/>
        <w:rPr>
          <w:rFonts w:ascii="Arial" w:eastAsia="Calibri" w:hAnsi="Arial" w:cs="Arial"/>
          <w:szCs w:val="22"/>
        </w:rPr>
      </w:pPr>
    </w:p>
    <w:p w14:paraId="2D43A284" w14:textId="784E5224" w:rsidR="000A4A87" w:rsidRPr="000A4A87" w:rsidRDefault="000A4A87" w:rsidP="00C16EB7">
      <w:pPr>
        <w:pStyle w:val="Body"/>
        <w:spacing w:after="0"/>
        <w:rPr>
          <w:rFonts w:ascii="Arial" w:eastAsia="Calibri" w:hAnsi="Arial" w:cs="Arial"/>
          <w:szCs w:val="22"/>
        </w:rPr>
      </w:pPr>
      <w:r w:rsidRPr="000A4A87">
        <w:rPr>
          <w:rFonts w:ascii="Arial" w:eastAsia="Calibri" w:hAnsi="Arial" w:cs="Arial"/>
          <w:szCs w:val="22"/>
        </w:rPr>
        <w:t xml:space="preserve">The WHO rolled out treatment guidelines for AHD in 2017, which include tuberculosis, cryptococcal meningitis, Pneumocystis </w:t>
      </w:r>
      <w:proofErr w:type="spellStart"/>
      <w:r w:rsidRPr="000A4A87">
        <w:rPr>
          <w:rFonts w:ascii="Arial" w:eastAsia="Calibri" w:hAnsi="Arial" w:cs="Arial"/>
          <w:szCs w:val="22"/>
        </w:rPr>
        <w:t>jiroveci</w:t>
      </w:r>
      <w:proofErr w:type="spellEnd"/>
      <w:r w:rsidRPr="000A4A87">
        <w:rPr>
          <w:rFonts w:ascii="Arial" w:eastAsia="Calibri" w:hAnsi="Arial" w:cs="Arial"/>
          <w:szCs w:val="22"/>
        </w:rPr>
        <w:t xml:space="preserve"> pneumonia, severe bacterial infections, cytomegalovirus, and toxoplasmosis [2,9]. The implementation of the AHD package of care was adopted in the Nigerian National Guidelines for HIV Prevention, Treatment, and Care in 2020. The AHD guidelines also recommend rapid initiation of antiretroviral therapy (ART), except for persons with cryptococcal meningitis and meningeal tuberculosis or other forms of central nervous system tuberculosis who are receiving treatment and are intensively followed for the first 4-6 weeks and 4-8 weeks, respectively</w:t>
      </w:r>
      <w:r w:rsidR="00A06F9B">
        <w:rPr>
          <w:rFonts w:ascii="Arial" w:eastAsia="Calibri" w:hAnsi="Arial" w:cs="Arial"/>
          <w:szCs w:val="22"/>
        </w:rPr>
        <w:t xml:space="preserve">. Screening for tuberculosis can be done using </w:t>
      </w:r>
      <w:r w:rsidR="00A06F9B" w:rsidRPr="00A06F9B">
        <w:rPr>
          <w:rFonts w:ascii="Arial" w:eastAsia="Calibri" w:hAnsi="Arial" w:cs="Arial"/>
          <w:szCs w:val="22"/>
        </w:rPr>
        <w:t>Tuberculosis Lipoarabinomannan Assay</w:t>
      </w:r>
      <w:r w:rsidR="00A06F9B">
        <w:rPr>
          <w:rFonts w:ascii="Arial" w:eastAsia="Calibri" w:hAnsi="Arial" w:cs="Arial"/>
          <w:szCs w:val="22"/>
        </w:rPr>
        <w:t xml:space="preserve"> (TB-LAM), while cryptococcal meningitis is diagnosed with cryptococcal antigen (</w:t>
      </w:r>
      <w:proofErr w:type="spellStart"/>
      <w:r w:rsidR="00A06F9B">
        <w:rPr>
          <w:rFonts w:ascii="Arial" w:eastAsia="Calibri" w:hAnsi="Arial" w:cs="Arial"/>
          <w:szCs w:val="22"/>
        </w:rPr>
        <w:t>CrAg</w:t>
      </w:r>
      <w:proofErr w:type="spellEnd"/>
      <w:r w:rsidR="00A06F9B">
        <w:rPr>
          <w:rFonts w:ascii="Arial" w:eastAsia="Calibri" w:hAnsi="Arial" w:cs="Arial"/>
          <w:szCs w:val="22"/>
        </w:rPr>
        <w:t>) testing</w:t>
      </w:r>
      <w:r w:rsidRPr="000A4A87">
        <w:rPr>
          <w:rFonts w:ascii="Arial" w:eastAsia="Calibri" w:hAnsi="Arial" w:cs="Arial"/>
          <w:szCs w:val="22"/>
        </w:rPr>
        <w:t xml:space="preserve"> [8]. In addition to screening for and treating these opportunistic infections (OIs), prophylaxis is also provided. Following the roll-out of the AHD package of care in Nigeria, several PLHIV have been diagnosed with OIs and linked to care, owing to the use of point-of-care rapid diagnostics.</w:t>
      </w:r>
    </w:p>
    <w:p w14:paraId="64FA7094" w14:textId="77777777" w:rsidR="00C16EB7" w:rsidRDefault="00C16EB7" w:rsidP="000A4A87">
      <w:pPr>
        <w:pStyle w:val="Body"/>
        <w:spacing w:after="0"/>
        <w:rPr>
          <w:rFonts w:ascii="Arial" w:eastAsia="Calibri" w:hAnsi="Arial" w:cs="Arial"/>
          <w:szCs w:val="22"/>
        </w:rPr>
      </w:pPr>
    </w:p>
    <w:p w14:paraId="5286BEA9" w14:textId="33231C1E" w:rsidR="00B01FCD" w:rsidRDefault="000A4A87" w:rsidP="000A4A87">
      <w:pPr>
        <w:pStyle w:val="Body"/>
        <w:spacing w:after="0"/>
        <w:rPr>
          <w:rFonts w:ascii="Arial" w:hAnsi="Arial" w:cs="Arial"/>
        </w:rPr>
      </w:pPr>
      <w:r w:rsidRPr="000A4A87">
        <w:rPr>
          <w:rFonts w:ascii="Arial" w:eastAsia="Calibri" w:hAnsi="Arial" w:cs="Arial"/>
          <w:szCs w:val="22"/>
        </w:rPr>
        <w:t xml:space="preserve">In the Ekiti State HIV </w:t>
      </w:r>
      <w:proofErr w:type="spellStart"/>
      <w:r w:rsidRPr="000A4A87">
        <w:rPr>
          <w:rFonts w:ascii="Arial" w:eastAsia="Calibri" w:hAnsi="Arial" w:cs="Arial"/>
          <w:szCs w:val="22"/>
        </w:rPr>
        <w:t>programme</w:t>
      </w:r>
      <w:proofErr w:type="spellEnd"/>
      <w:r w:rsidRPr="000A4A87">
        <w:rPr>
          <w:rFonts w:ascii="Arial" w:eastAsia="Calibri" w:hAnsi="Arial" w:cs="Arial"/>
          <w:szCs w:val="22"/>
        </w:rPr>
        <w:t xml:space="preserve">, the AHD package of care was rolled out in December 2021, following a series of preparatory capacity-building and resource mobilization activities by the National and State clinical mentors of the National Clinical Mentorship </w:t>
      </w:r>
      <w:proofErr w:type="spellStart"/>
      <w:r w:rsidRPr="000A4A87">
        <w:rPr>
          <w:rFonts w:ascii="Arial" w:eastAsia="Calibri" w:hAnsi="Arial" w:cs="Arial"/>
          <w:szCs w:val="22"/>
        </w:rPr>
        <w:t>programme</w:t>
      </w:r>
      <w:proofErr w:type="spellEnd"/>
      <w:r w:rsidRPr="000A4A87">
        <w:rPr>
          <w:rFonts w:ascii="Arial" w:eastAsia="Calibri" w:hAnsi="Arial" w:cs="Arial"/>
          <w:szCs w:val="22"/>
        </w:rPr>
        <w:t>. While evidence shows the relevance of the AHD package of care, little is known about its implementation fidelity and impact in many states in Nigeria, including Ekiti State. This study aimed to evaluate the implementation of the Nigerian National HIV guidelines' recommended AHD package of care and its impact on treatment outcomes in Ekiti State, Nigeria</w:t>
      </w:r>
      <w:r>
        <w:rPr>
          <w:rFonts w:ascii="Arial" w:eastAsia="Calibri" w:hAnsi="Arial" w:cs="Arial"/>
          <w:szCs w:val="22"/>
        </w:rPr>
        <w:t>.</w:t>
      </w:r>
    </w:p>
    <w:p w14:paraId="164D2A05" w14:textId="77777777" w:rsidR="00790ADA" w:rsidRPr="00FB3A86" w:rsidRDefault="00790ADA" w:rsidP="00441B6F">
      <w:pPr>
        <w:pStyle w:val="Body"/>
        <w:spacing w:after="0"/>
        <w:rPr>
          <w:rFonts w:ascii="Arial" w:hAnsi="Arial" w:cs="Arial"/>
        </w:rPr>
      </w:pPr>
    </w:p>
    <w:p w14:paraId="2951C661" w14:textId="5048C81B" w:rsidR="007F7B32" w:rsidRDefault="00902823" w:rsidP="00441B6F">
      <w:pPr>
        <w:pStyle w:val="AbstHead"/>
        <w:spacing w:after="0"/>
        <w:jc w:val="both"/>
        <w:rPr>
          <w:rFonts w:ascii="Arial" w:hAnsi="Arial" w:cs="Arial"/>
        </w:rPr>
      </w:pPr>
      <w:r>
        <w:rPr>
          <w:rFonts w:ascii="Arial" w:hAnsi="Arial" w:cs="Arial"/>
        </w:rPr>
        <w:t>2. material</w:t>
      </w:r>
      <w:r w:rsidR="00C16EB7">
        <w:rPr>
          <w:rFonts w:ascii="Arial" w:hAnsi="Arial" w:cs="Arial"/>
        </w:rPr>
        <w:t>S</w:t>
      </w:r>
      <w:r>
        <w:rPr>
          <w:rFonts w:ascii="Arial" w:hAnsi="Arial" w:cs="Arial"/>
        </w:rPr>
        <w:t xml:space="preserve"> and method</w:t>
      </w:r>
      <w:r w:rsidR="00000F8F">
        <w:rPr>
          <w:rFonts w:ascii="Arial" w:hAnsi="Arial" w:cs="Arial"/>
        </w:rPr>
        <w:t>s</w:t>
      </w:r>
    </w:p>
    <w:p w14:paraId="4134326F" w14:textId="77777777" w:rsidR="00790ADA" w:rsidRPr="00FB3A86" w:rsidRDefault="00790ADA" w:rsidP="00441B6F">
      <w:pPr>
        <w:pStyle w:val="AbstHead"/>
        <w:spacing w:after="0"/>
        <w:jc w:val="both"/>
        <w:rPr>
          <w:rFonts w:ascii="Arial" w:hAnsi="Arial" w:cs="Arial"/>
        </w:rPr>
      </w:pPr>
    </w:p>
    <w:p w14:paraId="09D308F6" w14:textId="1C7CA7D8" w:rsidR="00830853" w:rsidRPr="00830853" w:rsidRDefault="00830853" w:rsidP="00C16EB7">
      <w:pPr>
        <w:pStyle w:val="Body"/>
        <w:spacing w:after="0"/>
        <w:rPr>
          <w:rFonts w:ascii="Arial" w:eastAsia="Calibri" w:hAnsi="Arial" w:cs="Arial"/>
          <w:szCs w:val="22"/>
        </w:rPr>
      </w:pPr>
      <w:r w:rsidRPr="00830853">
        <w:rPr>
          <w:rFonts w:ascii="Arial" w:eastAsia="Calibri" w:hAnsi="Arial" w:cs="Arial"/>
          <w:szCs w:val="22"/>
        </w:rPr>
        <w:t xml:space="preserve">This is a retrospective study conducted across all antiretroviral therapy sites (ART) in Ekiti State, Nigeria. Ekiti State has 16 local government areas with 15 comprehensive ART sites and an estimated HIV prevalence of 0.8% [10]. Nigeria initiated the National Clinical Mentorship </w:t>
      </w:r>
      <w:proofErr w:type="spellStart"/>
      <w:r w:rsidRPr="00830853">
        <w:rPr>
          <w:rFonts w:ascii="Arial" w:eastAsia="Calibri" w:hAnsi="Arial" w:cs="Arial"/>
          <w:szCs w:val="22"/>
        </w:rPr>
        <w:t>Programme</w:t>
      </w:r>
      <w:proofErr w:type="spellEnd"/>
      <w:r w:rsidRPr="00830853">
        <w:rPr>
          <w:rFonts w:ascii="Arial" w:eastAsia="Calibri" w:hAnsi="Arial" w:cs="Arial"/>
          <w:szCs w:val="22"/>
        </w:rPr>
        <w:t xml:space="preserve"> (NCMP) in December 2021. This </w:t>
      </w:r>
      <w:proofErr w:type="spellStart"/>
      <w:r w:rsidRPr="00830853">
        <w:rPr>
          <w:rFonts w:ascii="Arial" w:eastAsia="Calibri" w:hAnsi="Arial" w:cs="Arial"/>
          <w:szCs w:val="22"/>
        </w:rPr>
        <w:t>programme</w:t>
      </w:r>
      <w:proofErr w:type="spellEnd"/>
      <w:r w:rsidRPr="00830853">
        <w:rPr>
          <w:rFonts w:ascii="Arial" w:eastAsia="Calibri" w:hAnsi="Arial" w:cs="Arial"/>
          <w:szCs w:val="22"/>
        </w:rPr>
        <w:t xml:space="preserve"> empowers skilled government mentors to strengthen healthcare systems by providing continuous education to healthcare workers, enhancing the quality of </w:t>
      </w:r>
      <w:proofErr w:type="spellStart"/>
      <w:r w:rsidRPr="00830853">
        <w:rPr>
          <w:rFonts w:ascii="Arial" w:eastAsia="Calibri" w:hAnsi="Arial" w:cs="Arial"/>
          <w:szCs w:val="22"/>
        </w:rPr>
        <w:t>programmes</w:t>
      </w:r>
      <w:proofErr w:type="spellEnd"/>
      <w:r w:rsidRPr="00830853">
        <w:rPr>
          <w:rFonts w:ascii="Arial" w:eastAsia="Calibri" w:hAnsi="Arial" w:cs="Arial"/>
          <w:szCs w:val="22"/>
        </w:rPr>
        <w:t>, and promoting workforce performance.</w:t>
      </w:r>
    </w:p>
    <w:p w14:paraId="5129D16A" w14:textId="77777777" w:rsidR="00C16EB7" w:rsidRDefault="00C16EB7" w:rsidP="00830853">
      <w:pPr>
        <w:pStyle w:val="Body"/>
        <w:spacing w:after="0"/>
        <w:rPr>
          <w:rFonts w:ascii="Arial" w:eastAsia="Calibri" w:hAnsi="Arial" w:cs="Arial"/>
          <w:szCs w:val="22"/>
        </w:rPr>
      </w:pPr>
    </w:p>
    <w:p w14:paraId="7B6E09FD" w14:textId="29A93DF2" w:rsidR="00E66E10" w:rsidRDefault="00830853" w:rsidP="00441B6F">
      <w:pPr>
        <w:pStyle w:val="Body"/>
        <w:spacing w:after="0"/>
        <w:rPr>
          <w:rFonts w:ascii="Arial" w:hAnsi="Arial" w:cs="Arial"/>
        </w:rPr>
      </w:pPr>
      <w:r w:rsidRPr="00830853">
        <w:rPr>
          <w:rFonts w:ascii="Arial" w:eastAsia="Calibri" w:hAnsi="Arial" w:cs="Arial"/>
          <w:szCs w:val="22"/>
        </w:rPr>
        <w:t>We included PLHIVs aged ≥5 years who newly enrolled on ART between December 2019 and May 2023. Participants were classified as ‘did not receive the AHD package’ if enrolled from December 2019 to November 2021, and as ‘received the AHD package’ if enrolled from December 2021 to May 2023. We excluded individuals who transferred in or out of facilities or who had a prior HIV diagnosis. The study was reported in accordance with the STROBE (Strengthening the Reporting of Observational Studies in Epidemiology) guidelines [11]</w:t>
      </w:r>
      <w:r w:rsidR="00502516" w:rsidRPr="00502516">
        <w:rPr>
          <w:rFonts w:ascii="Arial" w:hAnsi="Arial" w:cs="Arial"/>
        </w:rPr>
        <w:t>.</w:t>
      </w:r>
    </w:p>
    <w:p w14:paraId="4782339C" w14:textId="77777777" w:rsidR="00790ADA" w:rsidRPr="00FB3A86" w:rsidRDefault="00790ADA" w:rsidP="00441B6F">
      <w:pPr>
        <w:pStyle w:val="Body"/>
        <w:spacing w:after="0"/>
        <w:rPr>
          <w:rFonts w:ascii="Arial" w:hAnsi="Arial" w:cs="Arial"/>
        </w:rPr>
      </w:pPr>
    </w:p>
    <w:p w14:paraId="6902B585" w14:textId="39A4F12F" w:rsidR="00AA74E0" w:rsidRDefault="00AA74E0" w:rsidP="00441B6F">
      <w:pPr>
        <w:pStyle w:val="Body"/>
        <w:spacing w:after="0"/>
        <w:rPr>
          <w:rFonts w:ascii="Arial" w:hAnsi="Arial" w:cs="Arial"/>
        </w:rPr>
      </w:pPr>
      <w:r w:rsidRPr="00C30A0F">
        <w:rPr>
          <w:rFonts w:ascii="Arial" w:hAnsi="Arial" w:cs="Arial"/>
          <w:b/>
          <w:caps/>
          <w:sz w:val="22"/>
        </w:rPr>
        <w:t xml:space="preserve">2.1 </w:t>
      </w:r>
      <w:r w:rsidR="00C16EB7" w:rsidRPr="00C16EB7">
        <w:rPr>
          <w:rFonts w:ascii="Arial" w:hAnsi="Arial" w:cs="Arial"/>
          <w:b/>
          <w:sz w:val="22"/>
        </w:rPr>
        <w:t xml:space="preserve">Study </w:t>
      </w:r>
      <w:r w:rsidR="00C16EB7">
        <w:rPr>
          <w:rFonts w:ascii="Arial" w:hAnsi="Arial" w:cs="Arial"/>
          <w:b/>
          <w:sz w:val="22"/>
        </w:rPr>
        <w:t>v</w:t>
      </w:r>
      <w:r w:rsidR="00C16EB7" w:rsidRPr="00C16EB7">
        <w:rPr>
          <w:rFonts w:ascii="Arial" w:hAnsi="Arial" w:cs="Arial"/>
          <w:b/>
          <w:sz w:val="22"/>
        </w:rPr>
        <w:t>ariables</w:t>
      </w:r>
    </w:p>
    <w:p w14:paraId="27FAA4F5" w14:textId="77777777" w:rsidR="00505F06" w:rsidRDefault="00505F06" w:rsidP="00441B6F">
      <w:pPr>
        <w:pStyle w:val="Body"/>
        <w:spacing w:after="0"/>
        <w:rPr>
          <w:rFonts w:ascii="Arial" w:hAnsi="Arial" w:cs="Arial"/>
        </w:rPr>
      </w:pPr>
    </w:p>
    <w:p w14:paraId="65E63054" w14:textId="22A7DD0D" w:rsidR="00830853" w:rsidRDefault="00C16EB7" w:rsidP="00441B6F">
      <w:pPr>
        <w:pStyle w:val="Body"/>
        <w:spacing w:after="0"/>
        <w:rPr>
          <w:rFonts w:ascii="Arial" w:hAnsi="Arial" w:cs="Arial"/>
        </w:rPr>
      </w:pPr>
      <w:r w:rsidRPr="00C16EB7">
        <w:rPr>
          <w:rFonts w:ascii="Arial" w:eastAsia="Calibri" w:hAnsi="Arial" w:cs="Arial"/>
          <w:szCs w:val="22"/>
        </w:rPr>
        <w:t xml:space="preserve">The viral suppression and death status at six months were the main outcome variables of interest and the dependent variables. The independent variables included the demographic and clinical variables such as CD4 count, TB LAM, and </w:t>
      </w:r>
      <w:proofErr w:type="spellStart"/>
      <w:r w:rsidRPr="00C16EB7">
        <w:rPr>
          <w:rFonts w:ascii="Arial" w:eastAsia="Calibri" w:hAnsi="Arial" w:cs="Arial"/>
          <w:szCs w:val="22"/>
        </w:rPr>
        <w:t>CrAg</w:t>
      </w:r>
      <w:proofErr w:type="spellEnd"/>
      <w:r w:rsidRPr="00C16EB7">
        <w:rPr>
          <w:rFonts w:ascii="Arial" w:eastAsia="Calibri" w:hAnsi="Arial" w:cs="Arial"/>
          <w:szCs w:val="22"/>
        </w:rPr>
        <w:t>.</w:t>
      </w:r>
    </w:p>
    <w:p w14:paraId="79891DDC" w14:textId="77777777" w:rsidR="00830853" w:rsidRDefault="00830853" w:rsidP="00441B6F">
      <w:pPr>
        <w:pStyle w:val="Body"/>
        <w:spacing w:after="0"/>
        <w:rPr>
          <w:rFonts w:ascii="Arial" w:hAnsi="Arial" w:cs="Arial"/>
        </w:rPr>
      </w:pPr>
    </w:p>
    <w:p w14:paraId="06D60835" w14:textId="72DB8C8C" w:rsidR="00830853" w:rsidRDefault="00830853" w:rsidP="00441B6F">
      <w:pPr>
        <w:pStyle w:val="Body"/>
        <w:spacing w:after="0"/>
        <w:rPr>
          <w:rFonts w:ascii="Arial" w:hAnsi="Arial" w:cs="Arial"/>
        </w:rPr>
      </w:pPr>
      <w:r w:rsidRPr="00C30A0F">
        <w:rPr>
          <w:rFonts w:ascii="Arial" w:hAnsi="Arial" w:cs="Arial"/>
          <w:b/>
          <w:caps/>
          <w:sz w:val="22"/>
        </w:rPr>
        <w:t>2.</w:t>
      </w:r>
      <w:r w:rsidR="00C16EB7">
        <w:rPr>
          <w:rFonts w:ascii="Arial" w:hAnsi="Arial" w:cs="Arial"/>
          <w:b/>
          <w:caps/>
          <w:sz w:val="22"/>
        </w:rPr>
        <w:t>2</w:t>
      </w:r>
      <w:r w:rsidRPr="00C30A0F">
        <w:rPr>
          <w:rFonts w:ascii="Arial" w:hAnsi="Arial" w:cs="Arial"/>
          <w:b/>
          <w:caps/>
          <w:sz w:val="22"/>
        </w:rPr>
        <w:t xml:space="preserve"> </w:t>
      </w:r>
      <w:r w:rsidRPr="00C30A0F">
        <w:rPr>
          <w:rFonts w:ascii="Arial" w:hAnsi="Arial" w:cs="Arial"/>
          <w:b/>
          <w:sz w:val="22"/>
        </w:rPr>
        <w:t>S</w:t>
      </w:r>
      <w:r w:rsidR="00C16EB7" w:rsidRPr="00C16EB7">
        <w:rPr>
          <w:rFonts w:ascii="Arial" w:hAnsi="Arial" w:cs="Arial"/>
          <w:b/>
          <w:sz w:val="22"/>
        </w:rPr>
        <w:t xml:space="preserve">tatistical </w:t>
      </w:r>
      <w:r w:rsidR="00C16EB7">
        <w:rPr>
          <w:rFonts w:ascii="Arial" w:hAnsi="Arial" w:cs="Arial"/>
          <w:b/>
          <w:sz w:val="22"/>
        </w:rPr>
        <w:t>a</w:t>
      </w:r>
      <w:r w:rsidR="00C16EB7" w:rsidRPr="00C16EB7">
        <w:rPr>
          <w:rFonts w:ascii="Arial" w:hAnsi="Arial" w:cs="Arial"/>
          <w:b/>
          <w:sz w:val="22"/>
        </w:rPr>
        <w:t>nalysis</w:t>
      </w:r>
    </w:p>
    <w:p w14:paraId="6A6164B3" w14:textId="77777777" w:rsidR="00830853" w:rsidRDefault="00830853" w:rsidP="00441B6F">
      <w:pPr>
        <w:pStyle w:val="Body"/>
        <w:spacing w:after="0"/>
        <w:rPr>
          <w:rFonts w:ascii="Arial" w:hAnsi="Arial" w:cs="Arial"/>
        </w:rPr>
      </w:pPr>
    </w:p>
    <w:p w14:paraId="76EA0A97" w14:textId="5F2B06BF" w:rsidR="00C16EB7" w:rsidRPr="00C16EB7" w:rsidRDefault="00C16EB7" w:rsidP="00C16EB7">
      <w:pPr>
        <w:pStyle w:val="Body"/>
        <w:spacing w:after="0"/>
        <w:rPr>
          <w:rFonts w:ascii="Arial" w:eastAsia="Calibri" w:hAnsi="Arial" w:cs="Arial"/>
          <w:szCs w:val="22"/>
        </w:rPr>
      </w:pPr>
      <w:r w:rsidRPr="00C16EB7">
        <w:rPr>
          <w:rFonts w:ascii="Arial" w:eastAsia="Calibri" w:hAnsi="Arial" w:cs="Arial"/>
          <w:szCs w:val="22"/>
        </w:rPr>
        <w:t>Data was extracted from the medical records system, cleaned using Microsoft Excel, and deidentified. Analyses were performed using STATA version 16.1 (</w:t>
      </w:r>
      <w:proofErr w:type="spellStart"/>
      <w:r w:rsidRPr="00C16EB7">
        <w:rPr>
          <w:rFonts w:ascii="Arial" w:eastAsia="Calibri" w:hAnsi="Arial" w:cs="Arial"/>
          <w:szCs w:val="22"/>
        </w:rPr>
        <w:t>StataCorp</w:t>
      </w:r>
      <w:proofErr w:type="spellEnd"/>
      <w:r w:rsidRPr="00C16EB7">
        <w:rPr>
          <w:rFonts w:ascii="Arial" w:eastAsia="Calibri" w:hAnsi="Arial" w:cs="Arial"/>
          <w:szCs w:val="22"/>
        </w:rPr>
        <w:t xml:space="preserve"> LLC, College Station, Texas, USA). The data collected were subjected to scrutiny to determine and ensure </w:t>
      </w:r>
      <w:r w:rsidRPr="00C16EB7">
        <w:rPr>
          <w:rFonts w:ascii="Arial" w:eastAsia="Calibri" w:hAnsi="Arial" w:cs="Arial"/>
          <w:szCs w:val="22"/>
        </w:rPr>
        <w:lastRenderedPageBreak/>
        <w:t>their suitability. Data cleaning involved the removal of duplicate records, cross-checking for inconsistencies in enrolment and treatment dates, and verification of eligibility.</w:t>
      </w:r>
    </w:p>
    <w:p w14:paraId="0E384191" w14:textId="77777777" w:rsidR="00C16EB7" w:rsidRDefault="00C16EB7" w:rsidP="00C16EB7">
      <w:pPr>
        <w:pStyle w:val="Body"/>
        <w:spacing w:after="0"/>
        <w:rPr>
          <w:rFonts w:ascii="Arial" w:eastAsia="Calibri" w:hAnsi="Arial" w:cs="Arial"/>
          <w:szCs w:val="22"/>
        </w:rPr>
      </w:pPr>
    </w:p>
    <w:p w14:paraId="563DB5F2" w14:textId="4C5C7FF8" w:rsidR="00830853" w:rsidRDefault="00C16EB7" w:rsidP="00C16EB7">
      <w:pPr>
        <w:pStyle w:val="Body"/>
        <w:spacing w:after="0"/>
        <w:rPr>
          <w:rFonts w:ascii="Arial" w:hAnsi="Arial" w:cs="Arial"/>
        </w:rPr>
      </w:pPr>
      <w:r w:rsidRPr="00C16EB7">
        <w:rPr>
          <w:rFonts w:ascii="Arial" w:eastAsia="Calibri" w:hAnsi="Arial" w:cs="Arial"/>
          <w:szCs w:val="22"/>
        </w:rPr>
        <w:t xml:space="preserve">Descriptive statistics were performed to analyze the demographics and clinical characteristics of clients with AHD receiving care at supported ART facilities in Ekiti State. The variables were divided into those who did not receive the AHD package of care and those who received the AHD package of care. Chi-squared and Fisher’s exact tests were used, with P values </w:t>
      </w:r>
      <w:r w:rsidR="005268A9">
        <w:rPr>
          <w:rFonts w:ascii="Arial" w:eastAsia="Calibri" w:hAnsi="Arial" w:cs="Arial"/>
          <w:szCs w:val="22"/>
        </w:rPr>
        <w:t xml:space="preserve">= </w:t>
      </w:r>
      <w:r w:rsidRPr="00C16EB7">
        <w:rPr>
          <w:rFonts w:ascii="Arial" w:eastAsia="Calibri" w:hAnsi="Arial" w:cs="Arial"/>
          <w:szCs w:val="22"/>
        </w:rPr>
        <w:t>0.05 considered significant</w:t>
      </w:r>
      <w:r>
        <w:rPr>
          <w:rFonts w:ascii="Arial" w:eastAsia="Calibri" w:hAnsi="Arial" w:cs="Arial"/>
          <w:szCs w:val="22"/>
        </w:rPr>
        <w:t>.</w:t>
      </w:r>
    </w:p>
    <w:p w14:paraId="22A70124" w14:textId="77777777" w:rsidR="00830853" w:rsidRDefault="00830853" w:rsidP="00441B6F">
      <w:pPr>
        <w:pStyle w:val="Body"/>
        <w:spacing w:after="0"/>
        <w:rPr>
          <w:rFonts w:ascii="Arial" w:hAnsi="Arial" w:cs="Arial"/>
        </w:rPr>
      </w:pPr>
    </w:p>
    <w:p w14:paraId="3FB034E3" w14:textId="2DC5CC93" w:rsidR="00830853" w:rsidRDefault="00830853" w:rsidP="00441B6F">
      <w:pPr>
        <w:pStyle w:val="Body"/>
        <w:spacing w:after="0"/>
        <w:rPr>
          <w:rFonts w:ascii="Arial" w:hAnsi="Arial" w:cs="Arial"/>
        </w:rPr>
      </w:pPr>
      <w:r w:rsidRPr="00C30A0F">
        <w:rPr>
          <w:rFonts w:ascii="Arial" w:hAnsi="Arial" w:cs="Arial"/>
          <w:b/>
          <w:caps/>
          <w:sz w:val="22"/>
        </w:rPr>
        <w:t>2.</w:t>
      </w:r>
      <w:r w:rsidR="00C16EB7">
        <w:rPr>
          <w:rFonts w:ascii="Arial" w:hAnsi="Arial" w:cs="Arial"/>
          <w:b/>
          <w:caps/>
          <w:sz w:val="22"/>
        </w:rPr>
        <w:t>3</w:t>
      </w:r>
      <w:r w:rsidRPr="00C30A0F">
        <w:rPr>
          <w:rFonts w:ascii="Arial" w:hAnsi="Arial" w:cs="Arial"/>
          <w:b/>
          <w:caps/>
          <w:sz w:val="22"/>
        </w:rPr>
        <w:t xml:space="preserve"> </w:t>
      </w:r>
      <w:r w:rsidR="00044B2E" w:rsidRPr="00044B2E">
        <w:rPr>
          <w:rFonts w:ascii="Arial" w:hAnsi="Arial" w:cs="Arial"/>
          <w:b/>
          <w:sz w:val="22"/>
        </w:rPr>
        <w:t>Operational Definition</w:t>
      </w:r>
    </w:p>
    <w:p w14:paraId="6B631ECB" w14:textId="77777777" w:rsidR="00830853" w:rsidRDefault="00830853" w:rsidP="00441B6F">
      <w:pPr>
        <w:pStyle w:val="Body"/>
        <w:spacing w:after="0"/>
        <w:rPr>
          <w:rFonts w:ascii="Arial" w:hAnsi="Arial" w:cs="Arial"/>
        </w:rPr>
      </w:pPr>
    </w:p>
    <w:p w14:paraId="0CC9649C" w14:textId="585D2080" w:rsidR="00AA74E0" w:rsidRDefault="00044B2E" w:rsidP="00441B6F">
      <w:pPr>
        <w:pStyle w:val="Body"/>
        <w:spacing w:after="0"/>
        <w:rPr>
          <w:rFonts w:ascii="Arial" w:hAnsi="Arial" w:cs="Arial"/>
        </w:rPr>
      </w:pPr>
      <w:r w:rsidRPr="00044B2E">
        <w:rPr>
          <w:rFonts w:ascii="Arial" w:eastAsia="Calibri" w:hAnsi="Arial" w:cs="Arial"/>
          <w:szCs w:val="22"/>
        </w:rPr>
        <w:t>Viral suppression was defined as a plasma HIV-1 RNA level of &lt;1000 copies/mL, consistent with WHO and national guidelines. Mortality refers to all-cause deaths occurring within six months of ART initiation.</w:t>
      </w:r>
    </w:p>
    <w:p w14:paraId="25257E41" w14:textId="77777777" w:rsidR="00790ADA" w:rsidRPr="00FB3A86" w:rsidRDefault="00790ADA" w:rsidP="00441B6F">
      <w:pPr>
        <w:pStyle w:val="Body"/>
        <w:spacing w:after="0"/>
        <w:rPr>
          <w:rFonts w:ascii="Arial" w:hAnsi="Arial" w:cs="Arial"/>
        </w:rPr>
      </w:pPr>
    </w:p>
    <w:p w14:paraId="2A694554" w14:textId="56EBABB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3956675" w14:textId="77777777" w:rsidR="00790ADA" w:rsidRPr="00FB3A86" w:rsidRDefault="00790ADA" w:rsidP="00441B6F">
      <w:pPr>
        <w:pStyle w:val="Head1"/>
        <w:spacing w:after="0"/>
        <w:jc w:val="both"/>
        <w:rPr>
          <w:rFonts w:ascii="Arial" w:hAnsi="Arial" w:cs="Arial"/>
        </w:rPr>
      </w:pPr>
    </w:p>
    <w:p w14:paraId="35886029" w14:textId="60F4CA63" w:rsidR="00B95236" w:rsidRDefault="0068000B" w:rsidP="00441B6F">
      <w:pPr>
        <w:pStyle w:val="Body"/>
        <w:spacing w:after="0"/>
        <w:rPr>
          <w:rFonts w:ascii="Arial" w:hAnsi="Arial" w:cs="Arial"/>
        </w:rPr>
      </w:pPr>
      <w:r w:rsidRPr="0068000B">
        <w:rPr>
          <w:rFonts w:ascii="Arial" w:hAnsi="Arial" w:cs="Arial"/>
        </w:rPr>
        <w:t>A total of 6960 patients were enrolled in ART between December 2019 and May 2023. 892 patients were diagnosed with AHD and included in the study (Figure 1)</w:t>
      </w:r>
      <w:r>
        <w:rPr>
          <w:rFonts w:ascii="Arial" w:hAnsi="Arial" w:cs="Arial"/>
        </w:rPr>
        <w:t>.</w:t>
      </w:r>
    </w:p>
    <w:p w14:paraId="4BDDCD93" w14:textId="77777777" w:rsidR="00790ADA" w:rsidRDefault="00790ADA" w:rsidP="00441B6F">
      <w:pPr>
        <w:pStyle w:val="Body"/>
        <w:spacing w:after="0"/>
        <w:rPr>
          <w:rFonts w:ascii="Arial" w:hAnsi="Arial" w:cs="Arial"/>
        </w:rPr>
      </w:pPr>
    </w:p>
    <w:p w14:paraId="11044999" w14:textId="24E7C9A2" w:rsidR="0068000B" w:rsidRDefault="0068000B" w:rsidP="00441B6F">
      <w:pPr>
        <w:pStyle w:val="Body"/>
        <w:spacing w:after="0"/>
        <w:rPr>
          <w:rFonts w:ascii="Arial" w:hAnsi="Arial" w:cs="Arial"/>
        </w:rPr>
      </w:pPr>
      <w:r w:rsidRPr="00731EBF">
        <w:rPr>
          <w:noProof/>
        </w:rPr>
        <w:drawing>
          <wp:inline distT="0" distB="0" distL="0" distR="0" wp14:anchorId="6B2F05EB" wp14:editId="26691F7C">
            <wp:extent cx="5212080" cy="2995832"/>
            <wp:effectExtent l="0" t="0" r="0" b="0"/>
            <wp:docPr id="73925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995832"/>
                    </a:xfrm>
                    <a:prstGeom prst="rect">
                      <a:avLst/>
                    </a:prstGeom>
                    <a:noFill/>
                    <a:ln>
                      <a:noFill/>
                    </a:ln>
                  </pic:spPr>
                </pic:pic>
              </a:graphicData>
            </a:graphic>
          </wp:inline>
        </w:drawing>
      </w:r>
    </w:p>
    <w:p w14:paraId="5B224157" w14:textId="77777777" w:rsidR="00CF5241" w:rsidRDefault="00CF5241" w:rsidP="00441B6F">
      <w:pPr>
        <w:pStyle w:val="Body"/>
        <w:spacing w:after="0"/>
        <w:rPr>
          <w:rFonts w:ascii="Arial" w:hAnsi="Arial" w:cs="Arial"/>
        </w:rPr>
      </w:pPr>
    </w:p>
    <w:p w14:paraId="33B24BD1" w14:textId="463E3273" w:rsidR="0068000B" w:rsidRDefault="0068000B" w:rsidP="00441B6F">
      <w:pPr>
        <w:pStyle w:val="Body"/>
        <w:spacing w:after="0"/>
        <w:rPr>
          <w:rFonts w:ascii="Arial" w:hAnsi="Arial" w:cs="Arial"/>
        </w:rPr>
      </w:pPr>
      <w:r w:rsidRPr="0068000B">
        <w:rPr>
          <w:rFonts w:ascii="Arial" w:hAnsi="Arial" w:cs="Arial"/>
        </w:rPr>
        <w:t>Figure 1: Flow chart showing the total number of PLHIV enrolled within the study period</w:t>
      </w:r>
    </w:p>
    <w:p w14:paraId="69E0D9E4" w14:textId="77777777" w:rsidR="0068000B" w:rsidRDefault="0068000B" w:rsidP="00441B6F">
      <w:pPr>
        <w:pStyle w:val="Body"/>
        <w:spacing w:after="0"/>
        <w:rPr>
          <w:rFonts w:ascii="Arial" w:hAnsi="Arial" w:cs="Arial"/>
        </w:rPr>
      </w:pPr>
    </w:p>
    <w:p w14:paraId="2E3A3F0F" w14:textId="2880EF51" w:rsidR="00240313" w:rsidRDefault="00240313"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Pr="00240313">
        <w:rPr>
          <w:rFonts w:ascii="Arial" w:hAnsi="Arial" w:cs="Arial"/>
          <w:b/>
          <w:sz w:val="22"/>
        </w:rPr>
        <w:t xml:space="preserve">Sociodemographic </w:t>
      </w:r>
      <w:r>
        <w:rPr>
          <w:rFonts w:ascii="Arial" w:hAnsi="Arial" w:cs="Arial"/>
          <w:b/>
          <w:sz w:val="22"/>
        </w:rPr>
        <w:t>c</w:t>
      </w:r>
      <w:r w:rsidRPr="00240313">
        <w:rPr>
          <w:rFonts w:ascii="Arial" w:hAnsi="Arial" w:cs="Arial"/>
          <w:b/>
          <w:sz w:val="22"/>
        </w:rPr>
        <w:t>haracteristics</w:t>
      </w:r>
    </w:p>
    <w:p w14:paraId="6C8D5335" w14:textId="77777777" w:rsidR="00240313" w:rsidRDefault="00240313" w:rsidP="00441B6F">
      <w:pPr>
        <w:pStyle w:val="Body"/>
        <w:spacing w:after="0"/>
        <w:rPr>
          <w:rFonts w:ascii="Arial" w:hAnsi="Arial" w:cs="Arial"/>
          <w:b/>
          <w:caps/>
        </w:rPr>
      </w:pPr>
    </w:p>
    <w:p w14:paraId="24688D9B" w14:textId="338595D5" w:rsidR="00CE386E" w:rsidRDefault="00240313" w:rsidP="00441B6F">
      <w:pPr>
        <w:pStyle w:val="Body"/>
        <w:spacing w:after="0"/>
        <w:rPr>
          <w:rFonts w:ascii="Arial" w:hAnsi="Arial" w:cs="Arial"/>
        </w:rPr>
      </w:pPr>
      <w:r w:rsidRPr="00240313">
        <w:rPr>
          <w:rFonts w:ascii="Arial" w:hAnsi="Arial" w:cs="Arial"/>
        </w:rPr>
        <w:t>Table 1 summarizes the baseline demographics of the study participants. Of the 892 patients included in the study, the median age was 35 years (IQR: 28-44), with 59.3% (529 participants) female. The majority of AHD patients were from the key populations (comprising female sex workers, men who have sex with men, people who inject drugs, transgender people, and people in prison)</w:t>
      </w:r>
      <w:r>
        <w:rPr>
          <w:rFonts w:ascii="Arial" w:hAnsi="Arial" w:cs="Arial"/>
        </w:rPr>
        <w:t>.</w:t>
      </w:r>
    </w:p>
    <w:p w14:paraId="04162983" w14:textId="77777777" w:rsidR="00240313" w:rsidRDefault="00240313" w:rsidP="00441B6F">
      <w:pPr>
        <w:pStyle w:val="Body"/>
        <w:spacing w:after="0"/>
        <w:rPr>
          <w:rFonts w:ascii="Arial" w:hAnsi="Arial" w:cs="Arial"/>
        </w:rPr>
      </w:pPr>
    </w:p>
    <w:p w14:paraId="2B144DBB" w14:textId="396B4C98" w:rsidR="00240313" w:rsidRDefault="00CE386E" w:rsidP="00441B6F">
      <w:pPr>
        <w:pStyle w:val="Body"/>
        <w:spacing w:after="0"/>
        <w:rPr>
          <w:rFonts w:ascii="Arial" w:hAnsi="Arial"/>
          <w:b/>
        </w:rPr>
      </w:pPr>
      <w:r>
        <w:rPr>
          <w:rFonts w:ascii="Arial" w:hAnsi="Arial"/>
          <w:b/>
        </w:rPr>
        <w:t xml:space="preserve">Table 1. </w:t>
      </w:r>
      <w:r w:rsidRPr="00CE386E">
        <w:rPr>
          <w:rFonts w:ascii="Arial" w:hAnsi="Arial"/>
          <w:b/>
        </w:rPr>
        <w:t>Baseline demographics of the study participants (n=892)</w:t>
      </w:r>
    </w:p>
    <w:p w14:paraId="445B38FE" w14:textId="77777777" w:rsidR="00CE386E" w:rsidRDefault="00CE386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954"/>
        <w:gridCol w:w="2700"/>
        <w:gridCol w:w="2448"/>
      </w:tblGrid>
      <w:tr w:rsidR="000D1AFA" w14:paraId="6B3A5C8E" w14:textId="77777777" w:rsidTr="000D1AFA">
        <w:tc>
          <w:tcPr>
            <w:tcW w:w="1106" w:type="dxa"/>
            <w:tcBorders>
              <w:top w:val="single" w:sz="4" w:space="0" w:color="auto"/>
              <w:bottom w:val="single" w:sz="4" w:space="0" w:color="auto"/>
            </w:tcBorders>
          </w:tcPr>
          <w:p w14:paraId="0B2A897C" w14:textId="1BA08D24"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Variables</w:t>
            </w:r>
          </w:p>
        </w:tc>
        <w:tc>
          <w:tcPr>
            <w:tcW w:w="1954" w:type="dxa"/>
            <w:tcBorders>
              <w:top w:val="single" w:sz="4" w:space="0" w:color="auto"/>
              <w:bottom w:val="single" w:sz="4" w:space="0" w:color="auto"/>
            </w:tcBorders>
          </w:tcPr>
          <w:p w14:paraId="09AD8082" w14:textId="1797385E" w:rsidR="000D1AFA" w:rsidRPr="000D1AFA" w:rsidRDefault="000D1AFA" w:rsidP="00441B6F">
            <w:pPr>
              <w:pStyle w:val="Body"/>
              <w:spacing w:after="0"/>
              <w:rPr>
                <w:rFonts w:ascii="Arial" w:hAnsi="Arial" w:cs="Arial"/>
                <w:sz w:val="20"/>
                <w:szCs w:val="20"/>
              </w:rPr>
            </w:pPr>
            <w:r>
              <w:rPr>
                <w:rFonts w:ascii="Arial" w:hAnsi="Arial" w:cs="Arial"/>
                <w:sz w:val="20"/>
                <w:szCs w:val="20"/>
              </w:rPr>
              <w:t>Category</w:t>
            </w:r>
          </w:p>
        </w:tc>
        <w:tc>
          <w:tcPr>
            <w:tcW w:w="2700" w:type="dxa"/>
            <w:tcBorders>
              <w:top w:val="single" w:sz="4" w:space="0" w:color="auto"/>
              <w:bottom w:val="single" w:sz="4" w:space="0" w:color="auto"/>
            </w:tcBorders>
          </w:tcPr>
          <w:p w14:paraId="79E9135D" w14:textId="27808CFD"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Did not receive AHD package of care [n=356 (%)]</w:t>
            </w:r>
          </w:p>
        </w:tc>
        <w:tc>
          <w:tcPr>
            <w:tcW w:w="2448" w:type="dxa"/>
            <w:tcBorders>
              <w:top w:val="single" w:sz="4" w:space="0" w:color="auto"/>
              <w:bottom w:val="single" w:sz="4" w:space="0" w:color="auto"/>
            </w:tcBorders>
          </w:tcPr>
          <w:p w14:paraId="7D98D543" w14:textId="63E3743B"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Received AHD package of care [n=536 (%)]</w:t>
            </w:r>
          </w:p>
        </w:tc>
      </w:tr>
      <w:tr w:rsidR="000D1AFA" w14:paraId="2F1580A0" w14:textId="77777777" w:rsidTr="000D1AFA">
        <w:tc>
          <w:tcPr>
            <w:tcW w:w="1106" w:type="dxa"/>
            <w:tcBorders>
              <w:top w:val="single" w:sz="4" w:space="0" w:color="auto"/>
            </w:tcBorders>
          </w:tcPr>
          <w:p w14:paraId="38FD9F1C" w14:textId="3D0365DE"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Age in years</w:t>
            </w:r>
          </w:p>
        </w:tc>
        <w:tc>
          <w:tcPr>
            <w:tcW w:w="1954" w:type="dxa"/>
            <w:tcBorders>
              <w:top w:val="single" w:sz="4" w:space="0" w:color="auto"/>
            </w:tcBorders>
          </w:tcPr>
          <w:p w14:paraId="34CBEED6" w14:textId="77777777" w:rsidR="000D1AFA" w:rsidRDefault="000D1AFA" w:rsidP="00441B6F">
            <w:pPr>
              <w:pStyle w:val="Body"/>
              <w:spacing w:after="0"/>
              <w:rPr>
                <w:rFonts w:ascii="Arial" w:hAnsi="Arial" w:cs="Arial"/>
                <w:sz w:val="20"/>
                <w:szCs w:val="20"/>
              </w:rPr>
            </w:pPr>
            <w:r>
              <w:rPr>
                <w:rFonts w:ascii="Arial" w:hAnsi="Arial" w:cs="Arial"/>
                <w:sz w:val="20"/>
                <w:szCs w:val="20"/>
              </w:rPr>
              <w:t>&lt; 25</w:t>
            </w:r>
          </w:p>
          <w:p w14:paraId="6DA53E37" w14:textId="12A9F153"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w:t>
            </w:r>
            <w:r>
              <w:rPr>
                <w:rFonts w:ascii="Arial" w:hAnsi="Arial" w:cs="Arial"/>
                <w:sz w:val="20"/>
                <w:szCs w:val="20"/>
              </w:rPr>
              <w:t xml:space="preserve"> 25</w:t>
            </w:r>
          </w:p>
        </w:tc>
        <w:tc>
          <w:tcPr>
            <w:tcW w:w="2700" w:type="dxa"/>
            <w:tcBorders>
              <w:top w:val="single" w:sz="4" w:space="0" w:color="auto"/>
            </w:tcBorders>
          </w:tcPr>
          <w:p w14:paraId="3E45D008"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35 (9.8)</w:t>
            </w:r>
          </w:p>
          <w:p w14:paraId="74CDC1D2" w14:textId="66FADB36"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321 (90.2)</w:t>
            </w:r>
          </w:p>
        </w:tc>
        <w:tc>
          <w:tcPr>
            <w:tcW w:w="2448" w:type="dxa"/>
            <w:tcBorders>
              <w:top w:val="single" w:sz="4" w:space="0" w:color="auto"/>
            </w:tcBorders>
          </w:tcPr>
          <w:p w14:paraId="3DAE79A4"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52 (9.7)</w:t>
            </w:r>
          </w:p>
          <w:p w14:paraId="14918E87" w14:textId="19EF25B5"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484 (90.3)</w:t>
            </w:r>
          </w:p>
        </w:tc>
      </w:tr>
      <w:tr w:rsidR="000D1AFA" w14:paraId="2BAB4318" w14:textId="77777777" w:rsidTr="000D1AFA">
        <w:tc>
          <w:tcPr>
            <w:tcW w:w="1106" w:type="dxa"/>
          </w:tcPr>
          <w:p w14:paraId="66F43AB6" w14:textId="75C3E23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Sex</w:t>
            </w:r>
          </w:p>
        </w:tc>
        <w:tc>
          <w:tcPr>
            <w:tcW w:w="1954" w:type="dxa"/>
          </w:tcPr>
          <w:p w14:paraId="2EF160CE" w14:textId="77777777" w:rsidR="000D1AFA" w:rsidRDefault="000D1AFA" w:rsidP="00441B6F">
            <w:pPr>
              <w:pStyle w:val="Body"/>
              <w:spacing w:after="0"/>
              <w:rPr>
                <w:rFonts w:ascii="Arial" w:hAnsi="Arial" w:cs="Arial"/>
                <w:sz w:val="20"/>
                <w:szCs w:val="20"/>
              </w:rPr>
            </w:pPr>
            <w:r>
              <w:rPr>
                <w:rFonts w:ascii="Arial" w:hAnsi="Arial" w:cs="Arial"/>
                <w:sz w:val="20"/>
                <w:szCs w:val="20"/>
              </w:rPr>
              <w:t>Female</w:t>
            </w:r>
          </w:p>
          <w:p w14:paraId="6E5B29A6" w14:textId="4E8338E4" w:rsidR="000D1AFA" w:rsidRPr="000D1AFA" w:rsidRDefault="000D1AFA" w:rsidP="00441B6F">
            <w:pPr>
              <w:pStyle w:val="Body"/>
              <w:spacing w:after="0"/>
              <w:rPr>
                <w:rFonts w:ascii="Arial" w:hAnsi="Arial" w:cs="Arial"/>
                <w:sz w:val="20"/>
                <w:szCs w:val="20"/>
              </w:rPr>
            </w:pPr>
            <w:r>
              <w:rPr>
                <w:rFonts w:ascii="Arial" w:hAnsi="Arial" w:cs="Arial"/>
                <w:sz w:val="20"/>
                <w:szCs w:val="20"/>
              </w:rPr>
              <w:t>Male</w:t>
            </w:r>
          </w:p>
        </w:tc>
        <w:tc>
          <w:tcPr>
            <w:tcW w:w="2700" w:type="dxa"/>
          </w:tcPr>
          <w:p w14:paraId="22887420"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209 (58.7)</w:t>
            </w:r>
          </w:p>
          <w:p w14:paraId="427D47FC" w14:textId="144E39ED"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147 (41.3)</w:t>
            </w:r>
          </w:p>
        </w:tc>
        <w:tc>
          <w:tcPr>
            <w:tcW w:w="2448" w:type="dxa"/>
          </w:tcPr>
          <w:p w14:paraId="23754381"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320 (59.7)</w:t>
            </w:r>
          </w:p>
          <w:p w14:paraId="5B3F6FA7" w14:textId="1C130892"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216 (40.3)</w:t>
            </w:r>
          </w:p>
        </w:tc>
      </w:tr>
      <w:tr w:rsidR="000D1AFA" w14:paraId="6CC1A694" w14:textId="77777777" w:rsidTr="000D1AFA">
        <w:tc>
          <w:tcPr>
            <w:tcW w:w="1106" w:type="dxa"/>
          </w:tcPr>
          <w:p w14:paraId="6439B8FF" w14:textId="0C597C2B"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Education level</w:t>
            </w:r>
          </w:p>
        </w:tc>
        <w:tc>
          <w:tcPr>
            <w:tcW w:w="1954" w:type="dxa"/>
          </w:tcPr>
          <w:p w14:paraId="35A64B7F"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 Primary</w:t>
            </w:r>
          </w:p>
          <w:p w14:paraId="1FCFEB6D" w14:textId="0A628AEA"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w:t>
            </w:r>
            <w:r>
              <w:rPr>
                <w:rFonts w:ascii="Arial" w:hAnsi="Arial" w:cs="Arial"/>
                <w:sz w:val="20"/>
                <w:szCs w:val="20"/>
              </w:rPr>
              <w:t xml:space="preserve"> Secondary</w:t>
            </w:r>
          </w:p>
        </w:tc>
        <w:tc>
          <w:tcPr>
            <w:tcW w:w="2700" w:type="dxa"/>
          </w:tcPr>
          <w:p w14:paraId="0F62EA46"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66 (18.5)</w:t>
            </w:r>
          </w:p>
          <w:p w14:paraId="157B0134" w14:textId="41D9A36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194 (54.5)</w:t>
            </w:r>
          </w:p>
        </w:tc>
        <w:tc>
          <w:tcPr>
            <w:tcW w:w="2448" w:type="dxa"/>
          </w:tcPr>
          <w:p w14:paraId="384B1F07"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117 (21.8)</w:t>
            </w:r>
          </w:p>
          <w:p w14:paraId="2AE9F751" w14:textId="767F2650"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411 (76.7)</w:t>
            </w:r>
          </w:p>
        </w:tc>
      </w:tr>
      <w:tr w:rsidR="000D1AFA" w14:paraId="266562EA" w14:textId="77777777" w:rsidTr="000D1AFA">
        <w:tc>
          <w:tcPr>
            <w:tcW w:w="1106" w:type="dxa"/>
          </w:tcPr>
          <w:p w14:paraId="5C2078E5" w14:textId="70652F15"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Location</w:t>
            </w:r>
          </w:p>
        </w:tc>
        <w:tc>
          <w:tcPr>
            <w:tcW w:w="1954" w:type="dxa"/>
          </w:tcPr>
          <w:p w14:paraId="250FC16F"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Ekiti Central</w:t>
            </w:r>
          </w:p>
          <w:p w14:paraId="687C8169"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Ekiti North</w:t>
            </w:r>
          </w:p>
          <w:p w14:paraId="15A77BF2" w14:textId="0B7D7AEE"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Ekiti South</w:t>
            </w:r>
          </w:p>
        </w:tc>
        <w:tc>
          <w:tcPr>
            <w:tcW w:w="2700" w:type="dxa"/>
          </w:tcPr>
          <w:p w14:paraId="31EB4848"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199 (55.9)</w:t>
            </w:r>
          </w:p>
          <w:p w14:paraId="29E43288"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92 (25.8)</w:t>
            </w:r>
          </w:p>
          <w:p w14:paraId="64CAD037" w14:textId="62292EB4"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65 (18.3)</w:t>
            </w:r>
          </w:p>
        </w:tc>
        <w:tc>
          <w:tcPr>
            <w:tcW w:w="2448" w:type="dxa"/>
          </w:tcPr>
          <w:p w14:paraId="4F9E6483"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249 (46.5)</w:t>
            </w:r>
          </w:p>
          <w:p w14:paraId="431FE06B"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106 (19.8)</w:t>
            </w:r>
          </w:p>
          <w:p w14:paraId="53A2C4D1" w14:textId="3F3C63F8"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181 (33.8)</w:t>
            </w:r>
          </w:p>
        </w:tc>
      </w:tr>
      <w:tr w:rsidR="000D1AFA" w14:paraId="7C934048" w14:textId="77777777" w:rsidTr="000D1AFA">
        <w:tc>
          <w:tcPr>
            <w:tcW w:w="1106" w:type="dxa"/>
            <w:tcBorders>
              <w:bottom w:val="single" w:sz="4" w:space="0" w:color="auto"/>
            </w:tcBorders>
          </w:tcPr>
          <w:p w14:paraId="2C7EBCEE" w14:textId="0CEF4E99"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Typology</w:t>
            </w:r>
          </w:p>
        </w:tc>
        <w:tc>
          <w:tcPr>
            <w:tcW w:w="1954" w:type="dxa"/>
            <w:tcBorders>
              <w:bottom w:val="single" w:sz="4" w:space="0" w:color="auto"/>
            </w:tcBorders>
          </w:tcPr>
          <w:p w14:paraId="39B42E5E"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General population</w:t>
            </w:r>
          </w:p>
          <w:p w14:paraId="2CF4EF75" w14:textId="50638F0F"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Key population</w:t>
            </w:r>
          </w:p>
        </w:tc>
        <w:tc>
          <w:tcPr>
            <w:tcW w:w="2700" w:type="dxa"/>
            <w:tcBorders>
              <w:bottom w:val="single" w:sz="4" w:space="0" w:color="auto"/>
            </w:tcBorders>
          </w:tcPr>
          <w:p w14:paraId="24A1FDAC"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23 (6.5)</w:t>
            </w:r>
          </w:p>
          <w:p w14:paraId="1522D313" w14:textId="40BF15B9"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333 (93.5)</w:t>
            </w:r>
          </w:p>
        </w:tc>
        <w:tc>
          <w:tcPr>
            <w:tcW w:w="2448" w:type="dxa"/>
            <w:tcBorders>
              <w:bottom w:val="single" w:sz="4" w:space="0" w:color="auto"/>
            </w:tcBorders>
          </w:tcPr>
          <w:p w14:paraId="162BB715"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52 (9.7)</w:t>
            </w:r>
          </w:p>
          <w:p w14:paraId="740846DB" w14:textId="74FE3E59"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484 (90.3)</w:t>
            </w:r>
          </w:p>
        </w:tc>
      </w:tr>
    </w:tbl>
    <w:p w14:paraId="7AC4A086" w14:textId="77777777" w:rsidR="00240313" w:rsidRDefault="00240313" w:rsidP="00441B6F">
      <w:pPr>
        <w:pStyle w:val="Body"/>
        <w:spacing w:after="0"/>
        <w:rPr>
          <w:rFonts w:ascii="Arial" w:hAnsi="Arial" w:cs="Arial"/>
          <w:b/>
          <w:caps/>
        </w:rPr>
      </w:pPr>
    </w:p>
    <w:p w14:paraId="1C389B63" w14:textId="77777777" w:rsidR="007E4B07" w:rsidRDefault="007E4B07" w:rsidP="00441B6F">
      <w:pPr>
        <w:pStyle w:val="Body"/>
        <w:spacing w:after="0"/>
        <w:rPr>
          <w:rFonts w:ascii="Arial" w:hAnsi="Arial" w:cs="Arial"/>
          <w:b/>
          <w:caps/>
        </w:rPr>
      </w:pPr>
    </w:p>
    <w:p w14:paraId="4567BA01" w14:textId="2CD29AFA" w:rsidR="00240313" w:rsidRDefault="00240313"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240313">
        <w:rPr>
          <w:rFonts w:ascii="Arial" w:hAnsi="Arial" w:cs="Arial"/>
          <w:b/>
          <w:sz w:val="22"/>
        </w:rPr>
        <w:t>Implementation of the AHD package of care</w:t>
      </w:r>
    </w:p>
    <w:p w14:paraId="5A8C8C63" w14:textId="77777777" w:rsidR="00240313" w:rsidRDefault="00240313" w:rsidP="00441B6F">
      <w:pPr>
        <w:pStyle w:val="Body"/>
        <w:spacing w:after="0"/>
        <w:rPr>
          <w:rFonts w:ascii="Arial" w:hAnsi="Arial" w:cs="Arial"/>
          <w:b/>
          <w:caps/>
        </w:rPr>
      </w:pPr>
    </w:p>
    <w:p w14:paraId="40A289CA" w14:textId="65418EED" w:rsidR="007E4B07" w:rsidRDefault="007E4B07" w:rsidP="00441B6F">
      <w:pPr>
        <w:pStyle w:val="Body"/>
        <w:spacing w:after="0"/>
        <w:rPr>
          <w:rFonts w:ascii="Arial" w:hAnsi="Arial" w:cs="Arial"/>
        </w:rPr>
      </w:pPr>
      <w:r w:rsidRPr="007E4B07">
        <w:rPr>
          <w:rFonts w:ascii="Arial" w:hAnsi="Arial" w:cs="Arial"/>
        </w:rPr>
        <w:t>The proportion of patients with CD4 testing uptake increased (99.3%), with nearly all patients receiving the service during the implementation of the AHD package of care, as shown in Table 2. The proportion of patients being diagnosed with tuberculosis using TB LAM testing also increased during the AHD package of care implementation (9.5%). There was statistical significance in receiving CD4 testing during the implementation (</w:t>
      </w:r>
      <w:r w:rsidRPr="005268A9">
        <w:rPr>
          <w:rFonts w:ascii="Arial" w:hAnsi="Arial" w:cs="Arial"/>
          <w:i/>
          <w:iCs/>
        </w:rPr>
        <w:t>p &lt;</w:t>
      </w:r>
      <w:r w:rsidR="005268A9">
        <w:rPr>
          <w:rFonts w:ascii="Arial" w:hAnsi="Arial" w:cs="Arial"/>
          <w:i/>
          <w:iCs/>
        </w:rPr>
        <w:t>0</w:t>
      </w:r>
      <w:r w:rsidRPr="005268A9">
        <w:rPr>
          <w:rFonts w:ascii="Arial" w:hAnsi="Arial" w:cs="Arial"/>
          <w:i/>
          <w:iCs/>
        </w:rPr>
        <w:t>.01</w:t>
      </w:r>
      <w:r w:rsidRPr="007E4B07">
        <w:rPr>
          <w:rFonts w:ascii="Arial" w:hAnsi="Arial" w:cs="Arial"/>
        </w:rPr>
        <w:t>).</w:t>
      </w:r>
    </w:p>
    <w:p w14:paraId="4E414184" w14:textId="77777777" w:rsidR="007E4B07" w:rsidRDefault="007E4B07" w:rsidP="00441B6F">
      <w:pPr>
        <w:pStyle w:val="Body"/>
        <w:spacing w:after="0"/>
        <w:rPr>
          <w:rFonts w:ascii="Arial" w:hAnsi="Arial" w:cs="Arial"/>
        </w:rPr>
      </w:pPr>
    </w:p>
    <w:p w14:paraId="676F1E39" w14:textId="0A4A24FB" w:rsidR="007E4B07" w:rsidRDefault="007E4B07" w:rsidP="007E4B07">
      <w:pPr>
        <w:pStyle w:val="Body"/>
        <w:spacing w:after="0"/>
        <w:rPr>
          <w:rFonts w:ascii="Arial" w:hAnsi="Arial"/>
          <w:b/>
        </w:rPr>
      </w:pPr>
      <w:r>
        <w:rPr>
          <w:rFonts w:ascii="Arial" w:hAnsi="Arial"/>
          <w:b/>
        </w:rPr>
        <w:t xml:space="preserve">Table 2. </w:t>
      </w:r>
      <w:r w:rsidRPr="007E4B07">
        <w:rPr>
          <w:rFonts w:ascii="Arial" w:hAnsi="Arial"/>
          <w:b/>
        </w:rPr>
        <w:t>Clinical characteristics of the study participants (n=892)</w:t>
      </w:r>
    </w:p>
    <w:p w14:paraId="2CE75C28" w14:textId="77777777" w:rsidR="007E4B07" w:rsidRDefault="007E4B07" w:rsidP="007E4B07">
      <w:pPr>
        <w:pStyle w:val="Body"/>
        <w:spacing w:after="0"/>
        <w:rPr>
          <w:rFonts w:ascii="Arial" w:hAnsi="Arial" w:cs="Arial"/>
        </w:rPr>
      </w:pPr>
    </w:p>
    <w:tbl>
      <w:tblPr>
        <w:tblStyle w:val="TableGrid"/>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028"/>
        <w:gridCol w:w="2138"/>
        <w:gridCol w:w="1890"/>
        <w:gridCol w:w="1350"/>
        <w:gridCol w:w="900"/>
      </w:tblGrid>
      <w:tr w:rsidR="00D319B8" w:rsidRPr="000D1AFA" w14:paraId="254C32C9" w14:textId="77777777" w:rsidTr="00D319B8">
        <w:tc>
          <w:tcPr>
            <w:tcW w:w="1604" w:type="dxa"/>
            <w:tcBorders>
              <w:top w:val="single" w:sz="4" w:space="0" w:color="auto"/>
              <w:bottom w:val="single" w:sz="4" w:space="0" w:color="auto"/>
            </w:tcBorders>
          </w:tcPr>
          <w:p w14:paraId="42C73024" w14:textId="77777777"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Variables</w:t>
            </w:r>
          </w:p>
        </w:tc>
        <w:tc>
          <w:tcPr>
            <w:tcW w:w="1028" w:type="dxa"/>
            <w:tcBorders>
              <w:top w:val="single" w:sz="4" w:space="0" w:color="auto"/>
              <w:bottom w:val="single" w:sz="4" w:space="0" w:color="auto"/>
            </w:tcBorders>
          </w:tcPr>
          <w:p w14:paraId="66206276" w14:textId="595B4D25" w:rsidR="000D1AFA" w:rsidRPr="000D1AFA" w:rsidRDefault="000D1AFA" w:rsidP="00FC7946">
            <w:pPr>
              <w:pStyle w:val="Body"/>
              <w:spacing w:after="0"/>
              <w:rPr>
                <w:rFonts w:ascii="Arial" w:hAnsi="Arial" w:cs="Arial"/>
                <w:sz w:val="20"/>
                <w:szCs w:val="20"/>
              </w:rPr>
            </w:pPr>
            <w:r>
              <w:rPr>
                <w:rFonts w:ascii="Arial" w:hAnsi="Arial" w:cs="Arial"/>
                <w:sz w:val="20"/>
                <w:szCs w:val="20"/>
              </w:rPr>
              <w:t>Category</w:t>
            </w:r>
          </w:p>
        </w:tc>
        <w:tc>
          <w:tcPr>
            <w:tcW w:w="2138" w:type="dxa"/>
            <w:tcBorders>
              <w:top w:val="single" w:sz="4" w:space="0" w:color="auto"/>
              <w:bottom w:val="single" w:sz="4" w:space="0" w:color="auto"/>
            </w:tcBorders>
          </w:tcPr>
          <w:p w14:paraId="6E8EA519" w14:textId="4901D39F"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Did not receive AHD package of care [n=356 (%)]</w:t>
            </w:r>
          </w:p>
        </w:tc>
        <w:tc>
          <w:tcPr>
            <w:tcW w:w="1890" w:type="dxa"/>
            <w:tcBorders>
              <w:top w:val="single" w:sz="4" w:space="0" w:color="auto"/>
              <w:bottom w:val="single" w:sz="4" w:space="0" w:color="auto"/>
            </w:tcBorders>
          </w:tcPr>
          <w:p w14:paraId="027C8228" w14:textId="302F9966"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Received AHD package of care [n=536 (%)]</w:t>
            </w:r>
          </w:p>
        </w:tc>
        <w:tc>
          <w:tcPr>
            <w:tcW w:w="1350" w:type="dxa"/>
            <w:tcBorders>
              <w:top w:val="single" w:sz="4" w:space="0" w:color="auto"/>
              <w:bottom w:val="single" w:sz="4" w:space="0" w:color="auto"/>
            </w:tcBorders>
          </w:tcPr>
          <w:p w14:paraId="298614A5" w14:textId="13C048E8"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OR (95% CI)</w:t>
            </w:r>
          </w:p>
        </w:tc>
        <w:tc>
          <w:tcPr>
            <w:tcW w:w="900" w:type="dxa"/>
            <w:tcBorders>
              <w:top w:val="single" w:sz="4" w:space="0" w:color="auto"/>
              <w:bottom w:val="single" w:sz="4" w:space="0" w:color="auto"/>
            </w:tcBorders>
          </w:tcPr>
          <w:p w14:paraId="7160AFFB" w14:textId="3E77B65A"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P</w:t>
            </w:r>
            <w:r w:rsidR="005268A9">
              <w:rPr>
                <w:rFonts w:ascii="Arial" w:hAnsi="Arial" w:cs="Arial"/>
                <w:sz w:val="20"/>
                <w:szCs w:val="20"/>
              </w:rPr>
              <w:t>-</w:t>
            </w:r>
            <w:r w:rsidRPr="000D1AFA">
              <w:rPr>
                <w:rFonts w:ascii="Arial" w:hAnsi="Arial" w:cs="Arial"/>
                <w:sz w:val="20"/>
                <w:szCs w:val="20"/>
              </w:rPr>
              <w:t>value</w:t>
            </w:r>
          </w:p>
        </w:tc>
      </w:tr>
      <w:tr w:rsidR="00D319B8" w:rsidRPr="000D1AFA" w14:paraId="1A1252AB" w14:textId="77777777" w:rsidTr="00D319B8">
        <w:tc>
          <w:tcPr>
            <w:tcW w:w="1604" w:type="dxa"/>
            <w:tcBorders>
              <w:top w:val="single" w:sz="4" w:space="0" w:color="auto"/>
            </w:tcBorders>
          </w:tcPr>
          <w:p w14:paraId="73E0F60F" w14:textId="7F200525"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CD4+ received</w:t>
            </w:r>
          </w:p>
        </w:tc>
        <w:tc>
          <w:tcPr>
            <w:tcW w:w="1028" w:type="dxa"/>
            <w:tcBorders>
              <w:top w:val="single" w:sz="4" w:space="0" w:color="auto"/>
            </w:tcBorders>
          </w:tcPr>
          <w:p w14:paraId="5AD0B465" w14:textId="77777777" w:rsidR="000D1AFA" w:rsidRDefault="000D1AFA" w:rsidP="00FC7946">
            <w:pPr>
              <w:pStyle w:val="Body"/>
              <w:spacing w:after="0"/>
              <w:rPr>
                <w:rFonts w:ascii="Arial" w:hAnsi="Arial" w:cs="Arial"/>
                <w:sz w:val="20"/>
                <w:szCs w:val="20"/>
              </w:rPr>
            </w:pPr>
            <w:r>
              <w:rPr>
                <w:rFonts w:ascii="Arial" w:hAnsi="Arial" w:cs="Arial"/>
                <w:sz w:val="20"/>
                <w:szCs w:val="20"/>
              </w:rPr>
              <w:t>No</w:t>
            </w:r>
          </w:p>
          <w:p w14:paraId="35753190" w14:textId="5EB0946C" w:rsidR="000D1AFA" w:rsidRPr="000D1AFA" w:rsidRDefault="000D1AFA" w:rsidP="00FC7946">
            <w:pPr>
              <w:pStyle w:val="Body"/>
              <w:spacing w:after="0"/>
              <w:rPr>
                <w:rFonts w:ascii="Arial" w:hAnsi="Arial" w:cs="Arial"/>
                <w:sz w:val="20"/>
                <w:szCs w:val="20"/>
              </w:rPr>
            </w:pPr>
            <w:r>
              <w:rPr>
                <w:rFonts w:ascii="Arial" w:hAnsi="Arial" w:cs="Arial"/>
                <w:sz w:val="20"/>
                <w:szCs w:val="20"/>
              </w:rPr>
              <w:t>Yes</w:t>
            </w:r>
          </w:p>
        </w:tc>
        <w:tc>
          <w:tcPr>
            <w:tcW w:w="2138" w:type="dxa"/>
            <w:tcBorders>
              <w:top w:val="single" w:sz="4" w:space="0" w:color="auto"/>
            </w:tcBorders>
          </w:tcPr>
          <w:p w14:paraId="2C58C78D" w14:textId="77777777"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58 (16.3)</w:t>
            </w:r>
          </w:p>
          <w:p w14:paraId="709FD9E8" w14:textId="007EABCD"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298 (83.7</w:t>
            </w:r>
            <w:r>
              <w:rPr>
                <w:rFonts w:ascii="Arial" w:hAnsi="Arial" w:cs="Arial"/>
                <w:sz w:val="20"/>
                <w:szCs w:val="20"/>
              </w:rPr>
              <w:t>)</w:t>
            </w:r>
          </w:p>
        </w:tc>
        <w:tc>
          <w:tcPr>
            <w:tcW w:w="1890" w:type="dxa"/>
            <w:tcBorders>
              <w:top w:val="single" w:sz="4" w:space="0" w:color="auto"/>
            </w:tcBorders>
          </w:tcPr>
          <w:p w14:paraId="2BDE0CCF" w14:textId="77777777" w:rsidR="000D1AFA" w:rsidRDefault="000D1AFA" w:rsidP="00FC7946">
            <w:pPr>
              <w:pStyle w:val="Body"/>
              <w:spacing w:after="0"/>
              <w:rPr>
                <w:rFonts w:ascii="Arial" w:hAnsi="Arial" w:cs="Arial"/>
                <w:sz w:val="20"/>
                <w:szCs w:val="20"/>
              </w:rPr>
            </w:pPr>
            <w:r>
              <w:rPr>
                <w:rFonts w:ascii="Arial" w:hAnsi="Arial" w:cs="Arial"/>
                <w:sz w:val="20"/>
                <w:szCs w:val="20"/>
              </w:rPr>
              <w:t>4 (0.75)</w:t>
            </w:r>
          </w:p>
          <w:p w14:paraId="15F14F8A" w14:textId="06554F74" w:rsidR="000D1AFA" w:rsidRPr="000D1AFA" w:rsidRDefault="000D1AFA" w:rsidP="00FC7946">
            <w:pPr>
              <w:pStyle w:val="Body"/>
              <w:spacing w:after="0"/>
              <w:rPr>
                <w:rFonts w:ascii="Arial" w:hAnsi="Arial" w:cs="Arial"/>
                <w:sz w:val="20"/>
                <w:szCs w:val="20"/>
              </w:rPr>
            </w:pPr>
            <w:r>
              <w:rPr>
                <w:rFonts w:ascii="Arial" w:hAnsi="Arial" w:cs="Arial"/>
                <w:sz w:val="20"/>
                <w:szCs w:val="20"/>
              </w:rPr>
              <w:t>532 (99.3)</w:t>
            </w:r>
          </w:p>
        </w:tc>
        <w:tc>
          <w:tcPr>
            <w:tcW w:w="1350" w:type="dxa"/>
            <w:tcBorders>
              <w:top w:val="single" w:sz="4" w:space="0" w:color="auto"/>
            </w:tcBorders>
          </w:tcPr>
          <w:p w14:paraId="0AE710C9" w14:textId="51A84BAD"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25 (9.3-72.0)</w:t>
            </w:r>
          </w:p>
        </w:tc>
        <w:tc>
          <w:tcPr>
            <w:tcW w:w="900" w:type="dxa"/>
            <w:tcBorders>
              <w:top w:val="single" w:sz="4" w:space="0" w:color="auto"/>
            </w:tcBorders>
          </w:tcPr>
          <w:p w14:paraId="21D240F2" w14:textId="0451142B" w:rsidR="000D1AFA" w:rsidRPr="001956CC" w:rsidRDefault="000D1AFA" w:rsidP="00FC7946">
            <w:pPr>
              <w:pStyle w:val="Body"/>
              <w:spacing w:after="0"/>
              <w:rPr>
                <w:rFonts w:ascii="Arial" w:hAnsi="Arial" w:cs="Arial"/>
                <w:sz w:val="20"/>
                <w:szCs w:val="20"/>
              </w:rPr>
            </w:pPr>
            <w:r w:rsidRPr="001956CC">
              <w:rPr>
                <w:rFonts w:ascii="Arial" w:hAnsi="Arial" w:cs="Arial"/>
                <w:sz w:val="20"/>
                <w:szCs w:val="20"/>
              </w:rPr>
              <w:t>&lt; 0.01*</w:t>
            </w:r>
          </w:p>
        </w:tc>
      </w:tr>
      <w:tr w:rsidR="00D319B8" w:rsidRPr="000D1AFA" w14:paraId="75127D16" w14:textId="77777777" w:rsidTr="00D319B8">
        <w:tc>
          <w:tcPr>
            <w:tcW w:w="1604" w:type="dxa"/>
          </w:tcPr>
          <w:p w14:paraId="1BBC7A5D" w14:textId="3FEA436C"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Baseline CD4+ (cells/mm</w:t>
            </w:r>
            <w:r w:rsidRPr="000D1AFA">
              <w:rPr>
                <w:rFonts w:ascii="Arial" w:hAnsi="Arial" w:cs="Arial"/>
                <w:sz w:val="20"/>
                <w:szCs w:val="20"/>
                <w:vertAlign w:val="superscript"/>
              </w:rPr>
              <w:t>3</w:t>
            </w:r>
            <w:r w:rsidRPr="000D1AFA">
              <w:rPr>
                <w:rFonts w:ascii="Arial" w:hAnsi="Arial" w:cs="Arial"/>
                <w:sz w:val="20"/>
                <w:szCs w:val="20"/>
              </w:rPr>
              <w:t>)</w:t>
            </w:r>
          </w:p>
        </w:tc>
        <w:tc>
          <w:tcPr>
            <w:tcW w:w="1028" w:type="dxa"/>
          </w:tcPr>
          <w:p w14:paraId="38A32495"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 200</w:t>
            </w:r>
          </w:p>
          <w:p w14:paraId="1D3EF9B1" w14:textId="65BF3F45"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&lt; 200</w:t>
            </w:r>
          </w:p>
        </w:tc>
        <w:tc>
          <w:tcPr>
            <w:tcW w:w="2138" w:type="dxa"/>
          </w:tcPr>
          <w:p w14:paraId="4C4B513B" w14:textId="77777777" w:rsidR="000D1AFA" w:rsidRDefault="00CC7A8B" w:rsidP="00FC7946">
            <w:pPr>
              <w:pStyle w:val="Body"/>
              <w:spacing w:after="0"/>
              <w:rPr>
                <w:rFonts w:ascii="Arial" w:hAnsi="Arial" w:cs="Arial"/>
                <w:sz w:val="20"/>
                <w:szCs w:val="20"/>
              </w:rPr>
            </w:pPr>
            <w:r>
              <w:rPr>
                <w:rFonts w:ascii="Arial" w:hAnsi="Arial" w:cs="Arial"/>
                <w:sz w:val="20"/>
                <w:szCs w:val="20"/>
              </w:rPr>
              <w:t>18 (5.1)</w:t>
            </w:r>
          </w:p>
          <w:p w14:paraId="7D10E93B" w14:textId="7AFAAD1C" w:rsidR="00CC7A8B" w:rsidRPr="000D1AFA" w:rsidRDefault="00CC7A8B" w:rsidP="00FC7946">
            <w:pPr>
              <w:pStyle w:val="Body"/>
              <w:spacing w:after="0"/>
              <w:rPr>
                <w:rFonts w:ascii="Arial" w:hAnsi="Arial" w:cs="Arial"/>
                <w:sz w:val="20"/>
                <w:szCs w:val="20"/>
              </w:rPr>
            </w:pPr>
            <w:r>
              <w:rPr>
                <w:rFonts w:ascii="Arial" w:hAnsi="Arial" w:cs="Arial"/>
                <w:sz w:val="20"/>
                <w:szCs w:val="20"/>
              </w:rPr>
              <w:t>280 (78.7)</w:t>
            </w:r>
          </w:p>
        </w:tc>
        <w:tc>
          <w:tcPr>
            <w:tcW w:w="1890" w:type="dxa"/>
          </w:tcPr>
          <w:p w14:paraId="0151AEEF" w14:textId="77777777" w:rsidR="000D1AFA" w:rsidRDefault="00CC7A8B" w:rsidP="00FC7946">
            <w:pPr>
              <w:pStyle w:val="Body"/>
              <w:spacing w:after="0"/>
              <w:rPr>
                <w:rFonts w:ascii="Arial" w:hAnsi="Arial" w:cs="Arial"/>
                <w:sz w:val="20"/>
                <w:szCs w:val="20"/>
              </w:rPr>
            </w:pPr>
            <w:r>
              <w:rPr>
                <w:rFonts w:ascii="Arial" w:hAnsi="Arial" w:cs="Arial"/>
                <w:sz w:val="20"/>
                <w:szCs w:val="20"/>
              </w:rPr>
              <w:t>16 (3.0)</w:t>
            </w:r>
          </w:p>
          <w:p w14:paraId="40B610D7" w14:textId="444D15C6" w:rsidR="00CC7A8B" w:rsidRPr="000D1AFA" w:rsidRDefault="00CC7A8B" w:rsidP="00FC7946">
            <w:pPr>
              <w:pStyle w:val="Body"/>
              <w:spacing w:after="0"/>
              <w:rPr>
                <w:rFonts w:ascii="Arial" w:hAnsi="Arial" w:cs="Arial"/>
                <w:sz w:val="20"/>
                <w:szCs w:val="20"/>
              </w:rPr>
            </w:pPr>
            <w:r>
              <w:rPr>
                <w:rFonts w:ascii="Arial" w:hAnsi="Arial" w:cs="Arial"/>
                <w:sz w:val="20"/>
                <w:szCs w:val="20"/>
              </w:rPr>
              <w:t>516 (96.3)</w:t>
            </w:r>
          </w:p>
        </w:tc>
        <w:tc>
          <w:tcPr>
            <w:tcW w:w="1350" w:type="dxa"/>
          </w:tcPr>
          <w:p w14:paraId="6B8E6E60" w14:textId="591830DF" w:rsidR="000D1AFA" w:rsidRPr="000D1AFA" w:rsidRDefault="00CC7A8B" w:rsidP="00FC7946">
            <w:pPr>
              <w:pStyle w:val="Body"/>
              <w:spacing w:after="0"/>
              <w:rPr>
                <w:rFonts w:ascii="Arial" w:hAnsi="Arial" w:cs="Arial"/>
                <w:sz w:val="20"/>
                <w:szCs w:val="20"/>
              </w:rPr>
            </w:pPr>
            <w:r w:rsidRPr="00CC7A8B">
              <w:rPr>
                <w:rFonts w:ascii="Arial" w:hAnsi="Arial" w:cs="Arial"/>
                <w:sz w:val="20"/>
                <w:szCs w:val="20"/>
              </w:rPr>
              <w:t>2.1 (1.0-4.1)</w:t>
            </w:r>
          </w:p>
        </w:tc>
        <w:tc>
          <w:tcPr>
            <w:tcW w:w="900" w:type="dxa"/>
          </w:tcPr>
          <w:p w14:paraId="66B97D8D" w14:textId="149E9443" w:rsidR="000D1AFA" w:rsidRPr="001956CC" w:rsidRDefault="005268A9" w:rsidP="00FC7946">
            <w:pPr>
              <w:pStyle w:val="Body"/>
              <w:spacing w:after="0"/>
              <w:rPr>
                <w:rFonts w:ascii="Arial" w:hAnsi="Arial" w:cs="Arial"/>
                <w:sz w:val="20"/>
                <w:szCs w:val="20"/>
              </w:rPr>
            </w:pPr>
            <w:r w:rsidRPr="001956CC">
              <w:rPr>
                <w:rFonts w:ascii="Arial" w:hAnsi="Arial" w:cs="Arial"/>
                <w:sz w:val="20"/>
                <w:szCs w:val="20"/>
              </w:rPr>
              <w:t>0</w:t>
            </w:r>
            <w:r w:rsidR="00CC7A8B" w:rsidRPr="001956CC">
              <w:rPr>
                <w:rFonts w:ascii="Arial" w:hAnsi="Arial" w:cs="Arial"/>
                <w:sz w:val="20"/>
                <w:szCs w:val="20"/>
              </w:rPr>
              <w:t>.03*</w:t>
            </w:r>
          </w:p>
        </w:tc>
      </w:tr>
      <w:tr w:rsidR="00D319B8" w:rsidRPr="000D1AFA" w14:paraId="54A7A573" w14:textId="77777777" w:rsidTr="00D319B8">
        <w:tc>
          <w:tcPr>
            <w:tcW w:w="1604" w:type="dxa"/>
          </w:tcPr>
          <w:p w14:paraId="047653A4" w14:textId="7A8039B0"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TB-LAM</w:t>
            </w:r>
          </w:p>
        </w:tc>
        <w:tc>
          <w:tcPr>
            <w:tcW w:w="1028" w:type="dxa"/>
          </w:tcPr>
          <w:p w14:paraId="4F021B68" w14:textId="77777777" w:rsidR="000D1AFA" w:rsidRDefault="000D1AFA" w:rsidP="00FC7946">
            <w:pPr>
              <w:pStyle w:val="Body"/>
              <w:spacing w:after="0"/>
              <w:rPr>
                <w:rFonts w:ascii="Arial" w:hAnsi="Arial" w:cs="Arial"/>
                <w:sz w:val="20"/>
                <w:szCs w:val="20"/>
              </w:rPr>
            </w:pPr>
            <w:r>
              <w:rPr>
                <w:rFonts w:ascii="Arial" w:hAnsi="Arial" w:cs="Arial"/>
                <w:sz w:val="20"/>
                <w:szCs w:val="20"/>
              </w:rPr>
              <w:t>Negative</w:t>
            </w:r>
          </w:p>
          <w:p w14:paraId="07B947DD" w14:textId="2B9F4824" w:rsidR="000D1AFA" w:rsidRPr="000D1AFA" w:rsidRDefault="000D1AFA" w:rsidP="00FC7946">
            <w:pPr>
              <w:pStyle w:val="Body"/>
              <w:spacing w:after="0"/>
              <w:rPr>
                <w:rFonts w:ascii="Arial" w:hAnsi="Arial" w:cs="Arial"/>
                <w:sz w:val="20"/>
                <w:szCs w:val="20"/>
              </w:rPr>
            </w:pPr>
            <w:r>
              <w:rPr>
                <w:rFonts w:ascii="Arial" w:hAnsi="Arial" w:cs="Arial"/>
                <w:sz w:val="20"/>
                <w:szCs w:val="20"/>
              </w:rPr>
              <w:t>Positive</w:t>
            </w:r>
          </w:p>
        </w:tc>
        <w:tc>
          <w:tcPr>
            <w:tcW w:w="2138" w:type="dxa"/>
          </w:tcPr>
          <w:p w14:paraId="2077A7DC" w14:textId="77777777" w:rsidR="000D1AFA" w:rsidRDefault="00CC7A8B" w:rsidP="00FC7946">
            <w:pPr>
              <w:pStyle w:val="Body"/>
              <w:spacing w:after="0"/>
              <w:rPr>
                <w:rFonts w:ascii="Arial" w:hAnsi="Arial" w:cs="Arial"/>
                <w:sz w:val="20"/>
                <w:szCs w:val="20"/>
              </w:rPr>
            </w:pPr>
            <w:r>
              <w:rPr>
                <w:rFonts w:ascii="Arial" w:hAnsi="Arial" w:cs="Arial"/>
                <w:sz w:val="20"/>
                <w:szCs w:val="20"/>
              </w:rPr>
              <w:t>1 (0.4)</w:t>
            </w:r>
          </w:p>
          <w:p w14:paraId="5D4E8165" w14:textId="4C853087" w:rsidR="00CC7A8B" w:rsidRPr="000D1AFA" w:rsidRDefault="00CC7A8B" w:rsidP="00FC7946">
            <w:pPr>
              <w:pStyle w:val="Body"/>
              <w:spacing w:after="0"/>
              <w:rPr>
                <w:rFonts w:ascii="Arial" w:hAnsi="Arial" w:cs="Arial"/>
                <w:sz w:val="20"/>
                <w:szCs w:val="20"/>
              </w:rPr>
            </w:pPr>
            <w:r>
              <w:rPr>
                <w:rFonts w:ascii="Arial" w:hAnsi="Arial" w:cs="Arial"/>
                <w:sz w:val="20"/>
                <w:szCs w:val="20"/>
              </w:rPr>
              <w:t>1 (0.4)</w:t>
            </w:r>
          </w:p>
        </w:tc>
        <w:tc>
          <w:tcPr>
            <w:tcW w:w="1890" w:type="dxa"/>
          </w:tcPr>
          <w:p w14:paraId="1D3E4F8F" w14:textId="77777777" w:rsidR="000D1AFA" w:rsidRDefault="00CC7A8B" w:rsidP="00FC7946">
            <w:pPr>
              <w:pStyle w:val="Body"/>
              <w:spacing w:after="0"/>
              <w:rPr>
                <w:rFonts w:ascii="Arial" w:hAnsi="Arial" w:cs="Arial"/>
                <w:sz w:val="20"/>
                <w:szCs w:val="20"/>
              </w:rPr>
            </w:pPr>
            <w:r>
              <w:rPr>
                <w:rFonts w:ascii="Arial" w:hAnsi="Arial" w:cs="Arial"/>
                <w:sz w:val="20"/>
                <w:szCs w:val="20"/>
              </w:rPr>
              <w:t>172 (33.3)</w:t>
            </w:r>
          </w:p>
          <w:p w14:paraId="52E75D73" w14:textId="1E7CD9A1" w:rsidR="00CC7A8B" w:rsidRPr="000D1AFA" w:rsidRDefault="00CC7A8B" w:rsidP="00FC7946">
            <w:pPr>
              <w:pStyle w:val="Body"/>
              <w:spacing w:after="0"/>
              <w:rPr>
                <w:rFonts w:ascii="Arial" w:hAnsi="Arial" w:cs="Arial"/>
                <w:sz w:val="20"/>
                <w:szCs w:val="20"/>
              </w:rPr>
            </w:pPr>
            <w:r>
              <w:rPr>
                <w:rFonts w:ascii="Arial" w:hAnsi="Arial" w:cs="Arial"/>
                <w:sz w:val="20"/>
                <w:szCs w:val="20"/>
              </w:rPr>
              <w:t>49 (9.5)</w:t>
            </w:r>
          </w:p>
        </w:tc>
        <w:tc>
          <w:tcPr>
            <w:tcW w:w="1350" w:type="dxa"/>
          </w:tcPr>
          <w:p w14:paraId="2DBCC8AC" w14:textId="2E83711B" w:rsidR="000D1AFA" w:rsidRPr="000D1AFA" w:rsidRDefault="00CC7A8B" w:rsidP="00FC7946">
            <w:pPr>
              <w:pStyle w:val="Body"/>
              <w:spacing w:after="0"/>
              <w:rPr>
                <w:rFonts w:ascii="Arial" w:hAnsi="Arial" w:cs="Arial"/>
                <w:sz w:val="20"/>
                <w:szCs w:val="20"/>
              </w:rPr>
            </w:pPr>
            <w:r w:rsidRPr="00CC7A8B">
              <w:rPr>
                <w:rFonts w:ascii="Arial" w:hAnsi="Arial" w:cs="Arial"/>
                <w:sz w:val="20"/>
                <w:szCs w:val="20"/>
              </w:rPr>
              <w:t>0.3 (0.0-4.6)</w:t>
            </w:r>
          </w:p>
        </w:tc>
        <w:tc>
          <w:tcPr>
            <w:tcW w:w="900" w:type="dxa"/>
          </w:tcPr>
          <w:p w14:paraId="74F77746" w14:textId="59C7039D" w:rsidR="000D1AFA" w:rsidRPr="001956CC" w:rsidRDefault="00CC7A8B" w:rsidP="00FC7946">
            <w:pPr>
              <w:pStyle w:val="Body"/>
              <w:spacing w:after="0"/>
              <w:rPr>
                <w:rFonts w:ascii="Arial" w:hAnsi="Arial" w:cs="Arial"/>
                <w:sz w:val="20"/>
                <w:szCs w:val="20"/>
              </w:rPr>
            </w:pPr>
            <w:r w:rsidRPr="001956CC">
              <w:rPr>
                <w:rFonts w:ascii="Arial" w:hAnsi="Arial" w:cs="Arial"/>
                <w:sz w:val="20"/>
                <w:szCs w:val="20"/>
              </w:rPr>
              <w:t>0.35</w:t>
            </w:r>
          </w:p>
        </w:tc>
      </w:tr>
      <w:tr w:rsidR="00D319B8" w:rsidRPr="000D1AFA" w14:paraId="6ED93ED3" w14:textId="77777777" w:rsidTr="00D319B8">
        <w:tc>
          <w:tcPr>
            <w:tcW w:w="1604" w:type="dxa"/>
            <w:tcBorders>
              <w:bottom w:val="single" w:sz="4" w:space="0" w:color="auto"/>
            </w:tcBorders>
          </w:tcPr>
          <w:p w14:paraId="19CC269D" w14:textId="3D0CC6A1" w:rsidR="000D1AFA" w:rsidRPr="000D1AFA" w:rsidRDefault="000D1AFA" w:rsidP="00FC7946">
            <w:pPr>
              <w:pStyle w:val="Body"/>
              <w:spacing w:after="0"/>
              <w:rPr>
                <w:rFonts w:ascii="Arial" w:hAnsi="Arial" w:cs="Arial"/>
                <w:sz w:val="20"/>
                <w:szCs w:val="20"/>
              </w:rPr>
            </w:pPr>
            <w:proofErr w:type="spellStart"/>
            <w:r w:rsidRPr="000D1AFA">
              <w:rPr>
                <w:rFonts w:ascii="Arial" w:hAnsi="Arial" w:cs="Arial"/>
                <w:sz w:val="20"/>
                <w:szCs w:val="20"/>
              </w:rPr>
              <w:t>CrAg</w:t>
            </w:r>
            <w:proofErr w:type="spellEnd"/>
          </w:p>
        </w:tc>
        <w:tc>
          <w:tcPr>
            <w:tcW w:w="1028" w:type="dxa"/>
            <w:tcBorders>
              <w:bottom w:val="single" w:sz="4" w:space="0" w:color="auto"/>
            </w:tcBorders>
          </w:tcPr>
          <w:p w14:paraId="64A2062D" w14:textId="77777777" w:rsidR="000D1AFA" w:rsidRDefault="000D1AFA" w:rsidP="00FC7946">
            <w:pPr>
              <w:pStyle w:val="Body"/>
              <w:spacing w:after="0"/>
              <w:rPr>
                <w:rFonts w:ascii="Arial" w:hAnsi="Arial" w:cs="Arial"/>
                <w:sz w:val="20"/>
                <w:szCs w:val="20"/>
              </w:rPr>
            </w:pPr>
            <w:r>
              <w:rPr>
                <w:rFonts w:ascii="Arial" w:hAnsi="Arial" w:cs="Arial"/>
                <w:sz w:val="20"/>
                <w:szCs w:val="20"/>
              </w:rPr>
              <w:t>Negative</w:t>
            </w:r>
          </w:p>
          <w:p w14:paraId="1A6DF9E0" w14:textId="5C59EC36" w:rsidR="000D1AFA" w:rsidRPr="000D1AFA" w:rsidRDefault="000D1AFA" w:rsidP="00FC7946">
            <w:pPr>
              <w:pStyle w:val="Body"/>
              <w:spacing w:after="0"/>
              <w:rPr>
                <w:rFonts w:ascii="Arial" w:hAnsi="Arial" w:cs="Arial"/>
                <w:sz w:val="20"/>
                <w:szCs w:val="20"/>
              </w:rPr>
            </w:pPr>
            <w:r>
              <w:rPr>
                <w:rFonts w:ascii="Arial" w:hAnsi="Arial" w:cs="Arial"/>
                <w:sz w:val="20"/>
                <w:szCs w:val="20"/>
              </w:rPr>
              <w:t>Positive</w:t>
            </w:r>
          </w:p>
        </w:tc>
        <w:tc>
          <w:tcPr>
            <w:tcW w:w="2138" w:type="dxa"/>
            <w:tcBorders>
              <w:bottom w:val="single" w:sz="4" w:space="0" w:color="auto"/>
            </w:tcBorders>
          </w:tcPr>
          <w:p w14:paraId="0F99B2AC" w14:textId="77777777" w:rsidR="000D1AFA" w:rsidRDefault="00D319B8" w:rsidP="00FC7946">
            <w:pPr>
              <w:pStyle w:val="Body"/>
              <w:spacing w:after="0"/>
              <w:rPr>
                <w:rFonts w:ascii="Arial" w:hAnsi="Arial" w:cs="Arial"/>
                <w:sz w:val="20"/>
                <w:szCs w:val="20"/>
              </w:rPr>
            </w:pPr>
            <w:r>
              <w:rPr>
                <w:rFonts w:ascii="Arial" w:hAnsi="Arial" w:cs="Arial"/>
                <w:sz w:val="20"/>
                <w:szCs w:val="20"/>
              </w:rPr>
              <w:t>-</w:t>
            </w:r>
          </w:p>
          <w:p w14:paraId="63CAEE0B" w14:textId="29A3F04F" w:rsidR="00D319B8" w:rsidRPr="000D1AFA" w:rsidRDefault="00D319B8" w:rsidP="00FC7946">
            <w:pPr>
              <w:pStyle w:val="Body"/>
              <w:spacing w:after="0"/>
              <w:rPr>
                <w:rFonts w:ascii="Arial" w:hAnsi="Arial" w:cs="Arial"/>
                <w:sz w:val="20"/>
                <w:szCs w:val="20"/>
              </w:rPr>
            </w:pPr>
            <w:r>
              <w:rPr>
                <w:rFonts w:ascii="Arial" w:hAnsi="Arial" w:cs="Arial"/>
                <w:sz w:val="20"/>
                <w:szCs w:val="20"/>
              </w:rPr>
              <w:t>-</w:t>
            </w:r>
          </w:p>
        </w:tc>
        <w:tc>
          <w:tcPr>
            <w:tcW w:w="1890" w:type="dxa"/>
            <w:tcBorders>
              <w:bottom w:val="single" w:sz="4" w:space="0" w:color="auto"/>
            </w:tcBorders>
          </w:tcPr>
          <w:p w14:paraId="47E289D0" w14:textId="77777777" w:rsidR="000D1AFA" w:rsidRDefault="00D319B8" w:rsidP="00FC7946">
            <w:pPr>
              <w:pStyle w:val="Body"/>
              <w:spacing w:after="0"/>
              <w:rPr>
                <w:rFonts w:ascii="Arial" w:hAnsi="Arial" w:cs="Arial"/>
                <w:sz w:val="20"/>
                <w:szCs w:val="20"/>
              </w:rPr>
            </w:pPr>
            <w:r w:rsidRPr="00D319B8">
              <w:rPr>
                <w:rFonts w:ascii="Arial" w:hAnsi="Arial" w:cs="Arial"/>
                <w:sz w:val="20"/>
                <w:szCs w:val="20"/>
              </w:rPr>
              <w:t>33</w:t>
            </w:r>
            <w:r>
              <w:rPr>
                <w:rFonts w:ascii="Arial" w:hAnsi="Arial" w:cs="Arial"/>
                <w:sz w:val="20"/>
                <w:szCs w:val="20"/>
              </w:rPr>
              <w:t xml:space="preserve"> </w:t>
            </w:r>
            <w:r w:rsidRPr="00D319B8">
              <w:rPr>
                <w:rFonts w:ascii="Arial" w:hAnsi="Arial" w:cs="Arial"/>
                <w:sz w:val="20"/>
                <w:szCs w:val="20"/>
              </w:rPr>
              <w:t>(6.2)</w:t>
            </w:r>
          </w:p>
          <w:p w14:paraId="10F8E5E8" w14:textId="7A2D0E6C" w:rsidR="00D319B8" w:rsidRPr="000D1AFA" w:rsidRDefault="00D319B8" w:rsidP="00FC7946">
            <w:pPr>
              <w:pStyle w:val="Body"/>
              <w:spacing w:after="0"/>
              <w:rPr>
                <w:rFonts w:ascii="Arial" w:hAnsi="Arial" w:cs="Arial"/>
                <w:sz w:val="20"/>
                <w:szCs w:val="20"/>
              </w:rPr>
            </w:pPr>
            <w:r>
              <w:rPr>
                <w:rFonts w:ascii="Arial" w:hAnsi="Arial" w:cs="Arial"/>
                <w:sz w:val="20"/>
                <w:szCs w:val="20"/>
              </w:rPr>
              <w:t>-</w:t>
            </w:r>
          </w:p>
        </w:tc>
        <w:tc>
          <w:tcPr>
            <w:tcW w:w="1350" w:type="dxa"/>
            <w:tcBorders>
              <w:bottom w:val="single" w:sz="4" w:space="0" w:color="auto"/>
            </w:tcBorders>
          </w:tcPr>
          <w:p w14:paraId="19ECE8F7" w14:textId="07295EA5" w:rsidR="000D1AFA" w:rsidRPr="000D1AFA" w:rsidRDefault="00D319B8" w:rsidP="00FC7946">
            <w:pPr>
              <w:pStyle w:val="Body"/>
              <w:spacing w:after="0"/>
              <w:rPr>
                <w:rFonts w:ascii="Arial" w:hAnsi="Arial" w:cs="Arial"/>
                <w:sz w:val="20"/>
                <w:szCs w:val="20"/>
              </w:rPr>
            </w:pPr>
            <w:r>
              <w:rPr>
                <w:rFonts w:ascii="Arial" w:hAnsi="Arial" w:cs="Arial"/>
                <w:sz w:val="20"/>
                <w:szCs w:val="20"/>
              </w:rPr>
              <w:t>-</w:t>
            </w:r>
          </w:p>
        </w:tc>
        <w:tc>
          <w:tcPr>
            <w:tcW w:w="900" w:type="dxa"/>
            <w:tcBorders>
              <w:bottom w:val="single" w:sz="4" w:space="0" w:color="auto"/>
            </w:tcBorders>
          </w:tcPr>
          <w:p w14:paraId="110E5B82" w14:textId="56BA60AB" w:rsidR="000D1AFA" w:rsidRPr="000D1AFA" w:rsidRDefault="00D319B8" w:rsidP="00FC7946">
            <w:pPr>
              <w:pStyle w:val="Body"/>
              <w:spacing w:after="0"/>
              <w:rPr>
                <w:rFonts w:ascii="Arial" w:hAnsi="Arial" w:cs="Arial"/>
                <w:sz w:val="20"/>
                <w:szCs w:val="20"/>
              </w:rPr>
            </w:pPr>
            <w:r>
              <w:rPr>
                <w:rFonts w:ascii="Arial" w:hAnsi="Arial" w:cs="Arial"/>
                <w:sz w:val="20"/>
                <w:szCs w:val="20"/>
              </w:rPr>
              <w:t>-</w:t>
            </w:r>
          </w:p>
        </w:tc>
      </w:tr>
    </w:tbl>
    <w:p w14:paraId="50FFF16F" w14:textId="77777777" w:rsidR="007E4B07" w:rsidRPr="007E4B07" w:rsidRDefault="007E4B07" w:rsidP="007E4B07">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7E4B07">
        <w:rPr>
          <w:rFonts w:ascii="Arial" w:hAnsi="Arial"/>
          <w:bCs/>
          <w:i/>
          <w:sz w:val="18"/>
        </w:rPr>
        <w:t xml:space="preserve">TB-LAM and </w:t>
      </w:r>
      <w:proofErr w:type="spellStart"/>
      <w:r w:rsidRPr="007E4B07">
        <w:rPr>
          <w:rFonts w:ascii="Arial" w:hAnsi="Arial"/>
          <w:bCs/>
          <w:i/>
          <w:sz w:val="18"/>
        </w:rPr>
        <w:t>CrAg</w:t>
      </w:r>
      <w:proofErr w:type="spellEnd"/>
      <w:r w:rsidRPr="007E4B07">
        <w:rPr>
          <w:rFonts w:ascii="Arial" w:hAnsi="Arial"/>
          <w:bCs/>
          <w:i/>
          <w:sz w:val="18"/>
        </w:rPr>
        <w:t xml:space="preserve"> apply to those with a CD4+ of &lt;200 cells/mm3</w:t>
      </w:r>
    </w:p>
    <w:p w14:paraId="3085B3C7" w14:textId="31D9A879" w:rsidR="007E4B07" w:rsidRPr="007E4B07" w:rsidRDefault="007E4B07" w:rsidP="007E4B07">
      <w:pPr>
        <w:pStyle w:val="BodyText3"/>
        <w:tabs>
          <w:tab w:val="left" w:pos="1080"/>
        </w:tabs>
        <w:spacing w:after="0"/>
        <w:jc w:val="both"/>
        <w:rPr>
          <w:rFonts w:ascii="Arial" w:hAnsi="Arial"/>
          <w:bCs/>
          <w:i/>
          <w:sz w:val="18"/>
        </w:rPr>
      </w:pPr>
      <w:r w:rsidRPr="007E4B07">
        <w:rPr>
          <w:rFonts w:ascii="Arial" w:hAnsi="Arial"/>
          <w:bCs/>
          <w:i/>
          <w:sz w:val="18"/>
        </w:rPr>
        <w:t>OR = Odds ratio; CI = 95% confidence interval; p = p- value from chi-squ</w:t>
      </w:r>
      <w:r w:rsidR="001956CC">
        <w:rPr>
          <w:rFonts w:ascii="Arial" w:hAnsi="Arial"/>
          <w:bCs/>
          <w:i/>
          <w:sz w:val="18"/>
        </w:rPr>
        <w:t>a</w:t>
      </w:r>
      <w:r w:rsidRPr="007E4B07">
        <w:rPr>
          <w:rFonts w:ascii="Arial" w:hAnsi="Arial"/>
          <w:bCs/>
          <w:i/>
          <w:sz w:val="18"/>
        </w:rPr>
        <w:t>re test</w:t>
      </w:r>
    </w:p>
    <w:p w14:paraId="2482F2E4" w14:textId="65AD5046" w:rsidR="007E4B07" w:rsidRPr="00D319B8" w:rsidRDefault="007E4B07" w:rsidP="007E4B07">
      <w:pPr>
        <w:pStyle w:val="BodyText3"/>
        <w:tabs>
          <w:tab w:val="left" w:pos="1080"/>
        </w:tabs>
        <w:spacing w:after="0"/>
        <w:jc w:val="both"/>
        <w:rPr>
          <w:rFonts w:ascii="Arial" w:hAnsi="Arial"/>
          <w:bCs/>
          <w:i/>
          <w:sz w:val="18"/>
        </w:rPr>
      </w:pPr>
      <w:r w:rsidRPr="007E4B07">
        <w:rPr>
          <w:rFonts w:ascii="Arial" w:hAnsi="Arial"/>
          <w:bCs/>
          <w:i/>
          <w:sz w:val="18"/>
        </w:rPr>
        <w:t>*Statistically significant at p</w:t>
      </w:r>
      <w:r w:rsidR="005268A9">
        <w:rPr>
          <w:rFonts w:ascii="Arial" w:hAnsi="Arial"/>
          <w:bCs/>
          <w:i/>
          <w:sz w:val="18"/>
        </w:rPr>
        <w:t xml:space="preserve"> = </w:t>
      </w:r>
      <w:r w:rsidRPr="007E4B07">
        <w:rPr>
          <w:rFonts w:ascii="Arial" w:hAnsi="Arial"/>
          <w:bCs/>
          <w:i/>
          <w:sz w:val="18"/>
        </w:rPr>
        <w:t>0.05</w:t>
      </w:r>
    </w:p>
    <w:p w14:paraId="1F608D02" w14:textId="77777777" w:rsidR="00240313" w:rsidRDefault="00240313" w:rsidP="00441B6F">
      <w:pPr>
        <w:pStyle w:val="Body"/>
        <w:spacing w:after="0"/>
        <w:rPr>
          <w:rFonts w:ascii="Arial" w:hAnsi="Arial" w:cs="Arial"/>
          <w:b/>
          <w:caps/>
        </w:rPr>
      </w:pPr>
    </w:p>
    <w:p w14:paraId="288964BE" w14:textId="0DC45DE2" w:rsidR="00240313" w:rsidRDefault="00240313"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240313">
        <w:rPr>
          <w:rFonts w:ascii="Arial" w:hAnsi="Arial" w:cs="Arial"/>
          <w:b/>
          <w:sz w:val="22"/>
        </w:rPr>
        <w:t>Outcomes before and during the implementation of the AHD package of care</w:t>
      </w:r>
    </w:p>
    <w:p w14:paraId="5737F439" w14:textId="77777777" w:rsidR="00240313" w:rsidRDefault="00240313" w:rsidP="00441B6F">
      <w:pPr>
        <w:pStyle w:val="Body"/>
        <w:spacing w:after="0"/>
        <w:rPr>
          <w:rFonts w:ascii="Arial" w:hAnsi="Arial" w:cs="Arial"/>
          <w:b/>
          <w:caps/>
        </w:rPr>
      </w:pPr>
    </w:p>
    <w:p w14:paraId="1B93AA26" w14:textId="1638B3A2" w:rsidR="002457F3" w:rsidRDefault="002457F3" w:rsidP="00441B6F">
      <w:pPr>
        <w:pStyle w:val="Body"/>
        <w:spacing w:after="0"/>
        <w:rPr>
          <w:rFonts w:ascii="Arial" w:hAnsi="Arial" w:cs="Arial"/>
        </w:rPr>
      </w:pPr>
      <w:r w:rsidRPr="002457F3">
        <w:rPr>
          <w:rFonts w:ascii="Arial" w:hAnsi="Arial" w:cs="Arial"/>
        </w:rPr>
        <w:t>Clinical outcomes of the patients at six months are shown in Table 3. There was a statistical significance in terms of death status between the period before and during the implementation of the package of care (p &lt; 0.01), but no statistically significant difference in terms of viral suppression.</w:t>
      </w:r>
    </w:p>
    <w:p w14:paraId="355C2BAE" w14:textId="77777777" w:rsidR="002457F3" w:rsidRDefault="002457F3" w:rsidP="00441B6F">
      <w:pPr>
        <w:pStyle w:val="Body"/>
        <w:spacing w:after="0"/>
        <w:rPr>
          <w:rFonts w:ascii="Arial" w:hAnsi="Arial" w:cs="Arial"/>
        </w:rPr>
      </w:pPr>
    </w:p>
    <w:p w14:paraId="541FAD77" w14:textId="6F10C1C9" w:rsidR="002457F3" w:rsidRDefault="002457F3" w:rsidP="002457F3">
      <w:pPr>
        <w:pStyle w:val="Body"/>
        <w:spacing w:after="0"/>
        <w:rPr>
          <w:rFonts w:ascii="Arial" w:hAnsi="Arial"/>
          <w:b/>
        </w:rPr>
      </w:pPr>
      <w:r>
        <w:rPr>
          <w:rFonts w:ascii="Arial" w:hAnsi="Arial"/>
          <w:b/>
        </w:rPr>
        <w:t xml:space="preserve">Table </w:t>
      </w:r>
      <w:r w:rsidR="001956CC">
        <w:rPr>
          <w:rFonts w:ascii="Arial" w:hAnsi="Arial"/>
          <w:b/>
        </w:rPr>
        <w:t>3</w:t>
      </w:r>
      <w:r>
        <w:rPr>
          <w:rFonts w:ascii="Arial" w:hAnsi="Arial"/>
          <w:b/>
        </w:rPr>
        <w:t xml:space="preserve">. </w:t>
      </w:r>
      <w:r w:rsidR="001956CC" w:rsidRPr="001956CC">
        <w:rPr>
          <w:rFonts w:ascii="Arial" w:hAnsi="Arial"/>
          <w:b/>
        </w:rPr>
        <w:t>Outcomes before and during implementation of the AHD package of care for patients</w:t>
      </w:r>
    </w:p>
    <w:p w14:paraId="5E4E9F85" w14:textId="77777777" w:rsidR="002457F3" w:rsidRDefault="002457F3" w:rsidP="002457F3">
      <w:pPr>
        <w:pStyle w:val="Body"/>
        <w:spacing w:after="0"/>
        <w:rPr>
          <w:rFonts w:ascii="Arial" w:hAnsi="Arial" w:cs="Arial"/>
        </w:rPr>
      </w:pPr>
    </w:p>
    <w:tbl>
      <w:tblPr>
        <w:tblStyle w:val="TableGrid"/>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506"/>
        <w:gridCol w:w="1873"/>
        <w:gridCol w:w="1699"/>
        <w:gridCol w:w="1199"/>
        <w:gridCol w:w="877"/>
      </w:tblGrid>
      <w:tr w:rsidR="001956CC" w:rsidRPr="000D1AFA" w14:paraId="038951F8" w14:textId="77777777" w:rsidTr="003314CF">
        <w:tc>
          <w:tcPr>
            <w:tcW w:w="1800" w:type="dxa"/>
            <w:tcBorders>
              <w:top w:val="single" w:sz="4" w:space="0" w:color="auto"/>
              <w:bottom w:val="single" w:sz="4" w:space="0" w:color="auto"/>
            </w:tcBorders>
          </w:tcPr>
          <w:p w14:paraId="094AA3BC"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lastRenderedPageBreak/>
              <w:t>Variables</w:t>
            </w:r>
          </w:p>
        </w:tc>
        <w:tc>
          <w:tcPr>
            <w:tcW w:w="1262" w:type="dxa"/>
            <w:tcBorders>
              <w:top w:val="single" w:sz="4" w:space="0" w:color="auto"/>
              <w:bottom w:val="single" w:sz="4" w:space="0" w:color="auto"/>
            </w:tcBorders>
          </w:tcPr>
          <w:p w14:paraId="0F7824CA" w14:textId="77777777" w:rsidR="002457F3" w:rsidRPr="000D1AFA" w:rsidRDefault="002457F3" w:rsidP="00FC7946">
            <w:pPr>
              <w:pStyle w:val="Body"/>
              <w:spacing w:after="0"/>
              <w:rPr>
                <w:rFonts w:ascii="Arial" w:hAnsi="Arial" w:cs="Arial"/>
                <w:sz w:val="20"/>
                <w:szCs w:val="20"/>
              </w:rPr>
            </w:pPr>
            <w:r>
              <w:rPr>
                <w:rFonts w:ascii="Arial" w:hAnsi="Arial" w:cs="Arial"/>
                <w:sz w:val="20"/>
                <w:szCs w:val="20"/>
              </w:rPr>
              <w:t>Category</w:t>
            </w:r>
          </w:p>
        </w:tc>
        <w:tc>
          <w:tcPr>
            <w:tcW w:w="1957" w:type="dxa"/>
            <w:tcBorders>
              <w:top w:val="single" w:sz="4" w:space="0" w:color="auto"/>
              <w:bottom w:val="single" w:sz="4" w:space="0" w:color="auto"/>
            </w:tcBorders>
          </w:tcPr>
          <w:p w14:paraId="0F28036C"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Did not receive AHD package of care [n=356 (%)]</w:t>
            </w:r>
          </w:p>
        </w:tc>
        <w:tc>
          <w:tcPr>
            <w:tcW w:w="1760" w:type="dxa"/>
            <w:tcBorders>
              <w:top w:val="single" w:sz="4" w:space="0" w:color="auto"/>
              <w:bottom w:val="single" w:sz="4" w:space="0" w:color="auto"/>
            </w:tcBorders>
          </w:tcPr>
          <w:p w14:paraId="0D17F5E4"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Received AHD package of care [n=536 (%)]</w:t>
            </w:r>
          </w:p>
        </w:tc>
        <w:tc>
          <w:tcPr>
            <w:tcW w:w="1247" w:type="dxa"/>
            <w:tcBorders>
              <w:top w:val="single" w:sz="4" w:space="0" w:color="auto"/>
              <w:bottom w:val="single" w:sz="4" w:space="0" w:color="auto"/>
            </w:tcBorders>
          </w:tcPr>
          <w:p w14:paraId="6B40F362"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OR (95% CI)</w:t>
            </w:r>
          </w:p>
        </w:tc>
        <w:tc>
          <w:tcPr>
            <w:tcW w:w="884" w:type="dxa"/>
            <w:tcBorders>
              <w:top w:val="single" w:sz="4" w:space="0" w:color="auto"/>
              <w:bottom w:val="single" w:sz="4" w:space="0" w:color="auto"/>
            </w:tcBorders>
          </w:tcPr>
          <w:p w14:paraId="35C5E259"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P</w:t>
            </w:r>
            <w:r>
              <w:rPr>
                <w:rFonts w:ascii="Arial" w:hAnsi="Arial" w:cs="Arial"/>
                <w:sz w:val="20"/>
                <w:szCs w:val="20"/>
              </w:rPr>
              <w:t>-</w:t>
            </w:r>
            <w:r w:rsidRPr="000D1AFA">
              <w:rPr>
                <w:rFonts w:ascii="Arial" w:hAnsi="Arial" w:cs="Arial"/>
                <w:sz w:val="20"/>
                <w:szCs w:val="20"/>
              </w:rPr>
              <w:t>value</w:t>
            </w:r>
          </w:p>
        </w:tc>
      </w:tr>
      <w:tr w:rsidR="001956CC" w:rsidRPr="000D1AFA" w14:paraId="1CE4A277" w14:textId="77777777" w:rsidTr="003314CF">
        <w:tc>
          <w:tcPr>
            <w:tcW w:w="1800" w:type="dxa"/>
            <w:tcBorders>
              <w:top w:val="single" w:sz="4" w:space="0" w:color="auto"/>
            </w:tcBorders>
          </w:tcPr>
          <w:p w14:paraId="461A3E35" w14:textId="2E2479A7" w:rsidR="002457F3" w:rsidRPr="000D1AFA" w:rsidRDefault="002457F3" w:rsidP="00FC7946">
            <w:pPr>
              <w:pStyle w:val="Body"/>
              <w:spacing w:after="0"/>
              <w:rPr>
                <w:rFonts w:ascii="Arial" w:hAnsi="Arial" w:cs="Arial"/>
                <w:sz w:val="20"/>
                <w:szCs w:val="20"/>
              </w:rPr>
            </w:pPr>
            <w:r>
              <w:rPr>
                <w:rFonts w:ascii="Arial" w:hAnsi="Arial" w:cs="Arial"/>
                <w:sz w:val="20"/>
                <w:szCs w:val="20"/>
              </w:rPr>
              <w:t>Viral suppression at 6 months</w:t>
            </w:r>
          </w:p>
        </w:tc>
        <w:tc>
          <w:tcPr>
            <w:tcW w:w="1262" w:type="dxa"/>
            <w:tcBorders>
              <w:top w:val="single" w:sz="4" w:space="0" w:color="auto"/>
            </w:tcBorders>
          </w:tcPr>
          <w:p w14:paraId="0EC58424" w14:textId="77777777" w:rsidR="002457F3" w:rsidRDefault="002457F3" w:rsidP="00FC7946">
            <w:pPr>
              <w:pStyle w:val="Body"/>
              <w:spacing w:after="0"/>
              <w:rPr>
                <w:rFonts w:ascii="Arial" w:hAnsi="Arial" w:cs="Arial"/>
                <w:sz w:val="20"/>
                <w:szCs w:val="20"/>
              </w:rPr>
            </w:pPr>
            <w:r>
              <w:rPr>
                <w:rFonts w:ascii="Arial" w:hAnsi="Arial" w:cs="Arial"/>
                <w:sz w:val="20"/>
                <w:szCs w:val="20"/>
              </w:rPr>
              <w:t>Suppressed</w:t>
            </w:r>
          </w:p>
          <w:p w14:paraId="3312A38C" w14:textId="6677C0CA" w:rsidR="002457F3" w:rsidRPr="000D1AFA" w:rsidRDefault="002457F3" w:rsidP="00FC7946">
            <w:pPr>
              <w:pStyle w:val="Body"/>
              <w:spacing w:after="0"/>
              <w:rPr>
                <w:rFonts w:ascii="Arial" w:hAnsi="Arial" w:cs="Arial"/>
                <w:sz w:val="20"/>
                <w:szCs w:val="20"/>
              </w:rPr>
            </w:pPr>
            <w:r>
              <w:rPr>
                <w:rFonts w:ascii="Arial" w:hAnsi="Arial" w:cs="Arial"/>
                <w:sz w:val="20"/>
                <w:szCs w:val="20"/>
              </w:rPr>
              <w:t>Unsuppressed</w:t>
            </w:r>
          </w:p>
        </w:tc>
        <w:tc>
          <w:tcPr>
            <w:tcW w:w="1957" w:type="dxa"/>
            <w:tcBorders>
              <w:top w:val="single" w:sz="4" w:space="0" w:color="auto"/>
            </w:tcBorders>
          </w:tcPr>
          <w:p w14:paraId="042905AF" w14:textId="77777777" w:rsidR="002457F3" w:rsidRDefault="002457F3" w:rsidP="00FC7946">
            <w:pPr>
              <w:pStyle w:val="Body"/>
              <w:spacing w:after="0"/>
              <w:rPr>
                <w:rFonts w:ascii="Arial" w:hAnsi="Arial" w:cs="Arial"/>
                <w:sz w:val="20"/>
                <w:szCs w:val="20"/>
              </w:rPr>
            </w:pPr>
            <w:r>
              <w:rPr>
                <w:rFonts w:ascii="Arial" w:hAnsi="Arial" w:cs="Arial"/>
                <w:sz w:val="20"/>
                <w:szCs w:val="20"/>
              </w:rPr>
              <w:t>285 (80.1)</w:t>
            </w:r>
          </w:p>
          <w:p w14:paraId="75611E02" w14:textId="0466DF0D" w:rsidR="002457F3" w:rsidRPr="000D1AFA" w:rsidRDefault="002457F3" w:rsidP="00FC7946">
            <w:pPr>
              <w:pStyle w:val="Body"/>
              <w:spacing w:after="0"/>
              <w:rPr>
                <w:rFonts w:ascii="Arial" w:hAnsi="Arial" w:cs="Arial"/>
                <w:sz w:val="20"/>
                <w:szCs w:val="20"/>
              </w:rPr>
            </w:pPr>
            <w:r>
              <w:rPr>
                <w:rFonts w:ascii="Arial" w:hAnsi="Arial" w:cs="Arial"/>
                <w:sz w:val="20"/>
                <w:szCs w:val="20"/>
              </w:rPr>
              <w:t>15 (4.2)</w:t>
            </w:r>
          </w:p>
        </w:tc>
        <w:tc>
          <w:tcPr>
            <w:tcW w:w="1760" w:type="dxa"/>
            <w:tcBorders>
              <w:top w:val="single" w:sz="4" w:space="0" w:color="auto"/>
            </w:tcBorders>
          </w:tcPr>
          <w:p w14:paraId="0A5F86FF" w14:textId="77777777" w:rsidR="002457F3" w:rsidRDefault="002457F3" w:rsidP="00FC7946">
            <w:pPr>
              <w:pStyle w:val="Body"/>
              <w:spacing w:after="0"/>
              <w:rPr>
                <w:rFonts w:ascii="Arial" w:hAnsi="Arial" w:cs="Arial"/>
                <w:sz w:val="20"/>
                <w:szCs w:val="20"/>
              </w:rPr>
            </w:pPr>
            <w:r>
              <w:rPr>
                <w:rFonts w:ascii="Arial" w:hAnsi="Arial" w:cs="Arial"/>
                <w:sz w:val="20"/>
                <w:szCs w:val="20"/>
              </w:rPr>
              <w:t>418 (78.0)</w:t>
            </w:r>
          </w:p>
          <w:p w14:paraId="227AD6D6" w14:textId="2A4C0037" w:rsidR="002457F3" w:rsidRPr="000D1AFA" w:rsidRDefault="002457F3" w:rsidP="00FC7946">
            <w:pPr>
              <w:pStyle w:val="Body"/>
              <w:spacing w:after="0"/>
              <w:rPr>
                <w:rFonts w:ascii="Arial" w:hAnsi="Arial" w:cs="Arial"/>
                <w:sz w:val="20"/>
                <w:szCs w:val="20"/>
              </w:rPr>
            </w:pPr>
            <w:r>
              <w:rPr>
                <w:rFonts w:ascii="Arial" w:hAnsi="Arial" w:cs="Arial"/>
                <w:sz w:val="20"/>
                <w:szCs w:val="20"/>
              </w:rPr>
              <w:t>25 (4.7)</w:t>
            </w:r>
          </w:p>
        </w:tc>
        <w:tc>
          <w:tcPr>
            <w:tcW w:w="1247" w:type="dxa"/>
            <w:tcBorders>
              <w:top w:val="single" w:sz="4" w:space="0" w:color="auto"/>
            </w:tcBorders>
          </w:tcPr>
          <w:p w14:paraId="5D9098B9" w14:textId="083BED2B" w:rsidR="002457F3" w:rsidRPr="000D1AFA" w:rsidRDefault="001956CC" w:rsidP="00FC7946">
            <w:pPr>
              <w:pStyle w:val="Body"/>
              <w:spacing w:after="0"/>
              <w:rPr>
                <w:rFonts w:ascii="Arial" w:hAnsi="Arial" w:cs="Arial"/>
                <w:sz w:val="20"/>
                <w:szCs w:val="20"/>
              </w:rPr>
            </w:pPr>
            <w:r w:rsidRPr="001956CC">
              <w:rPr>
                <w:rFonts w:ascii="Arial" w:hAnsi="Arial" w:cs="Arial"/>
                <w:sz w:val="20"/>
                <w:szCs w:val="20"/>
              </w:rPr>
              <w:t>1.1 (0.6-2.2)</w:t>
            </w:r>
          </w:p>
        </w:tc>
        <w:tc>
          <w:tcPr>
            <w:tcW w:w="884" w:type="dxa"/>
            <w:tcBorders>
              <w:top w:val="single" w:sz="4" w:space="0" w:color="auto"/>
            </w:tcBorders>
          </w:tcPr>
          <w:p w14:paraId="0F3FC7E7" w14:textId="3DE0DF72" w:rsidR="002457F3" w:rsidRPr="001956CC" w:rsidRDefault="001956CC" w:rsidP="00FC7946">
            <w:pPr>
              <w:pStyle w:val="Body"/>
              <w:spacing w:after="0"/>
              <w:rPr>
                <w:rFonts w:ascii="Arial" w:hAnsi="Arial" w:cs="Arial"/>
                <w:sz w:val="20"/>
                <w:szCs w:val="20"/>
              </w:rPr>
            </w:pPr>
            <w:r w:rsidRPr="001956CC">
              <w:rPr>
                <w:rFonts w:ascii="Arial" w:hAnsi="Arial" w:cs="Arial"/>
                <w:sz w:val="20"/>
                <w:szCs w:val="20"/>
              </w:rPr>
              <w:t>0.70</w:t>
            </w:r>
          </w:p>
        </w:tc>
      </w:tr>
      <w:tr w:rsidR="001956CC" w:rsidRPr="000D1AFA" w14:paraId="7DA70F22" w14:textId="77777777" w:rsidTr="003314CF">
        <w:tc>
          <w:tcPr>
            <w:tcW w:w="1800" w:type="dxa"/>
            <w:tcBorders>
              <w:bottom w:val="single" w:sz="4" w:space="0" w:color="auto"/>
            </w:tcBorders>
          </w:tcPr>
          <w:p w14:paraId="79A4007A" w14:textId="706B719D" w:rsidR="002457F3" w:rsidRPr="000D1AFA" w:rsidRDefault="001956CC" w:rsidP="00FC7946">
            <w:pPr>
              <w:pStyle w:val="Body"/>
              <w:spacing w:after="0"/>
              <w:rPr>
                <w:rFonts w:ascii="Arial" w:hAnsi="Arial" w:cs="Arial"/>
                <w:sz w:val="20"/>
                <w:szCs w:val="20"/>
              </w:rPr>
            </w:pPr>
            <w:r>
              <w:rPr>
                <w:rFonts w:ascii="Arial" w:hAnsi="Arial" w:cs="Arial"/>
                <w:sz w:val="20"/>
                <w:szCs w:val="20"/>
              </w:rPr>
              <w:t>Death status at 6 months</w:t>
            </w:r>
          </w:p>
        </w:tc>
        <w:tc>
          <w:tcPr>
            <w:tcW w:w="1262" w:type="dxa"/>
            <w:tcBorders>
              <w:bottom w:val="single" w:sz="4" w:space="0" w:color="auto"/>
            </w:tcBorders>
          </w:tcPr>
          <w:p w14:paraId="37E45E6A" w14:textId="77777777" w:rsidR="002457F3" w:rsidRDefault="001956CC" w:rsidP="00FC7946">
            <w:pPr>
              <w:pStyle w:val="Body"/>
              <w:spacing w:after="0"/>
              <w:rPr>
                <w:rFonts w:ascii="Arial" w:hAnsi="Arial" w:cs="Arial"/>
                <w:sz w:val="20"/>
                <w:szCs w:val="20"/>
              </w:rPr>
            </w:pPr>
            <w:r>
              <w:rPr>
                <w:rFonts w:ascii="Arial" w:hAnsi="Arial" w:cs="Arial"/>
                <w:sz w:val="20"/>
                <w:szCs w:val="20"/>
              </w:rPr>
              <w:t>No</w:t>
            </w:r>
          </w:p>
          <w:p w14:paraId="2E4E614F" w14:textId="7E914AED" w:rsidR="001956CC" w:rsidRPr="000D1AFA" w:rsidRDefault="001956CC" w:rsidP="00FC7946">
            <w:pPr>
              <w:pStyle w:val="Body"/>
              <w:spacing w:after="0"/>
              <w:rPr>
                <w:rFonts w:ascii="Arial" w:hAnsi="Arial" w:cs="Arial"/>
                <w:sz w:val="20"/>
                <w:szCs w:val="20"/>
              </w:rPr>
            </w:pPr>
            <w:r>
              <w:rPr>
                <w:rFonts w:ascii="Arial" w:hAnsi="Arial" w:cs="Arial"/>
                <w:sz w:val="20"/>
                <w:szCs w:val="20"/>
              </w:rPr>
              <w:t>Yes</w:t>
            </w:r>
          </w:p>
        </w:tc>
        <w:tc>
          <w:tcPr>
            <w:tcW w:w="1957" w:type="dxa"/>
            <w:tcBorders>
              <w:bottom w:val="single" w:sz="4" w:space="0" w:color="auto"/>
            </w:tcBorders>
          </w:tcPr>
          <w:p w14:paraId="27B79A46" w14:textId="77777777" w:rsidR="002457F3" w:rsidRDefault="001956CC" w:rsidP="00FC7946">
            <w:pPr>
              <w:pStyle w:val="Body"/>
              <w:spacing w:after="0"/>
              <w:rPr>
                <w:rFonts w:ascii="Arial" w:hAnsi="Arial" w:cs="Arial"/>
                <w:sz w:val="20"/>
                <w:szCs w:val="20"/>
              </w:rPr>
            </w:pPr>
            <w:r>
              <w:rPr>
                <w:rFonts w:ascii="Arial" w:hAnsi="Arial" w:cs="Arial"/>
                <w:sz w:val="20"/>
                <w:szCs w:val="20"/>
              </w:rPr>
              <w:t>326 (91.6)</w:t>
            </w:r>
          </w:p>
          <w:p w14:paraId="34890281" w14:textId="7547F7F5" w:rsidR="001956CC" w:rsidRPr="000D1AFA" w:rsidRDefault="001956CC" w:rsidP="00FC7946">
            <w:pPr>
              <w:pStyle w:val="Body"/>
              <w:spacing w:after="0"/>
              <w:rPr>
                <w:rFonts w:ascii="Arial" w:hAnsi="Arial" w:cs="Arial"/>
                <w:sz w:val="20"/>
                <w:szCs w:val="20"/>
              </w:rPr>
            </w:pPr>
            <w:r>
              <w:rPr>
                <w:rFonts w:ascii="Arial" w:hAnsi="Arial" w:cs="Arial"/>
                <w:sz w:val="20"/>
                <w:szCs w:val="20"/>
              </w:rPr>
              <w:t>30 (8.4)</w:t>
            </w:r>
          </w:p>
        </w:tc>
        <w:tc>
          <w:tcPr>
            <w:tcW w:w="1760" w:type="dxa"/>
            <w:tcBorders>
              <w:bottom w:val="single" w:sz="4" w:space="0" w:color="auto"/>
            </w:tcBorders>
          </w:tcPr>
          <w:p w14:paraId="0AB1D3A4" w14:textId="77777777" w:rsidR="002457F3" w:rsidRDefault="001956CC" w:rsidP="00FC7946">
            <w:pPr>
              <w:pStyle w:val="Body"/>
              <w:spacing w:after="0"/>
              <w:rPr>
                <w:rFonts w:ascii="Arial" w:hAnsi="Arial" w:cs="Arial"/>
                <w:sz w:val="20"/>
                <w:szCs w:val="20"/>
              </w:rPr>
            </w:pPr>
            <w:r>
              <w:rPr>
                <w:rFonts w:ascii="Arial" w:hAnsi="Arial" w:cs="Arial"/>
                <w:sz w:val="20"/>
                <w:szCs w:val="20"/>
              </w:rPr>
              <w:t>516 (96.3)</w:t>
            </w:r>
          </w:p>
          <w:p w14:paraId="20FB3017" w14:textId="6A3C49C8" w:rsidR="001956CC" w:rsidRPr="000D1AFA" w:rsidRDefault="001956CC" w:rsidP="00FC7946">
            <w:pPr>
              <w:pStyle w:val="Body"/>
              <w:spacing w:after="0"/>
              <w:rPr>
                <w:rFonts w:ascii="Arial" w:hAnsi="Arial" w:cs="Arial"/>
                <w:sz w:val="20"/>
                <w:szCs w:val="20"/>
              </w:rPr>
            </w:pPr>
            <w:r>
              <w:rPr>
                <w:rFonts w:ascii="Arial" w:hAnsi="Arial" w:cs="Arial"/>
                <w:sz w:val="20"/>
                <w:szCs w:val="20"/>
              </w:rPr>
              <w:t>20 (3.7)</w:t>
            </w:r>
          </w:p>
        </w:tc>
        <w:tc>
          <w:tcPr>
            <w:tcW w:w="1247" w:type="dxa"/>
            <w:tcBorders>
              <w:bottom w:val="single" w:sz="4" w:space="0" w:color="auto"/>
            </w:tcBorders>
          </w:tcPr>
          <w:p w14:paraId="5F70A9B0" w14:textId="55390D9D" w:rsidR="002457F3" w:rsidRPr="000D1AFA" w:rsidRDefault="001956CC" w:rsidP="00FC7946">
            <w:pPr>
              <w:pStyle w:val="Body"/>
              <w:spacing w:after="0"/>
              <w:rPr>
                <w:rFonts w:ascii="Arial" w:hAnsi="Arial" w:cs="Arial"/>
                <w:sz w:val="20"/>
                <w:szCs w:val="20"/>
              </w:rPr>
            </w:pPr>
            <w:r w:rsidRPr="001956CC">
              <w:rPr>
                <w:rFonts w:ascii="Arial" w:hAnsi="Arial" w:cs="Arial"/>
                <w:sz w:val="20"/>
                <w:szCs w:val="20"/>
              </w:rPr>
              <w:t>0.4 (0.2-0.8)</w:t>
            </w:r>
          </w:p>
        </w:tc>
        <w:tc>
          <w:tcPr>
            <w:tcW w:w="884" w:type="dxa"/>
            <w:tcBorders>
              <w:bottom w:val="single" w:sz="4" w:space="0" w:color="auto"/>
            </w:tcBorders>
          </w:tcPr>
          <w:p w14:paraId="002A9BC9" w14:textId="4984F480" w:rsidR="002457F3" w:rsidRPr="001956CC" w:rsidRDefault="001956CC" w:rsidP="00FC7946">
            <w:pPr>
              <w:pStyle w:val="Body"/>
              <w:spacing w:after="0"/>
              <w:rPr>
                <w:rFonts w:ascii="Arial" w:hAnsi="Arial" w:cs="Arial"/>
                <w:sz w:val="20"/>
                <w:szCs w:val="20"/>
              </w:rPr>
            </w:pPr>
            <w:r w:rsidRPr="001956CC">
              <w:rPr>
                <w:rFonts w:ascii="Arial" w:hAnsi="Arial" w:cs="Arial"/>
                <w:sz w:val="20"/>
                <w:szCs w:val="20"/>
              </w:rPr>
              <w:t>&lt;0.01*</w:t>
            </w:r>
          </w:p>
        </w:tc>
      </w:tr>
    </w:tbl>
    <w:p w14:paraId="18C97BCF" w14:textId="4A19D155" w:rsidR="001956CC" w:rsidRDefault="001956CC" w:rsidP="002457F3">
      <w:pPr>
        <w:pStyle w:val="BodyText3"/>
        <w:tabs>
          <w:tab w:val="left" w:pos="1080"/>
        </w:tabs>
        <w:spacing w:after="0"/>
        <w:jc w:val="both"/>
        <w:rPr>
          <w:rFonts w:ascii="Arial" w:hAnsi="Arial"/>
          <w:bCs/>
          <w:i/>
          <w:sz w:val="18"/>
        </w:rPr>
      </w:pPr>
      <w:r w:rsidRPr="007E4B07">
        <w:rPr>
          <w:rFonts w:ascii="Arial" w:hAnsi="Arial"/>
          <w:bCs/>
          <w:i/>
          <w:sz w:val="18"/>
        </w:rPr>
        <w:t>OR = Odds ratio; CI = 95% confidence interval; p = p- value from chi-sq</w:t>
      </w:r>
      <w:r>
        <w:rPr>
          <w:rFonts w:ascii="Arial" w:hAnsi="Arial"/>
          <w:bCs/>
          <w:i/>
          <w:sz w:val="18"/>
        </w:rPr>
        <w:t>uare test</w:t>
      </w:r>
    </w:p>
    <w:p w14:paraId="466B2071" w14:textId="124FC1C6" w:rsidR="002457F3" w:rsidRPr="00D319B8" w:rsidRDefault="002457F3" w:rsidP="002457F3">
      <w:pPr>
        <w:pStyle w:val="BodyText3"/>
        <w:tabs>
          <w:tab w:val="left" w:pos="1080"/>
        </w:tabs>
        <w:spacing w:after="0"/>
        <w:jc w:val="both"/>
        <w:rPr>
          <w:rFonts w:ascii="Arial" w:hAnsi="Arial"/>
          <w:bCs/>
          <w:i/>
          <w:sz w:val="18"/>
        </w:rPr>
      </w:pPr>
      <w:r w:rsidRPr="007E4B07">
        <w:rPr>
          <w:rFonts w:ascii="Arial" w:hAnsi="Arial"/>
          <w:bCs/>
          <w:i/>
          <w:sz w:val="18"/>
        </w:rPr>
        <w:t>*Statistically significant at p</w:t>
      </w:r>
      <w:r>
        <w:rPr>
          <w:rFonts w:ascii="Arial" w:hAnsi="Arial"/>
          <w:bCs/>
          <w:i/>
          <w:sz w:val="18"/>
        </w:rPr>
        <w:t xml:space="preserve"> = </w:t>
      </w:r>
      <w:r w:rsidRPr="007E4B07">
        <w:rPr>
          <w:rFonts w:ascii="Arial" w:hAnsi="Arial"/>
          <w:bCs/>
          <w:i/>
          <w:sz w:val="18"/>
        </w:rPr>
        <w:t>0.05</w:t>
      </w:r>
    </w:p>
    <w:p w14:paraId="0739B985" w14:textId="77777777" w:rsidR="00790ADA" w:rsidRPr="00FB3A86" w:rsidRDefault="00790ADA" w:rsidP="00441B6F">
      <w:pPr>
        <w:pStyle w:val="Body"/>
        <w:spacing w:after="0"/>
        <w:rPr>
          <w:rFonts w:ascii="Arial" w:hAnsi="Arial" w:cs="Arial"/>
        </w:rPr>
      </w:pPr>
    </w:p>
    <w:p w14:paraId="4C8ECFE6" w14:textId="3965C066" w:rsidR="00B01FCD" w:rsidRDefault="00000F8F" w:rsidP="00441B6F">
      <w:pPr>
        <w:pStyle w:val="ConcHead"/>
        <w:spacing w:after="0"/>
        <w:jc w:val="both"/>
        <w:rPr>
          <w:rFonts w:ascii="Arial" w:hAnsi="Arial" w:cs="Arial"/>
        </w:rPr>
      </w:pPr>
      <w:r>
        <w:rPr>
          <w:rFonts w:ascii="Arial" w:hAnsi="Arial" w:cs="Arial"/>
        </w:rPr>
        <w:t xml:space="preserve">4. </w:t>
      </w:r>
      <w:r w:rsidR="001956CC">
        <w:rPr>
          <w:rFonts w:ascii="Arial" w:hAnsi="Arial" w:cs="Arial"/>
        </w:rPr>
        <w:t>DISCUSSION</w:t>
      </w:r>
    </w:p>
    <w:p w14:paraId="1DCA8751" w14:textId="77777777" w:rsidR="00790ADA" w:rsidRPr="00FB3A86" w:rsidRDefault="00790ADA" w:rsidP="00441B6F">
      <w:pPr>
        <w:pStyle w:val="ConcHead"/>
        <w:spacing w:after="0"/>
        <w:jc w:val="both"/>
        <w:rPr>
          <w:rFonts w:ascii="Arial" w:hAnsi="Arial" w:cs="Arial"/>
        </w:rPr>
      </w:pPr>
    </w:p>
    <w:p w14:paraId="5A908FDC" w14:textId="33FD4670" w:rsidR="001956CC" w:rsidRDefault="001956CC" w:rsidP="001956CC">
      <w:pPr>
        <w:pStyle w:val="Body"/>
        <w:spacing w:after="0"/>
        <w:rPr>
          <w:rFonts w:ascii="Arial" w:hAnsi="Arial" w:cs="Arial"/>
        </w:rPr>
      </w:pPr>
      <w:r w:rsidRPr="001956CC">
        <w:rPr>
          <w:rFonts w:ascii="Arial" w:hAnsi="Arial" w:cs="Arial"/>
        </w:rPr>
        <w:t>This study evaluated the implementation fidelity and impact of the WHO-recommended HIV AHD package of care in Ekiti State, Nigeria. Overall, we observed improvement in the services available to patients presenting with advanced HIV, including high uptake of CD4 testing and reduced mortality at six months. However, the diagnostic services for tuberculosis and cryptococcal meningitis, which are the two most common opportunistic infections, remained suboptimal. This study provides valuable insights into the HIV service delivery in low-resource settings.</w:t>
      </w:r>
    </w:p>
    <w:p w14:paraId="5945911B" w14:textId="77777777" w:rsidR="001956CC" w:rsidRDefault="001956CC" w:rsidP="001956CC">
      <w:pPr>
        <w:pStyle w:val="Body"/>
        <w:spacing w:after="0"/>
        <w:rPr>
          <w:rFonts w:ascii="Arial" w:hAnsi="Arial" w:cs="Arial"/>
        </w:rPr>
      </w:pPr>
    </w:p>
    <w:p w14:paraId="37D40497" w14:textId="7C5EBB54" w:rsidR="001956CC" w:rsidRPr="001956CC" w:rsidRDefault="001956CC" w:rsidP="001956CC">
      <w:pPr>
        <w:pStyle w:val="Body"/>
        <w:spacing w:after="0"/>
        <w:rPr>
          <w:rFonts w:ascii="Arial" w:hAnsi="Arial" w:cs="Arial"/>
        </w:rPr>
      </w:pPr>
      <w:r w:rsidRPr="001956CC">
        <w:rPr>
          <w:rFonts w:ascii="Arial" w:hAnsi="Arial" w:cs="Arial"/>
        </w:rPr>
        <w:t xml:space="preserve">The uptake of CD4 testing increased from 88.7% to 99.3% during the implementation. This is unlike other studies, which showed an increase in uptake, but not to the extent seen in this study [12-13]. The increased uptake can be attributed to the improved capacity of the healthcare workers, as reinforced by the clinical mentorship </w:t>
      </w:r>
      <w:proofErr w:type="spellStart"/>
      <w:r w:rsidRPr="001956CC">
        <w:rPr>
          <w:rFonts w:ascii="Arial" w:hAnsi="Arial" w:cs="Arial"/>
        </w:rPr>
        <w:t>programme</w:t>
      </w:r>
      <w:proofErr w:type="spellEnd"/>
      <w:r w:rsidRPr="001956CC">
        <w:rPr>
          <w:rFonts w:ascii="Arial" w:hAnsi="Arial" w:cs="Arial"/>
        </w:rPr>
        <w:t xml:space="preserve"> and the improved supply chain, as facilitated by the state programming.</w:t>
      </w:r>
    </w:p>
    <w:p w14:paraId="5BC0E627" w14:textId="77777777" w:rsidR="001956CC" w:rsidRPr="001956CC" w:rsidRDefault="001956CC" w:rsidP="001956CC">
      <w:pPr>
        <w:pStyle w:val="Body"/>
        <w:spacing w:after="0"/>
        <w:rPr>
          <w:rFonts w:ascii="Arial" w:hAnsi="Arial" w:cs="Arial"/>
        </w:rPr>
      </w:pPr>
    </w:p>
    <w:p w14:paraId="124A4315" w14:textId="77777777" w:rsidR="001956CC" w:rsidRPr="001956CC" w:rsidRDefault="001956CC" w:rsidP="001956CC">
      <w:pPr>
        <w:pStyle w:val="Body"/>
        <w:spacing w:after="0"/>
        <w:rPr>
          <w:rFonts w:ascii="Arial" w:hAnsi="Arial" w:cs="Arial"/>
        </w:rPr>
      </w:pPr>
      <w:r w:rsidRPr="001956CC">
        <w:rPr>
          <w:rFonts w:ascii="Arial" w:hAnsi="Arial" w:cs="Arial"/>
        </w:rPr>
        <w:t>This study revealed that more patients were actively screened and diagnosed with tuberculosis following the introduction of the AHD package of care. Tuberculosis remains the most common OI among PLHIV in Nigeria [9]. This is consistent with findings in Senegal that showed tuberculosis to be the most prevalent OI and affecting nearly half of the population studied [14]. Generally, the screening with TB LAM was low, with less than 50% receiving diagnostic testing with TB LAM. This is similar to findings from other studies that show a low implementation of tuberculosis diagnosis [15]. Another study shows that despite the benefits of the AHD package of care, the use of TB LAM for testing remains poor among high TB/HIV burden countries [16]. Some of the strategies that have been proposed to improve the diagnosis of tuberculosis in HIV patients include the routine application of the AHD package of care and decentralized service delivery, with the practice of task shifting among the healthcare workers [17].</w:t>
      </w:r>
    </w:p>
    <w:p w14:paraId="45FC3919" w14:textId="77777777" w:rsidR="001956CC" w:rsidRPr="001956CC" w:rsidRDefault="001956CC" w:rsidP="001956CC">
      <w:pPr>
        <w:pStyle w:val="Body"/>
        <w:spacing w:after="0"/>
        <w:rPr>
          <w:rFonts w:ascii="Arial" w:hAnsi="Arial" w:cs="Arial"/>
        </w:rPr>
      </w:pPr>
    </w:p>
    <w:p w14:paraId="1480E3F5" w14:textId="064D758C" w:rsidR="001956CC" w:rsidRPr="001956CC" w:rsidRDefault="001956CC" w:rsidP="001956CC">
      <w:pPr>
        <w:pStyle w:val="Body"/>
        <w:spacing w:after="0"/>
        <w:rPr>
          <w:rFonts w:ascii="Arial" w:hAnsi="Arial" w:cs="Arial"/>
        </w:rPr>
      </w:pPr>
      <w:r w:rsidRPr="001956CC">
        <w:rPr>
          <w:rFonts w:ascii="Arial" w:hAnsi="Arial" w:cs="Arial"/>
        </w:rPr>
        <w:t xml:space="preserve">The uptake of cryptococcal meningitis diagnostic testing was extremely low, highlighting significant gaps in implementation. Routine cryptococcal antigen screening and preemptive treatment are known </w:t>
      </w:r>
      <w:r w:rsidR="0076548B">
        <w:rPr>
          <w:rFonts w:ascii="Arial" w:hAnsi="Arial" w:cs="Arial"/>
        </w:rPr>
        <w:t>to substantially reduce cryptococcal-related mortality [18]</w:t>
      </w:r>
      <w:r w:rsidRPr="001956CC">
        <w:rPr>
          <w:rFonts w:ascii="Arial" w:hAnsi="Arial" w:cs="Arial"/>
        </w:rPr>
        <w:t xml:space="preserve">. The gap observed in our study may be attributed to limited healthcare worker capacity, inadequate availability of diagnostic materials, and poor documentation practices. This finding aligns with the report by </w:t>
      </w:r>
      <w:proofErr w:type="spellStart"/>
      <w:r w:rsidRPr="001956CC">
        <w:rPr>
          <w:rFonts w:ascii="Arial" w:hAnsi="Arial" w:cs="Arial"/>
        </w:rPr>
        <w:t>Eigege</w:t>
      </w:r>
      <w:proofErr w:type="spellEnd"/>
      <w:r w:rsidRPr="001956CC">
        <w:rPr>
          <w:rFonts w:ascii="Arial" w:hAnsi="Arial" w:cs="Arial"/>
        </w:rPr>
        <w:t xml:space="preserve"> et al, who also noticed deficiencies in the diagnosis of cryptococcal meningitis [12].</w:t>
      </w:r>
    </w:p>
    <w:p w14:paraId="3CE9F615" w14:textId="77777777" w:rsidR="001956CC" w:rsidRDefault="001956CC" w:rsidP="001956CC">
      <w:pPr>
        <w:pStyle w:val="Body"/>
        <w:spacing w:after="0"/>
        <w:rPr>
          <w:rFonts w:ascii="Arial" w:hAnsi="Arial" w:cs="Arial"/>
        </w:rPr>
      </w:pPr>
    </w:p>
    <w:p w14:paraId="0F78AC45" w14:textId="6E8A25E7" w:rsidR="00240313" w:rsidRDefault="001956CC" w:rsidP="001956CC">
      <w:pPr>
        <w:pStyle w:val="Body"/>
        <w:spacing w:after="0"/>
        <w:rPr>
          <w:rFonts w:ascii="Arial" w:hAnsi="Arial" w:cs="Arial"/>
        </w:rPr>
      </w:pPr>
      <w:r w:rsidRPr="001956CC">
        <w:rPr>
          <w:rFonts w:ascii="Arial" w:hAnsi="Arial" w:cs="Arial"/>
        </w:rPr>
        <w:t>The outcome showed no satisfactory result for viral suppression at six months, but showed a significant difference in terms of mortality. The viral suppression outcome is similar to that of other studies [15, 19].</w:t>
      </w:r>
      <w:r w:rsidR="0076548B">
        <w:rPr>
          <w:rFonts w:ascii="Arial" w:hAnsi="Arial" w:cs="Arial"/>
        </w:rPr>
        <w:t xml:space="preserve"> Several factors may have contributed to the low suppression rate, including suboptimal adherence, delayed ART initiation, and limited access to adherence support services. The relatively short assessment period of six months may also have influenced the findings</w:t>
      </w:r>
      <w:r w:rsidR="00AE0541">
        <w:rPr>
          <w:rFonts w:ascii="Arial" w:hAnsi="Arial" w:cs="Arial"/>
        </w:rPr>
        <w:t>,</w:t>
      </w:r>
      <w:r w:rsidRPr="001956CC">
        <w:rPr>
          <w:rFonts w:ascii="Arial" w:hAnsi="Arial" w:cs="Arial"/>
        </w:rPr>
        <w:t xml:space="preserve"> although patients started on the Dolutegravir-Tenofovir-Lamivudine </w:t>
      </w:r>
      <w:r w:rsidRPr="001956CC">
        <w:rPr>
          <w:rFonts w:ascii="Arial" w:hAnsi="Arial" w:cs="Arial"/>
        </w:rPr>
        <w:lastRenderedPageBreak/>
        <w:t>regimen demonstrate a good suppression rate [20], and it is the regimen widely used in the state. The mortality outcome in our study showed a better outcome during the implementation of the AHD package of care. There is a need for deeper research, as other studies do not show a significance of the application of the AHD package of care to mortality outcomes [15,21]</w:t>
      </w:r>
      <w:r>
        <w:rPr>
          <w:rFonts w:ascii="Arial" w:hAnsi="Arial" w:cs="Arial"/>
        </w:rPr>
        <w:t>.</w:t>
      </w:r>
      <w:r w:rsidR="00E66496">
        <w:rPr>
          <w:rFonts w:ascii="Arial" w:hAnsi="Arial" w:cs="Arial"/>
        </w:rPr>
        <w:t xml:space="preserve"> </w:t>
      </w:r>
    </w:p>
    <w:p w14:paraId="6D3D6C76" w14:textId="77777777" w:rsidR="00240313" w:rsidRDefault="00240313" w:rsidP="00441B6F">
      <w:pPr>
        <w:pStyle w:val="Body"/>
        <w:spacing w:after="0"/>
        <w:rPr>
          <w:rFonts w:ascii="Arial" w:hAnsi="Arial" w:cs="Arial"/>
        </w:rPr>
      </w:pPr>
    </w:p>
    <w:p w14:paraId="77A3E2B0" w14:textId="77777777" w:rsidR="0068000B" w:rsidRDefault="0068000B" w:rsidP="00441B6F">
      <w:pPr>
        <w:pStyle w:val="Body"/>
        <w:spacing w:after="0"/>
        <w:rPr>
          <w:rFonts w:ascii="Arial" w:hAnsi="Arial" w:cs="Arial"/>
        </w:rPr>
      </w:pPr>
    </w:p>
    <w:p w14:paraId="1C6736D0" w14:textId="7E82887C" w:rsidR="0068000B" w:rsidRDefault="001956CC" w:rsidP="0068000B">
      <w:pPr>
        <w:pStyle w:val="ConcHead"/>
        <w:spacing w:after="0"/>
        <w:jc w:val="both"/>
        <w:rPr>
          <w:rFonts w:ascii="Arial" w:hAnsi="Arial" w:cs="Arial"/>
        </w:rPr>
      </w:pPr>
      <w:r>
        <w:rPr>
          <w:rFonts w:ascii="Arial" w:hAnsi="Arial" w:cs="Arial"/>
        </w:rPr>
        <w:t>5</w:t>
      </w:r>
      <w:r w:rsidR="0068000B">
        <w:rPr>
          <w:rFonts w:ascii="Arial" w:hAnsi="Arial" w:cs="Arial"/>
        </w:rPr>
        <w:t xml:space="preserve">. </w:t>
      </w:r>
      <w:r w:rsidR="0068000B" w:rsidRPr="00FB3A86">
        <w:rPr>
          <w:rFonts w:ascii="Arial" w:hAnsi="Arial" w:cs="Arial"/>
        </w:rPr>
        <w:t>Conclusion</w:t>
      </w:r>
    </w:p>
    <w:p w14:paraId="3EAE78EB" w14:textId="77777777" w:rsidR="0068000B" w:rsidRPr="00FB3A86" w:rsidRDefault="0068000B" w:rsidP="0068000B">
      <w:pPr>
        <w:pStyle w:val="ConcHead"/>
        <w:spacing w:after="0"/>
        <w:jc w:val="both"/>
        <w:rPr>
          <w:rFonts w:ascii="Arial" w:hAnsi="Arial" w:cs="Arial"/>
        </w:rPr>
      </w:pPr>
    </w:p>
    <w:p w14:paraId="6A7D9DFD" w14:textId="677C4B1D" w:rsidR="0068000B" w:rsidRDefault="0075686A" w:rsidP="0068000B">
      <w:pPr>
        <w:pStyle w:val="Body"/>
        <w:spacing w:after="0"/>
        <w:rPr>
          <w:rFonts w:ascii="Arial" w:hAnsi="Arial" w:cs="Arial"/>
        </w:rPr>
      </w:pPr>
      <w:r w:rsidRPr="0075686A">
        <w:rPr>
          <w:rFonts w:ascii="Arial" w:hAnsi="Arial" w:cs="Arial"/>
        </w:rPr>
        <w:t>This study evaluated the implementation of the AHD package of care in Ekiti State, as stated in the WHO guidelines and the National HIV guidelines of Nigeria. The implementation has improved the diagnosis of advanced HIV disease among people living with HIV who have AHD. While some aspects of the implementation, such as tuberculosis and cryptococcal meningitis screening, are generally low, sustained efforts can improve the quality of the implementation and services available. A review of the service delivery and workflow across the comprehensive ART sites is necessary for an improved impact. The level of success obtained was aided by the National Clinical Mentorship program, donor partners, and Project implementation partners in the State. There is, however, a need to provide sustainable solutions to the identified limitations to ensure full implementation fidelity and impact. By addressing these challenges collaboratively and systematically, stakeholders can work towards achieving the global goal of ending the HIV/AIDS epidemic by 2030</w:t>
      </w:r>
      <w:r>
        <w:rPr>
          <w:rFonts w:ascii="Arial" w:hAnsi="Arial" w:cs="Arial"/>
        </w:rPr>
        <w:t>.</w:t>
      </w:r>
      <w:r w:rsidR="0068000B">
        <w:rPr>
          <w:rFonts w:ascii="Arial" w:hAnsi="Arial" w:cs="Arial"/>
        </w:rPr>
        <w:t xml:space="preserve"> </w:t>
      </w:r>
    </w:p>
    <w:p w14:paraId="265A8E99" w14:textId="7B1D4F1B" w:rsidR="005E1C8C" w:rsidRDefault="005E1C8C" w:rsidP="0068000B">
      <w:pPr>
        <w:pStyle w:val="Body"/>
        <w:spacing w:after="0"/>
        <w:rPr>
          <w:rFonts w:ascii="Arial" w:hAnsi="Arial" w:cs="Arial"/>
        </w:rPr>
      </w:pPr>
    </w:p>
    <w:p w14:paraId="792C1A77" w14:textId="77777777" w:rsidR="005E1C8C" w:rsidRDefault="005E1C8C" w:rsidP="005E1C8C">
      <w:pPr>
        <w:pStyle w:val="Body"/>
        <w:spacing w:after="0"/>
        <w:rPr>
          <w:rFonts w:ascii="Arial" w:hAnsi="Arial" w:cs="Arial"/>
        </w:rPr>
      </w:pPr>
      <w:r w:rsidRPr="0075686A">
        <w:rPr>
          <w:rFonts w:ascii="Arial" w:hAnsi="Arial" w:cs="Arial"/>
          <w:b/>
          <w:sz w:val="22"/>
        </w:rPr>
        <w:t>Strengths and Limitations of the Study</w:t>
      </w:r>
    </w:p>
    <w:p w14:paraId="2C0044BD" w14:textId="77777777" w:rsidR="005E1C8C" w:rsidRDefault="005E1C8C" w:rsidP="005E1C8C">
      <w:pPr>
        <w:pStyle w:val="Body"/>
        <w:spacing w:after="0"/>
        <w:rPr>
          <w:rFonts w:ascii="Arial" w:hAnsi="Arial" w:cs="Arial"/>
        </w:rPr>
      </w:pPr>
    </w:p>
    <w:p w14:paraId="2159C3BB" w14:textId="77777777" w:rsidR="005E1C8C" w:rsidRPr="0075686A" w:rsidRDefault="005E1C8C" w:rsidP="005E1C8C">
      <w:pPr>
        <w:pStyle w:val="Body"/>
        <w:spacing w:after="0"/>
        <w:rPr>
          <w:rFonts w:ascii="Arial" w:hAnsi="Arial" w:cs="Arial"/>
        </w:rPr>
      </w:pPr>
      <w:r w:rsidRPr="0075686A">
        <w:rPr>
          <w:rFonts w:ascii="Arial" w:hAnsi="Arial" w:cs="Arial"/>
        </w:rPr>
        <w:t>The strength of this study was that it evaluated an implementation whose impact has not been extensively assessed in Nigeria. The use of programmatic data collected during routine patient care ensures that the findings improve the real-world management of HIV.</w:t>
      </w:r>
    </w:p>
    <w:p w14:paraId="0BB691D6" w14:textId="77777777" w:rsidR="005E1C8C" w:rsidRPr="0075686A" w:rsidRDefault="005E1C8C" w:rsidP="005E1C8C">
      <w:pPr>
        <w:pStyle w:val="Body"/>
        <w:spacing w:after="0"/>
        <w:rPr>
          <w:rFonts w:ascii="Arial" w:hAnsi="Arial" w:cs="Arial"/>
        </w:rPr>
      </w:pPr>
    </w:p>
    <w:p w14:paraId="76057B5B" w14:textId="77777777" w:rsidR="005E1C8C" w:rsidRDefault="005E1C8C" w:rsidP="005E1C8C">
      <w:pPr>
        <w:pStyle w:val="Body"/>
        <w:spacing w:after="0"/>
        <w:rPr>
          <w:rFonts w:ascii="Arial" w:hAnsi="Arial" w:cs="Arial"/>
        </w:rPr>
      </w:pPr>
      <w:r w:rsidRPr="0075686A">
        <w:rPr>
          <w:rFonts w:ascii="Arial" w:hAnsi="Arial" w:cs="Arial"/>
        </w:rPr>
        <w:t>The main limitation involves the high level of missing data from source documents and indicators not routinely tracked within the program at the time of data collection, and due to the retrospective design of this study. These missing data would have afforded a more robust evaluation of the implementation</w:t>
      </w:r>
      <w:r>
        <w:rPr>
          <w:rFonts w:ascii="Arial" w:hAnsi="Arial" w:cs="Arial"/>
        </w:rPr>
        <w:t>.</w:t>
      </w:r>
      <w:r w:rsidRPr="001956CC">
        <w:rPr>
          <w:rFonts w:ascii="Arial" w:hAnsi="Arial" w:cs="Arial"/>
        </w:rPr>
        <w:t xml:space="preserve"> </w:t>
      </w:r>
    </w:p>
    <w:p w14:paraId="2E70C29C" w14:textId="77777777" w:rsidR="005E1C8C" w:rsidRDefault="005E1C8C" w:rsidP="0068000B">
      <w:pPr>
        <w:pStyle w:val="Body"/>
        <w:spacing w:after="0"/>
        <w:rPr>
          <w:rFonts w:ascii="Arial" w:hAnsi="Arial" w:cs="Arial"/>
        </w:rPr>
      </w:pPr>
    </w:p>
    <w:p w14:paraId="68301888" w14:textId="77777777" w:rsidR="00315186" w:rsidRPr="00315186" w:rsidRDefault="00315186" w:rsidP="00441B6F"/>
    <w:p w14:paraId="13E984BB" w14:textId="77777777" w:rsidR="005C784C" w:rsidRDefault="005C784C" w:rsidP="00441B6F">
      <w:pPr>
        <w:pStyle w:val="ReferHead"/>
        <w:spacing w:after="0"/>
        <w:jc w:val="both"/>
        <w:rPr>
          <w:rFonts w:ascii="Arial" w:hAnsi="Arial" w:cs="Arial"/>
          <w:b w:val="0"/>
          <w:caps w:val="0"/>
          <w:sz w:val="20"/>
        </w:rPr>
      </w:pPr>
    </w:p>
    <w:p w14:paraId="0095BBCD" w14:textId="7B13B56E" w:rsidR="005C784C" w:rsidRDefault="005C784C" w:rsidP="00441B6F">
      <w:pPr>
        <w:pStyle w:val="ReferHead"/>
        <w:spacing w:after="0"/>
        <w:jc w:val="both"/>
        <w:rPr>
          <w:rFonts w:ascii="Arial" w:hAnsi="Arial" w:cs="Arial"/>
          <w:bCs/>
        </w:rPr>
      </w:pPr>
      <w:r>
        <w:rPr>
          <w:rFonts w:ascii="Arial" w:hAnsi="Arial" w:cs="Arial"/>
          <w:bCs/>
        </w:rPr>
        <w:t>Ethical approval</w:t>
      </w:r>
    </w:p>
    <w:p w14:paraId="0B524DFD" w14:textId="77777777" w:rsidR="005C784C" w:rsidRPr="002B685A" w:rsidRDefault="005C784C" w:rsidP="00441B6F">
      <w:pPr>
        <w:pStyle w:val="ReferHead"/>
        <w:spacing w:after="0"/>
        <w:jc w:val="both"/>
        <w:rPr>
          <w:rFonts w:ascii="Arial" w:hAnsi="Arial" w:cs="Arial"/>
          <w:bCs/>
        </w:rPr>
      </w:pPr>
    </w:p>
    <w:p w14:paraId="6F86A452" w14:textId="4A0D9BBE" w:rsidR="005C784C" w:rsidRDefault="00552FEB" w:rsidP="00441B6F">
      <w:pPr>
        <w:pStyle w:val="ReferHead"/>
        <w:spacing w:after="0"/>
        <w:jc w:val="both"/>
        <w:rPr>
          <w:rFonts w:ascii="Arial" w:hAnsi="Arial" w:cs="Arial"/>
          <w:b w:val="0"/>
          <w:caps w:val="0"/>
          <w:sz w:val="20"/>
        </w:rPr>
      </w:pPr>
      <w:r w:rsidRPr="00552FEB">
        <w:rPr>
          <w:rFonts w:ascii="Arial" w:hAnsi="Arial" w:cs="Arial"/>
          <w:b w:val="0"/>
          <w:caps w:val="0"/>
          <w:sz w:val="20"/>
        </w:rPr>
        <w:t>Ethical approval for this study was obtained from the Ethical Committee of the Ekiti State Ministry of Health, with approval number (MOH/EKHREC/EA/P/111). Patient privacy and confidentiality were maintained by de-identifying the data during analysis</w:t>
      </w:r>
      <w:r>
        <w:rPr>
          <w:rFonts w:ascii="Arial" w:hAnsi="Arial" w:cs="Arial"/>
          <w:b w:val="0"/>
          <w:caps w:val="0"/>
          <w:sz w:val="20"/>
        </w:rPr>
        <w:t xml:space="preserve">. The study was </w:t>
      </w:r>
      <w:r w:rsidRPr="00552FEB">
        <w:rPr>
          <w:rFonts w:ascii="Arial" w:hAnsi="Arial" w:cs="Arial"/>
          <w:b w:val="0"/>
          <w:caps w:val="0"/>
          <w:sz w:val="20"/>
        </w:rPr>
        <w:t>performed in accordance with the ethical standards laid down in the 1964 Declaration of Helsinki</w:t>
      </w:r>
      <w:r w:rsidR="005C784C" w:rsidRPr="005C784C">
        <w:rPr>
          <w:rFonts w:ascii="Arial" w:hAnsi="Arial" w:cs="Arial"/>
          <w:b w:val="0"/>
          <w:caps w:val="0"/>
          <w:sz w:val="20"/>
        </w:rPr>
        <w:t>.</w:t>
      </w:r>
    </w:p>
    <w:p w14:paraId="62C50980" w14:textId="77777777" w:rsidR="005E1C8C" w:rsidRDefault="005E1C8C" w:rsidP="00955C6E">
      <w:pPr>
        <w:pStyle w:val="DefAcrHead"/>
        <w:spacing w:after="0"/>
        <w:jc w:val="both"/>
        <w:rPr>
          <w:rFonts w:ascii="Arial" w:hAnsi="Arial" w:cs="Arial"/>
        </w:rPr>
      </w:pPr>
    </w:p>
    <w:p w14:paraId="512643C3" w14:textId="4B5A503D" w:rsidR="00955C6E" w:rsidRDefault="00955C6E" w:rsidP="00955C6E">
      <w:pPr>
        <w:pStyle w:val="DefAcrHead"/>
        <w:spacing w:after="0"/>
        <w:jc w:val="both"/>
        <w:rPr>
          <w:rFonts w:ascii="Arial" w:hAnsi="Arial" w:cs="Arial"/>
        </w:rPr>
      </w:pPr>
      <w:r w:rsidRPr="00FB3A86">
        <w:rPr>
          <w:rFonts w:ascii="Arial" w:hAnsi="Arial" w:cs="Arial"/>
        </w:rPr>
        <w:t>Definitions, Acronyms, Abbreviations</w:t>
      </w:r>
    </w:p>
    <w:p w14:paraId="44026795" w14:textId="77777777" w:rsidR="00955C6E" w:rsidRDefault="00955C6E" w:rsidP="00955C6E">
      <w:pPr>
        <w:pStyle w:val="Body"/>
        <w:spacing w:after="0"/>
        <w:rPr>
          <w:rFonts w:ascii="Arial" w:hAnsi="Arial" w:cs="Arial"/>
        </w:rPr>
      </w:pPr>
    </w:p>
    <w:p w14:paraId="2B4C8D81" w14:textId="77777777" w:rsidR="00955C6E" w:rsidRDefault="00955C6E" w:rsidP="00955C6E">
      <w:pPr>
        <w:pStyle w:val="Body"/>
        <w:spacing w:after="0"/>
        <w:rPr>
          <w:rFonts w:ascii="Arial" w:hAnsi="Arial" w:cs="Arial"/>
        </w:rPr>
      </w:pPr>
      <w:r>
        <w:rPr>
          <w:rFonts w:ascii="Arial" w:hAnsi="Arial" w:cs="Arial"/>
        </w:rPr>
        <w:t>List of abbreviations</w:t>
      </w:r>
    </w:p>
    <w:p w14:paraId="32DD678E" w14:textId="77777777" w:rsidR="00955C6E" w:rsidRPr="002B5112" w:rsidRDefault="00955C6E" w:rsidP="00955C6E">
      <w:pPr>
        <w:pStyle w:val="Body"/>
        <w:spacing w:after="0"/>
        <w:ind w:firstLine="720"/>
        <w:rPr>
          <w:rFonts w:ascii="Arial" w:hAnsi="Arial" w:cs="Arial"/>
        </w:rPr>
      </w:pPr>
      <w:r w:rsidRPr="002B5112">
        <w:rPr>
          <w:rFonts w:ascii="Arial" w:hAnsi="Arial" w:cs="Arial"/>
        </w:rPr>
        <w:t>AHD – Advanced HIV Disease</w:t>
      </w:r>
    </w:p>
    <w:p w14:paraId="72DA7651" w14:textId="77777777" w:rsidR="00955C6E" w:rsidRDefault="00955C6E" w:rsidP="00955C6E">
      <w:pPr>
        <w:pStyle w:val="Body"/>
        <w:spacing w:after="0"/>
        <w:ind w:firstLine="720"/>
        <w:rPr>
          <w:rFonts w:ascii="Arial" w:hAnsi="Arial" w:cs="Arial"/>
        </w:rPr>
      </w:pPr>
      <w:r w:rsidRPr="002B5112">
        <w:rPr>
          <w:rFonts w:ascii="Arial" w:hAnsi="Arial" w:cs="Arial"/>
        </w:rPr>
        <w:t>ART – Antiretroviral therapy</w:t>
      </w:r>
      <w:r w:rsidRPr="00FB3A86">
        <w:rPr>
          <w:rFonts w:ascii="Arial" w:hAnsi="Arial" w:cs="Arial"/>
        </w:rPr>
        <w:t>.</w:t>
      </w:r>
    </w:p>
    <w:p w14:paraId="41FA096C" w14:textId="77777777" w:rsidR="00955C6E" w:rsidRDefault="00955C6E" w:rsidP="00955C6E">
      <w:pPr>
        <w:pStyle w:val="Body"/>
        <w:spacing w:after="0"/>
        <w:ind w:firstLine="720"/>
        <w:rPr>
          <w:rFonts w:ascii="Arial" w:hAnsi="Arial" w:cs="Arial"/>
        </w:rPr>
      </w:pPr>
      <w:proofErr w:type="spellStart"/>
      <w:r w:rsidRPr="00A06F9B">
        <w:rPr>
          <w:rFonts w:ascii="Arial" w:hAnsi="Arial" w:cs="Arial"/>
        </w:rPr>
        <w:t>CrAg</w:t>
      </w:r>
      <w:proofErr w:type="spellEnd"/>
      <w:r w:rsidRPr="00A06F9B">
        <w:rPr>
          <w:rFonts w:ascii="Arial" w:hAnsi="Arial" w:cs="Arial"/>
        </w:rPr>
        <w:t xml:space="preserve"> – Cryptococcal Antigen</w:t>
      </w:r>
    </w:p>
    <w:p w14:paraId="304841C9" w14:textId="77777777" w:rsidR="00955C6E" w:rsidRPr="0090437C" w:rsidRDefault="00955C6E" w:rsidP="00955C6E">
      <w:pPr>
        <w:pStyle w:val="Body"/>
        <w:spacing w:after="0"/>
        <w:ind w:firstLine="720"/>
        <w:rPr>
          <w:rFonts w:ascii="Arial" w:hAnsi="Arial" w:cs="Arial"/>
        </w:rPr>
      </w:pPr>
      <w:r w:rsidRPr="0090437C">
        <w:rPr>
          <w:rFonts w:ascii="Arial" w:hAnsi="Arial" w:cs="Arial"/>
        </w:rPr>
        <w:t>OIs – Opportunistic Infections</w:t>
      </w:r>
    </w:p>
    <w:p w14:paraId="5F1095C8" w14:textId="77777777" w:rsidR="00955C6E" w:rsidRDefault="00955C6E" w:rsidP="00955C6E">
      <w:pPr>
        <w:pStyle w:val="Body"/>
        <w:spacing w:after="0"/>
        <w:ind w:firstLine="720"/>
        <w:rPr>
          <w:rFonts w:ascii="Arial" w:hAnsi="Arial" w:cs="Arial"/>
        </w:rPr>
      </w:pPr>
      <w:r w:rsidRPr="0090437C">
        <w:rPr>
          <w:rFonts w:ascii="Arial" w:hAnsi="Arial" w:cs="Arial"/>
        </w:rPr>
        <w:t>PLHIV – People living with HIV</w:t>
      </w:r>
    </w:p>
    <w:p w14:paraId="1A4F0ABA" w14:textId="77777777" w:rsidR="00955C6E" w:rsidRPr="002B5112" w:rsidRDefault="00955C6E" w:rsidP="00955C6E">
      <w:pPr>
        <w:pStyle w:val="Body"/>
        <w:spacing w:after="0"/>
        <w:ind w:firstLine="720"/>
        <w:rPr>
          <w:rFonts w:ascii="Arial" w:hAnsi="Arial" w:cs="Arial"/>
        </w:rPr>
        <w:sectPr w:rsidR="00955C6E" w:rsidRPr="002B5112" w:rsidSect="00955C6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85A42">
        <w:rPr>
          <w:rFonts w:ascii="Arial" w:hAnsi="Arial" w:cs="Arial"/>
        </w:rPr>
        <w:t>TB-LAM – Tuberculosis Lipoarabinomannan Assay</w:t>
      </w:r>
    </w:p>
    <w:p w14:paraId="3404C0A6" w14:textId="77777777" w:rsidR="00955C6E" w:rsidRDefault="00955C6E" w:rsidP="00441B6F">
      <w:pPr>
        <w:pStyle w:val="ReferHead"/>
        <w:spacing w:after="0"/>
        <w:jc w:val="both"/>
        <w:rPr>
          <w:rFonts w:ascii="Arial" w:hAnsi="Arial" w:cs="Arial"/>
          <w:b w:val="0"/>
          <w:caps w:val="0"/>
          <w:sz w:val="20"/>
        </w:rPr>
      </w:pPr>
    </w:p>
    <w:p w14:paraId="34632B56" w14:textId="77777777" w:rsidR="00583A50" w:rsidRDefault="00583A50" w:rsidP="008348EF"/>
    <w:p w14:paraId="2DE4181E" w14:textId="044FD951" w:rsidR="00583A50" w:rsidRPr="003A29C6" w:rsidRDefault="00583A50" w:rsidP="00583A50">
      <w:pPr>
        <w:jc w:val="both"/>
        <w:outlineLvl w:val="0"/>
        <w:rPr>
          <w:rFonts w:ascii="Arial" w:hAnsi="Arial" w:cs="Arial"/>
        </w:rPr>
      </w:pPr>
      <w:r>
        <w:rPr>
          <w:rFonts w:ascii="Arial" w:hAnsi="Arial" w:cs="Arial"/>
          <w:b/>
          <w:bCs/>
        </w:rPr>
        <w:t>DISCLAIMER (ARTIFICIAL INTELLIGENCE)</w:t>
      </w:r>
      <w:r w:rsidRPr="003A29C6">
        <w:rPr>
          <w:rFonts w:ascii="Arial" w:hAnsi="Arial" w:cs="Arial"/>
          <w:b/>
          <w:bCs/>
        </w:rPr>
        <w:t>:</w:t>
      </w:r>
    </w:p>
    <w:p w14:paraId="53819A74" w14:textId="2CCF1D88" w:rsidR="008348EF" w:rsidRPr="00583A50" w:rsidRDefault="00583A50" w:rsidP="00583A50">
      <w:r w:rsidRPr="00A10EDE">
        <w:t xml:space="preserve">Authors </w:t>
      </w:r>
      <w:r>
        <w:t>hereby</w:t>
      </w:r>
      <w:r w:rsidRPr="00A10EDE">
        <w:t xml:space="preserve"> declare</w:t>
      </w:r>
      <w:r w:rsidRPr="00583A50">
        <w:t xml:space="preserve"> that NO generative AI technologies</w:t>
      </w:r>
      <w:r>
        <w:t>,</w:t>
      </w:r>
      <w:r w:rsidRPr="00583A50">
        <w:t xml:space="preserve"> such as Large Language Models (ChatGPT, COPILOT, etc.) and text-to-image generators</w:t>
      </w:r>
      <w:r>
        <w:t>,</w:t>
      </w:r>
      <w:r w:rsidRPr="00583A50">
        <w:t xml:space="preserve"> have been used during the writing or editing of this manuscript</w:t>
      </w:r>
      <w:r>
        <w:t>.</w:t>
      </w:r>
    </w:p>
    <w:p w14:paraId="668FBBDE" w14:textId="77777777" w:rsidR="00860000" w:rsidRDefault="00860000" w:rsidP="00441B6F">
      <w:pPr>
        <w:pStyle w:val="ReferHead"/>
        <w:spacing w:after="0"/>
        <w:jc w:val="both"/>
        <w:rPr>
          <w:rFonts w:ascii="Arial" w:hAnsi="Arial" w:cs="Arial"/>
        </w:rPr>
      </w:pPr>
    </w:p>
    <w:p w14:paraId="33272B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BB125B" w14:textId="77777777" w:rsidR="00790ADA" w:rsidRPr="00FB3A86" w:rsidRDefault="00790ADA" w:rsidP="00441B6F">
      <w:pPr>
        <w:pStyle w:val="ReferHead"/>
        <w:spacing w:after="0"/>
        <w:jc w:val="both"/>
        <w:rPr>
          <w:rFonts w:ascii="Arial" w:hAnsi="Arial" w:cs="Arial"/>
        </w:rPr>
      </w:pPr>
    </w:p>
    <w:p w14:paraId="3FF3FBFC" w14:textId="79BBEA3A" w:rsidR="00A8116A" w:rsidRDefault="00A8116A" w:rsidP="00A8116A">
      <w:pPr>
        <w:pStyle w:val="Body"/>
        <w:numPr>
          <w:ilvl w:val="0"/>
          <w:numId w:val="31"/>
        </w:numPr>
        <w:spacing w:after="0"/>
      </w:pPr>
      <w:r w:rsidRPr="00A8116A">
        <w:t xml:space="preserve">UNAIDS. </w:t>
      </w:r>
      <w:r>
        <w:t>(</w:t>
      </w:r>
      <w:r w:rsidRPr="00A8116A">
        <w:t>2016</w:t>
      </w:r>
      <w:r>
        <w:t>)</w:t>
      </w:r>
      <w:r w:rsidRPr="00A8116A">
        <w:t>. Global AIDS update. https://www.unaids.org/en/resources/documents/2016/Global-AIDS-update-2016</w:t>
      </w:r>
    </w:p>
    <w:p w14:paraId="76DB1269" w14:textId="43B618E6" w:rsidR="00A8116A" w:rsidRDefault="00A8116A" w:rsidP="00A8116A">
      <w:pPr>
        <w:pStyle w:val="Body"/>
        <w:numPr>
          <w:ilvl w:val="0"/>
          <w:numId w:val="31"/>
        </w:numPr>
        <w:spacing w:after="0"/>
      </w:pPr>
      <w:r w:rsidRPr="00A8116A">
        <w:t xml:space="preserve">World Health Organization. </w:t>
      </w:r>
      <w:r>
        <w:t>(</w:t>
      </w:r>
      <w:r w:rsidRPr="00A8116A">
        <w:t>2023</w:t>
      </w:r>
      <w:r>
        <w:t>)</w:t>
      </w:r>
      <w:r w:rsidRPr="00A8116A">
        <w:t>. HIV and AIDS. https://www.who.int/news-room/fact-sheets/detail/hiv-aids</w:t>
      </w:r>
    </w:p>
    <w:p w14:paraId="17BF1256" w14:textId="0D85E708" w:rsidR="00A8116A" w:rsidRDefault="00A8116A" w:rsidP="00A8116A">
      <w:pPr>
        <w:pStyle w:val="Body"/>
        <w:numPr>
          <w:ilvl w:val="0"/>
          <w:numId w:val="31"/>
        </w:numPr>
        <w:spacing w:after="0"/>
      </w:pPr>
      <w:r w:rsidRPr="00A8116A">
        <w:t xml:space="preserve">Elizabeth Glaser </w:t>
      </w:r>
      <w:proofErr w:type="spellStart"/>
      <w:r w:rsidRPr="00A8116A">
        <w:t>Paediatric</w:t>
      </w:r>
      <w:proofErr w:type="spellEnd"/>
      <w:r w:rsidRPr="00A8116A">
        <w:t xml:space="preserve"> AIDS Foundation [EGPAF]. (n.d.). Advanced HIV Disease. https://pedaids.org/our-expertise/advanced-hiv-disease-and-opportunistic-infection</w:t>
      </w:r>
    </w:p>
    <w:p w14:paraId="71EB1ADD" w14:textId="51DF16F4" w:rsidR="006F4D11" w:rsidRDefault="00A8116A" w:rsidP="006F4D11">
      <w:pPr>
        <w:pStyle w:val="Body"/>
        <w:numPr>
          <w:ilvl w:val="0"/>
          <w:numId w:val="31"/>
        </w:numPr>
        <w:spacing w:after="0"/>
      </w:pPr>
      <w:r w:rsidRPr="00A8116A">
        <w:t>Ford N</w:t>
      </w:r>
      <w:r>
        <w:t>.</w:t>
      </w:r>
      <w:r w:rsidRPr="00A8116A">
        <w:t xml:space="preserve">, </w:t>
      </w:r>
      <w:proofErr w:type="spellStart"/>
      <w:r w:rsidRPr="00A8116A">
        <w:t>Meintjes</w:t>
      </w:r>
      <w:proofErr w:type="spellEnd"/>
      <w:r w:rsidRPr="00A8116A">
        <w:t xml:space="preserve"> G</w:t>
      </w:r>
      <w:r>
        <w:t>.</w:t>
      </w:r>
      <w:r w:rsidRPr="00A8116A">
        <w:t>, Calmy A</w:t>
      </w:r>
      <w:r>
        <w:t>.</w:t>
      </w:r>
      <w:r w:rsidRPr="00A8116A">
        <w:t>, Bygrave H</w:t>
      </w:r>
      <w:r>
        <w:t>.</w:t>
      </w:r>
      <w:r w:rsidRPr="00A8116A">
        <w:t xml:space="preserve">, </w:t>
      </w:r>
      <w:proofErr w:type="spellStart"/>
      <w:r w:rsidRPr="00A8116A">
        <w:t>Migone</w:t>
      </w:r>
      <w:proofErr w:type="spellEnd"/>
      <w:r w:rsidRPr="00A8116A">
        <w:t xml:space="preserve"> C</w:t>
      </w:r>
      <w:r>
        <w:t>.</w:t>
      </w:r>
      <w:r w:rsidRPr="00A8116A">
        <w:t>, Vitoria M</w:t>
      </w:r>
      <w:r w:rsidR="006F4D11">
        <w:t>.</w:t>
      </w:r>
      <w:r w:rsidRPr="00A8116A">
        <w:t>, et al.</w:t>
      </w:r>
      <w:r w:rsidR="006F4D11">
        <w:t xml:space="preserve"> (2018). </w:t>
      </w:r>
      <w:r w:rsidRPr="00A8116A">
        <w:t>Managing advanced HIV disease in a public health approach. Clinical Infectious Diseases</w:t>
      </w:r>
      <w:r w:rsidR="006F4D11">
        <w:t>,</w:t>
      </w:r>
      <w:r w:rsidRPr="00A8116A">
        <w:t xml:space="preserve"> 66(suppl_2):</w:t>
      </w:r>
      <w:r w:rsidR="006F4D11">
        <w:t xml:space="preserve"> </w:t>
      </w:r>
      <w:r w:rsidRPr="00A8116A">
        <w:t xml:space="preserve">S106-SS110. </w:t>
      </w:r>
      <w:r w:rsidR="00F00740" w:rsidRPr="00F00740">
        <w:t>https://doi.org/</w:t>
      </w:r>
      <w:r w:rsidRPr="00A8116A">
        <w:t>10.1093/cid/cix1139</w:t>
      </w:r>
    </w:p>
    <w:p w14:paraId="23243436" w14:textId="77777777" w:rsidR="006F4D11" w:rsidRDefault="0027244E" w:rsidP="00A8116A">
      <w:pPr>
        <w:pStyle w:val="Body"/>
        <w:numPr>
          <w:ilvl w:val="0"/>
          <w:numId w:val="31"/>
        </w:numPr>
        <w:spacing w:after="0"/>
      </w:pPr>
      <w:r>
        <w:t xml:space="preserve">Elizabeth Glaser </w:t>
      </w:r>
      <w:proofErr w:type="spellStart"/>
      <w:r>
        <w:t>Paediatric</w:t>
      </w:r>
      <w:proofErr w:type="spellEnd"/>
      <w:r>
        <w:t xml:space="preserve"> AIDS Foundation [EGPAF]. 2022. EGPAF Pediatric Strategy 2022-2024. https://www.pedaids.org/resource/egpaf-pediatric-strategy-2022-2024.</w:t>
      </w:r>
    </w:p>
    <w:p w14:paraId="56FCCCAD" w14:textId="77777777" w:rsidR="00F00740" w:rsidRDefault="00A8116A" w:rsidP="0027244E">
      <w:pPr>
        <w:pStyle w:val="Body"/>
        <w:numPr>
          <w:ilvl w:val="0"/>
          <w:numId w:val="31"/>
        </w:numPr>
        <w:spacing w:after="0"/>
      </w:pPr>
      <w:proofErr w:type="spellStart"/>
      <w:r>
        <w:t>Rajasingham</w:t>
      </w:r>
      <w:proofErr w:type="spellEnd"/>
      <w:r>
        <w:t xml:space="preserve"> R</w:t>
      </w:r>
      <w:r w:rsidR="006F4D11">
        <w:t xml:space="preserve">., </w:t>
      </w:r>
      <w:r>
        <w:t>Smith R</w:t>
      </w:r>
      <w:r w:rsidR="006F4D11">
        <w:t xml:space="preserve">. M., </w:t>
      </w:r>
      <w:r>
        <w:t>Park B</w:t>
      </w:r>
      <w:r w:rsidR="006F4D11">
        <w:t xml:space="preserve">. N., </w:t>
      </w:r>
      <w:r>
        <w:t>Jarvis J</w:t>
      </w:r>
      <w:r w:rsidR="006F4D11">
        <w:t xml:space="preserve">. N., </w:t>
      </w:r>
      <w:r>
        <w:t>Govender N</w:t>
      </w:r>
      <w:r w:rsidR="006F4D11">
        <w:t xml:space="preserve">. P., </w:t>
      </w:r>
      <w:r>
        <w:t>Chiller T</w:t>
      </w:r>
      <w:r w:rsidR="006F4D11">
        <w:t xml:space="preserve">. M., et al. (2017). </w:t>
      </w:r>
      <w:r w:rsidR="006F4D11" w:rsidRPr="006F4D11">
        <w:t xml:space="preserve">Global burden of disease of HIV-associated cryptococcal meningitis: an updated analysis. Lancet Infect Dis., 17(8):873-881. </w:t>
      </w:r>
      <w:r w:rsidR="00F00740" w:rsidRPr="00F00740">
        <w:t>https://doi.org/</w:t>
      </w:r>
      <w:r w:rsidR="006F4D11" w:rsidRPr="006F4D11">
        <w:t>10.1016/S1473-3099(17)30243-8</w:t>
      </w:r>
    </w:p>
    <w:p w14:paraId="415EBF79" w14:textId="77777777" w:rsidR="00F00740" w:rsidRDefault="0027244E" w:rsidP="0027244E">
      <w:pPr>
        <w:pStyle w:val="Body"/>
        <w:numPr>
          <w:ilvl w:val="0"/>
          <w:numId w:val="31"/>
        </w:numPr>
        <w:spacing w:after="0"/>
      </w:pPr>
      <w:r>
        <w:t>Gils T</w:t>
      </w:r>
      <w:r w:rsidR="00F00740">
        <w:t>.</w:t>
      </w:r>
      <w:r>
        <w:t>, Lynen L</w:t>
      </w:r>
      <w:r w:rsidR="00F00740">
        <w:t>.</w:t>
      </w:r>
      <w:r>
        <w:t>, Muhairwe J</w:t>
      </w:r>
      <w:r w:rsidR="00F00740">
        <w:t>.</w:t>
      </w:r>
      <w:r>
        <w:t xml:space="preserve">, </w:t>
      </w:r>
      <w:proofErr w:type="spellStart"/>
      <w:r>
        <w:t>Mashaete</w:t>
      </w:r>
      <w:proofErr w:type="spellEnd"/>
      <w:r>
        <w:t xml:space="preserve"> K</w:t>
      </w:r>
      <w:r w:rsidR="00F00740">
        <w:t>.</w:t>
      </w:r>
      <w:r>
        <w:t xml:space="preserve">, </w:t>
      </w:r>
      <w:proofErr w:type="spellStart"/>
      <w:r>
        <w:t>Lejone</w:t>
      </w:r>
      <w:proofErr w:type="spellEnd"/>
      <w:r>
        <w:t xml:space="preserve"> T</w:t>
      </w:r>
      <w:r w:rsidR="00F00740">
        <w:t xml:space="preserve">. </w:t>
      </w:r>
      <w:r>
        <w:t>I</w:t>
      </w:r>
      <w:r w:rsidR="00F00740">
        <w:t>.</w:t>
      </w:r>
      <w:r>
        <w:t>, Joseph P</w:t>
      </w:r>
      <w:r w:rsidR="00F00740">
        <w:t>.</w:t>
      </w:r>
      <w:r>
        <w:t xml:space="preserve">, et al. </w:t>
      </w:r>
      <w:r w:rsidR="00F00740">
        <w:t xml:space="preserve">(2022). </w:t>
      </w:r>
      <w:r>
        <w:t>Feasibility of implementing the advanced HIV disease care package as part of community-based HIV/TB activities: a mixed-methods study protocol. BMJ Open</w:t>
      </w:r>
      <w:r w:rsidR="00F00740">
        <w:t xml:space="preserve">, </w:t>
      </w:r>
      <w:r>
        <w:t>12(2):e057291. https://doi.org/10.1136/bmjopen-2021-057291</w:t>
      </w:r>
    </w:p>
    <w:p w14:paraId="60F2EDF7" w14:textId="0E20614B" w:rsidR="00F00740" w:rsidRDefault="00F00740" w:rsidP="00F00740">
      <w:pPr>
        <w:pStyle w:val="Body"/>
        <w:numPr>
          <w:ilvl w:val="0"/>
          <w:numId w:val="31"/>
        </w:numPr>
        <w:spacing w:after="0"/>
      </w:pPr>
      <w:r>
        <w:t>Federal Ministry of Health, Nigeria. (2020). National Guidelines for HIV Prevention, Treatment and Care. ISBN: 978-978-980-273-9</w:t>
      </w:r>
    </w:p>
    <w:p w14:paraId="13E01CE1" w14:textId="77777777" w:rsidR="00F00740" w:rsidRDefault="0027244E" w:rsidP="0027244E">
      <w:pPr>
        <w:pStyle w:val="Body"/>
        <w:numPr>
          <w:ilvl w:val="0"/>
          <w:numId w:val="31"/>
        </w:numPr>
        <w:spacing w:after="0"/>
      </w:pPr>
      <w:r>
        <w:t xml:space="preserve">World Health Organization. </w:t>
      </w:r>
      <w:r w:rsidR="00F00740">
        <w:t>(</w:t>
      </w:r>
      <w:r>
        <w:t>2017</w:t>
      </w:r>
      <w:r w:rsidR="00F00740">
        <w:t>)</w:t>
      </w:r>
      <w:r>
        <w:t>. Recommendations to reduce mortality and morbidity among people presenting with advanced HIV disease. Guidelines for managing advanced HIV disease and rapid initiation of antiretroviral therapy. Geneva. https://www.ncbi.nlm.nih.gov/books/NBK475970/</w:t>
      </w:r>
    </w:p>
    <w:p w14:paraId="02D421D3" w14:textId="77777777" w:rsidR="00F00740" w:rsidRDefault="00F00740" w:rsidP="0027244E">
      <w:pPr>
        <w:pStyle w:val="Body"/>
        <w:numPr>
          <w:ilvl w:val="0"/>
          <w:numId w:val="31"/>
        </w:numPr>
        <w:spacing w:after="0"/>
      </w:pPr>
      <w:r w:rsidRPr="00F00740">
        <w:t xml:space="preserve">Federal Ministry of Health, Nigeria. </w:t>
      </w:r>
      <w:r>
        <w:t xml:space="preserve">(2019). </w:t>
      </w:r>
      <w:r w:rsidRPr="00F00740">
        <w:t>Nigeria HIV/AIDS Indicator and Impact Survey (NAIIS) 2018: Technical Report. Abuja. Nigeria</w:t>
      </w:r>
    </w:p>
    <w:p w14:paraId="3EAA286F" w14:textId="77777777" w:rsidR="005C4E46" w:rsidRDefault="0027244E" w:rsidP="0027244E">
      <w:pPr>
        <w:pStyle w:val="Body"/>
        <w:numPr>
          <w:ilvl w:val="0"/>
          <w:numId w:val="31"/>
        </w:numPr>
        <w:spacing w:after="0"/>
      </w:pPr>
      <w:r>
        <w:t xml:space="preserve">Cuschieri S. </w:t>
      </w:r>
      <w:r w:rsidR="00F00740">
        <w:t xml:space="preserve">(2019). </w:t>
      </w:r>
      <w:r>
        <w:t>The STROBE guidelines. Saudi J Anaesth</w:t>
      </w:r>
      <w:r w:rsidR="00F00740">
        <w:t xml:space="preserve">, </w:t>
      </w:r>
      <w:r>
        <w:t>13(Suppl 1):</w:t>
      </w:r>
      <w:r w:rsidR="005C4E46">
        <w:t xml:space="preserve"> </w:t>
      </w:r>
      <w:r>
        <w:t xml:space="preserve">S31-S34. </w:t>
      </w:r>
      <w:r w:rsidR="005C4E46">
        <w:t>https://doi.org/</w:t>
      </w:r>
      <w:r>
        <w:t>10.4103/sja.SJA_543_18.</w:t>
      </w:r>
    </w:p>
    <w:p w14:paraId="6AE11BAA" w14:textId="1BD54988" w:rsidR="005C4E46" w:rsidRDefault="0027244E" w:rsidP="0027244E">
      <w:pPr>
        <w:pStyle w:val="Body"/>
        <w:numPr>
          <w:ilvl w:val="0"/>
          <w:numId w:val="31"/>
        </w:numPr>
        <w:spacing w:after="0"/>
      </w:pPr>
      <w:proofErr w:type="spellStart"/>
      <w:r>
        <w:t>Eigege</w:t>
      </w:r>
      <w:proofErr w:type="spellEnd"/>
      <w:r>
        <w:t xml:space="preserve"> W</w:t>
      </w:r>
      <w:r w:rsidR="005C4E46">
        <w:t>.</w:t>
      </w:r>
      <w:r>
        <w:t xml:space="preserve">, </w:t>
      </w:r>
      <w:proofErr w:type="spellStart"/>
      <w:r>
        <w:t>Agbaji</w:t>
      </w:r>
      <w:proofErr w:type="spellEnd"/>
      <w:r>
        <w:t xml:space="preserve"> O</w:t>
      </w:r>
      <w:r w:rsidR="005C4E46">
        <w:t>.</w:t>
      </w:r>
      <w:r>
        <w:t xml:space="preserve">, </w:t>
      </w:r>
      <w:proofErr w:type="spellStart"/>
      <w:r>
        <w:t>Otubu</w:t>
      </w:r>
      <w:proofErr w:type="spellEnd"/>
      <w:r>
        <w:t xml:space="preserve"> N</w:t>
      </w:r>
      <w:r w:rsidR="005C4E46">
        <w:t>.</w:t>
      </w:r>
      <w:r>
        <w:t xml:space="preserve">, </w:t>
      </w:r>
      <w:proofErr w:type="spellStart"/>
      <w:r>
        <w:t>Abudiore</w:t>
      </w:r>
      <w:proofErr w:type="spellEnd"/>
      <w:r>
        <w:t xml:space="preserve"> O</w:t>
      </w:r>
      <w:r w:rsidR="005C4E46">
        <w:t>.</w:t>
      </w:r>
      <w:r>
        <w:t xml:space="preserve">, </w:t>
      </w:r>
      <w:proofErr w:type="spellStart"/>
      <w:r>
        <w:t>Sowale</w:t>
      </w:r>
      <w:proofErr w:type="spellEnd"/>
      <w:r>
        <w:t xml:space="preserve"> O</w:t>
      </w:r>
      <w:r w:rsidR="005C4E46">
        <w:t>.</w:t>
      </w:r>
      <w:r>
        <w:t>, Levy-Braide B</w:t>
      </w:r>
      <w:r w:rsidR="005C4E46">
        <w:t>.</w:t>
      </w:r>
      <w:r>
        <w:t>, et al.</w:t>
      </w:r>
      <w:r w:rsidR="005C4E46">
        <w:t xml:space="preserve"> (2024).</w:t>
      </w:r>
      <w:r>
        <w:t xml:space="preserve"> Implementation of the advanced HIV disease package of care using a public health approach: lessons from Nigeria. BMC Public Health</w:t>
      </w:r>
      <w:r w:rsidR="005C4E46">
        <w:t xml:space="preserve">, </w:t>
      </w:r>
      <w:r>
        <w:t>24(1)</w:t>
      </w:r>
      <w:r w:rsidR="00274D56">
        <w:t>, 3366</w:t>
      </w:r>
      <w:r>
        <w:t xml:space="preserve">. </w:t>
      </w:r>
      <w:r w:rsidR="005C4E46">
        <w:t>https://doi.org/</w:t>
      </w:r>
      <w:r w:rsidR="005C4E46" w:rsidRPr="005C4E46">
        <w:t>10.1186/s12889-024-20841-x</w:t>
      </w:r>
    </w:p>
    <w:p w14:paraId="74EF3FE1" w14:textId="63AEDECB" w:rsidR="005C4E46" w:rsidRDefault="0027244E" w:rsidP="0027244E">
      <w:pPr>
        <w:pStyle w:val="Body"/>
        <w:numPr>
          <w:ilvl w:val="0"/>
          <w:numId w:val="31"/>
        </w:numPr>
        <w:spacing w:after="0"/>
      </w:pPr>
      <w:r>
        <w:t>Mithi B</w:t>
      </w:r>
      <w:r w:rsidR="005C4E46">
        <w:t>.</w:t>
      </w:r>
      <w:r>
        <w:t>, Bula A</w:t>
      </w:r>
      <w:r w:rsidR="005C4E46">
        <w:t>.</w:t>
      </w:r>
      <w:r>
        <w:t>, Kapanda L</w:t>
      </w:r>
      <w:r w:rsidR="005C4E46">
        <w:t>.</w:t>
      </w:r>
      <w:r>
        <w:t xml:space="preserve">, </w:t>
      </w:r>
      <w:proofErr w:type="spellStart"/>
      <w:r>
        <w:t>Ngwalangwa</w:t>
      </w:r>
      <w:proofErr w:type="spellEnd"/>
      <w:r>
        <w:t xml:space="preserve"> F</w:t>
      </w:r>
      <w:r w:rsidR="005C4E46">
        <w:t>. &amp;</w:t>
      </w:r>
      <w:r>
        <w:t xml:space="preserve"> </w:t>
      </w:r>
      <w:proofErr w:type="spellStart"/>
      <w:r>
        <w:t>Sambala</w:t>
      </w:r>
      <w:proofErr w:type="spellEnd"/>
      <w:r>
        <w:t xml:space="preserve"> E</w:t>
      </w:r>
      <w:r w:rsidR="005C4E46">
        <w:t xml:space="preserve">. </w:t>
      </w:r>
      <w:r>
        <w:t xml:space="preserve">Z. </w:t>
      </w:r>
      <w:r w:rsidR="005C4E46">
        <w:t xml:space="preserve">(2023). </w:t>
      </w:r>
      <w:r>
        <w:t>Barriers and facilitators to implementing advanced HIV disease screening at a secondary referral hospital -Malawi: a convergent parallel study. BMC Health Serv Res</w:t>
      </w:r>
      <w:r w:rsidR="005C4E46">
        <w:t xml:space="preserve">, </w:t>
      </w:r>
      <w:r>
        <w:t>23(1).</w:t>
      </w:r>
      <w:r w:rsidR="005C4E46">
        <w:t xml:space="preserve"> https://doi.org/</w:t>
      </w:r>
      <w:r w:rsidR="005C4E46" w:rsidRPr="005C4E46">
        <w:t>10.1186/s12913-023-10009-5</w:t>
      </w:r>
    </w:p>
    <w:p w14:paraId="3170323B" w14:textId="77777777" w:rsidR="005C4E46" w:rsidRDefault="0027244E" w:rsidP="0027244E">
      <w:pPr>
        <w:pStyle w:val="Body"/>
        <w:numPr>
          <w:ilvl w:val="0"/>
          <w:numId w:val="31"/>
        </w:numPr>
        <w:spacing w:after="0"/>
      </w:pPr>
      <w:proofErr w:type="spellStart"/>
      <w:r>
        <w:t>Benzekri</w:t>
      </w:r>
      <w:proofErr w:type="spellEnd"/>
      <w:r>
        <w:t xml:space="preserve"> N</w:t>
      </w:r>
      <w:r w:rsidR="005C4E46">
        <w:t xml:space="preserve">. </w:t>
      </w:r>
      <w:r>
        <w:t>A</w:t>
      </w:r>
      <w:r w:rsidR="005C4E46">
        <w:t>.</w:t>
      </w:r>
      <w:r>
        <w:t>, Sambou J</w:t>
      </w:r>
      <w:r w:rsidR="005C4E46">
        <w:t xml:space="preserve">. </w:t>
      </w:r>
      <w:r>
        <w:t>F</w:t>
      </w:r>
      <w:r w:rsidR="005C4E46">
        <w:t>.</w:t>
      </w:r>
      <w:r>
        <w:t>, Ndong S</w:t>
      </w:r>
      <w:r w:rsidR="005C4E46">
        <w:t>.</w:t>
      </w:r>
      <w:r>
        <w:t>, Tamba I</w:t>
      </w:r>
      <w:r w:rsidR="005C4E46">
        <w:t xml:space="preserve">. </w:t>
      </w:r>
      <w:r>
        <w:t>T</w:t>
      </w:r>
      <w:r w:rsidR="005C4E46">
        <w:t>.</w:t>
      </w:r>
      <w:r>
        <w:t>, Faye D</w:t>
      </w:r>
      <w:r w:rsidR="005C4E46">
        <w:t>.</w:t>
      </w:r>
      <w:r>
        <w:t>, Diallo M</w:t>
      </w:r>
      <w:r w:rsidR="005C4E46">
        <w:t xml:space="preserve">. </w:t>
      </w:r>
      <w:r>
        <w:t>B</w:t>
      </w:r>
      <w:r w:rsidR="005C4E46">
        <w:t>.</w:t>
      </w:r>
      <w:r>
        <w:t>, et al.</w:t>
      </w:r>
      <w:r w:rsidR="005C4E46">
        <w:t xml:space="preserve"> (2019).</w:t>
      </w:r>
      <w:r>
        <w:t xml:space="preserve"> Prevalence, predictors, and management of advanced HIV disease among individuals initiating ART in Senegal, West Africa. BMC Infectious Diseases</w:t>
      </w:r>
      <w:r w:rsidR="005C4E46">
        <w:t xml:space="preserve">, </w:t>
      </w:r>
      <w:r>
        <w:t>19(1).</w:t>
      </w:r>
      <w:r w:rsidR="005C4E46">
        <w:t xml:space="preserve"> </w:t>
      </w:r>
      <w:r>
        <w:t>https://doi.org/10.1186/s12879-019-3826-5</w:t>
      </w:r>
    </w:p>
    <w:p w14:paraId="21284054" w14:textId="21D1EA80" w:rsidR="005C4E46" w:rsidRDefault="0027244E" w:rsidP="0027244E">
      <w:pPr>
        <w:pStyle w:val="Body"/>
        <w:numPr>
          <w:ilvl w:val="0"/>
          <w:numId w:val="31"/>
        </w:numPr>
        <w:spacing w:after="0"/>
      </w:pPr>
      <w:r>
        <w:t>Hassan F</w:t>
      </w:r>
      <w:r w:rsidR="005C4E46">
        <w:t xml:space="preserve">. </w:t>
      </w:r>
      <w:r>
        <w:t>E</w:t>
      </w:r>
      <w:r w:rsidR="005C4E46">
        <w:t>.</w:t>
      </w:r>
      <w:r>
        <w:t xml:space="preserve">, </w:t>
      </w:r>
      <w:proofErr w:type="spellStart"/>
      <w:r>
        <w:t>Senkoro</w:t>
      </w:r>
      <w:proofErr w:type="spellEnd"/>
      <w:r>
        <w:t xml:space="preserve"> M</w:t>
      </w:r>
      <w:r w:rsidR="005C4E46">
        <w:t>.</w:t>
      </w:r>
      <w:r>
        <w:t xml:space="preserve">, </w:t>
      </w:r>
      <w:proofErr w:type="spellStart"/>
      <w:r>
        <w:t>Mnyambwa</w:t>
      </w:r>
      <w:proofErr w:type="spellEnd"/>
      <w:r>
        <w:t xml:space="preserve"> N</w:t>
      </w:r>
      <w:r w:rsidR="005C4E46">
        <w:t xml:space="preserve">. </w:t>
      </w:r>
      <w:r>
        <w:t>P</w:t>
      </w:r>
      <w:r w:rsidR="005C4E46">
        <w:t>.</w:t>
      </w:r>
      <w:r>
        <w:t>, Wilfred A</w:t>
      </w:r>
      <w:r w:rsidR="005C4E46">
        <w:t>.</w:t>
      </w:r>
      <w:r>
        <w:t>, Molloy S</w:t>
      </w:r>
      <w:r w:rsidR="005C4E46">
        <w:t xml:space="preserve">. </w:t>
      </w:r>
      <w:r>
        <w:t>F</w:t>
      </w:r>
      <w:r w:rsidR="005C4E46">
        <w:t>.</w:t>
      </w:r>
      <w:r>
        <w:t>, Manisha H</w:t>
      </w:r>
      <w:r w:rsidR="005C4E46">
        <w:t>.</w:t>
      </w:r>
      <w:r>
        <w:t>, et al.</w:t>
      </w:r>
      <w:r w:rsidR="005C4E46">
        <w:t xml:space="preserve"> (2022).</w:t>
      </w:r>
      <w:r>
        <w:t xml:space="preserve"> Implementation of WHO guidelines on management of advanced HIV disease and its impact among TB co-infected patients in Tanzania: a retrospective follow-up study. BMC Public Health</w:t>
      </w:r>
      <w:r w:rsidR="005C4E46">
        <w:t xml:space="preserve">, </w:t>
      </w:r>
      <w:r>
        <w:t>22(1).</w:t>
      </w:r>
      <w:r w:rsidR="005C4E46">
        <w:t xml:space="preserve"> https://doi.org/</w:t>
      </w:r>
      <w:r w:rsidR="005C4E46" w:rsidRPr="005C4E46">
        <w:t>10.1186/s12889-022-13498-x</w:t>
      </w:r>
    </w:p>
    <w:p w14:paraId="257016C6" w14:textId="0AE2D4FC" w:rsidR="005C4E46" w:rsidRDefault="0027244E" w:rsidP="0027244E">
      <w:pPr>
        <w:pStyle w:val="Body"/>
        <w:numPr>
          <w:ilvl w:val="0"/>
          <w:numId w:val="31"/>
        </w:numPr>
        <w:spacing w:after="0"/>
      </w:pPr>
      <w:proofErr w:type="spellStart"/>
      <w:r>
        <w:t>Singhroy</w:t>
      </w:r>
      <w:proofErr w:type="spellEnd"/>
      <w:r>
        <w:t xml:space="preserve"> D</w:t>
      </w:r>
      <w:r w:rsidR="005C4E46">
        <w:t xml:space="preserve">. </w:t>
      </w:r>
      <w:r>
        <w:t>N</w:t>
      </w:r>
      <w:r w:rsidR="005C4E46">
        <w:t>.</w:t>
      </w:r>
      <w:r>
        <w:t>, MacLean E</w:t>
      </w:r>
      <w:r w:rsidR="005C4E46">
        <w:t>.</w:t>
      </w:r>
      <w:r>
        <w:t>, Kohli M</w:t>
      </w:r>
      <w:r w:rsidR="005C4E46">
        <w:t>.</w:t>
      </w:r>
      <w:r>
        <w:t>, Lessem E</w:t>
      </w:r>
      <w:r w:rsidR="005C4E46">
        <w:t>.</w:t>
      </w:r>
      <w:r>
        <w:t>, Branigan D</w:t>
      </w:r>
      <w:r w:rsidR="005C4E46">
        <w:t>.</w:t>
      </w:r>
      <w:r>
        <w:t>, England K</w:t>
      </w:r>
      <w:r w:rsidR="005C4E46">
        <w:t>.</w:t>
      </w:r>
      <w:r>
        <w:t>, et al.</w:t>
      </w:r>
      <w:r w:rsidR="005C4E46">
        <w:t xml:space="preserve"> (2020).</w:t>
      </w:r>
      <w:r>
        <w:t xml:space="preserve"> Adoption and uptake of the lateral flow urine LAM test in countries with high tuberculosis and HIV/AIDS burden: current landscape and barriers. Gates Open Res</w:t>
      </w:r>
      <w:r w:rsidR="005C4E46">
        <w:t xml:space="preserve">, </w:t>
      </w:r>
      <w:r>
        <w:t>4:24.</w:t>
      </w:r>
      <w:r w:rsidR="005C4E46">
        <w:t xml:space="preserve"> </w:t>
      </w:r>
      <w:r w:rsidR="00870FD9">
        <w:t>https://doi.org/</w:t>
      </w:r>
      <w:r w:rsidR="00870FD9" w:rsidRPr="00870FD9">
        <w:t>10.12688/gatesopenres.13112.2</w:t>
      </w:r>
    </w:p>
    <w:p w14:paraId="09F6F0BE" w14:textId="53314E9C" w:rsidR="0027244E" w:rsidRDefault="0027244E" w:rsidP="0027244E">
      <w:pPr>
        <w:pStyle w:val="Body"/>
        <w:numPr>
          <w:ilvl w:val="0"/>
          <w:numId w:val="31"/>
        </w:numPr>
        <w:spacing w:after="0"/>
      </w:pPr>
      <w:r>
        <w:t>Ndlovu Z</w:t>
      </w:r>
      <w:r w:rsidR="00870FD9">
        <w:t>.</w:t>
      </w:r>
      <w:r>
        <w:t>, Burton R</w:t>
      </w:r>
      <w:r w:rsidR="00870FD9">
        <w:t>.</w:t>
      </w:r>
      <w:r>
        <w:t>, Stewart R</w:t>
      </w:r>
      <w:r w:rsidR="00870FD9">
        <w:t>.</w:t>
      </w:r>
      <w:r>
        <w:t>, Bygrave H</w:t>
      </w:r>
      <w:r w:rsidR="00870FD9">
        <w:t>.</w:t>
      </w:r>
      <w:r>
        <w:t>, Roberts T</w:t>
      </w:r>
      <w:r w:rsidR="00870FD9">
        <w:t>.</w:t>
      </w:r>
      <w:r>
        <w:t>, Fajardo E</w:t>
      </w:r>
      <w:r w:rsidR="00870FD9">
        <w:t>.</w:t>
      </w:r>
      <w:r>
        <w:t>, et al.</w:t>
      </w:r>
      <w:r w:rsidR="00870FD9">
        <w:t xml:space="preserve"> (2020).</w:t>
      </w:r>
      <w:r>
        <w:t xml:space="preserve"> Framework for the implementation of advanced HIV disease diagnostics in sub-Saharan Africa: programmatic perspectives. Lancet HIV</w:t>
      </w:r>
      <w:r w:rsidR="00870FD9">
        <w:t xml:space="preserve">, </w:t>
      </w:r>
      <w:r>
        <w:t>7(7):e514–20.</w:t>
      </w:r>
      <w:r w:rsidR="00870FD9">
        <w:t xml:space="preserve"> </w:t>
      </w:r>
      <w:r>
        <w:t>https://doi.org/10.1016/S2352-3018(20)30101-6</w:t>
      </w:r>
    </w:p>
    <w:p w14:paraId="0D63C588" w14:textId="09C90182" w:rsidR="00F0490A" w:rsidRDefault="00F0490A" w:rsidP="0027244E">
      <w:pPr>
        <w:pStyle w:val="Body"/>
        <w:numPr>
          <w:ilvl w:val="0"/>
          <w:numId w:val="31"/>
        </w:numPr>
        <w:spacing w:after="0"/>
      </w:pPr>
      <w:r w:rsidRPr="00F0490A">
        <w:t xml:space="preserve">Li Y., Huang X., Chen H., Qin Y., Hou J., Li A., </w:t>
      </w:r>
      <w:r>
        <w:t>et al</w:t>
      </w:r>
      <w:r w:rsidRPr="00F0490A">
        <w:t>. (2021). Correction to: The prevalence of cryptococcal antigen (</w:t>
      </w:r>
      <w:proofErr w:type="spellStart"/>
      <w:r w:rsidRPr="00F0490A">
        <w:t>CrAg</w:t>
      </w:r>
      <w:proofErr w:type="spellEnd"/>
      <w:r w:rsidRPr="00F0490A">
        <w:t>) and benefits of pre-emptive antifungal treatment among HIV-infected persons with CD4+ T-cell counts &lt; 200 cells/</w:t>
      </w:r>
      <w:proofErr w:type="spellStart"/>
      <w:r w:rsidRPr="00F0490A">
        <w:t>μL</w:t>
      </w:r>
      <w:proofErr w:type="spellEnd"/>
      <w:r w:rsidRPr="00F0490A">
        <w:t>: evidence based on a meta-analysis. BMC infectious diseases, 21(1), 604. https://doi.org/10.1186/s12879-021-06132-5</w:t>
      </w:r>
    </w:p>
    <w:p w14:paraId="7EBF6315" w14:textId="04D57E87" w:rsidR="00870FD9" w:rsidRDefault="00870FD9" w:rsidP="0027244E">
      <w:pPr>
        <w:pStyle w:val="Body"/>
        <w:numPr>
          <w:ilvl w:val="0"/>
          <w:numId w:val="31"/>
        </w:numPr>
        <w:spacing w:after="0"/>
      </w:pPr>
      <w:proofErr w:type="spellStart"/>
      <w:r w:rsidRPr="00870FD9">
        <w:t>Kefale</w:t>
      </w:r>
      <w:proofErr w:type="spellEnd"/>
      <w:r w:rsidRPr="00870FD9">
        <w:t xml:space="preserve"> </w:t>
      </w:r>
      <w:r>
        <w:t xml:space="preserve">T. </w:t>
      </w:r>
      <w:r w:rsidRPr="00870FD9">
        <w:t>A</w:t>
      </w:r>
      <w:r>
        <w:t>. &amp;</w:t>
      </w:r>
      <w:r w:rsidRPr="00870FD9">
        <w:t xml:space="preserve"> </w:t>
      </w:r>
      <w:proofErr w:type="spellStart"/>
      <w:r w:rsidRPr="00870FD9">
        <w:t>Anagaw</w:t>
      </w:r>
      <w:proofErr w:type="spellEnd"/>
      <w:r w:rsidRPr="00870FD9">
        <w:t xml:space="preserve"> Y</w:t>
      </w:r>
      <w:r>
        <w:t xml:space="preserve">. </w:t>
      </w:r>
      <w:r w:rsidRPr="00870FD9">
        <w:t>K</w:t>
      </w:r>
      <w:r>
        <w:t xml:space="preserve">. (2017). </w:t>
      </w:r>
      <w:r w:rsidRPr="00870FD9">
        <w:t>Outcome of tuberculosis treatment and its predictors among HIV infected patients in southwest Ethiopia</w:t>
      </w:r>
      <w:r>
        <w:t xml:space="preserve">. </w:t>
      </w:r>
      <w:r w:rsidRPr="00870FD9">
        <w:t>International journal of general medicine.</w:t>
      </w:r>
      <w:r>
        <w:t xml:space="preserve"> </w:t>
      </w:r>
      <w:r w:rsidRPr="00870FD9">
        <w:t>2017</w:t>
      </w:r>
      <w:r>
        <w:t>(</w:t>
      </w:r>
      <w:r w:rsidRPr="00870FD9">
        <w:t>10</w:t>
      </w:r>
      <w:r>
        <w:t>):</w:t>
      </w:r>
      <w:r w:rsidRPr="00870FD9">
        <w:t>161—169</w:t>
      </w:r>
      <w:r>
        <w:t xml:space="preserve">. </w:t>
      </w:r>
      <w:r w:rsidRPr="00870FD9">
        <w:t>https://doi.org/10.2147/IJGM.S135305</w:t>
      </w:r>
    </w:p>
    <w:p w14:paraId="4BDF340F" w14:textId="74E2BFA7" w:rsidR="00F0490A" w:rsidRDefault="00F0490A" w:rsidP="0027244E">
      <w:pPr>
        <w:pStyle w:val="Body"/>
        <w:numPr>
          <w:ilvl w:val="0"/>
          <w:numId w:val="31"/>
        </w:numPr>
        <w:spacing w:after="0"/>
      </w:pPr>
      <w:proofErr w:type="spellStart"/>
      <w:r w:rsidRPr="00F0490A">
        <w:lastRenderedPageBreak/>
        <w:t>Abudiore</w:t>
      </w:r>
      <w:proofErr w:type="spellEnd"/>
      <w:r w:rsidRPr="00F0490A">
        <w:t xml:space="preserve"> O., </w:t>
      </w:r>
      <w:proofErr w:type="spellStart"/>
      <w:r w:rsidRPr="00F0490A">
        <w:t>Amamilo</w:t>
      </w:r>
      <w:proofErr w:type="spellEnd"/>
      <w:r w:rsidRPr="00F0490A">
        <w:t xml:space="preserve"> I., Campbell J., </w:t>
      </w:r>
      <w:proofErr w:type="spellStart"/>
      <w:r w:rsidRPr="00F0490A">
        <w:t>Eigege</w:t>
      </w:r>
      <w:proofErr w:type="spellEnd"/>
      <w:r w:rsidRPr="00F0490A">
        <w:t xml:space="preserve"> W., Harwell J., Conroy J.,</w:t>
      </w:r>
      <w:r>
        <w:t xml:space="preserve"> et al.</w:t>
      </w:r>
      <w:r w:rsidRPr="00F0490A">
        <w:t xml:space="preserve"> (2023). High acceptability and viral suppression rate for first-Line patients on a dolutegravir-based regimen: An early adopter study in Nigeria. </w:t>
      </w:r>
      <w:proofErr w:type="spellStart"/>
      <w:r w:rsidRPr="00F0490A">
        <w:t>PloS</w:t>
      </w:r>
      <w:proofErr w:type="spellEnd"/>
      <w:r w:rsidRPr="00F0490A">
        <w:t xml:space="preserve"> one, 18(5), e0284767. https://doi.org/10.1371/journal.pone.0284767</w:t>
      </w:r>
    </w:p>
    <w:p w14:paraId="2242129A" w14:textId="0B64A060" w:rsidR="00441B6F" w:rsidRPr="00F0490A" w:rsidRDefault="00F0490A" w:rsidP="00F0490A">
      <w:pPr>
        <w:pStyle w:val="Body"/>
        <w:numPr>
          <w:ilvl w:val="0"/>
          <w:numId w:val="31"/>
        </w:numPr>
        <w:spacing w:after="0"/>
      </w:pPr>
      <w:r w:rsidRPr="00F0490A">
        <w:t xml:space="preserve">Gils T., Kamele M., Madonsela T., Bosman S., Ngubane T., Joseph P., </w:t>
      </w:r>
      <w:r>
        <w:t>et al</w:t>
      </w:r>
      <w:r w:rsidRPr="00F0490A">
        <w:t xml:space="preserve">. (2023). Implementation of the advanced HIV disease care package with point-of-care CD4 testing during tuberculosis case finding: A mixed-methods evaluation. </w:t>
      </w:r>
      <w:proofErr w:type="spellStart"/>
      <w:r w:rsidRPr="00F0490A">
        <w:t>PloS</w:t>
      </w:r>
      <w:proofErr w:type="spellEnd"/>
      <w:r w:rsidRPr="00F0490A">
        <w:t xml:space="preserve"> one, 18(12), e0296197. https://doi.org/10.1371/journal.pone.0296197</w:t>
      </w:r>
    </w:p>
    <w:p w14:paraId="5BD06919" w14:textId="77777777" w:rsidR="00B01FCD" w:rsidRPr="00FB3A86" w:rsidRDefault="00B01FCD" w:rsidP="00441B6F">
      <w:pPr>
        <w:pStyle w:val="Reference"/>
        <w:numPr>
          <w:ilvl w:val="0"/>
          <w:numId w:val="0"/>
        </w:numPr>
        <w:spacing w:line="240" w:lineRule="auto"/>
        <w:rPr>
          <w:rFonts w:ascii="Arial" w:hAnsi="Arial" w:cs="Arial"/>
        </w:rPr>
      </w:pPr>
    </w:p>
    <w:p w14:paraId="1CAD766D" w14:textId="77777777" w:rsidR="00B01FCD" w:rsidRPr="00FB3A86" w:rsidRDefault="00B01FCD" w:rsidP="00441B6F">
      <w:pPr>
        <w:pStyle w:val="Appendix"/>
        <w:spacing w:after="0"/>
        <w:jc w:val="both"/>
        <w:rPr>
          <w:rFonts w:ascii="Arial" w:hAnsi="Arial" w:cs="Arial"/>
          <w:b w:val="0"/>
        </w:rPr>
      </w:pPr>
    </w:p>
    <w:sectPr w:rsidR="00B01FCD" w:rsidRPr="00FB3A86" w:rsidSect="00955C6E">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A638B" w14:textId="77777777" w:rsidR="009A3B10" w:rsidRDefault="009A3B10" w:rsidP="00C37E61">
      <w:r>
        <w:separator/>
      </w:r>
    </w:p>
  </w:endnote>
  <w:endnote w:type="continuationSeparator" w:id="0">
    <w:p w14:paraId="47415614" w14:textId="77777777" w:rsidR="009A3B10" w:rsidRDefault="009A3B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0646" w14:textId="77777777" w:rsidR="003C02AA" w:rsidRDefault="003C0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A005" w14:textId="77777777" w:rsidR="003C02AA" w:rsidRDefault="003C0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2B39" w14:textId="25A3936D" w:rsidR="00754C9A" w:rsidRPr="003C02AA" w:rsidRDefault="00754C9A" w:rsidP="003C02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38B7" w14:textId="77777777" w:rsidR="00955C6E" w:rsidRPr="00C37E61" w:rsidRDefault="00955C6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9F0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97FA" w14:textId="77777777" w:rsidR="009A3B10" w:rsidRDefault="009A3B10" w:rsidP="00C37E61">
      <w:r>
        <w:separator/>
      </w:r>
    </w:p>
  </w:footnote>
  <w:footnote w:type="continuationSeparator" w:id="0">
    <w:p w14:paraId="7676BDBE" w14:textId="77777777" w:rsidR="009A3B10" w:rsidRDefault="009A3B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6AB7" w14:textId="4B5F66EF" w:rsidR="003C02AA" w:rsidRDefault="009A3B10">
    <w:pPr>
      <w:pStyle w:val="Header"/>
    </w:pPr>
    <w:r>
      <w:rPr>
        <w:noProof/>
      </w:rPr>
      <w:pict w14:anchorId="3ECCA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642A" w14:textId="1C2F79F8" w:rsidR="003C02AA" w:rsidRDefault="009A3B10">
    <w:pPr>
      <w:pStyle w:val="Header"/>
    </w:pPr>
    <w:r>
      <w:rPr>
        <w:noProof/>
      </w:rPr>
      <w:pict w14:anchorId="06F26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0829" w14:textId="7BA2EF13" w:rsidR="00296529" w:rsidRPr="00296529" w:rsidRDefault="009A3B10" w:rsidP="00296529">
    <w:pPr>
      <w:ind w:left="2160"/>
      <w:jc w:val="center"/>
      <w:rPr>
        <w:rFonts w:ascii="Times New Roman" w:eastAsia="Calibri" w:hAnsi="Times New Roman"/>
        <w:i/>
        <w:sz w:val="18"/>
        <w:szCs w:val="22"/>
      </w:rPr>
    </w:pPr>
    <w:r>
      <w:rPr>
        <w:noProof/>
      </w:rPr>
      <w:pict w14:anchorId="6E819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AEB8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E33C0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8278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48AF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B90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3DD9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755E9" w14:textId="19B13041" w:rsidR="003C02AA" w:rsidRDefault="009A3B10">
    <w:pPr>
      <w:pStyle w:val="Header"/>
    </w:pPr>
    <w:r>
      <w:rPr>
        <w:noProof/>
      </w:rPr>
      <w:pict w14:anchorId="48A5B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17D9" w14:textId="36F4EADD" w:rsidR="003C02AA" w:rsidRDefault="009A3B10">
    <w:pPr>
      <w:pStyle w:val="Header"/>
    </w:pPr>
    <w:r>
      <w:rPr>
        <w:noProof/>
      </w:rPr>
      <w:pict w14:anchorId="00A0E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051D" w14:textId="7BC1C583" w:rsidR="003C02AA" w:rsidRDefault="009A3B10">
    <w:pPr>
      <w:pStyle w:val="Header"/>
    </w:pPr>
    <w:r>
      <w:rPr>
        <w:noProof/>
      </w:rPr>
      <w:pict w14:anchorId="1DCA7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5520" w14:textId="67EE2607" w:rsidR="003C02AA" w:rsidRDefault="009A3B10">
    <w:pPr>
      <w:pStyle w:val="Header"/>
    </w:pPr>
    <w:r>
      <w:rPr>
        <w:noProof/>
      </w:rPr>
      <w:pict w14:anchorId="0D17D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4"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D5C1" w14:textId="342F71A7" w:rsidR="003C02AA" w:rsidRDefault="009A3B10">
    <w:pPr>
      <w:pStyle w:val="Header"/>
    </w:pPr>
    <w:r>
      <w:rPr>
        <w:noProof/>
      </w:rPr>
      <w:pict w14:anchorId="55A1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5"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3C92" w14:textId="7B1D17D9" w:rsidR="003C02AA" w:rsidRDefault="009A3B10">
    <w:pPr>
      <w:pStyle w:val="Header"/>
    </w:pPr>
    <w:r>
      <w:rPr>
        <w:noProof/>
      </w:rPr>
      <w:pict w14:anchorId="4353A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3"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35B6E"/>
    <w:multiLevelType w:val="hybridMultilevel"/>
    <w:tmpl w:val="130E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393"/>
    <w:rsid w:val="00000F8F"/>
    <w:rsid w:val="00030174"/>
    <w:rsid w:val="00044B2E"/>
    <w:rsid w:val="0004579C"/>
    <w:rsid w:val="0009475B"/>
    <w:rsid w:val="000A2F96"/>
    <w:rsid w:val="000A47FA"/>
    <w:rsid w:val="000A4A87"/>
    <w:rsid w:val="000A65D3"/>
    <w:rsid w:val="000B1E33"/>
    <w:rsid w:val="000C2246"/>
    <w:rsid w:val="000D1AFA"/>
    <w:rsid w:val="000D689F"/>
    <w:rsid w:val="000E7B7B"/>
    <w:rsid w:val="000E7D62"/>
    <w:rsid w:val="000F27E0"/>
    <w:rsid w:val="00103357"/>
    <w:rsid w:val="00123C9F"/>
    <w:rsid w:val="00126190"/>
    <w:rsid w:val="00130F17"/>
    <w:rsid w:val="001320BF"/>
    <w:rsid w:val="00160EEF"/>
    <w:rsid w:val="00163BC4"/>
    <w:rsid w:val="0017091F"/>
    <w:rsid w:val="00191062"/>
    <w:rsid w:val="00192B72"/>
    <w:rsid w:val="001956CC"/>
    <w:rsid w:val="001A29D8"/>
    <w:rsid w:val="001A5CAA"/>
    <w:rsid w:val="001B0427"/>
    <w:rsid w:val="001C3784"/>
    <w:rsid w:val="001D3A51"/>
    <w:rsid w:val="001E10D2"/>
    <w:rsid w:val="001E25B4"/>
    <w:rsid w:val="001E44FE"/>
    <w:rsid w:val="00200595"/>
    <w:rsid w:val="00204835"/>
    <w:rsid w:val="00231920"/>
    <w:rsid w:val="0023195C"/>
    <w:rsid w:val="00240313"/>
    <w:rsid w:val="0024282C"/>
    <w:rsid w:val="002457F3"/>
    <w:rsid w:val="002460DC"/>
    <w:rsid w:val="00250985"/>
    <w:rsid w:val="002556F6"/>
    <w:rsid w:val="0026766F"/>
    <w:rsid w:val="0027244E"/>
    <w:rsid w:val="00274D56"/>
    <w:rsid w:val="00283105"/>
    <w:rsid w:val="00284C4C"/>
    <w:rsid w:val="00287E68"/>
    <w:rsid w:val="00296529"/>
    <w:rsid w:val="002B27FB"/>
    <w:rsid w:val="002B5112"/>
    <w:rsid w:val="002B685A"/>
    <w:rsid w:val="002C57D2"/>
    <w:rsid w:val="002E0D56"/>
    <w:rsid w:val="00315186"/>
    <w:rsid w:val="003314CF"/>
    <w:rsid w:val="0033343E"/>
    <w:rsid w:val="003512C2"/>
    <w:rsid w:val="00352230"/>
    <w:rsid w:val="00371FB6"/>
    <w:rsid w:val="003763C1"/>
    <w:rsid w:val="00376BBE"/>
    <w:rsid w:val="0039224F"/>
    <w:rsid w:val="003A43A4"/>
    <w:rsid w:val="003A7E18"/>
    <w:rsid w:val="003B3DD0"/>
    <w:rsid w:val="003C02AA"/>
    <w:rsid w:val="003C4C86"/>
    <w:rsid w:val="003C6258"/>
    <w:rsid w:val="003E2904"/>
    <w:rsid w:val="003F0CB2"/>
    <w:rsid w:val="00401927"/>
    <w:rsid w:val="0041027F"/>
    <w:rsid w:val="00412475"/>
    <w:rsid w:val="00423789"/>
    <w:rsid w:val="00440F43"/>
    <w:rsid w:val="00441B6F"/>
    <w:rsid w:val="00446221"/>
    <w:rsid w:val="00450E62"/>
    <w:rsid w:val="004539DB"/>
    <w:rsid w:val="00456532"/>
    <w:rsid w:val="00471A80"/>
    <w:rsid w:val="004D305E"/>
    <w:rsid w:val="004D4277"/>
    <w:rsid w:val="004E21C2"/>
    <w:rsid w:val="00502516"/>
    <w:rsid w:val="00505F06"/>
    <w:rsid w:val="00506828"/>
    <w:rsid w:val="005268A9"/>
    <w:rsid w:val="0053056E"/>
    <w:rsid w:val="00531DBB"/>
    <w:rsid w:val="00552FEB"/>
    <w:rsid w:val="00554FDA"/>
    <w:rsid w:val="00583A50"/>
    <w:rsid w:val="005A6C4E"/>
    <w:rsid w:val="005C4E46"/>
    <w:rsid w:val="005C784C"/>
    <w:rsid w:val="005D17F6"/>
    <w:rsid w:val="005E1C8C"/>
    <w:rsid w:val="005E5539"/>
    <w:rsid w:val="00602BF5"/>
    <w:rsid w:val="00617FDD"/>
    <w:rsid w:val="00623558"/>
    <w:rsid w:val="00633614"/>
    <w:rsid w:val="00633F68"/>
    <w:rsid w:val="00636EB2"/>
    <w:rsid w:val="006375B8"/>
    <w:rsid w:val="006477FD"/>
    <w:rsid w:val="0066510A"/>
    <w:rsid w:val="00665223"/>
    <w:rsid w:val="00673F9F"/>
    <w:rsid w:val="0068000B"/>
    <w:rsid w:val="00686953"/>
    <w:rsid w:val="00687DEA"/>
    <w:rsid w:val="00687E67"/>
    <w:rsid w:val="006967F7"/>
    <w:rsid w:val="006A250C"/>
    <w:rsid w:val="006B21D3"/>
    <w:rsid w:val="006B57D0"/>
    <w:rsid w:val="006D30FF"/>
    <w:rsid w:val="006D6940"/>
    <w:rsid w:val="006F11EC"/>
    <w:rsid w:val="006F4D11"/>
    <w:rsid w:val="0070082C"/>
    <w:rsid w:val="00713CA3"/>
    <w:rsid w:val="007369E6"/>
    <w:rsid w:val="00746E59"/>
    <w:rsid w:val="00754C9A"/>
    <w:rsid w:val="0075599A"/>
    <w:rsid w:val="0075686A"/>
    <w:rsid w:val="00761D52"/>
    <w:rsid w:val="0076548B"/>
    <w:rsid w:val="0077749E"/>
    <w:rsid w:val="00790ADA"/>
    <w:rsid w:val="007D2288"/>
    <w:rsid w:val="007E088F"/>
    <w:rsid w:val="007E4B07"/>
    <w:rsid w:val="007F04FC"/>
    <w:rsid w:val="007F7B32"/>
    <w:rsid w:val="00804BC2"/>
    <w:rsid w:val="0081431A"/>
    <w:rsid w:val="00830853"/>
    <w:rsid w:val="0083216F"/>
    <w:rsid w:val="008348EF"/>
    <w:rsid w:val="00860000"/>
    <w:rsid w:val="00863BD3"/>
    <w:rsid w:val="008641ED"/>
    <w:rsid w:val="00866D66"/>
    <w:rsid w:val="008671C6"/>
    <w:rsid w:val="00870FD9"/>
    <w:rsid w:val="00875803"/>
    <w:rsid w:val="008B459E"/>
    <w:rsid w:val="008E13AE"/>
    <w:rsid w:val="008E1506"/>
    <w:rsid w:val="008E710C"/>
    <w:rsid w:val="008F69D6"/>
    <w:rsid w:val="00902823"/>
    <w:rsid w:val="0090437C"/>
    <w:rsid w:val="00914596"/>
    <w:rsid w:val="00915CA6"/>
    <w:rsid w:val="00927834"/>
    <w:rsid w:val="009500A6"/>
    <w:rsid w:val="00955C6E"/>
    <w:rsid w:val="00957C18"/>
    <w:rsid w:val="009659BA"/>
    <w:rsid w:val="00983040"/>
    <w:rsid w:val="00985A42"/>
    <w:rsid w:val="009A3B10"/>
    <w:rsid w:val="009B3FB9"/>
    <w:rsid w:val="009C2465"/>
    <w:rsid w:val="009D35A0"/>
    <w:rsid w:val="009D7EB7"/>
    <w:rsid w:val="009E048A"/>
    <w:rsid w:val="009E08E9"/>
    <w:rsid w:val="009E3DB9"/>
    <w:rsid w:val="009E6E35"/>
    <w:rsid w:val="009F0EDA"/>
    <w:rsid w:val="00A03B96"/>
    <w:rsid w:val="00A045F8"/>
    <w:rsid w:val="00A05B19"/>
    <w:rsid w:val="00A06F9B"/>
    <w:rsid w:val="00A1134E"/>
    <w:rsid w:val="00A24E7E"/>
    <w:rsid w:val="00A258C3"/>
    <w:rsid w:val="00A347C0"/>
    <w:rsid w:val="00A51431"/>
    <w:rsid w:val="00A539AD"/>
    <w:rsid w:val="00A8116A"/>
    <w:rsid w:val="00A94063"/>
    <w:rsid w:val="00AA6219"/>
    <w:rsid w:val="00AA74E0"/>
    <w:rsid w:val="00AB703F"/>
    <w:rsid w:val="00AC6BB8"/>
    <w:rsid w:val="00AC6F87"/>
    <w:rsid w:val="00AE008F"/>
    <w:rsid w:val="00AE0541"/>
    <w:rsid w:val="00B01FCD"/>
    <w:rsid w:val="00B1776C"/>
    <w:rsid w:val="00B52583"/>
    <w:rsid w:val="00B52896"/>
    <w:rsid w:val="00B55335"/>
    <w:rsid w:val="00B95236"/>
    <w:rsid w:val="00B96BD9"/>
    <w:rsid w:val="00BA1B01"/>
    <w:rsid w:val="00BA2641"/>
    <w:rsid w:val="00BB37AA"/>
    <w:rsid w:val="00BC53A0"/>
    <w:rsid w:val="00BD66F3"/>
    <w:rsid w:val="00BE62AD"/>
    <w:rsid w:val="00BF121F"/>
    <w:rsid w:val="00BF1F80"/>
    <w:rsid w:val="00C166EF"/>
    <w:rsid w:val="00C16EB7"/>
    <w:rsid w:val="00C17EB0"/>
    <w:rsid w:val="00C27F5F"/>
    <w:rsid w:val="00C30A0F"/>
    <w:rsid w:val="00C37E61"/>
    <w:rsid w:val="00C70F1B"/>
    <w:rsid w:val="00C71A47"/>
    <w:rsid w:val="00C7464C"/>
    <w:rsid w:val="00C85588"/>
    <w:rsid w:val="00CB2AAC"/>
    <w:rsid w:val="00CB4F97"/>
    <w:rsid w:val="00CC7A8B"/>
    <w:rsid w:val="00CD6755"/>
    <w:rsid w:val="00CD6856"/>
    <w:rsid w:val="00CE0089"/>
    <w:rsid w:val="00CE386E"/>
    <w:rsid w:val="00CE793C"/>
    <w:rsid w:val="00CF193C"/>
    <w:rsid w:val="00CF5241"/>
    <w:rsid w:val="00D173F1"/>
    <w:rsid w:val="00D319B8"/>
    <w:rsid w:val="00D42C8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0740"/>
    <w:rsid w:val="00F0490A"/>
    <w:rsid w:val="00F05AAF"/>
    <w:rsid w:val="00F06F59"/>
    <w:rsid w:val="00F17988"/>
    <w:rsid w:val="00F24225"/>
    <w:rsid w:val="00F30E9B"/>
    <w:rsid w:val="00F469F0"/>
    <w:rsid w:val="00F53273"/>
    <w:rsid w:val="00F755E4"/>
    <w:rsid w:val="00F77D02"/>
    <w:rsid w:val="00F8293D"/>
    <w:rsid w:val="00FA316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04CF34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A5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5726-A4F6-49C0-A6C0-384F33DA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8</Pages>
  <Words>3248</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2025-10-04T19:26:00Z</dcterms:created>
  <dcterms:modified xsi:type="dcterms:W3CDTF">2025-10-14T12:33:00Z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ede4659a-a039-4576-8a8a-516de499b09d</vt:lpwstr>
  </property>
</Properties>
</file>