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829DB" w14:textId="77777777" w:rsidR="00754C9A" w:rsidRDefault="00754C9A" w:rsidP="00441B6F">
      <w:pPr>
        <w:pStyle w:val="Title"/>
        <w:spacing w:after="0"/>
        <w:jc w:val="both"/>
        <w:rPr>
          <w:rFonts w:ascii="Arial" w:hAnsi="Arial" w:cs="Arial"/>
        </w:rPr>
      </w:pPr>
    </w:p>
    <w:p w14:paraId="7B33693E" w14:textId="77777777" w:rsidR="00207EC1" w:rsidRDefault="00207EC1" w:rsidP="00207EC1">
      <w:pPr>
        <w:jc w:val="right"/>
        <w:rPr>
          <w:rFonts w:ascii="Arial Narrow" w:hAnsi="Arial Narrow"/>
          <w:b/>
          <w:bCs/>
          <w:i/>
          <w:iCs/>
          <w:sz w:val="36"/>
          <w:szCs w:val="36"/>
          <w:u w:val="single"/>
          <w:lang w:eastAsia="fr-FR"/>
        </w:rPr>
      </w:pPr>
      <w:r w:rsidRPr="00207EC1">
        <w:rPr>
          <w:rFonts w:ascii="Arial Narrow" w:hAnsi="Arial Narrow"/>
          <w:b/>
          <w:bCs/>
          <w:i/>
          <w:iCs/>
          <w:sz w:val="36"/>
          <w:szCs w:val="36"/>
          <w:u w:val="single"/>
          <w:lang w:eastAsia="fr-FR"/>
        </w:rPr>
        <w:t>Original Research Article</w:t>
      </w:r>
    </w:p>
    <w:p w14:paraId="0BA0B4D0" w14:textId="77777777" w:rsidR="00207EC1" w:rsidRPr="00207EC1" w:rsidRDefault="00207EC1" w:rsidP="00207EC1">
      <w:pPr>
        <w:jc w:val="right"/>
        <w:rPr>
          <w:rFonts w:ascii="Arial Narrow" w:hAnsi="Arial Narrow"/>
          <w:b/>
          <w:bCs/>
          <w:i/>
          <w:iCs/>
          <w:sz w:val="36"/>
          <w:szCs w:val="36"/>
          <w:u w:val="single"/>
          <w:lang w:eastAsia="fr-FR"/>
        </w:rPr>
      </w:pPr>
    </w:p>
    <w:p w14:paraId="18694E99" w14:textId="51C34311" w:rsidR="000F0B40" w:rsidRPr="000F0B40" w:rsidRDefault="000F0B40" w:rsidP="000F0B40">
      <w:pPr>
        <w:jc w:val="right"/>
        <w:rPr>
          <w:rFonts w:ascii="Arial Narrow" w:hAnsi="Arial Narrow"/>
          <w:b/>
          <w:sz w:val="36"/>
          <w:szCs w:val="36"/>
          <w:lang w:eastAsia="fr-FR"/>
        </w:rPr>
      </w:pPr>
      <w:bookmarkStart w:id="0" w:name="_Hlk212110680"/>
      <w:r w:rsidRPr="000F0B40">
        <w:rPr>
          <w:rFonts w:ascii="Arial Narrow" w:hAnsi="Arial Narrow"/>
          <w:b/>
          <w:sz w:val="36"/>
          <w:szCs w:val="36"/>
          <w:lang w:eastAsia="fr-FR"/>
        </w:rPr>
        <w:t>Impact of Nutrition Education and Monitoring on Biochemical Parameters of Type 2 Diabetic Patients at the National Reference General Hospital</w:t>
      </w:r>
      <w:r w:rsidR="00791D57">
        <w:rPr>
          <w:rFonts w:ascii="Arial Narrow" w:hAnsi="Arial Narrow"/>
          <w:b/>
          <w:sz w:val="36"/>
          <w:szCs w:val="36"/>
          <w:lang w:eastAsia="fr-FR"/>
        </w:rPr>
        <w:t xml:space="preserve"> of</w:t>
      </w:r>
      <w:r w:rsidRPr="000F0B40">
        <w:rPr>
          <w:rFonts w:ascii="Arial Narrow" w:hAnsi="Arial Narrow"/>
          <w:b/>
          <w:sz w:val="36"/>
          <w:szCs w:val="36"/>
          <w:lang w:eastAsia="fr-FR"/>
        </w:rPr>
        <w:t xml:space="preserve"> N’djamena/Chad</w:t>
      </w:r>
    </w:p>
    <w:bookmarkEnd w:id="0"/>
    <w:p w14:paraId="6857B43D" w14:textId="77777777" w:rsidR="00A258C3" w:rsidRPr="00790ADA" w:rsidRDefault="00A258C3" w:rsidP="00441B6F">
      <w:pPr>
        <w:pStyle w:val="Author"/>
        <w:spacing w:line="240" w:lineRule="auto"/>
        <w:jc w:val="both"/>
        <w:rPr>
          <w:rFonts w:ascii="Arial" w:hAnsi="Arial" w:cs="Arial"/>
          <w:sz w:val="36"/>
        </w:rPr>
      </w:pPr>
    </w:p>
    <w:p w14:paraId="0956D97A" w14:textId="77777777" w:rsidR="006B0D9F" w:rsidRPr="00FB3A86" w:rsidRDefault="006B0D9F" w:rsidP="00441B6F">
      <w:pPr>
        <w:pStyle w:val="Affiliation"/>
        <w:spacing w:after="0" w:line="240" w:lineRule="auto"/>
        <w:jc w:val="both"/>
        <w:rPr>
          <w:rFonts w:ascii="Arial" w:hAnsi="Arial" w:cs="Arial"/>
        </w:rPr>
      </w:pPr>
    </w:p>
    <w:p w14:paraId="38ECE1BF" w14:textId="7062EEE6" w:rsidR="00B01FCD" w:rsidRPr="00FB3A86" w:rsidRDefault="000F0B40" w:rsidP="00441B6F">
      <w:pPr>
        <w:pStyle w:val="Copyright"/>
        <w:spacing w:after="0" w:line="240" w:lineRule="auto"/>
        <w:jc w:val="both"/>
        <w:rPr>
          <w:rFonts w:ascii="Arial" w:hAnsi="Arial" w:cs="Arial"/>
        </w:rPr>
        <w:sectPr w:rsidR="00B01FCD" w:rsidRPr="00FB3A86" w:rsidSect="003B65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46705E6" wp14:editId="5D005252">
                <wp:extent cx="5303520" cy="635"/>
                <wp:effectExtent l="13335" t="15240" r="17145" b="13335"/>
                <wp:docPr id="20740929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CB12C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29D2597" w14:textId="6FDE952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1B7FD7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360568" w14:textId="77777777" w:rsidTr="001E44FE">
        <w:tc>
          <w:tcPr>
            <w:tcW w:w="9576" w:type="dxa"/>
            <w:shd w:val="clear" w:color="auto" w:fill="F2F2F2"/>
          </w:tcPr>
          <w:p w14:paraId="7B524E14" w14:textId="77777777" w:rsidR="00791D57" w:rsidRDefault="00BA1B01" w:rsidP="00791D57">
            <w:pPr>
              <w:pStyle w:val="Body"/>
              <w:spacing w:after="0"/>
              <w:rPr>
                <w:rFonts w:ascii="Arial" w:eastAsia="Calibri" w:hAnsi="Arial" w:cs="Arial"/>
                <w:szCs w:val="22"/>
              </w:rPr>
            </w:pPr>
            <w:r w:rsidRPr="00BA1B01">
              <w:rPr>
                <w:rFonts w:ascii="Arial" w:eastAsia="Calibri" w:hAnsi="Arial" w:cs="Arial"/>
                <w:b/>
                <w:szCs w:val="22"/>
              </w:rPr>
              <w:t xml:space="preserve">Aims: </w:t>
            </w:r>
            <w:r w:rsidR="00791D57" w:rsidRPr="00791D57">
              <w:rPr>
                <w:rFonts w:ascii="Arial" w:eastAsia="Calibri" w:hAnsi="Arial" w:cs="Arial"/>
                <w:szCs w:val="22"/>
              </w:rPr>
              <w:t>This study was conducted to evaluate the impact of nutrition education and monitoring on the health outcomes of type 2 diabetic patients with comorbidities.</w:t>
            </w:r>
          </w:p>
          <w:p w14:paraId="6B91D7FC" w14:textId="6886D0D4" w:rsidR="00BA1B01" w:rsidRPr="00BA1B01" w:rsidRDefault="00BA1B01" w:rsidP="00791D5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57D87" w:rsidRPr="00277351">
              <w:rPr>
                <w:rFonts w:ascii="Arial" w:eastAsia="Calibri" w:hAnsi="Arial" w:cs="Arial"/>
                <w:color w:val="FF0000"/>
                <w:szCs w:val="22"/>
              </w:rPr>
              <w:t xml:space="preserve">The study was a </w:t>
            </w:r>
            <w:r w:rsidR="00032FB4" w:rsidRPr="00277351">
              <w:rPr>
                <w:rFonts w:ascii="Arial" w:eastAsia="Calibri" w:hAnsi="Arial" w:cs="Arial"/>
                <w:color w:val="FF0000"/>
                <w:szCs w:val="22"/>
              </w:rPr>
              <w:t>controlled trial</w:t>
            </w:r>
          </w:p>
          <w:p w14:paraId="5517C4D3" w14:textId="7611C60A" w:rsidR="00BA1B01" w:rsidRPr="00BA1B01" w:rsidRDefault="00BA1B01" w:rsidP="009C23D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91D57" w:rsidRPr="00791D57">
              <w:rPr>
                <w:rFonts w:ascii="Arial" w:eastAsia="Calibri" w:hAnsi="Arial" w:cs="Arial"/>
                <w:szCs w:val="22"/>
              </w:rPr>
              <w:t>Endocrinology and Diabetology Unit, National Reference General Hospital of N’Djamena</w:t>
            </w:r>
            <w:r w:rsidR="00791D57">
              <w:rPr>
                <w:rFonts w:ascii="Arial" w:eastAsia="Calibri" w:hAnsi="Arial" w:cs="Arial"/>
                <w:szCs w:val="22"/>
              </w:rPr>
              <w:t xml:space="preserve">, </w:t>
            </w:r>
            <w:r w:rsidR="009C23DB">
              <w:rPr>
                <w:rFonts w:ascii="Arial" w:eastAsia="Calibri" w:hAnsi="Arial" w:cs="Arial"/>
                <w:szCs w:val="22"/>
              </w:rPr>
              <w:t>between July and October 2023.</w:t>
            </w:r>
          </w:p>
          <w:p w14:paraId="449BDF0D" w14:textId="4A2D62E4" w:rsidR="009C23D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201EE" w:rsidRPr="009C23DB">
              <w:rPr>
                <w:rFonts w:ascii="Arial" w:eastAsia="Calibri" w:hAnsi="Arial" w:cs="Arial"/>
                <w:szCs w:val="22"/>
              </w:rPr>
              <w:t>Th</w:t>
            </w:r>
            <w:r w:rsidR="007201EE" w:rsidRPr="00277351">
              <w:rPr>
                <w:rFonts w:ascii="Arial" w:eastAsia="Calibri" w:hAnsi="Arial" w:cs="Arial"/>
                <w:color w:val="FF0000"/>
                <w:szCs w:val="22"/>
              </w:rPr>
              <w:t>e</w:t>
            </w:r>
            <w:r w:rsidR="007201EE" w:rsidRPr="009C23DB">
              <w:rPr>
                <w:rFonts w:ascii="Arial" w:eastAsia="Calibri" w:hAnsi="Arial" w:cs="Arial"/>
                <w:szCs w:val="22"/>
              </w:rPr>
              <w:t xml:space="preserve"> </w:t>
            </w:r>
            <w:r w:rsidR="009C23DB" w:rsidRPr="009C23DB">
              <w:rPr>
                <w:rFonts w:ascii="Arial" w:eastAsia="Calibri" w:hAnsi="Arial" w:cs="Arial"/>
                <w:szCs w:val="22"/>
              </w:rPr>
              <w:t>study involved 120 diabetic patients with comorbidities of both sexes, divided into two groups: a control group of 24 patients that maintained their usual diet without nutritional guidance, and an intervention group of 96 patients that received individualized dietary counseling tailored to their diabetic status and associated conditions. Anthropometric and biochemical parameters were measured at baseline and after the nutritional follow-up. Data were collected using a structured questionnaire developed with Sphinx Plus² version 5 Lexical Edition (2013). Statistical analyses were performed with IBM SPSS Statistics 23, and group comparisons were made using the Chi-square test. The nutritional intervention included personalized meal planning, regular weight monitoring, and encouragement of physical activity.</w:t>
            </w:r>
          </w:p>
          <w:p w14:paraId="2E8D8BC1" w14:textId="65DB729F"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C23DB" w:rsidRPr="009C23DB">
              <w:rPr>
                <w:rFonts w:ascii="Arial" w:eastAsia="Calibri" w:hAnsi="Arial" w:cs="Arial"/>
                <w:szCs w:val="22"/>
              </w:rPr>
              <w:t>The results revealed that nutritional monitoring resulted in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reductions in mean levels of fasting blood glucose (1.19%), glycated hemoglobin (2.5%), triglycerides (0.9%), total cholesterol (0.67%), LDL (0.81%), creatinine (5%), and body mass index (7%) in obese and overweight diabetic patients. Additionally, it led to lower blood pressure in hypertensive diabetics, reduced renal impairment, and heart failure. Notably, HDL levels increased by 0.4%. Furthermore, the study showed a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improvement in knowledge about the importance of diet for diabetic patients, with a 35.5% increase in awareness.</w:t>
            </w:r>
          </w:p>
          <w:p w14:paraId="6A918206" w14:textId="2714A0DF" w:rsidR="00505F06" w:rsidRPr="00BA1B01" w:rsidRDefault="00BA1B01" w:rsidP="00B1308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13088" w:rsidRPr="00B13088">
              <w:rPr>
                <w:rFonts w:ascii="Arial" w:eastAsia="Calibri" w:hAnsi="Arial" w:cs="Arial"/>
                <w:szCs w:val="22"/>
              </w:rPr>
              <w:t>Nutrition education was shown to enhance diabetics’ knowledge and skills in designing varied meal plans and improving their overall health status.</w:t>
            </w:r>
          </w:p>
        </w:tc>
        <w:bookmarkStart w:id="1" w:name="_GoBack"/>
        <w:bookmarkEnd w:id="1"/>
      </w:tr>
    </w:tbl>
    <w:p w14:paraId="127A4FD5" w14:textId="77777777" w:rsidR="00636EB2" w:rsidRDefault="00636EB2" w:rsidP="00441B6F">
      <w:pPr>
        <w:pStyle w:val="Body"/>
        <w:spacing w:after="0"/>
        <w:rPr>
          <w:rFonts w:ascii="Arial" w:hAnsi="Arial" w:cs="Arial"/>
          <w:i/>
        </w:rPr>
      </w:pPr>
    </w:p>
    <w:p w14:paraId="79556B54" w14:textId="097FCD3B" w:rsidR="00A24E7E" w:rsidRDefault="00A24E7E" w:rsidP="00441B6F">
      <w:pPr>
        <w:pStyle w:val="Body"/>
        <w:spacing w:after="0"/>
        <w:rPr>
          <w:rFonts w:ascii="Arial" w:hAnsi="Arial" w:cs="Arial"/>
          <w:i/>
        </w:rPr>
      </w:pPr>
      <w:r>
        <w:rPr>
          <w:rFonts w:ascii="Arial" w:hAnsi="Arial" w:cs="Arial"/>
          <w:i/>
        </w:rPr>
        <w:t xml:space="preserve">Keywords: </w:t>
      </w:r>
      <w:r w:rsidR="00B13088" w:rsidRPr="00B13088">
        <w:rPr>
          <w:rFonts w:ascii="Arial" w:hAnsi="Arial" w:cs="Arial"/>
          <w:i/>
        </w:rPr>
        <w:t xml:space="preserve">Nutrition education, </w:t>
      </w:r>
      <w:r w:rsidR="00B13088">
        <w:rPr>
          <w:rFonts w:ascii="Arial" w:hAnsi="Arial" w:cs="Arial"/>
          <w:i/>
        </w:rPr>
        <w:t>N</w:t>
      </w:r>
      <w:r w:rsidR="00B13088" w:rsidRPr="00B13088">
        <w:rPr>
          <w:rFonts w:ascii="Arial" w:hAnsi="Arial" w:cs="Arial"/>
          <w:i/>
        </w:rPr>
        <w:t xml:space="preserve">utritional monitoring, </w:t>
      </w:r>
      <w:r w:rsidR="00B13088">
        <w:rPr>
          <w:rFonts w:ascii="Arial" w:hAnsi="Arial" w:cs="Arial"/>
          <w:i/>
        </w:rPr>
        <w:t>T</w:t>
      </w:r>
      <w:r w:rsidR="00B13088" w:rsidRPr="00B13088">
        <w:rPr>
          <w:rFonts w:ascii="Arial" w:hAnsi="Arial" w:cs="Arial"/>
          <w:i/>
        </w:rPr>
        <w:t xml:space="preserve">ype 2 diabetes, </w:t>
      </w:r>
      <w:r w:rsidR="00B13088">
        <w:rPr>
          <w:rFonts w:ascii="Arial" w:hAnsi="Arial" w:cs="Arial"/>
          <w:i/>
        </w:rPr>
        <w:t>C</w:t>
      </w:r>
      <w:r w:rsidR="00B13088" w:rsidRPr="00B13088">
        <w:rPr>
          <w:rFonts w:ascii="Arial" w:hAnsi="Arial" w:cs="Arial"/>
          <w:i/>
        </w:rPr>
        <w:t xml:space="preserve">omorbidities, </w:t>
      </w:r>
      <w:r w:rsidR="00B13088">
        <w:rPr>
          <w:rFonts w:ascii="Arial" w:hAnsi="Arial" w:cs="Arial"/>
          <w:i/>
        </w:rPr>
        <w:t>D</w:t>
      </w:r>
      <w:r w:rsidR="00B13088" w:rsidRPr="00B13088">
        <w:rPr>
          <w:rFonts w:ascii="Arial" w:hAnsi="Arial" w:cs="Arial"/>
          <w:i/>
        </w:rPr>
        <w:t>ietary plan</w:t>
      </w:r>
    </w:p>
    <w:p w14:paraId="5D036442" w14:textId="77777777" w:rsidR="00790ADA" w:rsidRDefault="00790ADA" w:rsidP="00441B6F">
      <w:pPr>
        <w:pStyle w:val="Body"/>
        <w:spacing w:after="0"/>
        <w:rPr>
          <w:rFonts w:ascii="Arial" w:hAnsi="Arial" w:cs="Arial"/>
          <w:i/>
        </w:rPr>
      </w:pPr>
    </w:p>
    <w:p w14:paraId="47CA1EB7"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Introduction</w:t>
      </w:r>
    </w:p>
    <w:p w14:paraId="3009352A" w14:textId="77777777" w:rsidR="00B50B63" w:rsidRPr="00B50B63" w:rsidRDefault="00B50B63" w:rsidP="00B50B63">
      <w:pPr>
        <w:jc w:val="both"/>
        <w:rPr>
          <w:rFonts w:ascii="Arial" w:hAnsi="Arial" w:cs="Arial"/>
        </w:rPr>
      </w:pPr>
    </w:p>
    <w:p w14:paraId="6C494833" w14:textId="744A4C64" w:rsidR="00B50B63" w:rsidRPr="00B50B63" w:rsidRDefault="00B50B63" w:rsidP="00B50B63">
      <w:pPr>
        <w:jc w:val="both"/>
        <w:rPr>
          <w:rFonts w:ascii="Arial" w:hAnsi="Arial" w:cs="Arial"/>
        </w:rPr>
      </w:pPr>
      <w:r w:rsidRPr="00B50B63">
        <w:rPr>
          <w:rFonts w:ascii="Arial" w:hAnsi="Arial" w:cs="Arial"/>
        </w:rPr>
        <w:t>Type 2 Diabetes</w:t>
      </w:r>
      <w:r w:rsidR="00601813">
        <w:rPr>
          <w:rFonts w:ascii="Arial" w:hAnsi="Arial" w:cs="Arial"/>
        </w:rPr>
        <w:t xml:space="preserve"> </w:t>
      </w:r>
      <w:r w:rsidR="00601813" w:rsidRPr="00277351">
        <w:rPr>
          <w:rFonts w:ascii="Arial" w:hAnsi="Arial" w:cs="Arial"/>
          <w:color w:val="FF0000"/>
        </w:rPr>
        <w:t>(T2D)</w:t>
      </w:r>
      <w:r w:rsidRPr="00277351">
        <w:rPr>
          <w:rFonts w:ascii="Arial" w:hAnsi="Arial" w:cs="Arial"/>
          <w:color w:val="FF0000"/>
        </w:rPr>
        <w:t xml:space="preserve"> </w:t>
      </w:r>
      <w:r w:rsidRPr="00B50B63">
        <w:rPr>
          <w:rFonts w:ascii="Arial" w:hAnsi="Arial" w:cs="Arial"/>
        </w:rPr>
        <w:t xml:space="preserve">is considered one of the most significant health challenges in the world. According to the WHO, diabetes is a chronic condition brought on by insufficient insulin production by the pancreas or by inefficient insulin utilization by the body. This results in hyperglycemia, or an elevated blood glucose level </w:t>
      </w:r>
      <w:r w:rsidRPr="00B50B63">
        <w:rPr>
          <w:rFonts w:ascii="Arial" w:hAnsi="Arial" w:cs="Arial"/>
        </w:rPr>
        <w:fldChar w:fldCharType="begin" w:fldLock="1"/>
      </w:r>
      <w:r w:rsidRPr="00B50B63">
        <w:rPr>
          <w:rFonts w:ascii="Arial" w:hAnsi="Arial" w:cs="Arial"/>
        </w:rPr>
        <w:instrText>ADDIN CSL_CITATION {"citationItems":[{"id":"ITEM-1","itemData":{"URL":"https://www.un.org/en/observances/diabetes-day","abstract":"Diabetes is a major cause of blindness, kidney failure, heart attack, stroke and lower limb amputation. Healthy diet, physical activity and avoiding tobacco use can prevent or delay type 2 diabetes.","accessed":{"date-parts":[["2025","1","3"]]},"author":[{"dropping-particle":"","family":"WHO","given":"","non-dropping-particle":"","parse-names":false,"suffix":""}],"id":"ITEM-1","issued":{"date-parts":[["2024"]]},"title":"World Diabetes Day | United Nations","type":"webpage"},"uris":["http://www.mendeley.com/documents/?uuid=b99b6f4a-5d32-3875-8bd7-9070c9856bd0"]}],"mendeley":{"formattedCitation":"(WHO, 2024b)","plainTextFormattedCitation":"(WHO, 2024b)","previouslyFormattedCitation":"(WHO, 2024b)"},"properties":{"noteIndex":0},"schema":"https://github.com/citation-style-language/schema/raw/master/csl-citation.json"}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2024b)</w:t>
      </w:r>
      <w:r w:rsidRPr="00B50B63">
        <w:rPr>
          <w:rFonts w:ascii="Arial" w:hAnsi="Arial" w:cs="Arial"/>
        </w:rPr>
        <w:fldChar w:fldCharType="end"/>
      </w:r>
      <w:r w:rsidRPr="00B50B63">
        <w:rPr>
          <w:rFonts w:ascii="Arial" w:hAnsi="Arial" w:cs="Arial"/>
        </w:rPr>
        <w:t xml:space="preserve">. The International Diabetes Federation (IDF) estimates that there are currently 537 million people aged 20 to 79 living with </w:t>
      </w:r>
      <w:r w:rsidRPr="00B50B63">
        <w:rPr>
          <w:rFonts w:ascii="Arial" w:hAnsi="Arial" w:cs="Arial"/>
        </w:rPr>
        <w:lastRenderedPageBreak/>
        <w:t xml:space="preserve">diabetes, making up 10.5% of the world's population in this age group.  The  IDF predicts an increase of 10.7% of diabetics by 2030 and 10.9% by 2045 </w:t>
      </w:r>
      <w:r w:rsidRPr="00B50B63">
        <w:rPr>
          <w:rFonts w:ascii="Arial" w:hAnsi="Arial" w:cs="Arial"/>
        </w:rPr>
        <w:fldChar w:fldCharType="begin" w:fldLock="1"/>
      </w:r>
      <w:r w:rsidRPr="00B50B63">
        <w:rPr>
          <w:rFonts w:ascii="Arial" w:hAnsi="Arial" w:cs="Arial"/>
        </w:rPr>
        <w:instrText>ADDIN CSL_CITATION {"citationItems":[{"id":"ITEM-1","itemData":{"DOI":"10.1016/j.diabres.2013.10.013","ISBN":"9782930229980","ISSN":"18728227","author":[{"dropping-particle":"","family":"IDF","given":"","non-dropping-particle":"","parse-names":false,"suffix":""}],"container-title":"Diabetes Research and Clinical Practice","edition":"10TH editi","editor":[{"dropping-particle":"","family":"IDF Diabetes Atlas","given":"","non-dropping-particle":"","parse-names":false,"suffix":""}],"id":"ITEM-1","issue":"2","issued":{"date-parts":[["2021"]]},"number-of-pages":"147-148","title":"International Diabetes Federation","type":"book","volume":"102"},"uris":["http://www.mendeley.com/documents/?uuid=40837cac-5f55-412e-a451-7ec69be89acb"]}],"mendeley":{"formattedCitation":"(IDF, 2021)","plainTextFormattedCitation":"(IDF, 2021)","previouslyFormattedCitation":"(IDF,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(IDF, 2021)</w:t>
      </w:r>
      <w:r w:rsidRPr="00B50B63">
        <w:rPr>
          <w:rFonts w:ascii="Arial" w:hAnsi="Arial" w:cs="Arial"/>
        </w:rPr>
        <w:fldChar w:fldCharType="end"/>
      </w:r>
      <w:r w:rsidRPr="00B50B63">
        <w:rPr>
          <w:rFonts w:ascii="Arial" w:hAnsi="Arial" w:cs="Arial"/>
        </w:rPr>
        <w:t xml:space="preserve">.  Among the different types of diabetes, type II diabetes  is the most common worldwide, with a prevalence of 90% </w:t>
      </w:r>
      <w:r w:rsidRPr="00B50B63">
        <w:rPr>
          <w:rFonts w:ascii="Arial" w:hAnsi="Arial" w:cs="Arial"/>
        </w:rPr>
        <w:fldChar w:fldCharType="begin" w:fldLock="1"/>
      </w:r>
      <w:r w:rsidRPr="00B50B63">
        <w:rPr>
          <w:rFonts w:ascii="Arial" w:hAnsi="Arial" w:cs="Arial"/>
        </w:rPr>
        <w:instrText>ADDIN CSL_CITATION {"citationItems":[{"id":"ITEM-1","itemData":{"ISBN":"9782930229874","author":[{"dropping-particle":"","family":"Williams","given":"Rhys","non-dropping-particle":"","parse-names":false,"suffix":""}],"container-title":"Atlas du diabète de la FID","id":"ITEM-1","issued":{"date-parts":[["2019"]]},"number-of-pages":"176","title":"L’ATLAS DU DIABÈTE DE LA FID 9ème Édition 2019","type":"book","volume":"9ème éditi"},"uris":["http://www.mendeley.com/documents/?uuid=66e4a331-f6bb-40e8-a3ac-e8e2b497f0ff"]}],"mendeley":{"formattedCitation":"(Williams, 2019)","plainTextFormattedCitation":"(Williams, 2019)","previouslyFormattedCitation":"(Williams,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(Williams, 2019)</w:t>
      </w:r>
      <w:r w:rsidRPr="00B50B63">
        <w:rPr>
          <w:rFonts w:ascii="Arial" w:hAnsi="Arial" w:cs="Arial"/>
        </w:rPr>
        <w:fldChar w:fldCharType="end"/>
      </w:r>
      <w:r w:rsidRPr="00B50B63">
        <w:rPr>
          <w:rFonts w:ascii="Arial" w:hAnsi="Arial" w:cs="Arial"/>
        </w:rPr>
        <w:t xml:space="preserve">. In 2021, there were an anticipated 24 million diabetics in Africa; by 2045, that number is expected to rise by 129% to 55 million. This high prevalence of </w:t>
      </w:r>
      <w:r w:rsidR="00601813">
        <w:rPr>
          <w:rFonts w:ascii="Arial" w:hAnsi="Arial" w:cs="Arial"/>
          <w:color w:val="FF0000"/>
        </w:rPr>
        <w:t>T2D</w:t>
      </w:r>
      <w:r w:rsidRPr="00B50B63">
        <w:rPr>
          <w:rFonts w:ascii="Arial" w:hAnsi="Arial" w:cs="Arial"/>
        </w:rPr>
        <w:t xml:space="preserve"> in Africa is partly due to the modernization, increased consumption of high-calorie foods and reduced physical activity leading to obesity </w:t>
      </w:r>
      <w:r w:rsidRPr="00B50B63">
        <w:rPr>
          <w:rFonts w:ascii="Arial" w:hAnsi="Arial" w:cs="Arial"/>
        </w:rPr>
        <w:fldChar w:fldCharType="begin" w:fldLock="1"/>
      </w:r>
      <w:r w:rsidRPr="00B50B63">
        <w:rPr>
          <w:rFonts w:ascii="Arial" w:hAnsi="Arial" w:cs="Arial"/>
        </w:rPr>
        <w:instrText>ADDIN CSL_CITATION {"citationItems":[{"id":"ITEM-1","itemData":{"abstract":"Demographic, sociocultural, and economic transitions are driving increases in the risk and prevalence of diabetes and other noncommunicable diseases. To achieve the SDG targets, African countries are tackling multidimensional challenges from communicable diseases and increasing trends of noncommunicable diseases. Diabetes imposes an economic burden on Africa, including catastrophic spending in controlling the disease at the individual level. Diabetes is the priority disease that must be tackled to achieve the SDG target of reducing by one third premature mortality from noncommunicable diseases by 2030.","author":[{"dropping-particle":"","family":"NCD Team","given":"","non-dropping-particle":"","parse-names":false,"suffix":""}],"container-title":"WHO: Integrated African Health Observatory","id":"ITEM-1","issue":"March","issued":{"date-parts":[["2023"]]},"page":"1-9","title":"Analytical Fact Sheet Diabetes , a silent killer in Africa","type":"article-journal"},"uris":["http://www.mendeley.com/documents/?uuid=6eedeece-be23-4c0c-8b74-4553811999bd"]}],"mendeley":{"formattedCitation":"(NCD Team, 2023)","plainTextFormattedCitation":"(NCD Team, 2023)","previouslyFormattedCitation":"(NCD Team,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(NCD Team, 2023)</w:t>
      </w:r>
      <w:r w:rsidRPr="00B50B63">
        <w:rPr>
          <w:rFonts w:ascii="Arial" w:hAnsi="Arial" w:cs="Arial"/>
        </w:rPr>
        <w:fldChar w:fldCharType="end"/>
      </w:r>
      <w:r w:rsidRPr="00B50B63">
        <w:rPr>
          <w:rFonts w:ascii="Arial" w:hAnsi="Arial" w:cs="Arial"/>
        </w:rPr>
        <w:t xml:space="preserve">. </w:t>
      </w:r>
      <w:r w:rsidRPr="00277351">
        <w:rPr>
          <w:rFonts w:ascii="Arial" w:hAnsi="Arial" w:cs="Arial"/>
          <w:color w:val="FF0000"/>
        </w:rPr>
        <w:t>T2D</w:t>
      </w:r>
      <w:r w:rsidRPr="00B50B63">
        <w:rPr>
          <w:rFonts w:ascii="Arial" w:hAnsi="Arial" w:cs="Arial"/>
        </w:rPr>
        <w:t xml:space="preserve"> is difficult to detect at the start of the pathology. Thus, chronically high or poorly controlled blood sugar ultimately affects many organs: the heart, liver, kidneys, eyes and blood vessels.    </w:t>
      </w:r>
    </w:p>
    <w:p w14:paraId="5263B25B" w14:textId="788726C1" w:rsidR="00B50B63" w:rsidRPr="00B50B63" w:rsidRDefault="00B50B63" w:rsidP="00B50B63">
      <w:pPr>
        <w:jc w:val="both"/>
        <w:rPr>
          <w:rFonts w:ascii="Arial" w:hAnsi="Arial" w:cs="Arial"/>
        </w:rPr>
      </w:pPr>
      <w:r w:rsidRPr="00B50B63">
        <w:rPr>
          <w:rFonts w:ascii="Arial" w:hAnsi="Arial" w:cs="Arial"/>
        </w:rPr>
        <w:t xml:space="preserve">In Chad, the prevalence of diabetes is high and amounts to 5.8% of the population aged 20-75. Among them 85% have </w:t>
      </w:r>
      <w:r w:rsidR="005A75CD" w:rsidRPr="00277351">
        <w:rPr>
          <w:rFonts w:ascii="Arial" w:hAnsi="Arial" w:cs="Arial"/>
          <w:color w:val="FF0000"/>
        </w:rPr>
        <w:t>T2D</w:t>
      </w:r>
      <w:r w:rsidR="005A75CD">
        <w:rPr>
          <w:rFonts w:ascii="Arial" w:hAnsi="Arial" w:cs="Arial"/>
        </w:rPr>
        <w:t xml:space="preserve"> </w:t>
      </w:r>
      <w:r w:rsidRPr="00B50B63">
        <w:rPr>
          <w:rFonts w:ascii="Arial" w:hAnsi="Arial" w:cs="Arial"/>
        </w:rPr>
        <w:fldChar w:fldCharType="begin" w:fldLock="1"/>
      </w:r>
      <w:r w:rsidRPr="00B50B63">
        <w:rPr>
          <w:rFonts w:ascii="Arial" w:hAnsi="Arial" w:cs="Arial"/>
        </w:rPr>
        <w:instrText>ADDIN CSL_CITATION {"citationItems":[{"id":"ITEM-1","itemData":{"PMID":"22368951","author":[{"dropping-particle":"","family":"Dionadji M, Boy B, Mouanodji M","given":"Batakao G","non-dropping-particle":"","parse-names":false,"suffix":""}],"container-title":"Medecine Tropicale : Revue du Corps de Sante Colonial","id":"ITEM-1","issue":"4","issued":{"date-parts":[["2010"]]},"page":"414-415","title":"Prevalence of diabetes mellitus in rural areas in Chad","type":"article-journal","volume":"70"},"uris":["http://www.mendeley.com/documents/?uuid=1862a47b-49cd-4fe1-91c6-da2a0b475a18"]}],"mendeley":{"formattedCitation":"(Dionadji M, Boy B, Mouanodji M, 2010)","plainTextFormattedCitation":"(Dionadji M, Boy B, Mouanodji M, 2010)","previouslyFormattedCitation":"(Dionadji M, Boy B, Mouanodji M,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proofErr w:type="spellStart"/>
      <w:r w:rsidRPr="00B50B63">
        <w:rPr>
          <w:rFonts w:ascii="Arial" w:hAnsi="Arial" w:cs="Arial"/>
        </w:rPr>
        <w:t>Dionadji</w:t>
      </w:r>
      <w:proofErr w:type="spellEnd"/>
      <w:r w:rsidRPr="00B50B63">
        <w:rPr>
          <w:rFonts w:ascii="Arial" w:hAnsi="Arial" w:cs="Arial"/>
        </w:rPr>
        <w:t xml:space="preserve"> M, Boy B, Mouanodji M, 2010)</w:t>
      </w:r>
      <w:r w:rsidRPr="00B50B63">
        <w:rPr>
          <w:rFonts w:ascii="Arial" w:hAnsi="Arial" w:cs="Arial"/>
        </w:rPr>
        <w:fldChar w:fldCharType="end"/>
      </w:r>
      <w:r w:rsidRPr="00B50B63">
        <w:rPr>
          <w:rFonts w:ascii="Arial" w:hAnsi="Arial" w:cs="Arial"/>
        </w:rPr>
        <w:t xml:space="preserve">. The hospital prevalence of diabetes at the National Reference University Hospital Center was 4% with a predominance of </w:t>
      </w:r>
      <w:r w:rsidR="005A75CD" w:rsidRPr="00277351">
        <w:rPr>
          <w:rFonts w:ascii="Arial" w:hAnsi="Arial" w:cs="Arial"/>
          <w:color w:val="FF0000"/>
        </w:rPr>
        <w:t>T2D</w:t>
      </w:r>
      <w:r w:rsidRPr="00B50B63">
        <w:rPr>
          <w:rFonts w:ascii="Arial" w:hAnsi="Arial" w:cs="Arial"/>
        </w:rPr>
        <w:t xml:space="preserve"> (89.6%)</w:t>
      </w:r>
      <w:r w:rsidRPr="00B50B63">
        <w:rPr>
          <w:rFonts w:ascii="Arial" w:hAnsi="Arial" w:cs="Arial"/>
        </w:rPr>
        <w:fldChar w:fldCharType="begin" w:fldLock="1"/>
      </w:r>
      <w:r w:rsidRPr="00B50B63">
        <w:rPr>
          <w:rFonts w:ascii="Arial" w:hAnsi="Arial" w:cs="Arial"/>
        </w:rPr>
        <w:instrText>ADDIN CSL_CITATION {"citationItems":[{"id":"ITEM-1","itemData":{"ISSN":"2309-6535","abstract":"RÉSUMÉINTRODUCTION. La prévalence du diabète au Tchad est importante et se chiffre à 12,9% chez les personnes de 55 ans et plus en milieu urbain. Mais malgré cela il n’existe aucune donnée sur sa morbimortalité. Ce travail a voulu combler partiellement ce vide. Il avait pour but de décrire les complications médicales du diabète en milieu hospitalier à N’Djamena.MÉTHODE. Il s’agit d’une étude rétrospective couvrant une période de 06 ans (Janvier 2007 à Décembre 2013), qui a porté sur 1481 dossiers de patients hospitalisés dans les services de médecine de l’hôpital général de référence nationale. Les données étudiées étaient la fréquence des complications médicales ainsi que les pathologies fréquemment associées.RÉSULTATS. La fréquence hospitalière du diabète était de 4% avec prédominance du type 2 (89,6%). Le sex-ratio était Homme /femme était de 1,8 et l’âge moyen des patients était de 51ans. L’évolution moyenne du diabète était de 4,4 ans. Le niveau d’équilibre était médiocre avec une hémoglobine glyquée moyenne de 8,3%. Les principales complications étaient le suivantes : cétoacidose (35,9%), plaies diabétiques (21,9%), myocardiopathies hypertensives (12%) et rétinopathies (10,5%). Les pathologies associées étaient les suivantes: anémies (36,4%), hypertension artérielle (31,9%) et l’obésité (30%). Le taux de mortalité était de 16,4%. Les principales causes de mortalité étaient l’insuffisance rénale (44%), le neuropaludisme (36%), l’accident vasculaire cérébral (30%) et les plaies diabétiques (21%).CONCLUSION. À N’djamena, le diabète est plus fréquent chez les hommes et il est en règle mal équilibré. Les complications chroniques apparaissent tôt et le taux de mortalité est élevé. Les causes de mortalité les plus fréquentes sont l’insuffisance rénale, le neuropaludisme, et les accidents vasculaires cérébraux. SUMMARYINTRODUCTION. The prevalence of diabetes in Chad is high with a rate of about 12.9% among people aged 55 years and older in urban areas. Despite this, data on morbidity and mortality are scarce and rarely available. The work was undertaken to determine the prevalence of medical complications in diabetic inpatients of N’Djamena. METHODS. This was a retrospective study covering a period of 6 years ( January 2007-December 2013 ). 1481 records of patients hospitalized in the medical services of Hôpital Général de Référence Nationale. Retrieved data were the frequency of medical complications and associated pathologies.RESULTS. The hospital preva…","author":[{"dropping-particle":"","family":"Dionadji","given":"Mbainguinam","non-dropping-particle":"","parse-names":false,"suffix":""},{"dropping-particle":"","family":"Oumar","given":"A","non-dropping-particle":"","parse-names":false,"suffix":""},{"dropping-particle":"","family":"Nodjito","given":"M","non-dropping-particle":"","parse-names":false,"suffix":""},{"dropping-particle":"","family":"Ibrahim","given":"A","non-dropping-particle":"","parse-names":false,"suffix":""}],"container-title":"Health Sciences and Diseases","id":"ITEM-1","issue":"3","issued":{"date-parts":[["2015"]]},"page":"1-4","title":"Prévalence des complications médicales chez les Diabétiques Hospitalisés à l’Hôpital Général de Référence Nationale de Ndjamena","type":"article","volume":"16"},"uris":["http://www.mendeley.com/documents/?uuid=fe97f101-b923-4d3c-b26f-5cc3a2c1ba03"]}],"mendeley":{"formattedCitation":"(Dionadji et al., 2015)","plainTextFormattedCitation":"(Dionadji et al., 2015)","previouslyFormattedCitation":"(Dionadji et al., 2015)"},"properties":{"noteIndex":0},"schema":"https://github.com/citation-style-language/schema/raw/master/csl-citation.json"}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proofErr w:type="spellStart"/>
      <w:r w:rsidRPr="00B50B63">
        <w:rPr>
          <w:rFonts w:ascii="Arial" w:hAnsi="Arial" w:cs="Arial"/>
        </w:rPr>
        <w:t>Dionadji</w:t>
      </w:r>
      <w:proofErr w:type="spellEnd"/>
      <w:r w:rsidRPr="00B50B63">
        <w:rPr>
          <w:rFonts w:ascii="Arial" w:hAnsi="Arial" w:cs="Arial"/>
        </w:rPr>
        <w:t xml:space="preserve"> et al., 2015)</w:t>
      </w:r>
      <w:r w:rsidRPr="00B50B63">
        <w:rPr>
          <w:rFonts w:ascii="Arial" w:hAnsi="Arial" w:cs="Arial"/>
        </w:rPr>
        <w:fldChar w:fldCharType="end"/>
      </w:r>
      <w:r w:rsidRPr="00B50B63">
        <w:rPr>
          <w:rFonts w:ascii="Arial" w:hAnsi="Arial" w:cs="Arial"/>
        </w:rPr>
        <w:t>.</w:t>
      </w:r>
    </w:p>
    <w:p w14:paraId="55BE2134" w14:textId="5F09788D" w:rsidR="00B50B63" w:rsidRPr="00B50B63" w:rsidRDefault="00B50B63" w:rsidP="00B50B63">
      <w:pPr>
        <w:jc w:val="both"/>
        <w:rPr>
          <w:rFonts w:ascii="Arial" w:hAnsi="Arial" w:cs="Arial"/>
        </w:rPr>
      </w:pPr>
      <w:r w:rsidRPr="00B50B63">
        <w:rPr>
          <w:rFonts w:ascii="Arial" w:hAnsi="Arial" w:cs="Arial"/>
        </w:rPr>
        <w:t xml:space="preserve">The management of </w:t>
      </w:r>
      <w:r w:rsidR="00601813" w:rsidRPr="00277351">
        <w:rPr>
          <w:rFonts w:ascii="Arial" w:hAnsi="Arial" w:cs="Arial"/>
          <w:color w:val="FF0000"/>
        </w:rPr>
        <w:t>T2D</w:t>
      </w:r>
      <w:r w:rsidRPr="00B50B63">
        <w:rPr>
          <w:rFonts w:ascii="Arial" w:hAnsi="Arial" w:cs="Arial"/>
        </w:rPr>
        <w:t xml:space="preserve"> occurs at several levels. It first includes patient education, diet, physical activity and if necessary, drug treatment. Hygiene-dietary measures (HDM) constitute the focal point of care; it aims to maintain blood sugar and glycated hemoglobin within the normal range in order to prevent acute and chronic complications, to cover nutritional needs, and to preserve the patient's quality of life </w:t>
      </w:r>
      <w:r w:rsidRPr="00B50B63">
        <w:rPr>
          <w:rFonts w:ascii="Arial" w:hAnsi="Arial" w:cs="Arial"/>
        </w:rPr>
        <w:fldChar w:fldCharType="begin" w:fldLock="1"/>
      </w:r>
      <w:r w:rsidRPr="00B50B63">
        <w:rPr>
          <w:rFonts w:ascii="Arial" w:hAnsi="Arial" w:cs="Arial"/>
        </w:rPr>
        <w:instrText>ADDIN CSL_CITATION {"citationItems":[{"id":"ITEM-1","itemData":{"DOI":"10.1111/jdi.14043","ISSN":"20401124","PMID":"37337794","author":[{"dropping-particle":"","family":"Yeh","given":"Yun Kai","non-dropping-particle":"","parse-names":false,"suffix":""},{"dropping-particle":"","family":"Yen","given":"Fu Shun","non-dropping-particle":"","parse-names":false,"suffix":""},{"dropping-particle":"","family":"Hwu","given":"Chii Min","non-dropping-particle":"","parse-names":false,"suffix":""}],"container-title":"Journal of Diabetes Investigation","id":"ITEM-1","issue":"8","issued":{"date-parts":[["2023"]]},"page":"936-939","title":"Diet and exercise are a fundamental part of comprehensive care for type 2 diabetes","type":"article-journal","volume":"14"},"uris":["http://www.mendeley.com/documents/?uuid=b31a07b8-dfaf-462f-9680-feb92e70e112"]}],"mendeley":{"formattedCitation":"(Yeh et al., 2023)","plainTextFormattedCitation":"(Yeh et al., 2023)","previouslyFormattedCitation":"(Yeh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(Yeh et al., 2023)</w:t>
      </w:r>
      <w:r w:rsidRPr="00B50B63">
        <w:rPr>
          <w:rFonts w:ascii="Arial" w:hAnsi="Arial" w:cs="Arial"/>
        </w:rPr>
        <w:fldChar w:fldCharType="end"/>
      </w:r>
      <w:r w:rsidRPr="00B50B63">
        <w:rPr>
          <w:rFonts w:ascii="Arial" w:hAnsi="Arial" w:cs="Arial"/>
        </w:rPr>
        <w:t xml:space="preserve">. Nutrition monitoring is essential to prevent the development of chronic complications in </w:t>
      </w:r>
      <w:r w:rsidR="00601813" w:rsidRPr="00277351">
        <w:rPr>
          <w:rFonts w:ascii="Arial" w:hAnsi="Arial" w:cs="Arial"/>
          <w:color w:val="FF0000"/>
        </w:rPr>
        <w:t>T2D</w:t>
      </w:r>
      <w:r w:rsidRPr="00B50B63">
        <w:rPr>
          <w:rFonts w:ascii="Arial" w:hAnsi="Arial" w:cs="Arial"/>
        </w:rPr>
        <w:t xml:space="preserve"> </w:t>
      </w:r>
      <w:r w:rsidRPr="00B50B63">
        <w:rPr>
          <w:rFonts w:ascii="Arial" w:hAnsi="Arial" w:cs="Arial"/>
        </w:rPr>
        <w:fldChar w:fldCharType="begin" w:fldLock="1"/>
      </w:r>
      <w:r w:rsidRPr="00B50B63">
        <w:rPr>
          <w:rFonts w:ascii="Arial" w:hAnsi="Arial" w:cs="Arial"/>
        </w:rPr>
        <w:instrText>ADDIN CSL_CITATION {"citationItems":[{"id":"ITEM-1","itemData":{"DOI":"10.3390/nu15245096","ISSN":"20726643","PMID":"38140355","abstract":"Background: Thinking about greater adherence to dietary planning, it is extremely important to be aware of all nutritional strategies and dietary prescriptions available in the literature, and of which of them is the most efficient for the management of T2DM. Methods: A search was carried out in 2023 for randomized clinical trials, systematic reviews, meta-analyses, and guidelines in the following databases: Pubmed, Scielo, Web of Science, CrossRef and Google Scholar. In total, 202 articles were collected and analyzed. The period of publications was 1983–2023. Results: There is still no consensus on what the best nutritional strategy or ideal dietary prescription is, and individuality is necessary. In any case, these references suggest that Mediterranean Diet may of greater interest for the management of T2DM, with the following recommended dietary prescription: 40–50% carbohydrates; 15–25% proteins; 25–35% fats (&lt;7% saturated, 10% polyunsaturated, and 10% monounsaturated); at least 14 g of fiber for every 1000 kcal consumed; and &lt;2300 mg sodium. Conclusions: Individuality is the gold standard for dietary prescriptions, however, the Mediterranean diet with low levels of carbohydrates and fats seems to be the most promising strategy for the management of T2DM.","author":[{"dropping-particle":"","family":"Minari","given":"Tatiana Palotta","non-dropping-particle":"","parse-names":false,"suffix":""},{"dropping-particle":"","family":"Tácito","given":"Lúcia Helena Bonalume","non-dropping-particle":"","parse-names":false,"suffix":""},{"dropping-particle":"","family":"Yugar","given":"Louise Buonalumi Tácito","non-dropping-particle":"","parse-names":false,"suffix":""},{"dropping-particle":"","family":"Ferreira-Melo","given":"Sílvia Elaine","non-dropping-particle":"","parse-names":false,"suffix":""},{"dropping-particle":"","family":"Manzano","given":"Carolina Freitas","non-dropping-particle":"","parse-names":false,"suffix":""},{"dropping-particle":"","family":"Pires","given":"Antônio Carlos","non-dropping-particle":"","parse-names":false,"suffix":""},{"dropping-particle":"","family":"Moreno","given":"Heitor","non-dropping-particle":"","parse-names":false,"suffix":""},{"dropping-particle":"","family":"Vilela-Martin","given":"José Fernando","non-dropping-particle":"","parse-names":false,"suffix":""},{"dropping-particle":"","family":"Cosenso-Martin","given":"Luciana Neves","non-dropping-particle":"","parse-names":false,"suffix":""},{"dropping-particle":"","family":"Yugar-Toledo","given":"Juan Carlos","non-dropping-particle":"","parse-names":false,"suffix":""}],"container-title":"Nutrients","id":"ITEM-1","issue":"24","issued":{"date-parts":[["2023"]]},"page":"1-27","title":"Nutritional Strategies for the Management of Type 2 Diabetes Mellitus: A Narrative Review","type":"article-journal","volume":"15"},"uris":["http://www.mendeley.com/documents/?uuid=81d137de-d5d2-4f5f-9c05-f3b094fa7427"]}],"mendeley":{"formattedCitation":"(Minari et al., 2023)","plainTextFormattedCitation":"(Minari et al., 2023)","previouslyFormattedCitation":"(Minari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proofErr w:type="spellStart"/>
      <w:r w:rsidRPr="00B50B63">
        <w:rPr>
          <w:rFonts w:ascii="Arial" w:hAnsi="Arial" w:cs="Arial"/>
        </w:rPr>
        <w:t>Minari</w:t>
      </w:r>
      <w:proofErr w:type="spellEnd"/>
      <w:r w:rsidRPr="00B50B63">
        <w:rPr>
          <w:rFonts w:ascii="Arial" w:hAnsi="Arial" w:cs="Arial"/>
        </w:rPr>
        <w:t xml:space="preserve"> et al., 2023)</w:t>
      </w:r>
      <w:r w:rsidRPr="00B50B63">
        <w:rPr>
          <w:rFonts w:ascii="Arial" w:hAnsi="Arial" w:cs="Arial"/>
        </w:rPr>
        <w:fldChar w:fldCharType="end"/>
      </w:r>
      <w:r w:rsidRPr="00B50B63">
        <w:rPr>
          <w:rFonts w:ascii="Arial" w:hAnsi="Arial" w:cs="Arial"/>
        </w:rPr>
        <w:t>.</w:t>
      </w:r>
    </w:p>
    <w:p w14:paraId="7A0CA10D" w14:textId="15B9CB94" w:rsidR="00B50B63" w:rsidRPr="00B50B63" w:rsidRDefault="00B50B63" w:rsidP="00B50B63">
      <w:pPr>
        <w:jc w:val="both"/>
        <w:rPr>
          <w:rFonts w:ascii="Arial" w:hAnsi="Arial" w:cs="Arial"/>
        </w:rPr>
      </w:pPr>
      <w:r w:rsidRPr="00B50B63">
        <w:rPr>
          <w:rFonts w:ascii="Arial" w:hAnsi="Arial" w:cs="Arial"/>
        </w:rPr>
        <w:t xml:space="preserve">The National Reference General Hospital in the city of N’Djamena (NRGHNC) welcomes diabetic patients. However, nutritional monitoring of these patients is lacking. Given the importance of nutrition for the latter, understanding the effects of traditional African cuisine, characterized by locally sourced ingredients and traditional cooking techniques, on </w:t>
      </w:r>
      <w:r w:rsidR="00601813" w:rsidRPr="00277351">
        <w:rPr>
          <w:rFonts w:ascii="Arial" w:hAnsi="Arial" w:cs="Arial"/>
          <w:color w:val="FF0000"/>
        </w:rPr>
        <w:t>T2D</w:t>
      </w:r>
      <w:r w:rsidRPr="00B50B63">
        <w:rPr>
          <w:rFonts w:ascii="Arial" w:hAnsi="Arial" w:cs="Arial"/>
        </w:rPr>
        <w:t xml:space="preserve"> management is crucial. This study seeks to examine the impact of nutrition education and monitoring on the health outcomes of type 2 diabetic patients receiving care at the NRUHC. Hence, the specific objectives of this investigation were to: (1) characterize the sociodemographic profile of the study population; (2) assess patients' knowledge and dietary habits; and (3) evaluate the efficacy of a tailored dietary plan on anthropometric measures (including Body Mass Index) and biochemical indicators (such as fasting blood glucose, glycated hemoglobin, triglycerides, creatinine, total cholesterol, LDL, and HDL).</w:t>
      </w:r>
    </w:p>
    <w:p w14:paraId="518B75C5" w14:textId="77777777" w:rsidR="00B50B63" w:rsidRPr="00B50B63" w:rsidRDefault="00B50B63" w:rsidP="00B50B63">
      <w:pPr>
        <w:jc w:val="both"/>
        <w:rPr>
          <w:rFonts w:ascii="Arial" w:hAnsi="Arial" w:cs="Arial"/>
        </w:rPr>
      </w:pPr>
    </w:p>
    <w:p w14:paraId="6E31DEC1"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Methods</w:t>
      </w:r>
    </w:p>
    <w:p w14:paraId="0A3B8A4D" w14:textId="77777777" w:rsidR="00B50B63" w:rsidRPr="00B50B63" w:rsidRDefault="00B50B63" w:rsidP="00B50B63">
      <w:pPr>
        <w:jc w:val="both"/>
        <w:rPr>
          <w:rFonts w:ascii="Arial" w:hAnsi="Arial" w:cs="Arial"/>
          <w:b/>
          <w:caps/>
        </w:rPr>
      </w:pPr>
    </w:p>
    <w:p w14:paraId="29356CF0"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Study population</w:t>
      </w:r>
    </w:p>
    <w:p w14:paraId="01A0F92D" w14:textId="77777777" w:rsidR="00B50B63" w:rsidRPr="00B50B63" w:rsidRDefault="00B50B63" w:rsidP="00B50B63">
      <w:pPr>
        <w:jc w:val="both"/>
        <w:rPr>
          <w:rFonts w:ascii="Arial" w:hAnsi="Arial" w:cs="Arial"/>
          <w:b/>
        </w:rPr>
      </w:pPr>
    </w:p>
    <w:p w14:paraId="1783D97D" w14:textId="13C3B753" w:rsidR="00B50B63" w:rsidRPr="00B50B63" w:rsidRDefault="00B50B63" w:rsidP="00B50B63">
      <w:pPr>
        <w:jc w:val="both"/>
        <w:rPr>
          <w:rFonts w:ascii="Arial" w:hAnsi="Arial" w:cs="Arial"/>
        </w:rPr>
      </w:pPr>
      <w:r w:rsidRPr="00B50B63">
        <w:rPr>
          <w:rFonts w:ascii="Arial" w:hAnsi="Arial" w:cs="Arial"/>
        </w:rPr>
        <w:t xml:space="preserve">A </w:t>
      </w:r>
      <w:r w:rsidR="000D55C4" w:rsidRPr="00277351">
        <w:rPr>
          <w:rFonts w:ascii="Arial" w:hAnsi="Arial" w:cs="Arial"/>
          <w:color w:val="FF0000"/>
        </w:rPr>
        <w:t xml:space="preserve">controlled trial </w:t>
      </w:r>
      <w:r w:rsidRPr="00277351">
        <w:rPr>
          <w:rFonts w:ascii="Arial" w:hAnsi="Arial" w:cs="Arial"/>
          <w:color w:val="FF0000"/>
        </w:rPr>
        <w:t xml:space="preserve">study </w:t>
      </w:r>
      <w:r w:rsidRPr="00B50B63">
        <w:rPr>
          <w:rFonts w:ascii="Arial" w:hAnsi="Arial" w:cs="Arial"/>
        </w:rPr>
        <w:t>was conducted in the Endocrinology and Diabetology Department of the NRGHNC for over twelve weeks, from July to October 2023, with the authorization granted by the Deputy Director General of the Hospital. The study focused on type 2 diabetic patients (regardless of their age and gender) admitted to the endocrinology-diabetology unit of the NRGHNC who gave their consent. The sample size was determined based on the Lorentz formula (equation 1):</w:t>
      </w:r>
    </w:p>
    <w:p w14:paraId="383B5559" w14:textId="77777777" w:rsidR="00B50B63" w:rsidRPr="00B50B63" w:rsidRDefault="00B50B63" w:rsidP="00B50B63">
      <w:pPr>
        <w:jc w:val="both"/>
        <w:rPr>
          <w:rFonts w:ascii="Arial" w:hAnsi="Arial" w:cs="Arial"/>
        </w:rPr>
      </w:pPr>
      <m:oMath>
        <m:r>
          <w:rPr>
            <w:rFonts w:ascii="Cambria Math" w:hAnsi="Cambria Math" w:cs="Arial"/>
          </w:rPr>
          <m:t>n</m:t>
        </m:r>
        <m:r>
          <m:rPr>
            <m:sty m:val="p"/>
          </m:rPr>
          <w:rPr>
            <w:rFonts w:ascii="Cambria Math" w:hAnsi="Cambria Math" w:cs="Arial"/>
          </w:rPr>
          <m:t>=</m:t>
        </m:r>
        <m:r>
          <w:rPr>
            <w:rFonts w:ascii="Cambria Math" w:hAnsi="Cambria Math" w:cs="Arial"/>
          </w:rPr>
          <m:t>p</m:t>
        </m:r>
        <m:d>
          <m:dPr>
            <m:ctrlPr>
              <w:rPr>
                <w:rFonts w:ascii="Cambria Math" w:hAnsi="Cambria Math" w:cs="Arial"/>
              </w:rPr>
            </m:ctrlPr>
          </m:dPr>
          <m:e>
            <m:r>
              <m:rPr>
                <m:sty m:val="p"/>
              </m:rPr>
              <w:rPr>
                <w:rFonts w:ascii="Cambria Math" w:hAnsi="Cambria Math" w:cs="Arial"/>
              </w:rPr>
              <m:t>1-</m:t>
            </m:r>
            <m:r>
              <w:rPr>
                <w:rFonts w:ascii="Cambria Math" w:hAnsi="Cambria Math" w:cs="Arial"/>
              </w:rPr>
              <m:t>p</m:t>
            </m:r>
          </m:e>
        </m:d>
        <m:r>
          <m:rPr>
            <m:sty m:val="p"/>
          </m:rPr>
          <w:rPr>
            <w:rFonts w:ascii="Cambria Math" w:hAnsi="Cambria Math" w:cs="Arial"/>
          </w:rPr>
          <m:t xml:space="preserve"> x </m:t>
        </m:r>
        <m:f>
          <m:fPr>
            <m:ctrlPr>
              <w:rPr>
                <w:rFonts w:ascii="Cambria Math" w:hAnsi="Cambria Math" w:cs="Arial"/>
              </w:rPr>
            </m:ctrlPr>
          </m:fPr>
          <m:num>
            <m:r>
              <w:rPr>
                <w:rFonts w:ascii="Cambria Math" w:hAnsi="Cambria Math" w:cs="Arial"/>
              </w:rPr>
              <m:t>Zα</m:t>
            </m:r>
            <m:r>
              <m:rPr>
                <m:sty m:val="p"/>
              </m:rPr>
              <w:rPr>
                <w:rFonts w:ascii="Cambria Math" w:hAnsi="Cambria Math" w:cs="Arial"/>
              </w:rPr>
              <m:t>²</m:t>
            </m:r>
          </m:num>
          <m:den>
            <m:r>
              <w:rPr>
                <w:rFonts w:ascii="Cambria Math" w:hAnsi="Cambria Math" w:cs="Arial"/>
              </w:rPr>
              <m:t>i</m:t>
            </m:r>
            <m:r>
              <m:rPr>
                <m:sty m:val="p"/>
              </m:rPr>
              <w:rPr>
                <w:rFonts w:ascii="Cambria Math" w:hAnsi="Cambria Math" w:cs="Arial"/>
              </w:rPr>
              <m:t>²</m:t>
            </m:r>
          </m:den>
        </m:f>
      </m:oMath>
      <w:r w:rsidRPr="00B50B63">
        <w:rPr>
          <w:rFonts w:ascii="Arial" w:hAnsi="Arial" w:cs="Arial"/>
        </w:rPr>
        <w:t xml:space="preserve">  (1)</w:t>
      </w:r>
    </w:p>
    <w:p w14:paraId="5745FA81" w14:textId="565C945D" w:rsidR="00B50B63" w:rsidRPr="00B50B63" w:rsidRDefault="00B50B63" w:rsidP="00B50B63">
      <w:pPr>
        <w:jc w:val="both"/>
        <w:rPr>
          <w:rFonts w:ascii="Arial" w:hAnsi="Arial" w:cs="Arial"/>
        </w:rPr>
      </w:pPr>
      <w:r w:rsidRPr="00B50B63">
        <w:rPr>
          <w:rFonts w:ascii="Arial" w:hAnsi="Arial" w:cs="Arial"/>
        </w:rPr>
        <w:t xml:space="preserve">Where </w:t>
      </w:r>
      <m:oMath>
        <m:r>
          <w:rPr>
            <w:rFonts w:ascii="Cambria Math" w:hAnsi="Cambria Math" w:cs="Arial"/>
            <w:color w:val="FF0000"/>
          </w:rPr>
          <m:t>p</m:t>
        </m:r>
      </m:oMath>
      <w:r w:rsidR="00EA344E" w:rsidRPr="00277351" w:rsidDel="00EA344E">
        <w:rPr>
          <w:rFonts w:ascii="Arial" w:hAnsi="Arial" w:cs="Arial"/>
          <w:color w:val="FF0000"/>
        </w:rPr>
        <w:t xml:space="preserve"> </w:t>
      </w:r>
      <w:r w:rsidRPr="00B50B63">
        <w:rPr>
          <w:rFonts w:ascii="Arial" w:hAnsi="Arial" w:cs="Arial"/>
        </w:rPr>
        <w:t xml:space="preserve"> is the prevalence of hyperglycemic people in Chad, (6% among people aged 20–75 years); Zα is the confidence level for the accepted statistical risk (1.96 for the 5% risk) and </w:t>
      </w:r>
      <w:proofErr w:type="spellStart"/>
      <w:r w:rsidRPr="00B50B63">
        <w:rPr>
          <w:rFonts w:ascii="Arial" w:hAnsi="Arial" w:cs="Arial"/>
        </w:rPr>
        <w:t>i</w:t>
      </w:r>
      <w:proofErr w:type="spellEnd"/>
      <w:r w:rsidRPr="00B50B63">
        <w:rPr>
          <w:rFonts w:ascii="Arial" w:hAnsi="Arial" w:cs="Arial"/>
        </w:rPr>
        <w:t xml:space="preserve"> is the desired precision (5%). </w:t>
      </w:r>
    </w:p>
    <w:p w14:paraId="32A80DD1" w14:textId="77777777" w:rsidR="00B50B63" w:rsidRPr="00B50B63" w:rsidRDefault="00B50B63" w:rsidP="00B50B63">
      <w:pPr>
        <w:jc w:val="both"/>
        <w:rPr>
          <w:rFonts w:ascii="Arial" w:hAnsi="Arial" w:cs="Arial"/>
        </w:rPr>
      </w:pPr>
      <w:r w:rsidRPr="00B50B63">
        <w:rPr>
          <w:rFonts w:ascii="Arial" w:hAnsi="Arial" w:cs="Arial"/>
        </w:rPr>
        <w:t>The computed sample size was 96 subjects, however for better representativeness the study was carried out with 120 patients of both sexes divided into two groups: a test group of ninety-six patients following a specific diet according to the disease associated with their diabetic status, and a control group of twenty-four patients following their normal diet without nutritional advice.</w:t>
      </w:r>
    </w:p>
    <w:p w14:paraId="7426D46D" w14:textId="77777777" w:rsidR="00B50B63" w:rsidRPr="00B50B63" w:rsidRDefault="00B50B63" w:rsidP="00B50B63">
      <w:pPr>
        <w:jc w:val="both"/>
        <w:rPr>
          <w:rFonts w:ascii="Arial" w:hAnsi="Arial" w:cs="Arial"/>
        </w:rPr>
      </w:pPr>
    </w:p>
    <w:p w14:paraId="10B06112"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Nutritional counselling </w:t>
      </w:r>
    </w:p>
    <w:p w14:paraId="5988B299" w14:textId="77777777" w:rsidR="00B50B63" w:rsidRPr="00B50B63" w:rsidRDefault="00B50B63" w:rsidP="00B50B63">
      <w:pPr>
        <w:jc w:val="both"/>
        <w:rPr>
          <w:rFonts w:ascii="Arial" w:hAnsi="Arial" w:cs="Arial"/>
          <w:b/>
        </w:rPr>
      </w:pPr>
    </w:p>
    <w:p w14:paraId="6C388739" w14:textId="77777777" w:rsidR="00B50B63" w:rsidRPr="00B50B63" w:rsidRDefault="00B50B63" w:rsidP="00B50B63">
      <w:pPr>
        <w:jc w:val="both"/>
        <w:rPr>
          <w:rFonts w:ascii="Arial" w:hAnsi="Arial" w:cs="Arial"/>
        </w:rPr>
      </w:pPr>
      <w:r w:rsidRPr="00B50B63">
        <w:rPr>
          <w:rFonts w:ascii="Arial" w:hAnsi="Arial" w:cs="Arial"/>
        </w:rPr>
        <w:t>Patients were received by nurses in an isolated and comfortable room where they could express themselves freely and with complete confidence. For each patient in the study, once oral consent was received, the patient was randomly assigned to either the case group (nutritional monitoring) or the control group. Anthropometric and biochemical parameters were immediately recorded using the patient's medical record. A questionnaire developed for this study, designed to collect data on dietary habits, lifestyle, and sociodemographic factors such as age, gender, marital status, religion, educational level, and occupation, was utilized throughout the interview process (refer to Survey Form). Subsequently, patients in the case group participated in a nutrition education session aimed at empowering them with the necessary knowledge and skills to make informed food choices, develop a tailored meal plan, and adopt healthy lifestyle habits, thereby improving their ability to manage their condition and promote overall health and well-being. The nutrition education session lasts for 30-45 minutes each week. Both groups of patients were evaluated at the end of the study using anthropometric and biochemical parameters to compare the results.</w:t>
      </w:r>
    </w:p>
    <w:p w14:paraId="4FA88846" w14:textId="77777777" w:rsidR="00B50B63" w:rsidRPr="00B50B63" w:rsidRDefault="00B50B63" w:rsidP="00B50B63">
      <w:pPr>
        <w:jc w:val="both"/>
        <w:rPr>
          <w:rFonts w:ascii="Arial" w:hAnsi="Arial" w:cs="Arial"/>
        </w:rPr>
      </w:pPr>
    </w:p>
    <w:p w14:paraId="0F80B4EF"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monitoring</w:t>
      </w:r>
    </w:p>
    <w:p w14:paraId="57A9DD96" w14:textId="77777777" w:rsidR="00B50B63" w:rsidRPr="00B50B63" w:rsidRDefault="00B50B63" w:rsidP="00B50B63">
      <w:pPr>
        <w:jc w:val="both"/>
        <w:rPr>
          <w:rFonts w:ascii="Arial" w:hAnsi="Arial" w:cs="Arial"/>
          <w:b/>
        </w:rPr>
      </w:pPr>
    </w:p>
    <w:p w14:paraId="2AA69624" w14:textId="011A4B44" w:rsidR="00B50B63" w:rsidRPr="00B50B63" w:rsidRDefault="00B50B63" w:rsidP="00B50B63">
      <w:pPr>
        <w:jc w:val="both"/>
        <w:rPr>
          <w:rFonts w:ascii="Arial" w:hAnsi="Arial" w:cs="Arial"/>
        </w:rPr>
      </w:pPr>
      <w:r w:rsidRPr="00B50B63">
        <w:rPr>
          <w:rFonts w:ascii="Arial" w:hAnsi="Arial" w:cs="Arial"/>
        </w:rPr>
        <w:t>The 7-</w:t>
      </w:r>
      <w:r w:rsidRPr="00277351">
        <w:rPr>
          <w:rFonts w:ascii="Arial" w:hAnsi="Arial" w:cs="Arial"/>
          <w:color w:val="FF0000"/>
        </w:rPr>
        <w:t xml:space="preserve">day </w:t>
      </w:r>
      <w:r w:rsidRPr="00B50B63">
        <w:rPr>
          <w:rFonts w:ascii="Arial" w:hAnsi="Arial" w:cs="Arial"/>
        </w:rPr>
        <w:t>diet plan partitioned into breakfast (7–9 a.m.), lunch (12–2 p.m.), and dinner (6–8 p.m.) (</w:t>
      </w:r>
      <w:r w:rsidR="00533DA5" w:rsidRPr="00277351">
        <w:rPr>
          <w:rFonts w:ascii="Arial" w:hAnsi="Arial" w:cs="Arial"/>
          <w:color w:val="FF0000"/>
        </w:rPr>
        <w:t>w</w:t>
      </w:r>
      <w:r w:rsidRPr="00277351">
        <w:rPr>
          <w:rFonts w:ascii="Arial" w:hAnsi="Arial" w:cs="Arial"/>
          <w:color w:val="FF0000"/>
        </w:rPr>
        <w:t>ith</w:t>
      </w:r>
      <w:r w:rsidRPr="00B50B63">
        <w:rPr>
          <w:rFonts w:ascii="Arial" w:hAnsi="Arial" w:cs="Arial"/>
        </w:rPr>
        <w:t xml:space="preserve"> one snack between meals if necessary) were prescribed to the test groups according to their eating habits, the season’s foodstuffs available and any pathologies associated with diabetes. Therefore, in addition to a low-fast sugar diet, type 2 diabetics who were overweight or obese were given a low-calorie diet high in fiber with a daily total energy intake (DTEI) estimated to 1680 Kcal/day (Appendix-1). The DASH diet (Dietary Approaches to Stop Hypertension) was recommended for hypertensive diabetics. It is low in salt, total fat, saturated fatty acids, and cholesterol but high in fruits, vegetables, dairy products (skimmed or partially skimmed), dietary fibers, potassium, calcium, and magnesium. It is also moderate in fish, lean meat and poultry, leguminous plants, seeds, and dry fruits with hulls (Appendix-2). Diabetics with renal insufficiency were prescribed an alkalizing diet that is rich in fruits and vegetables, low in protein (0.8 g/kg/day of protein), and restricted in meat, eggs, and cheese (Appendix-3). Those with heart failure or stroke were advised to follow a diet low in salt, saturated fat, and cholesterol, emphasizing meat, fish, fruits and vegetables, cereals, legumes, and oilseeds (Appendix-4). Diabetics with gout followed a diet low in animal purines, such as offal, red meats, legumes, seafood, cold cuts, fish, and eggs. They were advised to avoid foods high in fructose, like honey and bananas, and instead include more vegetables, cherries, low-fat dairy products, coffee, and water in their diet (Appendix-5). Food composition tables were used to estimate meal quantities. All these diets were coupled with the practice of moderate physical activities for at least 30 minutes per day. </w:t>
      </w:r>
    </w:p>
    <w:p w14:paraId="53DAA3F7" w14:textId="77777777" w:rsidR="00B50B63" w:rsidRPr="00B50B63" w:rsidRDefault="00B50B63" w:rsidP="00B50B63">
      <w:pPr>
        <w:jc w:val="both"/>
        <w:rPr>
          <w:rFonts w:ascii="Arial" w:hAnsi="Arial" w:cs="Arial"/>
        </w:rPr>
      </w:pPr>
    </w:p>
    <w:p w14:paraId="05D1201D"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evaluation</w:t>
      </w:r>
    </w:p>
    <w:p w14:paraId="42C9A2CB" w14:textId="77777777" w:rsidR="00B50B63" w:rsidRPr="00B50B63" w:rsidRDefault="00B50B63" w:rsidP="00B50B63">
      <w:pPr>
        <w:jc w:val="both"/>
        <w:rPr>
          <w:rFonts w:ascii="Arial" w:hAnsi="Arial" w:cs="Arial"/>
          <w:b/>
        </w:rPr>
      </w:pPr>
    </w:p>
    <w:p w14:paraId="4C7730AB" w14:textId="77777777" w:rsidR="00B50B63" w:rsidRPr="00B50B63" w:rsidRDefault="00B50B63" w:rsidP="00B50B63">
      <w:pPr>
        <w:jc w:val="both"/>
        <w:rPr>
          <w:rFonts w:ascii="Arial" w:hAnsi="Arial" w:cs="Arial"/>
        </w:rPr>
      </w:pPr>
      <w:r w:rsidRPr="00B50B63">
        <w:rPr>
          <w:rFonts w:ascii="Arial" w:hAnsi="Arial" w:cs="Arial"/>
        </w:rPr>
        <w:t>The nutritional interventions were evaluated using the dietary diversity score, food frequency questionnaires, and monitoring of systolic and diastolic blood pressure (SBP and DBP), hemoglobin A1c (HbA1c), and fasting blood glucose (FBG). The lipid profile (triglycerides, total cholesterol, LDL-C, and HDL-C) were also determined. Furthermore, the body mass index (BMI) (kg/m2) of patients at the beginning and end of the 12 weeks of experimentation was calculated based on equation 2.</w:t>
      </w:r>
    </w:p>
    <w:p w14:paraId="1392F1AE" w14:textId="77777777" w:rsidR="00B50B63" w:rsidRPr="00B50B63" w:rsidRDefault="00B50B63" w:rsidP="00B50B63">
      <w:pPr>
        <w:jc w:val="both"/>
        <w:rPr>
          <w:rFonts w:ascii="Arial" w:hAnsi="Arial" w:cs="Arial"/>
        </w:rPr>
      </w:pPr>
      <m:oMath>
        <m:r>
          <w:rPr>
            <w:rFonts w:ascii="Cambria Math" w:hAnsi="Cambria Math" w:cs="Arial"/>
          </w:rPr>
          <m:t>BMI</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Weight</m:t>
            </m:r>
          </m:num>
          <m:den>
            <m:r>
              <m:rPr>
                <m:sty m:val="p"/>
              </m:rPr>
              <w:rPr>
                <w:rFonts w:ascii="Cambria Math" w:hAnsi="Cambria Math" w:cs="Arial"/>
              </w:rPr>
              <m:t>(Height)2</m:t>
            </m:r>
          </m:den>
        </m:f>
      </m:oMath>
      <w:r w:rsidRPr="00B50B63">
        <w:rPr>
          <w:rFonts w:ascii="Arial" w:hAnsi="Arial" w:cs="Arial"/>
        </w:rPr>
        <w:t xml:space="preserve"> (Eq. 2)</w:t>
      </w:r>
    </w:p>
    <w:p w14:paraId="074E66B9" w14:textId="77777777" w:rsidR="00B50B63" w:rsidRPr="00B50B63" w:rsidRDefault="00B50B63" w:rsidP="00B50B63">
      <w:pPr>
        <w:jc w:val="both"/>
        <w:rPr>
          <w:rFonts w:ascii="Arial" w:hAnsi="Arial" w:cs="Arial"/>
        </w:rPr>
      </w:pPr>
      <w:r w:rsidRPr="00B50B63">
        <w:rPr>
          <w:rFonts w:ascii="Arial" w:hAnsi="Arial" w:cs="Arial"/>
        </w:rPr>
        <w:t>The following nutritional status ranges were associated with BMI values (kg/m2): &lt;18</w:t>
      </w:r>
      <w:r w:rsidRPr="00B50B63">
        <w:rPr>
          <w:rFonts w:ascii="Cambria Math" w:hAnsi="Cambria Math" w:cs="Cambria Math"/>
        </w:rPr>
        <w:t>⋅</w:t>
      </w:r>
      <w:r w:rsidRPr="00B50B63">
        <w:rPr>
          <w:rFonts w:ascii="Arial" w:hAnsi="Arial" w:cs="Arial"/>
        </w:rPr>
        <w:t>5: underweight; 18</w:t>
      </w:r>
      <w:r w:rsidRPr="00B50B63">
        <w:rPr>
          <w:rFonts w:ascii="Cambria Math" w:hAnsi="Cambria Math" w:cs="Cambria Math"/>
        </w:rPr>
        <w:t>⋅</w:t>
      </w:r>
      <w:r w:rsidRPr="00B50B63">
        <w:rPr>
          <w:rFonts w:ascii="Arial" w:hAnsi="Arial" w:cs="Arial"/>
        </w:rPr>
        <w:t>5–24</w:t>
      </w:r>
      <w:r w:rsidRPr="00B50B63">
        <w:rPr>
          <w:rFonts w:ascii="Cambria Math" w:hAnsi="Cambria Math" w:cs="Cambria Math"/>
        </w:rPr>
        <w:t>⋅</w:t>
      </w:r>
      <w:r w:rsidRPr="00B50B63">
        <w:rPr>
          <w:rFonts w:ascii="Arial" w:hAnsi="Arial" w:cs="Arial"/>
        </w:rPr>
        <w:t>9: normal; 25–29</w:t>
      </w:r>
      <w:r w:rsidRPr="00B50B63">
        <w:rPr>
          <w:rFonts w:ascii="Cambria Math" w:hAnsi="Cambria Math" w:cs="Cambria Math"/>
        </w:rPr>
        <w:t>⋅</w:t>
      </w:r>
      <w:r w:rsidRPr="00B50B63">
        <w:rPr>
          <w:rFonts w:ascii="Arial" w:hAnsi="Arial" w:cs="Arial"/>
        </w:rPr>
        <w:t>9: overweight; 30-34</w:t>
      </w:r>
      <w:r w:rsidRPr="00B50B63">
        <w:rPr>
          <w:rFonts w:ascii="Cambria Math" w:hAnsi="Cambria Math" w:cs="Cambria Math"/>
        </w:rPr>
        <w:t>⋅</w:t>
      </w:r>
      <w:r w:rsidRPr="00B50B63">
        <w:rPr>
          <w:rFonts w:ascii="Arial" w:hAnsi="Arial" w:cs="Arial"/>
        </w:rPr>
        <w:t>9: primary obesity; 35–39</w:t>
      </w:r>
      <w:r w:rsidRPr="00B50B63">
        <w:rPr>
          <w:rFonts w:ascii="Cambria Math" w:hAnsi="Cambria Math" w:cs="Cambria Math"/>
        </w:rPr>
        <w:t>⋅</w:t>
      </w:r>
      <w:r w:rsidRPr="00B50B63">
        <w:rPr>
          <w:rFonts w:ascii="Arial" w:hAnsi="Arial" w:cs="Arial"/>
        </w:rPr>
        <w:t>9: secondary obesity; ≥40: tertiary obesity (morbid)</w:t>
      </w:r>
      <w:r w:rsidRPr="00B50B63">
        <w:rPr>
          <w:rFonts w:ascii="Arial" w:hAnsi="Arial" w:cs="Arial"/>
        </w:rPr>
        <w:fldChar w:fldCharType="begin" w:fldLock="1"/>
      </w:r>
      <w:r w:rsidRPr="00B50B63">
        <w:rPr>
          <w:rFonts w:ascii="Arial" w:hAnsi="Arial" w:cs="Arial"/>
        </w:rPr>
        <w:instrText>ADDIN CSL_CITATION {"citationItems":[{"id":"ITEM-1","itemData":{"URL":"https://www.who.int/en/news-room/fact-sheets/detail/obesity-and-overweight","accessed":{"date-parts":[["2025","2","24"]]},"author":[{"dropping-particle":"","family":"WHO","given":"","non-dropping-particle":"","parse-names":false,"suffix":""}],"id":"ITEM-1","issued":{"date-parts":[["2014"]]},"title":"Obesity and overweight","type":"webpage"},"uris":["http://www.mendeley.com/documents/?uuid=5c02c149-0f9c-4b4a-9e78-703f6da30ca9"]}],"mendeley":{"formattedCitation":"(WHO, 2014)","plainTextFormattedCitation":"(WHO, 2014)","previouslyFormattedCitation":"(WHO,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2014)</w:t>
      </w:r>
      <w:r w:rsidRPr="00B50B63">
        <w:rPr>
          <w:rFonts w:ascii="Arial" w:hAnsi="Arial" w:cs="Arial"/>
        </w:rPr>
        <w:fldChar w:fldCharType="end"/>
      </w:r>
      <w:r w:rsidRPr="00B50B63">
        <w:rPr>
          <w:rFonts w:ascii="Arial" w:hAnsi="Arial" w:cs="Arial"/>
        </w:rPr>
        <w:t xml:space="preserve">. Blood pressure (Systolic Blood Pressure (SBP) and Diastolic Blood Pressure (DBP)) and pulse were measured using an </w:t>
      </w:r>
      <w:r w:rsidRPr="00B50B63">
        <w:rPr>
          <w:rFonts w:ascii="Arial" w:hAnsi="Arial" w:cs="Arial"/>
        </w:rPr>
        <w:lastRenderedPageBreak/>
        <w:t>OMRON medical blood pressure monitor. After at least 5 minutes of rest in a seated position, the patient placed their right arm without clothing on the table, palm facing upwards. The cuff of the electronic blood pressure monitor (accuracy: ± 3 mm Hg for pressure, 5% for pulse) was adjusted around the patient's arm. The measurement was carried out by turning on the device and asking the patient to remain calm. The classification of blood pressure is done according to the WHO recommendations presented in Appendix-6. For the fasting blood sugar test, patients were required to abstain from eating or drinking anything except water for 8 to 10 hours prior to the test. The test was conducted using one-touch strips. One of the patient's index fingers was chosen and punctured with a lancet at the interdigital surface level. After gently cleaning the first drop of capillary blood, the second drop was then applied to the tip of the strip that had been inserted previously into the glucometer in order to read the blood sugar (mg/dl) on the glucometer screen. The blood sugar levels are as follows: FBG was classified as hypoglycemia: &lt;0.6 g/l; normal blood sugar: 0.6–1.10 g/l; hyperglycemia: &gt;1.26 g/l. A blood sample was collected by a nurse, labeled, and then processed to obtain plasma, which was subsequently used for analysis.</w:t>
      </w:r>
    </w:p>
    <w:p w14:paraId="65C777C2" w14:textId="77777777" w:rsidR="00B50B63" w:rsidRPr="00B50B63" w:rsidRDefault="00B50B63" w:rsidP="00B50B63">
      <w:pPr>
        <w:jc w:val="both"/>
        <w:rPr>
          <w:rFonts w:ascii="Times New Roman" w:hAnsi="Times New Roman"/>
          <w:lang w:eastAsia="fr-FR"/>
        </w:rPr>
      </w:pPr>
    </w:p>
    <w:p w14:paraId="304A424B"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Statistical analysis</w:t>
      </w:r>
    </w:p>
    <w:p w14:paraId="2BDDF18B" w14:textId="77777777" w:rsidR="00B50B63" w:rsidRPr="00B50B63" w:rsidRDefault="00B50B63" w:rsidP="00B50B63">
      <w:pPr>
        <w:jc w:val="both"/>
        <w:rPr>
          <w:rFonts w:ascii="Arial" w:hAnsi="Arial" w:cs="Arial"/>
          <w:b/>
        </w:rPr>
      </w:pPr>
    </w:p>
    <w:p w14:paraId="7C88211B" w14:textId="77777777" w:rsidR="00B50B63" w:rsidRPr="00B50B63" w:rsidRDefault="00B50B63" w:rsidP="00B50B63">
      <w:pPr>
        <w:jc w:val="both"/>
        <w:rPr>
          <w:rFonts w:ascii="Arial" w:hAnsi="Arial" w:cs="Arial"/>
        </w:rPr>
      </w:pPr>
      <w:r w:rsidRPr="00B50B63">
        <w:rPr>
          <w:rFonts w:ascii="Arial" w:hAnsi="Arial" w:cs="Arial"/>
        </w:rPr>
        <w:t>Software Sphinx Plus Edition Lexica-V5 was used to develop the survey sheet, and SPSS-v20 was used to analyze the data. The qualitative variables were presented as absolute and relative frequencies, while the quantitative variables were presented as medians with the interquartile intervals for data that did not have a normal distribution or as mean ± standard deviation for data that did. Correlations were made using the Spearman chi-square test for comparison of proportions.</w:t>
      </w:r>
    </w:p>
    <w:p w14:paraId="0D6B112E" w14:textId="77777777" w:rsidR="00B50B63" w:rsidRPr="00B50B63" w:rsidRDefault="00B50B63" w:rsidP="00B50B63">
      <w:pPr>
        <w:jc w:val="both"/>
        <w:rPr>
          <w:rFonts w:ascii="Arial" w:hAnsi="Arial" w:cs="Arial"/>
        </w:rPr>
      </w:pPr>
    </w:p>
    <w:p w14:paraId="5F7EDBAA"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Ethical considerations</w:t>
      </w:r>
    </w:p>
    <w:p w14:paraId="20BDED50" w14:textId="77777777" w:rsidR="00B50B63" w:rsidRPr="00B50B63" w:rsidRDefault="00B50B63" w:rsidP="00B50B63">
      <w:pPr>
        <w:jc w:val="both"/>
        <w:rPr>
          <w:rFonts w:ascii="Arial" w:hAnsi="Arial" w:cs="Arial"/>
          <w:b/>
        </w:rPr>
      </w:pPr>
    </w:p>
    <w:p w14:paraId="3145E6C3" w14:textId="77777777" w:rsidR="00B50B63" w:rsidRPr="00B50B63" w:rsidRDefault="00B50B63" w:rsidP="00B50B63">
      <w:pPr>
        <w:jc w:val="both"/>
        <w:rPr>
          <w:rFonts w:ascii="Arial" w:hAnsi="Arial" w:cs="Arial"/>
        </w:rPr>
      </w:pPr>
      <w:r w:rsidRPr="00B50B63">
        <w:rPr>
          <w:rFonts w:ascii="Arial" w:hAnsi="Arial" w:cs="Arial"/>
        </w:rPr>
        <w:t xml:space="preserve">The Deputy Director General of NRGHNC granted research authorization for all procedures involving human subjects, and this study was conducted in accordance with the principles outlined in the Declaration of Helsinki, as stated in the ethical clearance certificate number 15-/2025 </w:t>
      </w:r>
      <w:r w:rsidRPr="00B50B63">
        <w:rPr>
          <w:rFonts w:ascii="Arial" w:hAnsi="Arial" w:cs="Arial"/>
        </w:rPr>
        <w:fldChar w:fldCharType="begin" w:fldLock="1"/>
      </w:r>
      <w:r w:rsidRPr="00B50B63">
        <w:rPr>
          <w:rFonts w:ascii="Arial" w:hAnsi="Arial" w:cs="Arial"/>
        </w:rPr>
        <w:instrText>ADDIN CSL_CITATION {"citationItems":[{"id":"ITEM-1","itemData":{"DOI":"10.1111/j.1365-2125.2004.02103.x","ISSN":"03065251","PMID":"15151515","abstract":"The World Medical Association's Declaration of Helsinki was first adopted in 1964. In its 40-year lifetime the Declaration has been revised five times and has risen to a position of prominence as a guiding statement of ethical principles for doctors involved in medical research. The most recent revision, however, has resulted in considerable controversy, particularly in the area of the ethical requirements surrounding placebo-controlled trials and the question of responsibilities to research participants at the end of a study. This review considers the past versions of the Declaration of Helsinki and asks the question: How exactly has the text of the Declaration changed throughout its lifetime? Regarding the present form of the Declaration of Helsinki we ask: What are the major changes in the most recent revision and what are the controversies surrounding them? Finally, building on the detailed review of the past and present versions of the Declaration of Helsinki, we give consideration to some of the possible future trajectories for the Declaration in the light of its history and standing in the world of the ethics of medical research.","author":[{"dropping-particle":"V.","family":"Carlson","given":"Robert","non-dropping-particle":"","parse-names":false,"suffix":""},{"dropping-particle":"","family":"Boyd","given":"Kenneth M.","non-dropping-particle":"","parse-names":false,"suffix":""},{"dropping-particle":"","family":"Webb","given":"David J.","non-dropping-particle":"","parse-names":false,"suffix":""}],"container-title":"British Journal of Clinical Pharmacology","id":"ITEM-1","issue":"6","issued":{"date-parts":[["2004"]]},"page":"695-713","title":"The revision of the Declaration of Helsinki: Past, present and future","type":"article","volume":"57"},"uris":["http://www.mendeley.com/documents/?uuid=adaf8e2e-422a-416b-9530-da96c61012dd"]}],"mendeley":{"formattedCitation":"(Carlson et al., 2004)","plainTextFormattedCitation":"(Carlson et al., 2004)","previouslyFormattedCitation":"(Carlson et al., 2004)"},"properties":{"noteIndex":0},"schema":"https://github.com/citation-style-language/schema/raw/master/csl-citation.json"}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(Carlson et al., 2004)</w:t>
      </w:r>
      <w:r w:rsidRPr="00B50B63">
        <w:rPr>
          <w:rFonts w:ascii="Arial" w:hAnsi="Arial" w:cs="Arial"/>
        </w:rPr>
        <w:fldChar w:fldCharType="end"/>
      </w:r>
      <w:r w:rsidRPr="00B50B63">
        <w:rPr>
          <w:rFonts w:ascii="Arial" w:hAnsi="Arial" w:cs="Arial"/>
        </w:rPr>
        <w:t>. During the nutritional intervention, appropriate standards for safeguarding each participant's rights and privacy were implemented. Participants provided their verbal informed permission. Controlled verbal permission was duly documented. The consent form made it very apparent that participation was voluntary, that participants could leave the study at any moment, and that all study requirements and dangers would be fully disclosed. Both the participants' identities and the privacy of the information gathered were ensured. Furthermore, neither the patients' physical integrity nor their clinical follow-up was harmed by this investigation.</w:t>
      </w:r>
    </w:p>
    <w:p w14:paraId="61B2925E" w14:textId="77777777" w:rsidR="00B50B63" w:rsidRPr="00B50B63" w:rsidRDefault="00B50B63" w:rsidP="00B50B63">
      <w:pPr>
        <w:jc w:val="both"/>
        <w:rPr>
          <w:rFonts w:ascii="Arial" w:hAnsi="Arial" w:cs="Arial"/>
        </w:rPr>
      </w:pPr>
    </w:p>
    <w:p w14:paraId="1AA5FD96" w14:textId="77777777" w:rsidR="00B50B63" w:rsidRPr="00B50B63" w:rsidRDefault="00B50B63" w:rsidP="00B50B63">
      <w:pPr>
        <w:keepNext/>
        <w:numPr>
          <w:ilvl w:val="0"/>
          <w:numId w:val="39"/>
        </w:numPr>
        <w:spacing w:line="259" w:lineRule="auto"/>
        <w:ind w:left="270" w:hanging="270"/>
        <w:jc w:val="both"/>
        <w:rPr>
          <w:rFonts w:ascii="Times New Roman" w:hAnsi="Times New Roman"/>
          <w:caps/>
          <w:color w:val="000000"/>
          <w:sz w:val="24"/>
          <w:szCs w:val="24"/>
          <w:lang w:eastAsia="fr-FR"/>
        </w:rPr>
      </w:pPr>
      <w:r w:rsidRPr="00B50B63">
        <w:rPr>
          <w:rFonts w:ascii="Arial" w:hAnsi="Arial" w:cs="Arial"/>
          <w:b/>
          <w:caps/>
          <w:sz w:val="22"/>
        </w:rPr>
        <w:t>Results and discussion</w:t>
      </w:r>
    </w:p>
    <w:p w14:paraId="6CFE2A5F" w14:textId="77777777" w:rsidR="00B50B63" w:rsidRPr="00B50B63" w:rsidRDefault="00B50B63" w:rsidP="00B50B63">
      <w:pPr>
        <w:keepNext/>
        <w:ind w:left="270"/>
        <w:jc w:val="both"/>
        <w:rPr>
          <w:rFonts w:ascii="Times New Roman" w:hAnsi="Times New Roman"/>
          <w:caps/>
          <w:color w:val="000000"/>
          <w:lang w:eastAsia="fr-FR"/>
        </w:rPr>
      </w:pPr>
    </w:p>
    <w:p w14:paraId="6DAC784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Results </w:t>
      </w:r>
    </w:p>
    <w:p w14:paraId="0C8ECF5A" w14:textId="77777777" w:rsidR="00B50B63" w:rsidRPr="00B50B63" w:rsidRDefault="00B50B63" w:rsidP="00B50B63">
      <w:pPr>
        <w:jc w:val="both"/>
        <w:rPr>
          <w:rFonts w:ascii="Arial" w:hAnsi="Arial" w:cs="Arial"/>
          <w:b/>
        </w:rPr>
      </w:pPr>
    </w:p>
    <w:p w14:paraId="5DB572E8"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Socio-demographic characteristics of the study population</w:t>
      </w:r>
    </w:p>
    <w:p w14:paraId="15060580" w14:textId="77777777" w:rsidR="00B50B63" w:rsidRPr="00B50B63" w:rsidRDefault="00B50B63" w:rsidP="00B50B63">
      <w:pPr>
        <w:tabs>
          <w:tab w:val="left" w:pos="810"/>
        </w:tabs>
        <w:ind w:left="720"/>
        <w:rPr>
          <w:rFonts w:ascii="Arial" w:hAnsi="Arial" w:cs="Arial"/>
          <w:b/>
        </w:rPr>
      </w:pPr>
    </w:p>
    <w:p w14:paraId="230DC376" w14:textId="77777777" w:rsidR="00B50B63" w:rsidRPr="00B50B63" w:rsidRDefault="00B50B63" w:rsidP="00B50B63">
      <w:pPr>
        <w:jc w:val="both"/>
        <w:rPr>
          <w:rFonts w:ascii="Arial" w:hAnsi="Arial" w:cs="Arial"/>
        </w:rPr>
      </w:pPr>
      <w:r w:rsidRPr="00B50B63">
        <w:rPr>
          <w:rFonts w:ascii="Arial" w:hAnsi="Arial" w:cs="Arial"/>
        </w:rPr>
        <w:t xml:space="preserve">The sociodemographic characteristics of the participants were summarized in Table 1. The study population consisted of 44.16% men and 55.84% women. This provides a good balance in terms of gender representation. The most represented age group was 40 to 60 years old, accounting for 55% of the participants, with 16.6% being over 60 years old. Regarding the level of education, 30% of diabetics have no formal education, 16.6% have completed primary education, 28.3% have completed secondary education, and 25% have a higher education degree. The distribution of the population by socio-professional category allowed us to note </w:t>
      </w:r>
      <w:r w:rsidRPr="00B50B63">
        <w:rPr>
          <w:rFonts w:ascii="Arial" w:hAnsi="Arial" w:cs="Arial"/>
        </w:rPr>
        <w:lastRenderedPageBreak/>
        <w:t xml:space="preserve">that the most impacted group is that of housewives, constituting 27.5% of the sample. In terms of marital status, married individuals (58.3%) displayed a higher likelihood of being diabetic. </w:t>
      </w:r>
    </w:p>
    <w:p w14:paraId="6210560A" w14:textId="77777777" w:rsidR="00B50B63" w:rsidRPr="00B50B63" w:rsidRDefault="00B50B63" w:rsidP="00B50B63">
      <w:pPr>
        <w:spacing w:before="120"/>
        <w:jc w:val="both"/>
        <w:rPr>
          <w:rFonts w:ascii="Arial" w:hAnsi="Arial" w:cs="Arial"/>
        </w:rPr>
      </w:pPr>
      <w:r w:rsidRPr="00B50B63">
        <w:rPr>
          <w:rFonts w:ascii="Arial" w:hAnsi="Arial" w:cs="Arial"/>
          <w:b/>
          <w:color w:val="000000"/>
          <w:lang w:eastAsia="fr-FR"/>
        </w:rPr>
        <w:t xml:space="preserve">Table 1: </w:t>
      </w:r>
      <w:r w:rsidRPr="00B50B63">
        <w:rPr>
          <w:rFonts w:ascii="Arial" w:hAnsi="Arial" w:cs="Arial"/>
        </w:rPr>
        <w:t>General characteristics of the study population</w:t>
      </w:r>
    </w:p>
    <w:tbl>
      <w:tblPr>
        <w:tblStyle w:val="TableGrid10"/>
        <w:tblW w:w="5000" w:type="pct"/>
        <w:jc w:val="center"/>
        <w:tblInd w:w="0" w:type="dxa"/>
        <w:tblCellMar>
          <w:right w:w="115" w:type="dxa"/>
        </w:tblCellMar>
        <w:tblLook w:val="04A0" w:firstRow="1" w:lastRow="0" w:firstColumn="1" w:lastColumn="0" w:noHBand="0" w:noVBand="1"/>
      </w:tblPr>
      <w:tblGrid>
        <w:gridCol w:w="2511"/>
        <w:gridCol w:w="863"/>
        <w:gridCol w:w="1028"/>
        <w:gridCol w:w="941"/>
        <w:gridCol w:w="964"/>
        <w:gridCol w:w="852"/>
        <w:gridCol w:w="1049"/>
      </w:tblGrid>
      <w:tr w:rsidR="00B50B63" w:rsidRPr="00B50B63" w14:paraId="7CC39CFE" w14:textId="77777777" w:rsidTr="00B50B63">
        <w:trPr>
          <w:trHeight w:val="20"/>
          <w:jc w:val="center"/>
        </w:trPr>
        <w:tc>
          <w:tcPr>
            <w:tcW w:w="1530" w:type="pct"/>
            <w:vMerge w:val="restart"/>
            <w:tcBorders>
              <w:top w:val="single" w:sz="4" w:space="0" w:color="000000"/>
              <w:left w:val="nil"/>
              <w:bottom w:val="single" w:sz="4" w:space="0" w:color="000000"/>
              <w:right w:val="nil"/>
            </w:tcBorders>
            <w:vAlign w:val="center"/>
            <w:hideMark/>
          </w:tcPr>
          <w:p w14:paraId="4AE7F71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Variable</w:t>
            </w:r>
          </w:p>
        </w:tc>
        <w:tc>
          <w:tcPr>
            <w:tcW w:w="1152" w:type="pct"/>
            <w:gridSpan w:val="2"/>
            <w:tcBorders>
              <w:top w:val="single" w:sz="4" w:space="0" w:color="000000"/>
              <w:left w:val="nil"/>
              <w:bottom w:val="single" w:sz="4" w:space="0" w:color="000000"/>
              <w:right w:val="nil"/>
            </w:tcBorders>
            <w:hideMark/>
          </w:tcPr>
          <w:p w14:paraId="3FFF17F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Case group (n=96)</w:t>
            </w:r>
          </w:p>
        </w:tc>
        <w:tc>
          <w:tcPr>
            <w:tcW w:w="1160" w:type="pct"/>
            <w:gridSpan w:val="2"/>
            <w:tcBorders>
              <w:top w:val="single" w:sz="4" w:space="0" w:color="000000"/>
              <w:left w:val="nil"/>
              <w:bottom w:val="single" w:sz="4" w:space="0" w:color="000000"/>
              <w:right w:val="nil"/>
            </w:tcBorders>
            <w:hideMark/>
          </w:tcPr>
          <w:p w14:paraId="3847BDD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Control group(n=24)</w:t>
            </w:r>
          </w:p>
        </w:tc>
        <w:tc>
          <w:tcPr>
            <w:tcW w:w="1158" w:type="pct"/>
            <w:gridSpan w:val="2"/>
            <w:tcBorders>
              <w:top w:val="single" w:sz="4" w:space="0" w:color="000000"/>
              <w:left w:val="nil"/>
              <w:bottom w:val="single" w:sz="4" w:space="0" w:color="000000"/>
              <w:right w:val="nil"/>
            </w:tcBorders>
            <w:hideMark/>
          </w:tcPr>
          <w:p w14:paraId="334BC4A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Total (n=120)</w:t>
            </w:r>
          </w:p>
        </w:tc>
      </w:tr>
      <w:tr w:rsidR="00B50B63" w:rsidRPr="00B50B63" w14:paraId="2E8A9DB5" w14:textId="77777777" w:rsidTr="00B50B63">
        <w:trPr>
          <w:trHeight w:val="20"/>
          <w:jc w:val="center"/>
        </w:trPr>
        <w:tc>
          <w:tcPr>
            <w:tcW w:w="1530" w:type="pct"/>
            <w:vMerge/>
            <w:tcBorders>
              <w:top w:val="single" w:sz="4" w:space="0" w:color="000000"/>
              <w:left w:val="nil"/>
              <w:bottom w:val="single" w:sz="4" w:space="0" w:color="000000"/>
              <w:right w:val="nil"/>
            </w:tcBorders>
            <w:vAlign w:val="center"/>
            <w:hideMark/>
          </w:tcPr>
          <w:p w14:paraId="776ABF2C" w14:textId="77777777" w:rsidR="00B50B63" w:rsidRPr="00B50B63" w:rsidRDefault="00B50B63" w:rsidP="00B50B63">
            <w:pPr>
              <w:rPr>
                <w:rFonts w:ascii="Arial" w:hAnsi="Arial" w:cs="Arial"/>
                <w:color w:val="000000"/>
                <w:sz w:val="20"/>
              </w:rPr>
            </w:pPr>
          </w:p>
        </w:tc>
        <w:tc>
          <w:tcPr>
            <w:tcW w:w="526" w:type="pct"/>
            <w:tcBorders>
              <w:top w:val="single" w:sz="4" w:space="0" w:color="000000"/>
              <w:left w:val="nil"/>
              <w:bottom w:val="single" w:sz="4" w:space="0" w:color="000000"/>
              <w:right w:val="nil"/>
            </w:tcBorders>
            <w:hideMark/>
          </w:tcPr>
          <w:p w14:paraId="5534E16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26" w:type="pct"/>
            <w:tcBorders>
              <w:top w:val="single" w:sz="4" w:space="0" w:color="000000"/>
              <w:left w:val="nil"/>
              <w:bottom w:val="single" w:sz="4" w:space="0" w:color="000000"/>
              <w:right w:val="nil"/>
            </w:tcBorders>
            <w:hideMark/>
          </w:tcPr>
          <w:p w14:paraId="68B85E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73" w:type="pct"/>
            <w:tcBorders>
              <w:top w:val="single" w:sz="4" w:space="0" w:color="000000"/>
              <w:left w:val="nil"/>
              <w:bottom w:val="single" w:sz="4" w:space="0" w:color="000000"/>
              <w:right w:val="nil"/>
            </w:tcBorders>
            <w:hideMark/>
          </w:tcPr>
          <w:p w14:paraId="0414CB0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587" w:type="pct"/>
            <w:tcBorders>
              <w:top w:val="single" w:sz="4" w:space="0" w:color="000000"/>
              <w:left w:val="nil"/>
              <w:bottom w:val="single" w:sz="4" w:space="0" w:color="000000"/>
              <w:right w:val="nil"/>
            </w:tcBorders>
            <w:hideMark/>
          </w:tcPr>
          <w:p w14:paraId="2CBE47A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19" w:type="pct"/>
            <w:tcBorders>
              <w:top w:val="single" w:sz="4" w:space="0" w:color="000000"/>
              <w:left w:val="nil"/>
              <w:bottom w:val="single" w:sz="4" w:space="0" w:color="000000"/>
              <w:right w:val="nil"/>
            </w:tcBorders>
            <w:hideMark/>
          </w:tcPr>
          <w:p w14:paraId="1AD09A2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39" w:type="pct"/>
            <w:tcBorders>
              <w:top w:val="single" w:sz="4" w:space="0" w:color="000000"/>
              <w:left w:val="nil"/>
              <w:bottom w:val="single" w:sz="4" w:space="0" w:color="000000"/>
              <w:right w:val="nil"/>
            </w:tcBorders>
            <w:hideMark/>
          </w:tcPr>
          <w:p w14:paraId="4FB6AF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r>
      <w:tr w:rsidR="00B50B63" w:rsidRPr="00B50B63" w14:paraId="74A365CA" w14:textId="77777777" w:rsidTr="00B50B63">
        <w:trPr>
          <w:trHeight w:val="20"/>
          <w:jc w:val="center"/>
        </w:trPr>
        <w:tc>
          <w:tcPr>
            <w:tcW w:w="1530" w:type="pct"/>
            <w:tcBorders>
              <w:top w:val="single" w:sz="4" w:space="0" w:color="000000"/>
              <w:left w:val="nil"/>
              <w:bottom w:val="nil"/>
              <w:right w:val="nil"/>
            </w:tcBorders>
            <w:hideMark/>
          </w:tcPr>
          <w:p w14:paraId="16D0FAF4"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Gender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6A38201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06339D60"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52913E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13ECC528"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7D545343"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70B3956" w14:textId="77777777" w:rsidR="00B50B63" w:rsidRPr="00B50B63" w:rsidRDefault="00B50B63" w:rsidP="00B50B63">
            <w:pPr>
              <w:jc w:val="center"/>
              <w:rPr>
                <w:rFonts w:ascii="Arial" w:hAnsi="Arial" w:cs="Arial"/>
                <w:color w:val="000000"/>
                <w:sz w:val="20"/>
              </w:rPr>
            </w:pPr>
          </w:p>
        </w:tc>
      </w:tr>
      <w:tr w:rsidR="00B50B63" w:rsidRPr="00B50B63" w14:paraId="31DEC496" w14:textId="77777777" w:rsidTr="00B50B63">
        <w:trPr>
          <w:trHeight w:val="20"/>
          <w:jc w:val="center"/>
        </w:trPr>
        <w:tc>
          <w:tcPr>
            <w:tcW w:w="1530" w:type="pct"/>
            <w:tcBorders>
              <w:top w:val="nil"/>
              <w:left w:val="nil"/>
              <w:bottom w:val="single" w:sz="4" w:space="0" w:color="000000"/>
              <w:right w:val="nil"/>
            </w:tcBorders>
            <w:hideMark/>
          </w:tcPr>
          <w:p w14:paraId="3B84F683"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Male </w:t>
            </w:r>
          </w:p>
          <w:p w14:paraId="76F1CA71"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Female</w:t>
            </w:r>
            <w:proofErr w:type="spellEnd"/>
            <w:r w:rsidRPr="00B50B63">
              <w:rPr>
                <w:rFonts w:ascii="Arial" w:hAnsi="Arial" w:cs="Arial"/>
                <w:color w:val="000000"/>
                <w:sz w:val="20"/>
              </w:rPr>
              <w:t xml:space="preserve"> </w:t>
            </w:r>
          </w:p>
        </w:tc>
        <w:tc>
          <w:tcPr>
            <w:tcW w:w="526" w:type="pct"/>
            <w:tcBorders>
              <w:top w:val="nil"/>
              <w:left w:val="nil"/>
              <w:bottom w:val="single" w:sz="4" w:space="0" w:color="000000"/>
              <w:right w:val="nil"/>
            </w:tcBorders>
            <w:hideMark/>
          </w:tcPr>
          <w:p w14:paraId="34F03C8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43</w:t>
            </w:r>
          </w:p>
          <w:p w14:paraId="7F4DC04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tc>
        <w:tc>
          <w:tcPr>
            <w:tcW w:w="626" w:type="pct"/>
            <w:tcBorders>
              <w:top w:val="nil"/>
              <w:left w:val="nil"/>
              <w:bottom w:val="single" w:sz="4" w:space="0" w:color="000000"/>
              <w:right w:val="nil"/>
            </w:tcBorders>
            <w:hideMark/>
          </w:tcPr>
          <w:p w14:paraId="64D581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44.8</w:t>
            </w:r>
          </w:p>
          <w:p w14:paraId="6DE6A5A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55.2</w:t>
            </w:r>
          </w:p>
        </w:tc>
        <w:tc>
          <w:tcPr>
            <w:tcW w:w="573" w:type="pct"/>
            <w:tcBorders>
              <w:top w:val="nil"/>
              <w:left w:val="nil"/>
              <w:bottom w:val="single" w:sz="4" w:space="0" w:color="000000"/>
              <w:right w:val="nil"/>
            </w:tcBorders>
            <w:hideMark/>
          </w:tcPr>
          <w:p w14:paraId="446D22B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29D907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tc>
        <w:tc>
          <w:tcPr>
            <w:tcW w:w="587" w:type="pct"/>
            <w:tcBorders>
              <w:top w:val="nil"/>
              <w:left w:val="nil"/>
              <w:bottom w:val="single" w:sz="4" w:space="0" w:color="000000"/>
              <w:right w:val="nil"/>
            </w:tcBorders>
            <w:hideMark/>
          </w:tcPr>
          <w:p w14:paraId="060BC2C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48</w:t>
            </w:r>
          </w:p>
          <w:p w14:paraId="0C3BCD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w:t>
            </w:r>
          </w:p>
        </w:tc>
        <w:tc>
          <w:tcPr>
            <w:tcW w:w="519" w:type="pct"/>
            <w:tcBorders>
              <w:top w:val="nil"/>
              <w:left w:val="nil"/>
              <w:bottom w:val="single" w:sz="4" w:space="0" w:color="000000"/>
              <w:right w:val="nil"/>
            </w:tcBorders>
            <w:hideMark/>
          </w:tcPr>
          <w:p w14:paraId="6D55905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p w14:paraId="0690545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67</w:t>
            </w:r>
          </w:p>
        </w:tc>
        <w:tc>
          <w:tcPr>
            <w:tcW w:w="639" w:type="pct"/>
            <w:tcBorders>
              <w:top w:val="nil"/>
              <w:left w:val="nil"/>
              <w:bottom w:val="single" w:sz="4" w:space="0" w:color="000000"/>
              <w:right w:val="nil"/>
            </w:tcBorders>
            <w:hideMark/>
          </w:tcPr>
          <w:p w14:paraId="6A017B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44.16</w:t>
            </w:r>
          </w:p>
          <w:p w14:paraId="55EAF5A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55.84</w:t>
            </w:r>
          </w:p>
        </w:tc>
      </w:tr>
      <w:tr w:rsidR="00B50B63" w:rsidRPr="00B50B63" w14:paraId="44E8196C" w14:textId="77777777" w:rsidTr="00B50B63">
        <w:trPr>
          <w:trHeight w:val="20"/>
          <w:jc w:val="center"/>
        </w:trPr>
        <w:tc>
          <w:tcPr>
            <w:tcW w:w="1530" w:type="pct"/>
            <w:tcBorders>
              <w:top w:val="single" w:sz="4" w:space="0" w:color="000000"/>
              <w:left w:val="nil"/>
              <w:bottom w:val="nil"/>
              <w:right w:val="nil"/>
            </w:tcBorders>
            <w:hideMark/>
          </w:tcPr>
          <w:p w14:paraId="4A287BD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Age range (</w:t>
            </w:r>
            <w:proofErr w:type="spellStart"/>
            <w:r w:rsidRPr="00B50B63">
              <w:rPr>
                <w:rFonts w:ascii="Arial" w:hAnsi="Arial" w:cs="Arial"/>
                <w:color w:val="000000"/>
                <w:sz w:val="20"/>
              </w:rPr>
              <w:t>year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0E22EC27"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CCA44DE"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26C0FB66"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479508B"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4D13D231"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0C7378A5" w14:textId="77777777" w:rsidR="00B50B63" w:rsidRPr="00B50B63" w:rsidRDefault="00B50B63" w:rsidP="00B50B63">
            <w:pPr>
              <w:jc w:val="center"/>
              <w:rPr>
                <w:rFonts w:ascii="Arial" w:hAnsi="Arial" w:cs="Arial"/>
                <w:color w:val="000000"/>
                <w:sz w:val="20"/>
              </w:rPr>
            </w:pPr>
          </w:p>
        </w:tc>
      </w:tr>
      <w:tr w:rsidR="00B50B63" w:rsidRPr="00B50B63" w14:paraId="265B0BA8" w14:textId="77777777" w:rsidTr="00B50B63">
        <w:trPr>
          <w:trHeight w:val="20"/>
          <w:jc w:val="center"/>
        </w:trPr>
        <w:tc>
          <w:tcPr>
            <w:tcW w:w="1530" w:type="pct"/>
            <w:tcBorders>
              <w:top w:val="nil"/>
              <w:left w:val="nil"/>
              <w:bottom w:val="single" w:sz="4" w:space="0" w:color="000000"/>
              <w:right w:val="nil"/>
            </w:tcBorders>
            <w:hideMark/>
          </w:tcPr>
          <w:p w14:paraId="17242904" w14:textId="77777777" w:rsidR="00B50B63" w:rsidRPr="00B50B63" w:rsidRDefault="00B50B63" w:rsidP="00B50B63">
            <w:pPr>
              <w:rPr>
                <w:rFonts w:ascii="Arial" w:hAnsi="Arial" w:cs="Arial"/>
                <w:color w:val="000000"/>
                <w:sz w:val="20"/>
              </w:rPr>
            </w:pPr>
            <w:r w:rsidRPr="00B50B63">
              <w:rPr>
                <w:rFonts w:ascii="Arial" w:hAnsi="Arial" w:cs="Arial"/>
                <w:color w:val="000000"/>
                <w:sz w:val="20"/>
                <w:lang w:val="en-AE"/>
              </w:rPr>
              <w:t>&lt;</w:t>
            </w:r>
            <w:r w:rsidRPr="00B50B63">
              <w:rPr>
                <w:rFonts w:ascii="Arial" w:hAnsi="Arial" w:cs="Arial"/>
                <w:color w:val="000000"/>
                <w:sz w:val="20"/>
              </w:rPr>
              <w:t xml:space="preserve">20  </w:t>
            </w:r>
          </w:p>
          <w:p w14:paraId="61463DB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20-39 </w:t>
            </w:r>
          </w:p>
          <w:p w14:paraId="5EB994D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40-60     </w:t>
            </w:r>
          </w:p>
          <w:p w14:paraId="108F679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&gt; 60                                                                </w:t>
            </w:r>
          </w:p>
        </w:tc>
        <w:tc>
          <w:tcPr>
            <w:tcW w:w="526" w:type="pct"/>
            <w:tcBorders>
              <w:top w:val="nil"/>
              <w:left w:val="nil"/>
              <w:bottom w:val="single" w:sz="4" w:space="0" w:color="000000"/>
              <w:right w:val="nil"/>
            </w:tcBorders>
            <w:hideMark/>
          </w:tcPr>
          <w:p w14:paraId="688555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E1DE8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3C7DFE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50</w:t>
            </w:r>
          </w:p>
          <w:p w14:paraId="489F20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000000"/>
              <w:right w:val="nil"/>
            </w:tcBorders>
            <w:hideMark/>
          </w:tcPr>
          <w:p w14:paraId="1BB7C4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7407E9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6E906C8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52.1</w:t>
            </w:r>
          </w:p>
          <w:p w14:paraId="35A0457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000000"/>
              <w:right w:val="nil"/>
            </w:tcBorders>
            <w:hideMark/>
          </w:tcPr>
          <w:p w14:paraId="6096D38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53CE8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p w14:paraId="5CBC2B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39CDB5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tc>
        <w:tc>
          <w:tcPr>
            <w:tcW w:w="587" w:type="pct"/>
            <w:tcBorders>
              <w:top w:val="nil"/>
              <w:left w:val="nil"/>
              <w:bottom w:val="single" w:sz="4" w:space="0" w:color="000000"/>
              <w:right w:val="nil"/>
            </w:tcBorders>
            <w:hideMark/>
          </w:tcPr>
          <w:p w14:paraId="23B1EBD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7BB0B9B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p w14:paraId="45D2A1C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3C958E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19" w:type="pct"/>
            <w:tcBorders>
              <w:top w:val="nil"/>
              <w:left w:val="nil"/>
              <w:bottom w:val="single" w:sz="4" w:space="0" w:color="000000"/>
              <w:right w:val="nil"/>
            </w:tcBorders>
            <w:hideMark/>
          </w:tcPr>
          <w:p w14:paraId="5080606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68005AF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70AE8A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p w14:paraId="73174D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tc>
        <w:tc>
          <w:tcPr>
            <w:tcW w:w="639" w:type="pct"/>
            <w:tcBorders>
              <w:top w:val="nil"/>
              <w:left w:val="nil"/>
              <w:bottom w:val="single" w:sz="4" w:space="0" w:color="000000"/>
              <w:right w:val="nil"/>
            </w:tcBorders>
            <w:hideMark/>
          </w:tcPr>
          <w:p w14:paraId="6008D54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10.8</w:t>
            </w:r>
          </w:p>
          <w:p w14:paraId="4DE9DD0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1FD13B2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w:t>
            </w:r>
          </w:p>
          <w:p w14:paraId="38D6DFF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tc>
      </w:tr>
      <w:tr w:rsidR="00B50B63" w:rsidRPr="00B50B63" w14:paraId="28F9402A" w14:textId="77777777" w:rsidTr="00B50B63">
        <w:trPr>
          <w:trHeight w:val="20"/>
          <w:jc w:val="center"/>
        </w:trPr>
        <w:tc>
          <w:tcPr>
            <w:tcW w:w="1530" w:type="pct"/>
            <w:tcBorders>
              <w:top w:val="single" w:sz="4" w:space="0" w:color="000000"/>
              <w:left w:val="nil"/>
              <w:bottom w:val="nil"/>
              <w:right w:val="nil"/>
            </w:tcBorders>
            <w:hideMark/>
          </w:tcPr>
          <w:p w14:paraId="0DDAE85A"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Level</w:t>
            </w:r>
            <w:proofErr w:type="spellEnd"/>
            <w:r w:rsidRPr="00B50B63">
              <w:rPr>
                <w:rFonts w:ascii="Arial" w:hAnsi="Arial" w:cs="Arial"/>
                <w:color w:val="000000"/>
                <w:sz w:val="20"/>
              </w:rPr>
              <w:t xml:space="preserve"> of </w:t>
            </w:r>
            <w:proofErr w:type="spellStart"/>
            <w:r w:rsidRPr="00B50B63">
              <w:rPr>
                <w:rFonts w:ascii="Arial" w:hAnsi="Arial" w:cs="Arial"/>
                <w:color w:val="000000"/>
                <w:sz w:val="20"/>
              </w:rPr>
              <w:t>education</w:t>
            </w:r>
            <w:proofErr w:type="spellEnd"/>
          </w:p>
        </w:tc>
        <w:tc>
          <w:tcPr>
            <w:tcW w:w="526" w:type="pct"/>
            <w:tcBorders>
              <w:top w:val="single" w:sz="4" w:space="0" w:color="000000"/>
              <w:left w:val="nil"/>
              <w:bottom w:val="nil"/>
              <w:right w:val="nil"/>
            </w:tcBorders>
            <w:hideMark/>
          </w:tcPr>
          <w:p w14:paraId="221080A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E23D30A"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6F64211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6F555B8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38A4EF22"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A76C1E5" w14:textId="77777777" w:rsidR="00B50B63" w:rsidRPr="00B50B63" w:rsidRDefault="00B50B63" w:rsidP="00B50B63">
            <w:pPr>
              <w:jc w:val="center"/>
              <w:rPr>
                <w:rFonts w:ascii="Arial" w:hAnsi="Arial" w:cs="Arial"/>
                <w:color w:val="000000"/>
                <w:sz w:val="20"/>
              </w:rPr>
            </w:pPr>
          </w:p>
        </w:tc>
      </w:tr>
      <w:tr w:rsidR="00B50B63" w:rsidRPr="00B50B63" w14:paraId="538E029E" w14:textId="77777777" w:rsidTr="00B50B63">
        <w:trPr>
          <w:trHeight w:val="20"/>
          <w:jc w:val="center"/>
        </w:trPr>
        <w:tc>
          <w:tcPr>
            <w:tcW w:w="1530" w:type="pct"/>
            <w:tcBorders>
              <w:top w:val="nil"/>
              <w:left w:val="nil"/>
              <w:bottom w:val="single" w:sz="4" w:space="0" w:color="000000"/>
              <w:right w:val="nil"/>
            </w:tcBorders>
            <w:hideMark/>
          </w:tcPr>
          <w:p w14:paraId="7D1F5A2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None</w:t>
            </w:r>
          </w:p>
          <w:p w14:paraId="36D294A3"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Primary</w:t>
            </w:r>
            <w:proofErr w:type="spellEnd"/>
            <w:r w:rsidRPr="00B50B63">
              <w:rPr>
                <w:rFonts w:ascii="Arial" w:hAnsi="Arial" w:cs="Arial"/>
                <w:color w:val="000000"/>
                <w:sz w:val="20"/>
              </w:rPr>
              <w:t xml:space="preserve">  </w:t>
            </w:r>
          </w:p>
          <w:p w14:paraId="479CFE77"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Secondary</w:t>
            </w:r>
            <w:proofErr w:type="spellEnd"/>
            <w:r w:rsidRPr="00B50B63">
              <w:rPr>
                <w:rFonts w:ascii="Arial" w:hAnsi="Arial" w:cs="Arial"/>
                <w:color w:val="000000"/>
                <w:sz w:val="20"/>
              </w:rPr>
              <w:t xml:space="preserve">  </w:t>
            </w:r>
          </w:p>
          <w:p w14:paraId="6CDAFF7B"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High</w:t>
            </w:r>
          </w:p>
        </w:tc>
        <w:tc>
          <w:tcPr>
            <w:tcW w:w="526" w:type="pct"/>
            <w:tcBorders>
              <w:top w:val="nil"/>
              <w:left w:val="nil"/>
              <w:bottom w:val="single" w:sz="4" w:space="0" w:color="000000"/>
              <w:right w:val="nil"/>
            </w:tcBorders>
            <w:hideMark/>
          </w:tcPr>
          <w:p w14:paraId="2888133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31</w:t>
            </w:r>
          </w:p>
          <w:p w14:paraId="0756C0E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263281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p w14:paraId="7A8BFA9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29</w:t>
            </w:r>
          </w:p>
        </w:tc>
        <w:tc>
          <w:tcPr>
            <w:tcW w:w="626" w:type="pct"/>
            <w:tcBorders>
              <w:top w:val="nil"/>
              <w:left w:val="nil"/>
              <w:bottom w:val="single" w:sz="4" w:space="0" w:color="000000"/>
              <w:right w:val="nil"/>
            </w:tcBorders>
            <w:hideMark/>
          </w:tcPr>
          <w:p w14:paraId="6718B2D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32.3</w:t>
            </w:r>
          </w:p>
          <w:p w14:paraId="3992C3F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4E75BCD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p w14:paraId="15DA6E9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30.2</w:t>
            </w:r>
          </w:p>
        </w:tc>
        <w:tc>
          <w:tcPr>
            <w:tcW w:w="573" w:type="pct"/>
            <w:tcBorders>
              <w:top w:val="nil"/>
              <w:left w:val="nil"/>
              <w:bottom w:val="single" w:sz="4" w:space="0" w:color="000000"/>
              <w:right w:val="nil"/>
            </w:tcBorders>
            <w:hideMark/>
          </w:tcPr>
          <w:p w14:paraId="77D101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2841CD9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7F79A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7A25030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w:t>
            </w:r>
          </w:p>
        </w:tc>
        <w:tc>
          <w:tcPr>
            <w:tcW w:w="587" w:type="pct"/>
            <w:tcBorders>
              <w:top w:val="nil"/>
              <w:left w:val="nil"/>
              <w:bottom w:val="single" w:sz="4" w:space="0" w:color="000000"/>
              <w:right w:val="nil"/>
            </w:tcBorders>
            <w:hideMark/>
          </w:tcPr>
          <w:p w14:paraId="78F315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2085873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DA0104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409D7D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45.8</w:t>
            </w:r>
          </w:p>
        </w:tc>
        <w:tc>
          <w:tcPr>
            <w:tcW w:w="519" w:type="pct"/>
            <w:tcBorders>
              <w:top w:val="nil"/>
              <w:left w:val="nil"/>
              <w:bottom w:val="single" w:sz="4" w:space="0" w:color="000000"/>
              <w:right w:val="nil"/>
            </w:tcBorders>
            <w:hideMark/>
          </w:tcPr>
          <w:p w14:paraId="74F05E5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36</w:t>
            </w:r>
          </w:p>
          <w:p w14:paraId="446112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p w14:paraId="5B19C22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34</w:t>
            </w:r>
          </w:p>
          <w:p w14:paraId="0639D03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tc>
        <w:tc>
          <w:tcPr>
            <w:tcW w:w="639" w:type="pct"/>
            <w:tcBorders>
              <w:top w:val="nil"/>
              <w:left w:val="nil"/>
              <w:bottom w:val="single" w:sz="4" w:space="0" w:color="000000"/>
              <w:right w:val="nil"/>
            </w:tcBorders>
            <w:hideMark/>
          </w:tcPr>
          <w:p w14:paraId="72F5D8D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p w14:paraId="5C8BE06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p w14:paraId="7D2BDF3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28.3</w:t>
            </w:r>
          </w:p>
          <w:p w14:paraId="172077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tc>
      </w:tr>
      <w:tr w:rsidR="00B50B63" w:rsidRPr="00B50B63" w14:paraId="21C6CFF2" w14:textId="77777777" w:rsidTr="00B50B63">
        <w:trPr>
          <w:trHeight w:val="20"/>
          <w:jc w:val="center"/>
        </w:trPr>
        <w:tc>
          <w:tcPr>
            <w:tcW w:w="1530" w:type="pct"/>
            <w:tcBorders>
              <w:top w:val="single" w:sz="4" w:space="0" w:color="000000"/>
              <w:left w:val="nil"/>
              <w:bottom w:val="nil"/>
              <w:right w:val="nil"/>
            </w:tcBorders>
            <w:hideMark/>
          </w:tcPr>
          <w:p w14:paraId="0A0736FA"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Occupation   </w:t>
            </w:r>
          </w:p>
        </w:tc>
        <w:tc>
          <w:tcPr>
            <w:tcW w:w="526" w:type="pct"/>
            <w:tcBorders>
              <w:top w:val="single" w:sz="4" w:space="0" w:color="000000"/>
              <w:left w:val="nil"/>
              <w:bottom w:val="nil"/>
              <w:right w:val="nil"/>
            </w:tcBorders>
            <w:hideMark/>
          </w:tcPr>
          <w:p w14:paraId="51D4C48D"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A8523BF"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10B93E0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2D8CDAF3"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0FB8584C"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E20220B" w14:textId="77777777" w:rsidR="00B50B63" w:rsidRPr="00B50B63" w:rsidRDefault="00B50B63" w:rsidP="00B50B63">
            <w:pPr>
              <w:jc w:val="center"/>
              <w:rPr>
                <w:rFonts w:ascii="Arial" w:hAnsi="Arial" w:cs="Arial"/>
                <w:color w:val="000000"/>
                <w:sz w:val="20"/>
              </w:rPr>
            </w:pPr>
          </w:p>
        </w:tc>
      </w:tr>
      <w:tr w:rsidR="00B50B63" w:rsidRPr="00B50B63" w14:paraId="7EFB0FAD" w14:textId="77777777" w:rsidTr="00B50B63">
        <w:trPr>
          <w:trHeight w:val="1242"/>
          <w:jc w:val="center"/>
        </w:trPr>
        <w:tc>
          <w:tcPr>
            <w:tcW w:w="1530" w:type="pct"/>
            <w:tcBorders>
              <w:top w:val="nil"/>
              <w:left w:val="nil"/>
              <w:bottom w:val="single" w:sz="4" w:space="0" w:color="000000"/>
              <w:right w:val="nil"/>
            </w:tcBorders>
            <w:hideMark/>
          </w:tcPr>
          <w:p w14:paraId="6324497C" w14:textId="77777777" w:rsidR="00B50B63" w:rsidRPr="00B50B63" w:rsidRDefault="00B50B63" w:rsidP="00B50B63">
            <w:pPr>
              <w:ind w:right="1101"/>
              <w:rPr>
                <w:rFonts w:ascii="Arial" w:hAnsi="Arial" w:cs="Arial"/>
                <w:color w:val="000000"/>
                <w:sz w:val="20"/>
              </w:rPr>
            </w:pPr>
            <w:proofErr w:type="spellStart"/>
            <w:r w:rsidRPr="00B50B63">
              <w:rPr>
                <w:rFonts w:ascii="Arial" w:hAnsi="Arial" w:cs="Arial"/>
                <w:color w:val="000000"/>
                <w:sz w:val="20"/>
              </w:rPr>
              <w:t>Housewives</w:t>
            </w:r>
            <w:proofErr w:type="spellEnd"/>
            <w:r w:rsidRPr="00B50B63">
              <w:rPr>
                <w:rFonts w:ascii="Arial" w:hAnsi="Arial" w:cs="Arial"/>
                <w:color w:val="000000"/>
                <w:sz w:val="20"/>
              </w:rPr>
              <w:t xml:space="preserve"> </w:t>
            </w:r>
          </w:p>
          <w:p w14:paraId="0223FA55"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 xml:space="preserve">Merchant  </w:t>
            </w:r>
          </w:p>
          <w:p w14:paraId="39475204"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Farmer</w:t>
            </w:r>
          </w:p>
          <w:p w14:paraId="002233B5" w14:textId="77777777" w:rsidR="00B50B63" w:rsidRPr="00B50B63" w:rsidRDefault="00B50B63" w:rsidP="00B50B63">
            <w:pPr>
              <w:ind w:right="1495"/>
              <w:rPr>
                <w:rFonts w:ascii="Arial" w:hAnsi="Arial" w:cs="Arial"/>
                <w:color w:val="000000"/>
                <w:sz w:val="20"/>
              </w:rPr>
            </w:pPr>
            <w:r w:rsidRPr="00B50B63">
              <w:rPr>
                <w:rFonts w:ascii="Arial" w:hAnsi="Arial" w:cs="Arial"/>
                <w:color w:val="000000"/>
                <w:sz w:val="20"/>
              </w:rPr>
              <w:t xml:space="preserve">Public servant </w:t>
            </w:r>
            <w:proofErr w:type="spellStart"/>
            <w:r w:rsidRPr="00B50B63">
              <w:rPr>
                <w:rFonts w:ascii="Arial" w:hAnsi="Arial" w:cs="Arial"/>
                <w:color w:val="000000"/>
                <w:sz w:val="20"/>
              </w:rPr>
              <w:t>Pensioner</w:t>
            </w:r>
            <w:proofErr w:type="spellEnd"/>
          </w:p>
        </w:tc>
        <w:tc>
          <w:tcPr>
            <w:tcW w:w="526" w:type="pct"/>
            <w:tcBorders>
              <w:top w:val="nil"/>
              <w:left w:val="nil"/>
              <w:bottom w:val="single" w:sz="4" w:space="0" w:color="000000"/>
              <w:right w:val="nil"/>
            </w:tcBorders>
            <w:hideMark/>
          </w:tcPr>
          <w:p w14:paraId="3B265F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37</w:t>
            </w:r>
          </w:p>
          <w:p w14:paraId="4A29920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37D4F6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w:t>
            </w:r>
          </w:p>
          <w:p w14:paraId="0011EC1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4A9C04B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626" w:type="pct"/>
            <w:tcBorders>
              <w:top w:val="nil"/>
              <w:left w:val="nil"/>
              <w:bottom w:val="single" w:sz="4" w:space="0" w:color="000000"/>
              <w:right w:val="nil"/>
            </w:tcBorders>
            <w:hideMark/>
          </w:tcPr>
          <w:p w14:paraId="5E6D44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38.5</w:t>
            </w:r>
          </w:p>
          <w:p w14:paraId="20D6E74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6F7468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18.8</w:t>
            </w:r>
          </w:p>
          <w:p w14:paraId="5FD487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77510AF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73" w:type="pct"/>
            <w:tcBorders>
              <w:top w:val="nil"/>
              <w:left w:val="nil"/>
              <w:bottom w:val="single" w:sz="4" w:space="0" w:color="000000"/>
              <w:right w:val="nil"/>
            </w:tcBorders>
            <w:hideMark/>
          </w:tcPr>
          <w:p w14:paraId="7B1EFA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w:t>
            </w:r>
          </w:p>
          <w:p w14:paraId="6E83A16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p w14:paraId="4AD2DAA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61C3A5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3F658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000000"/>
              <w:right w:val="nil"/>
            </w:tcBorders>
            <w:hideMark/>
          </w:tcPr>
          <w:p w14:paraId="2CA717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213508A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p w14:paraId="0A9A1DA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556F61F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41.7</w:t>
            </w:r>
          </w:p>
          <w:p w14:paraId="2D0ED8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000000"/>
              <w:right w:val="nil"/>
            </w:tcBorders>
            <w:hideMark/>
          </w:tcPr>
          <w:p w14:paraId="2D9D9C7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33</w:t>
            </w:r>
          </w:p>
          <w:p w14:paraId="1289020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p w14:paraId="2D1EF31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175FEC6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55FD16B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w:t>
            </w:r>
          </w:p>
        </w:tc>
        <w:tc>
          <w:tcPr>
            <w:tcW w:w="639" w:type="pct"/>
            <w:tcBorders>
              <w:top w:val="nil"/>
              <w:left w:val="nil"/>
              <w:bottom w:val="single" w:sz="4" w:space="0" w:color="000000"/>
              <w:right w:val="nil"/>
            </w:tcBorders>
            <w:hideMark/>
          </w:tcPr>
          <w:p w14:paraId="695D488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27.5</w:t>
            </w:r>
          </w:p>
          <w:p w14:paraId="3AB3C83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11.6</w:t>
            </w:r>
          </w:p>
          <w:p w14:paraId="1E14E52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22A72C8F" w14:textId="77777777" w:rsidR="00B50B63" w:rsidRPr="00B50B63" w:rsidRDefault="00B50B63" w:rsidP="00B50B63">
            <w:pPr>
              <w:tabs>
                <w:tab w:val="center" w:pos="1001"/>
                <w:tab w:val="right" w:pos="2003"/>
              </w:tabs>
              <w:jc w:val="center"/>
              <w:rPr>
                <w:rFonts w:ascii="Arial" w:hAnsi="Arial" w:cs="Arial"/>
                <w:color w:val="000000"/>
                <w:sz w:val="20"/>
              </w:rPr>
            </w:pPr>
            <w:r w:rsidRPr="00B50B63">
              <w:rPr>
                <w:rFonts w:ascii="Arial" w:hAnsi="Arial" w:cs="Arial"/>
                <w:color w:val="000000"/>
                <w:sz w:val="20"/>
              </w:rPr>
              <w:t>20</w:t>
            </w:r>
          </w:p>
          <w:p w14:paraId="026530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tc>
      </w:tr>
      <w:tr w:rsidR="00B50B63" w:rsidRPr="00B50B63" w14:paraId="6066B0F2" w14:textId="77777777" w:rsidTr="00B50B63">
        <w:trPr>
          <w:trHeight w:val="20"/>
          <w:jc w:val="center"/>
        </w:trPr>
        <w:tc>
          <w:tcPr>
            <w:tcW w:w="1530" w:type="pct"/>
            <w:tcBorders>
              <w:top w:val="single" w:sz="4" w:space="0" w:color="000000"/>
              <w:left w:val="nil"/>
              <w:bottom w:val="nil"/>
              <w:right w:val="nil"/>
            </w:tcBorders>
            <w:hideMark/>
          </w:tcPr>
          <w:p w14:paraId="00955CE9"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Marital </w:t>
            </w:r>
            <w:proofErr w:type="spellStart"/>
            <w:r w:rsidRPr="00B50B63">
              <w:rPr>
                <w:rFonts w:ascii="Arial" w:hAnsi="Arial" w:cs="Arial"/>
                <w:color w:val="000000"/>
                <w:sz w:val="20"/>
              </w:rPr>
              <w:t>status</w:t>
            </w:r>
            <w:proofErr w:type="spellEnd"/>
          </w:p>
        </w:tc>
        <w:tc>
          <w:tcPr>
            <w:tcW w:w="526" w:type="pct"/>
            <w:tcBorders>
              <w:top w:val="single" w:sz="4" w:space="0" w:color="000000"/>
              <w:left w:val="nil"/>
              <w:bottom w:val="nil"/>
              <w:right w:val="nil"/>
            </w:tcBorders>
            <w:hideMark/>
          </w:tcPr>
          <w:p w14:paraId="7D1A00D3"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99EA8F8"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6C5235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3E8792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187C6C6A"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7857EE87" w14:textId="77777777" w:rsidR="00B50B63" w:rsidRPr="00B50B63" w:rsidRDefault="00B50B63" w:rsidP="00B50B63">
            <w:pPr>
              <w:jc w:val="center"/>
              <w:rPr>
                <w:rFonts w:ascii="Arial" w:hAnsi="Arial" w:cs="Arial"/>
                <w:color w:val="000000"/>
                <w:sz w:val="20"/>
              </w:rPr>
            </w:pPr>
          </w:p>
        </w:tc>
      </w:tr>
      <w:tr w:rsidR="00B50B63" w:rsidRPr="00B50B63" w14:paraId="078EE4DF" w14:textId="77777777" w:rsidTr="00B50B63">
        <w:trPr>
          <w:trHeight w:val="20"/>
          <w:jc w:val="center"/>
        </w:trPr>
        <w:tc>
          <w:tcPr>
            <w:tcW w:w="1530" w:type="pct"/>
            <w:tcBorders>
              <w:top w:val="nil"/>
              <w:left w:val="nil"/>
              <w:bottom w:val="single" w:sz="4" w:space="0" w:color="auto"/>
              <w:right w:val="nil"/>
            </w:tcBorders>
            <w:hideMark/>
          </w:tcPr>
          <w:p w14:paraId="5E9F102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Married </w:t>
            </w:r>
          </w:p>
          <w:p w14:paraId="173B72A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Single   </w:t>
            </w:r>
          </w:p>
          <w:p w14:paraId="5EAA12E9"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Widower</w:t>
            </w:r>
            <w:proofErr w:type="spellEnd"/>
            <w:r w:rsidRPr="00B50B63">
              <w:rPr>
                <w:rFonts w:ascii="Arial" w:hAnsi="Arial" w:cs="Arial"/>
                <w:color w:val="000000"/>
                <w:sz w:val="20"/>
              </w:rPr>
              <w:t xml:space="preserve"> </w:t>
            </w:r>
          </w:p>
          <w:p w14:paraId="3DA44EDC"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Divorcee</w:t>
            </w:r>
            <w:proofErr w:type="spellEnd"/>
            <w:r w:rsidRPr="00B50B63">
              <w:rPr>
                <w:rFonts w:ascii="Arial" w:hAnsi="Arial" w:cs="Arial"/>
                <w:color w:val="000000"/>
                <w:sz w:val="20"/>
              </w:rPr>
              <w:t xml:space="preserve">   </w:t>
            </w:r>
          </w:p>
        </w:tc>
        <w:tc>
          <w:tcPr>
            <w:tcW w:w="526" w:type="pct"/>
            <w:tcBorders>
              <w:top w:val="nil"/>
              <w:left w:val="nil"/>
              <w:bottom w:val="single" w:sz="4" w:space="0" w:color="auto"/>
              <w:right w:val="nil"/>
            </w:tcBorders>
            <w:hideMark/>
          </w:tcPr>
          <w:p w14:paraId="63721C1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54</w:t>
            </w:r>
          </w:p>
          <w:p w14:paraId="2BABC9B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7865350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DB07AC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auto"/>
              <w:right w:val="nil"/>
            </w:tcBorders>
            <w:hideMark/>
          </w:tcPr>
          <w:p w14:paraId="5662FC5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56.3</w:t>
            </w:r>
          </w:p>
          <w:p w14:paraId="2E77332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2DF1423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1B853D6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auto"/>
              <w:right w:val="nil"/>
            </w:tcBorders>
            <w:hideMark/>
          </w:tcPr>
          <w:p w14:paraId="619145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1D27ECB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1FB175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76034E0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auto"/>
              <w:right w:val="nil"/>
            </w:tcBorders>
            <w:hideMark/>
          </w:tcPr>
          <w:p w14:paraId="77D5BCA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5DB36FF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47DA549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1DEB9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auto"/>
              <w:right w:val="nil"/>
            </w:tcBorders>
            <w:hideMark/>
          </w:tcPr>
          <w:p w14:paraId="73290A8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70</w:t>
            </w:r>
          </w:p>
          <w:p w14:paraId="08856B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15</w:t>
            </w:r>
          </w:p>
          <w:p w14:paraId="016BB08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w:t>
            </w:r>
          </w:p>
          <w:p w14:paraId="1B5FCE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23</w:t>
            </w:r>
          </w:p>
        </w:tc>
        <w:tc>
          <w:tcPr>
            <w:tcW w:w="639" w:type="pct"/>
            <w:tcBorders>
              <w:top w:val="nil"/>
              <w:left w:val="nil"/>
              <w:bottom w:val="single" w:sz="4" w:space="0" w:color="auto"/>
              <w:right w:val="nil"/>
            </w:tcBorders>
            <w:hideMark/>
          </w:tcPr>
          <w:p w14:paraId="458FA10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58.3</w:t>
            </w:r>
          </w:p>
          <w:p w14:paraId="32210C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8EF3D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4D27B67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19.1</w:t>
            </w:r>
          </w:p>
        </w:tc>
      </w:tr>
    </w:tbl>
    <w:p w14:paraId="0FEEEDFF" w14:textId="77777777" w:rsidR="00B50B63" w:rsidRPr="00B50B63" w:rsidRDefault="00B50B63" w:rsidP="00B50B63">
      <w:pPr>
        <w:jc w:val="both"/>
        <w:rPr>
          <w:rFonts w:ascii="Arial" w:hAnsi="Arial" w:cs="Arial"/>
          <w:color w:val="000000"/>
          <w:lang w:eastAsia="fr-FR"/>
        </w:rPr>
      </w:pPr>
      <w:r w:rsidRPr="00B50B63">
        <w:rPr>
          <w:rFonts w:ascii="Arial" w:hAnsi="Arial" w:cs="Arial"/>
          <w:color w:val="000000"/>
          <w:lang w:eastAsia="fr-FR"/>
        </w:rPr>
        <w:t>N: number of patients F: frequencies n: total number of studied patients</w:t>
      </w:r>
    </w:p>
    <w:p w14:paraId="5C2CFED7" w14:textId="77777777" w:rsidR="00B50B63" w:rsidRPr="00B50B63" w:rsidRDefault="00B50B63" w:rsidP="00B50B63">
      <w:pPr>
        <w:jc w:val="both"/>
        <w:rPr>
          <w:rFonts w:ascii="Arial" w:hAnsi="Arial" w:cs="Arial"/>
          <w:color w:val="000000"/>
          <w:lang w:eastAsia="fr-FR"/>
        </w:rPr>
      </w:pPr>
    </w:p>
    <w:p w14:paraId="45396894"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Lifestyle-dietary behaviors of surveyed patients</w:t>
      </w:r>
    </w:p>
    <w:p w14:paraId="466DD3E0" w14:textId="77777777" w:rsidR="00B50B63" w:rsidRPr="00B50B63" w:rsidRDefault="00B50B63" w:rsidP="00B50B63">
      <w:pPr>
        <w:tabs>
          <w:tab w:val="left" w:pos="810"/>
        </w:tabs>
        <w:ind w:left="720"/>
        <w:rPr>
          <w:rFonts w:ascii="Arial" w:hAnsi="Arial" w:cs="Arial"/>
          <w:b/>
        </w:rPr>
      </w:pPr>
    </w:p>
    <w:p w14:paraId="7E66179B" w14:textId="77777777" w:rsidR="00B50B63" w:rsidRPr="00B50B63" w:rsidRDefault="00B50B63" w:rsidP="00B50B63">
      <w:pPr>
        <w:jc w:val="both"/>
        <w:rPr>
          <w:rFonts w:ascii="Arial" w:hAnsi="Arial" w:cs="Arial"/>
        </w:rPr>
      </w:pPr>
      <w:r w:rsidRPr="00B50B63">
        <w:rPr>
          <w:rFonts w:ascii="Arial" w:hAnsi="Arial" w:cs="Arial"/>
        </w:rPr>
        <w:t xml:space="preserve">Based on Figure 1, it is evident that 39.4% of patients are aware of the significance of diet on health, while 60.6% are not. </w:t>
      </w:r>
    </w:p>
    <w:p w14:paraId="1D423D56" w14:textId="77777777" w:rsidR="00B50B63" w:rsidRPr="00B50B63" w:rsidRDefault="00B50B63" w:rsidP="00B50B63">
      <w:pPr>
        <w:jc w:val="both"/>
        <w:rPr>
          <w:rFonts w:ascii="Arial" w:hAnsi="Arial" w:cs="Arial"/>
        </w:rPr>
      </w:pPr>
    </w:p>
    <w:p w14:paraId="1137DD05" w14:textId="77777777"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59264" behindDoc="0" locked="0" layoutInCell="1" allowOverlap="1" wp14:anchorId="1BF7E20A" wp14:editId="0FA74D69">
                <wp:simplePos x="0" y="0"/>
                <wp:positionH relativeFrom="column">
                  <wp:posOffset>-76352</wp:posOffset>
                </wp:positionH>
                <wp:positionV relativeFrom="paragraph">
                  <wp:posOffset>3810</wp:posOffset>
                </wp:positionV>
                <wp:extent cx="3708806" cy="1675819"/>
                <wp:effectExtent l="0" t="0" r="6350" b="635"/>
                <wp:wrapNone/>
                <wp:docPr id="1998316329" name="Group 17"/>
                <wp:cNvGraphicFramePr/>
                <a:graphic xmlns:a="http://schemas.openxmlformats.org/drawingml/2006/main">
                  <a:graphicData uri="http://schemas.microsoft.com/office/word/2010/wordprocessingGroup">
                    <wpg:wgp>
                      <wpg:cNvGrpSpPr/>
                      <wpg:grpSpPr>
                        <a:xfrm>
                          <a:off x="0" y="0"/>
                          <a:ext cx="3708806" cy="1675819"/>
                          <a:chOff x="-80468" y="0"/>
                          <a:chExt cx="3708806" cy="1675819"/>
                        </a:xfrm>
                      </wpg:grpSpPr>
                      <wps:wsp>
                        <wps:cNvPr id="1488333034" name="Text Box 10"/>
                        <wps:cNvSpPr txBox="1"/>
                        <wps:spPr>
                          <a:xfrm>
                            <a:off x="226771" y="0"/>
                            <a:ext cx="3262147" cy="1441095"/>
                          </a:xfrm>
                          <a:prstGeom prst="rect">
                            <a:avLst/>
                          </a:prstGeom>
                          <a:solidFill>
                            <a:sysClr val="window" lastClr="FFFFFF"/>
                          </a:solidFill>
                          <a:ln w="6350">
                            <a:noFill/>
                          </a:ln>
                        </wps:spPr>
                        <wps:txbx>
                          <w:txbxContent>
                            <w:p w14:paraId="1FCE9880" w14:textId="77777777" w:rsidR="0008278F" w:rsidRDefault="0008278F" w:rsidP="00B50B63">
                              <w:r>
                                <w:rPr>
                                  <w:noProof/>
                                </w:rPr>
                                <w:drawing>
                                  <wp:inline distT="0" distB="0" distL="0" distR="0" wp14:anchorId="1B51FE33" wp14:editId="33919DB4">
                                    <wp:extent cx="2465222" cy="13028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748017" name="Text Box 16"/>
                        <wps:cNvSpPr txBox="1"/>
                        <wps:spPr>
                          <a:xfrm>
                            <a:off x="-80468" y="1353950"/>
                            <a:ext cx="3708806" cy="321869"/>
                          </a:xfrm>
                          <a:prstGeom prst="rect">
                            <a:avLst/>
                          </a:prstGeom>
                          <a:solidFill>
                            <a:sysClr val="window" lastClr="FFFFFF"/>
                          </a:solidFill>
                          <a:ln w="6350">
                            <a:noFill/>
                          </a:ln>
                        </wps:spPr>
                        <wps:txbx>
                          <w:txbxContent>
                            <w:p w14:paraId="745BDE8D" w14:textId="77777777" w:rsidR="0008278F" w:rsidRPr="00E3636C" w:rsidRDefault="0008278F"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08278F" w:rsidRDefault="0008278F"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BF7E20A" id="Group 17" o:spid="_x0000_s1026" style="position:absolute;left:0;text-align:left;margin-left:-6pt;margin-top:.3pt;width:292.05pt;height:131.95pt;z-index:251659264;mso-height-relative:margin" coordorigin="-804" coordsize="37088,1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">
                <v:shapetype id="_x0000_t202" coordsize="21600,21600" o:spt="202" path="m,l,21600r21600,l21600,xe">
                  <v:stroke joinstyle="miter"/>
                  <v:path gradientshapeok="t" o:connecttype="rect"/>
                </v:shapetype>
                <v:shape id="Text Box 10" o:spid="_x0000_s1027"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" fillcolor="window" stroked="f" strokeweight=".5pt">
                  <v:textbox>
                    <w:txbxContent>
                      <w:p w14:paraId="1FCE9880" w14:textId="77777777" w:rsidR="0008278F" w:rsidRDefault="0008278F" w:rsidP="00B50B63">
                        <w:r>
                          <w:rPr>
                            <w:noProof/>
                          </w:rPr>
                          <w:drawing>
                            <wp:inline distT="0" distB="0" distL="0" distR="0" wp14:anchorId="1B51FE33" wp14:editId="33919DB4">
                              <wp:extent cx="2465222" cy="1302883"/>
                              <wp:effectExtent l="0" t="0" r="0" b="0"/>
                              <wp:docPr id="17991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v:textbox>
                </v:shape>
                <v:shape id="Text Box 16" o:spid="_x0000_s1028" type="#_x0000_t202" style="position:absolute;left:-804;top:13539;width:370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" fillcolor="window" stroked="f" strokeweight=".5pt">
                  <v:textbox>
                    <w:txbxContent>
                      <w:p w14:paraId="745BDE8D" w14:textId="77777777" w:rsidR="0008278F" w:rsidRPr="00E3636C" w:rsidRDefault="0008278F"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08278F" w:rsidRDefault="0008278F" w:rsidP="00B50B63"/>
                    </w:txbxContent>
                  </v:textbox>
                </v:shape>
              </v:group>
            </w:pict>
          </mc:Fallback>
        </mc:AlternateContent>
      </w:r>
    </w:p>
    <w:p w14:paraId="2726B4F3" w14:textId="77777777" w:rsidR="00B50B63" w:rsidRPr="00B50B63" w:rsidRDefault="00B50B63" w:rsidP="00B50B63">
      <w:pPr>
        <w:jc w:val="both"/>
        <w:rPr>
          <w:rFonts w:ascii="Arial" w:hAnsi="Arial" w:cs="Arial"/>
        </w:rPr>
      </w:pPr>
    </w:p>
    <w:p w14:paraId="12F8A798" w14:textId="77777777" w:rsidR="00B50B63" w:rsidRPr="00B50B63" w:rsidRDefault="00B50B63" w:rsidP="00B50B63">
      <w:pPr>
        <w:jc w:val="both"/>
        <w:rPr>
          <w:rFonts w:ascii="Arial" w:hAnsi="Arial" w:cs="Arial"/>
        </w:rPr>
      </w:pPr>
    </w:p>
    <w:p w14:paraId="68423979" w14:textId="77777777" w:rsidR="00B50B63" w:rsidRPr="00B50B63" w:rsidRDefault="00B50B63" w:rsidP="00B50B63">
      <w:pPr>
        <w:jc w:val="both"/>
        <w:rPr>
          <w:rFonts w:ascii="Arial" w:hAnsi="Arial" w:cs="Arial"/>
        </w:rPr>
      </w:pPr>
    </w:p>
    <w:p w14:paraId="4FA3CD31" w14:textId="77777777" w:rsidR="00B50B63" w:rsidRPr="00B50B63" w:rsidRDefault="00B50B63" w:rsidP="00B50B63">
      <w:pPr>
        <w:jc w:val="both"/>
        <w:rPr>
          <w:rFonts w:ascii="Arial" w:hAnsi="Arial" w:cs="Arial"/>
        </w:rPr>
      </w:pPr>
    </w:p>
    <w:p w14:paraId="3808DB92" w14:textId="77777777" w:rsidR="00207EC1" w:rsidRDefault="00207EC1" w:rsidP="00B50B63">
      <w:pPr>
        <w:jc w:val="both"/>
        <w:rPr>
          <w:rFonts w:ascii="Arial" w:hAnsi="Arial" w:cs="Arial"/>
        </w:rPr>
      </w:pPr>
    </w:p>
    <w:p w14:paraId="0CC02644" w14:textId="77777777" w:rsidR="00207EC1" w:rsidRDefault="00207EC1" w:rsidP="00B50B63">
      <w:pPr>
        <w:jc w:val="both"/>
        <w:rPr>
          <w:rFonts w:ascii="Arial" w:hAnsi="Arial" w:cs="Arial"/>
        </w:rPr>
      </w:pPr>
    </w:p>
    <w:p w14:paraId="126D31C6" w14:textId="77777777" w:rsidR="00207EC1" w:rsidRDefault="00207EC1" w:rsidP="00B50B63">
      <w:pPr>
        <w:jc w:val="both"/>
        <w:rPr>
          <w:rFonts w:ascii="Arial" w:hAnsi="Arial" w:cs="Arial"/>
        </w:rPr>
      </w:pPr>
    </w:p>
    <w:p w14:paraId="66A60D69" w14:textId="77777777" w:rsidR="00207EC1" w:rsidRDefault="00207EC1" w:rsidP="00B50B63">
      <w:pPr>
        <w:jc w:val="both"/>
        <w:rPr>
          <w:rFonts w:ascii="Arial" w:hAnsi="Arial" w:cs="Arial"/>
        </w:rPr>
      </w:pPr>
    </w:p>
    <w:p w14:paraId="172A5106" w14:textId="77777777" w:rsidR="00207EC1" w:rsidRDefault="00207EC1" w:rsidP="00B50B63">
      <w:pPr>
        <w:jc w:val="both"/>
        <w:rPr>
          <w:rFonts w:ascii="Arial" w:hAnsi="Arial" w:cs="Arial"/>
        </w:rPr>
      </w:pPr>
    </w:p>
    <w:p w14:paraId="537F4DEC" w14:textId="77777777" w:rsidR="00207EC1" w:rsidRDefault="00207EC1" w:rsidP="00B50B63">
      <w:pPr>
        <w:jc w:val="both"/>
        <w:rPr>
          <w:rFonts w:ascii="Arial" w:hAnsi="Arial" w:cs="Arial"/>
        </w:rPr>
      </w:pPr>
    </w:p>
    <w:p w14:paraId="240A2D24" w14:textId="77777777" w:rsidR="00207EC1" w:rsidRDefault="00207EC1" w:rsidP="00B50B63">
      <w:pPr>
        <w:jc w:val="both"/>
        <w:rPr>
          <w:rFonts w:ascii="Arial" w:hAnsi="Arial" w:cs="Arial"/>
        </w:rPr>
      </w:pPr>
    </w:p>
    <w:p w14:paraId="06FEB246" w14:textId="77777777" w:rsidR="00207EC1" w:rsidRDefault="00207EC1" w:rsidP="00B50B63">
      <w:pPr>
        <w:jc w:val="both"/>
        <w:rPr>
          <w:rFonts w:ascii="Arial" w:hAnsi="Arial" w:cs="Arial"/>
        </w:rPr>
      </w:pPr>
    </w:p>
    <w:p w14:paraId="380054E3" w14:textId="77777777" w:rsidR="00207EC1" w:rsidRDefault="00207EC1" w:rsidP="00B50B63">
      <w:pPr>
        <w:jc w:val="both"/>
        <w:rPr>
          <w:rFonts w:ascii="Arial" w:hAnsi="Arial" w:cs="Arial"/>
        </w:rPr>
      </w:pPr>
    </w:p>
    <w:p w14:paraId="73C97F8D" w14:textId="7409D369" w:rsidR="00B50B63" w:rsidRPr="00B50B63" w:rsidRDefault="00B50B63" w:rsidP="00B50B63">
      <w:pPr>
        <w:jc w:val="both"/>
        <w:rPr>
          <w:rFonts w:ascii="Arial" w:hAnsi="Arial" w:cs="Arial"/>
        </w:rPr>
      </w:pPr>
      <w:r w:rsidRPr="00B50B63">
        <w:rPr>
          <w:rFonts w:ascii="Arial" w:hAnsi="Arial" w:cs="Arial"/>
        </w:rPr>
        <w:lastRenderedPageBreak/>
        <w:t xml:space="preserve">Figure 2 presents the distribution of the dietary diversity score in our study population. From this figure, it appears that 55% of the population have a low dietary diversity score, 30% have an average score, and 15% have a high daily dietary diversity score. </w:t>
      </w:r>
    </w:p>
    <w:p w14:paraId="74B157B8" w14:textId="6C6C7900"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60288" behindDoc="0" locked="0" layoutInCell="1" allowOverlap="1" wp14:anchorId="20517C54" wp14:editId="711B6B6B">
                <wp:simplePos x="0" y="0"/>
                <wp:positionH relativeFrom="column">
                  <wp:posOffset>-3810</wp:posOffset>
                </wp:positionH>
                <wp:positionV relativeFrom="paragraph">
                  <wp:posOffset>182245</wp:posOffset>
                </wp:positionV>
                <wp:extent cx="4088765" cy="1675765"/>
                <wp:effectExtent l="0" t="0" r="6985" b="635"/>
                <wp:wrapNone/>
                <wp:docPr id="1228128929" name="Group 17"/>
                <wp:cNvGraphicFramePr/>
                <a:graphic xmlns:a="http://schemas.openxmlformats.org/drawingml/2006/main">
                  <a:graphicData uri="http://schemas.microsoft.com/office/word/2010/wordprocessingGroup">
                    <wpg:wgp>
                      <wpg:cNvGrpSpPr/>
                      <wpg:grpSpPr>
                        <a:xfrm>
                          <a:off x="0" y="0"/>
                          <a:ext cx="4088765" cy="1675765"/>
                          <a:chOff x="-80468" y="0"/>
                          <a:chExt cx="4089196" cy="1675775"/>
                        </a:xfrm>
                      </wpg:grpSpPr>
                      <wps:wsp>
                        <wps:cNvPr id="944322934" name="Text Box 10"/>
                        <wps:cNvSpPr txBox="1"/>
                        <wps:spPr>
                          <a:xfrm>
                            <a:off x="226771" y="0"/>
                            <a:ext cx="3262147" cy="1441095"/>
                          </a:xfrm>
                          <a:prstGeom prst="rect">
                            <a:avLst/>
                          </a:prstGeom>
                          <a:solidFill>
                            <a:sysClr val="window" lastClr="FFFFFF"/>
                          </a:solidFill>
                          <a:ln w="6350">
                            <a:noFill/>
                          </a:ln>
                        </wps:spPr>
                        <wps:txbx>
                          <w:txbxContent>
                            <w:p w14:paraId="0EE836EA" w14:textId="77777777" w:rsidR="0008278F" w:rsidRDefault="0008278F" w:rsidP="00B50B63">
                              <w:r>
                                <w:rPr>
                                  <w:noProof/>
                                </w:rPr>
                                <w:drawing>
                                  <wp:inline distT="0" distB="0" distL="0" distR="0" wp14:anchorId="7EEA95ED" wp14:editId="08869651">
                                    <wp:extent cx="2156722" cy="1306476"/>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929712" name="Text Box 16"/>
                        <wps:cNvSpPr txBox="1"/>
                        <wps:spPr>
                          <a:xfrm>
                            <a:off x="-80468" y="1353906"/>
                            <a:ext cx="4089196" cy="321869"/>
                          </a:xfrm>
                          <a:prstGeom prst="rect">
                            <a:avLst/>
                          </a:prstGeom>
                          <a:solidFill>
                            <a:sysClr val="window" lastClr="FFFFFF"/>
                          </a:solidFill>
                          <a:ln w="6350">
                            <a:noFill/>
                          </a:ln>
                        </wps:spPr>
                        <wps:txbx>
                          <w:txbxContent>
                            <w:p w14:paraId="2E416696"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08278F" w:rsidRDefault="0008278F"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0517C54" id="_x0000_s1029" style="position:absolute;left:0;text-align:left;margin-left:-.3pt;margin-top:14.35pt;width:321.95pt;height:131.95pt;z-index:251660288;mso-width-relative:margin;mso-height-relative:margin" coordorigin="-804" coordsize="40891,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">
                <v:shape id="Text Box 10" o:spid="_x0000_s1030"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" fillcolor="window" stroked="f" strokeweight=".5pt">
                  <v:textbox>
                    <w:txbxContent>
                      <w:p w14:paraId="0EE836EA" w14:textId="77777777" w:rsidR="0008278F" w:rsidRDefault="0008278F" w:rsidP="00B50B63">
                        <w:r>
                          <w:rPr>
                            <w:noProof/>
                          </w:rPr>
                          <w:drawing>
                            <wp:inline distT="0" distB="0" distL="0" distR="0" wp14:anchorId="7EEA95ED" wp14:editId="08869651">
                              <wp:extent cx="2156722" cy="1306476"/>
                              <wp:effectExtent l="0" t="0" r="0" b="8255"/>
                              <wp:docPr id="193676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v:textbox>
                </v:shape>
                <v:shape id="Text Box 16" o:spid="_x0000_s1031" type="#_x0000_t202" style="position:absolute;left:-804;top:13539;width:40891;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" fillcolor="window" stroked="f" strokeweight=".5pt">
                  <v:textbox>
                    <w:txbxContent>
                      <w:p w14:paraId="2E416696"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08278F" w:rsidRDefault="0008278F" w:rsidP="00B50B63"/>
                    </w:txbxContent>
                  </v:textbox>
                </v:shape>
              </v:group>
            </w:pict>
          </mc:Fallback>
        </mc:AlternateContent>
      </w:r>
    </w:p>
    <w:p w14:paraId="527F3444" w14:textId="77777777" w:rsidR="00B50B63" w:rsidRPr="00B50B63" w:rsidRDefault="00B50B63" w:rsidP="00B50B63">
      <w:pPr>
        <w:jc w:val="both"/>
        <w:rPr>
          <w:rFonts w:ascii="Arial" w:hAnsi="Arial" w:cs="Arial"/>
        </w:rPr>
      </w:pPr>
    </w:p>
    <w:p w14:paraId="7504E972" w14:textId="77777777" w:rsidR="00B50B63" w:rsidRPr="00B50B63" w:rsidRDefault="00B50B63" w:rsidP="00B50B63">
      <w:pPr>
        <w:jc w:val="both"/>
        <w:rPr>
          <w:rFonts w:ascii="Arial" w:hAnsi="Arial" w:cs="Arial"/>
        </w:rPr>
      </w:pPr>
    </w:p>
    <w:p w14:paraId="587CA4F6" w14:textId="77777777" w:rsidR="00B50B63" w:rsidRPr="00B50B63" w:rsidRDefault="00B50B63" w:rsidP="00B50B63">
      <w:pPr>
        <w:jc w:val="both"/>
        <w:rPr>
          <w:rFonts w:ascii="Arial" w:hAnsi="Arial" w:cs="Arial"/>
        </w:rPr>
      </w:pPr>
    </w:p>
    <w:p w14:paraId="40D15698" w14:textId="77777777" w:rsidR="00B50B63" w:rsidRPr="00B50B63" w:rsidRDefault="00B50B63" w:rsidP="00B50B63">
      <w:pPr>
        <w:jc w:val="both"/>
        <w:rPr>
          <w:rFonts w:ascii="Arial" w:hAnsi="Arial" w:cs="Arial"/>
        </w:rPr>
      </w:pPr>
    </w:p>
    <w:p w14:paraId="39F3EE45" w14:textId="77777777" w:rsidR="00B50B63" w:rsidRPr="00B50B63" w:rsidRDefault="00B50B63" w:rsidP="00B50B63">
      <w:pPr>
        <w:jc w:val="both"/>
        <w:rPr>
          <w:rFonts w:ascii="Arial" w:hAnsi="Arial" w:cs="Arial"/>
        </w:rPr>
      </w:pPr>
    </w:p>
    <w:p w14:paraId="5E0899DE" w14:textId="77777777" w:rsidR="00B50B63" w:rsidRPr="00B50B63" w:rsidRDefault="00B50B63" w:rsidP="00B50B63">
      <w:pPr>
        <w:jc w:val="both"/>
        <w:rPr>
          <w:rFonts w:ascii="Arial" w:hAnsi="Arial" w:cs="Arial"/>
        </w:rPr>
      </w:pPr>
    </w:p>
    <w:p w14:paraId="0B03BA76" w14:textId="77777777" w:rsidR="00B50B63" w:rsidRDefault="00B50B63" w:rsidP="00B50B63">
      <w:pPr>
        <w:jc w:val="both"/>
        <w:rPr>
          <w:rFonts w:ascii="Arial" w:hAnsi="Arial" w:cs="Arial"/>
        </w:rPr>
      </w:pPr>
    </w:p>
    <w:p w14:paraId="195FF944" w14:textId="77777777" w:rsidR="00B50B63" w:rsidRDefault="00B50B63" w:rsidP="00B50B63">
      <w:pPr>
        <w:jc w:val="both"/>
        <w:rPr>
          <w:rFonts w:ascii="Arial" w:hAnsi="Arial" w:cs="Arial"/>
        </w:rPr>
      </w:pPr>
    </w:p>
    <w:p w14:paraId="5398ADA1" w14:textId="77777777" w:rsidR="00B50B63" w:rsidRDefault="00B50B63" w:rsidP="00B50B63">
      <w:pPr>
        <w:jc w:val="both"/>
        <w:rPr>
          <w:rFonts w:ascii="Arial" w:hAnsi="Arial" w:cs="Arial"/>
        </w:rPr>
      </w:pPr>
    </w:p>
    <w:p w14:paraId="09115B58" w14:textId="77777777" w:rsidR="00B50B63" w:rsidRDefault="00B50B63" w:rsidP="00B50B63">
      <w:pPr>
        <w:jc w:val="both"/>
        <w:rPr>
          <w:rFonts w:ascii="Arial" w:hAnsi="Arial" w:cs="Arial"/>
        </w:rPr>
      </w:pPr>
    </w:p>
    <w:p w14:paraId="05B1B4F8" w14:textId="77777777" w:rsidR="00B50B63" w:rsidRPr="00B50B63" w:rsidRDefault="00B50B63" w:rsidP="00B50B63">
      <w:pPr>
        <w:jc w:val="both"/>
        <w:rPr>
          <w:rFonts w:ascii="Arial" w:hAnsi="Arial" w:cs="Arial"/>
        </w:rPr>
      </w:pPr>
    </w:p>
    <w:p w14:paraId="2914E80E" w14:textId="77777777" w:rsidR="00B50B63" w:rsidRPr="00B50B63" w:rsidRDefault="00B50B63" w:rsidP="00B50B63">
      <w:pPr>
        <w:jc w:val="both"/>
        <w:rPr>
          <w:rFonts w:ascii="Arial" w:hAnsi="Arial" w:cs="Arial"/>
        </w:rPr>
      </w:pPr>
    </w:p>
    <w:p w14:paraId="22173ADA" w14:textId="77777777" w:rsidR="00B50B63" w:rsidRPr="00B50B63" w:rsidRDefault="00B50B63" w:rsidP="00B50B63">
      <w:pPr>
        <w:jc w:val="both"/>
        <w:rPr>
          <w:rFonts w:ascii="Arial" w:hAnsi="Arial" w:cs="Arial"/>
        </w:rPr>
      </w:pPr>
      <w:r w:rsidRPr="00B50B63">
        <w:rPr>
          <w:rFonts w:ascii="Arial" w:hAnsi="Arial" w:cs="Arial"/>
        </w:rPr>
        <w:t xml:space="preserve">Figure 3 illustrates how patients are distributed based on their daily meal count. It shows that most patients (83.9%) consumed four meals daily. </w:t>
      </w:r>
    </w:p>
    <w:p w14:paraId="703987E5" w14:textId="77777777" w:rsidR="00B50B63" w:rsidRPr="00B50B63" w:rsidRDefault="00B50B63" w:rsidP="00B50B63">
      <w:pPr>
        <w:jc w:val="both"/>
        <w:rPr>
          <w:rFonts w:ascii="Arial" w:hAnsi="Arial" w:cs="Arial"/>
        </w:rPr>
      </w:pPr>
    </w:p>
    <w:p w14:paraId="717778EC" w14:textId="77777777" w:rsidR="00B50B63" w:rsidRPr="00B50B63" w:rsidRDefault="00B50B63" w:rsidP="00B50B63">
      <w:pPr>
        <w:jc w:val="both"/>
        <w:rPr>
          <w:rFonts w:ascii="Calibri" w:eastAsia="Calibri" w:hAnsi="Calibri"/>
          <w:sz w:val="22"/>
          <w:szCs w:val="22"/>
        </w:rPr>
      </w:pPr>
      <w:r w:rsidRPr="00B50B63">
        <w:rPr>
          <w:rFonts w:ascii="Calibri" w:eastAsia="Calibri" w:hAnsi="Calibri"/>
          <w:noProof/>
          <w:sz w:val="22"/>
          <w:szCs w:val="22"/>
        </w:rPr>
        <mc:AlternateContent>
          <mc:Choice Requires="wpg">
            <w:drawing>
              <wp:anchor distT="0" distB="0" distL="114300" distR="114300" simplePos="0" relativeHeight="251663360" behindDoc="0" locked="0" layoutInCell="1" allowOverlap="1" wp14:anchorId="43F4DDF5" wp14:editId="23F3E409">
                <wp:simplePos x="0" y="0"/>
                <wp:positionH relativeFrom="column">
                  <wp:posOffset>0</wp:posOffset>
                </wp:positionH>
                <wp:positionV relativeFrom="paragraph">
                  <wp:posOffset>-635</wp:posOffset>
                </wp:positionV>
                <wp:extent cx="3708806" cy="2955341"/>
                <wp:effectExtent l="0" t="0" r="6350" b="0"/>
                <wp:wrapNone/>
                <wp:docPr id="1440120159" name="Group 19"/>
                <wp:cNvGraphicFramePr/>
                <a:graphic xmlns:a="http://schemas.openxmlformats.org/drawingml/2006/main">
                  <a:graphicData uri="http://schemas.microsoft.com/office/word/2010/wordprocessingGroup">
                    <wpg:wgp>
                      <wpg:cNvGrpSpPr/>
                      <wpg:grpSpPr>
                        <a:xfrm>
                          <a:off x="0" y="0"/>
                          <a:ext cx="3708806" cy="2955341"/>
                          <a:chOff x="0" y="0"/>
                          <a:chExt cx="3708806" cy="2955341"/>
                        </a:xfrm>
                      </wpg:grpSpPr>
                      <wps:wsp>
                        <wps:cNvPr id="92231698" name="Text Box 10"/>
                        <wps:cNvSpPr txBox="1"/>
                        <wps:spPr>
                          <a:xfrm>
                            <a:off x="204825" y="0"/>
                            <a:ext cx="3211373" cy="2626157"/>
                          </a:xfrm>
                          <a:prstGeom prst="rect">
                            <a:avLst/>
                          </a:prstGeom>
                          <a:solidFill>
                            <a:sysClr val="window" lastClr="FFFFFF"/>
                          </a:solidFill>
                          <a:ln w="6350">
                            <a:noFill/>
                          </a:ln>
                        </wps:spPr>
                        <wps:txbx>
                          <w:txbxContent>
                            <w:p w14:paraId="20874BF8" w14:textId="77777777" w:rsidR="0008278F" w:rsidRDefault="0008278F" w:rsidP="00B50B63">
                              <w:r w:rsidRPr="00FC6EF8">
                                <w:rPr>
                                  <w:noProof/>
                                </w:rPr>
                                <w:drawing>
                                  <wp:inline distT="0" distB="0" distL="0" distR="0" wp14:anchorId="4478E0C8" wp14:editId="6C542741">
                                    <wp:extent cx="2998463" cy="2516429"/>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143181" name="Text Box 16"/>
                        <wps:cNvSpPr txBox="1"/>
                        <wps:spPr>
                          <a:xfrm>
                            <a:off x="0" y="2633472"/>
                            <a:ext cx="3708806" cy="321869"/>
                          </a:xfrm>
                          <a:prstGeom prst="rect">
                            <a:avLst/>
                          </a:prstGeom>
                          <a:solidFill>
                            <a:sysClr val="window" lastClr="FFFFFF"/>
                          </a:solidFill>
                          <a:ln w="6350">
                            <a:noFill/>
                          </a:ln>
                        </wps:spPr>
                        <wps:txbx>
                          <w:txbxContent>
                            <w:p w14:paraId="7372E2AB"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08278F" w:rsidRDefault="0008278F"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3F4DDF5" id="Group 19" o:spid="_x0000_s1032" style="position:absolute;left:0;text-align:left;margin-left:0;margin-top:-.05pt;width:292.05pt;height:232.7pt;z-index:251663360" coordsize="37088,2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">
                <v:shape id="Text Box 10" o:spid="_x0000_s1033"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" fillcolor="window" stroked="f" strokeweight=".5pt">
                  <v:textbox>
                    <w:txbxContent>
                      <w:p w14:paraId="20874BF8" w14:textId="77777777" w:rsidR="0008278F" w:rsidRDefault="0008278F" w:rsidP="00B50B63">
                        <w:r w:rsidRPr="00FC6EF8">
                          <w:rPr>
                            <w:noProof/>
                          </w:rPr>
                          <w:drawing>
                            <wp:inline distT="0" distB="0" distL="0" distR="0" wp14:anchorId="4478E0C8" wp14:editId="6C542741">
                              <wp:extent cx="2998463" cy="2516429"/>
                              <wp:effectExtent l="0" t="0" r="0" b="0"/>
                              <wp:docPr id="423668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v:textbox>
                </v:shape>
                <v:shape id="Text Box 16" o:spid="_x0000_s1034" type="#_x0000_t202" style="position:absolute;top:26334;width:3708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" fillcolor="window" stroked="f" strokeweight=".5pt">
                  <v:textbox>
                    <w:txbxContent>
                      <w:p w14:paraId="7372E2AB"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08278F" w:rsidRDefault="0008278F" w:rsidP="00B50B63"/>
                    </w:txbxContent>
                  </v:textbox>
                </v:shape>
              </v:group>
            </w:pict>
          </mc:Fallback>
        </mc:AlternateContent>
      </w:r>
    </w:p>
    <w:p w14:paraId="0F66E5AE" w14:textId="77777777" w:rsidR="00B50B63" w:rsidRPr="00B50B63" w:rsidRDefault="00B50B63" w:rsidP="00B50B63">
      <w:pPr>
        <w:jc w:val="both"/>
        <w:rPr>
          <w:rFonts w:ascii="Calibri" w:eastAsia="Calibri" w:hAnsi="Calibri"/>
          <w:sz w:val="22"/>
          <w:szCs w:val="22"/>
        </w:rPr>
      </w:pPr>
    </w:p>
    <w:p w14:paraId="79860612" w14:textId="77777777" w:rsidR="00B50B63" w:rsidRPr="00B50B63" w:rsidRDefault="00B50B63" w:rsidP="00B50B63">
      <w:pPr>
        <w:jc w:val="both"/>
        <w:rPr>
          <w:rFonts w:ascii="Calibri" w:eastAsia="Calibri" w:hAnsi="Calibri"/>
          <w:sz w:val="22"/>
          <w:szCs w:val="22"/>
        </w:rPr>
      </w:pPr>
    </w:p>
    <w:p w14:paraId="25A3D3C8" w14:textId="77777777" w:rsidR="00B50B63" w:rsidRPr="00B50B63" w:rsidRDefault="00B50B63" w:rsidP="00B50B63">
      <w:pPr>
        <w:jc w:val="both"/>
        <w:rPr>
          <w:rFonts w:ascii="Calibri" w:eastAsia="Calibri" w:hAnsi="Calibri"/>
          <w:sz w:val="22"/>
          <w:szCs w:val="22"/>
        </w:rPr>
      </w:pPr>
    </w:p>
    <w:p w14:paraId="19006139" w14:textId="77777777" w:rsidR="00B50B63" w:rsidRPr="00B50B63" w:rsidRDefault="00B50B63" w:rsidP="00B50B63">
      <w:pPr>
        <w:jc w:val="both"/>
        <w:rPr>
          <w:rFonts w:ascii="Calibri" w:eastAsia="Calibri" w:hAnsi="Calibri"/>
          <w:sz w:val="22"/>
          <w:szCs w:val="22"/>
        </w:rPr>
      </w:pPr>
    </w:p>
    <w:p w14:paraId="3E9E78B6" w14:textId="77777777" w:rsidR="00B50B63" w:rsidRPr="00B50B63" w:rsidRDefault="00B50B63" w:rsidP="00B50B63">
      <w:pPr>
        <w:jc w:val="both"/>
        <w:rPr>
          <w:rFonts w:ascii="Calibri" w:eastAsia="Calibri" w:hAnsi="Calibri"/>
          <w:sz w:val="22"/>
          <w:szCs w:val="22"/>
        </w:rPr>
      </w:pPr>
    </w:p>
    <w:p w14:paraId="6089B003" w14:textId="77777777" w:rsidR="00B50B63" w:rsidRPr="00B50B63" w:rsidRDefault="00B50B63" w:rsidP="00B50B63">
      <w:pPr>
        <w:jc w:val="both"/>
        <w:rPr>
          <w:rFonts w:ascii="Calibri" w:eastAsia="Calibri" w:hAnsi="Calibri"/>
          <w:sz w:val="22"/>
          <w:szCs w:val="22"/>
        </w:rPr>
      </w:pPr>
    </w:p>
    <w:p w14:paraId="1D325163" w14:textId="77777777" w:rsidR="00B50B63" w:rsidRPr="00B50B63" w:rsidRDefault="00B50B63" w:rsidP="00B50B63">
      <w:pPr>
        <w:jc w:val="both"/>
        <w:rPr>
          <w:rFonts w:ascii="Calibri" w:eastAsia="Calibri" w:hAnsi="Calibri"/>
          <w:sz w:val="22"/>
          <w:szCs w:val="22"/>
        </w:rPr>
      </w:pPr>
    </w:p>
    <w:p w14:paraId="2E6904D4" w14:textId="77777777" w:rsidR="00B50B63" w:rsidRPr="00B50B63" w:rsidRDefault="00B50B63" w:rsidP="00B50B63">
      <w:pPr>
        <w:jc w:val="both"/>
        <w:rPr>
          <w:rFonts w:ascii="Calibri" w:eastAsia="Calibri" w:hAnsi="Calibri"/>
          <w:sz w:val="22"/>
          <w:szCs w:val="22"/>
        </w:rPr>
      </w:pPr>
    </w:p>
    <w:p w14:paraId="0DEB05E5" w14:textId="77777777" w:rsidR="00B50B63" w:rsidRPr="00B50B63" w:rsidRDefault="00B50B63" w:rsidP="00B50B63">
      <w:pPr>
        <w:jc w:val="both"/>
        <w:rPr>
          <w:rFonts w:ascii="Calibri" w:eastAsia="Calibri" w:hAnsi="Calibri"/>
          <w:sz w:val="22"/>
          <w:szCs w:val="22"/>
        </w:rPr>
      </w:pPr>
    </w:p>
    <w:p w14:paraId="0C4DE39B" w14:textId="77777777" w:rsidR="00B50B63" w:rsidRPr="00B50B63" w:rsidRDefault="00B50B63" w:rsidP="00B50B63">
      <w:pPr>
        <w:jc w:val="both"/>
        <w:rPr>
          <w:rFonts w:ascii="Calibri" w:eastAsia="Calibri" w:hAnsi="Calibri"/>
          <w:sz w:val="22"/>
          <w:szCs w:val="22"/>
        </w:rPr>
      </w:pPr>
    </w:p>
    <w:p w14:paraId="23217ABE" w14:textId="77777777" w:rsidR="00B50B63" w:rsidRPr="00B50B63" w:rsidRDefault="00B50B63" w:rsidP="00B50B63">
      <w:pPr>
        <w:jc w:val="both"/>
        <w:rPr>
          <w:rFonts w:ascii="Calibri" w:eastAsia="Calibri" w:hAnsi="Calibri"/>
          <w:sz w:val="22"/>
          <w:szCs w:val="22"/>
        </w:rPr>
      </w:pPr>
    </w:p>
    <w:p w14:paraId="566E7ECC" w14:textId="77777777" w:rsidR="00B50B63" w:rsidRDefault="00B50B63" w:rsidP="00B50B63">
      <w:pPr>
        <w:jc w:val="both"/>
        <w:rPr>
          <w:rFonts w:ascii="Calibri" w:eastAsia="Calibri" w:hAnsi="Calibri"/>
          <w:sz w:val="22"/>
          <w:szCs w:val="22"/>
        </w:rPr>
      </w:pPr>
    </w:p>
    <w:p w14:paraId="429C5483" w14:textId="77777777" w:rsidR="00B50B63" w:rsidRPr="00B50B63" w:rsidRDefault="00B50B63" w:rsidP="00B50B63">
      <w:pPr>
        <w:jc w:val="both"/>
        <w:rPr>
          <w:rFonts w:ascii="Calibri" w:eastAsia="Calibri" w:hAnsi="Calibri"/>
          <w:sz w:val="22"/>
          <w:szCs w:val="22"/>
        </w:rPr>
      </w:pPr>
    </w:p>
    <w:p w14:paraId="680345A7" w14:textId="77777777" w:rsidR="00B50B63" w:rsidRPr="00B50B63" w:rsidRDefault="00B50B63" w:rsidP="00B50B63">
      <w:pPr>
        <w:jc w:val="both"/>
        <w:rPr>
          <w:rFonts w:ascii="Calibri" w:eastAsia="Calibri" w:hAnsi="Calibri"/>
          <w:sz w:val="22"/>
          <w:szCs w:val="22"/>
        </w:rPr>
      </w:pPr>
    </w:p>
    <w:p w14:paraId="609406EF" w14:textId="77777777" w:rsidR="00B50B63" w:rsidRPr="00B50B63" w:rsidRDefault="00B50B63" w:rsidP="00B50B63">
      <w:pPr>
        <w:jc w:val="both"/>
        <w:rPr>
          <w:rFonts w:ascii="Calibri" w:eastAsia="Calibri" w:hAnsi="Calibri"/>
          <w:sz w:val="22"/>
          <w:szCs w:val="22"/>
        </w:rPr>
      </w:pPr>
    </w:p>
    <w:p w14:paraId="29DAF4EA"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Diabetes antecedents and associated pathologies of the participants</w:t>
      </w:r>
    </w:p>
    <w:p w14:paraId="4FF272AC" w14:textId="77777777" w:rsidR="00B50B63" w:rsidRPr="00B50B63" w:rsidRDefault="00B50B63" w:rsidP="00B50B63">
      <w:pPr>
        <w:tabs>
          <w:tab w:val="left" w:pos="810"/>
        </w:tabs>
        <w:ind w:left="720"/>
        <w:rPr>
          <w:rFonts w:ascii="Arial" w:hAnsi="Arial" w:cs="Arial"/>
          <w:b/>
        </w:rPr>
      </w:pPr>
    </w:p>
    <w:p w14:paraId="23261D22" w14:textId="77777777" w:rsidR="00B50B63" w:rsidRPr="00B50B63" w:rsidRDefault="00B50B63" w:rsidP="00B50B63">
      <w:pPr>
        <w:jc w:val="both"/>
        <w:rPr>
          <w:rFonts w:ascii="Arial" w:hAnsi="Arial" w:cs="Arial"/>
        </w:rPr>
      </w:pPr>
      <w:r w:rsidRPr="00B50B63">
        <w:rPr>
          <w:rFonts w:ascii="Arial" w:hAnsi="Arial" w:cs="Arial"/>
        </w:rPr>
        <w:t xml:space="preserve">According to Table 2, 35% of diabetic patients reported experiencing symptoms for less than 5 years, while 65% had symptoms for more than 5 years. Notably, 88.3% of our study population had a family history of diabetes. </w:t>
      </w:r>
    </w:p>
    <w:p w14:paraId="0838635E" w14:textId="77777777" w:rsidR="00B50B63" w:rsidRPr="00B50B63" w:rsidRDefault="00B50B63" w:rsidP="00B50B63">
      <w:pPr>
        <w:spacing w:before="100" w:beforeAutospacing="1"/>
        <w:jc w:val="both"/>
        <w:rPr>
          <w:rFonts w:ascii="Arial" w:hAnsi="Arial" w:cs="Arial"/>
          <w:color w:val="000000"/>
          <w:lang w:eastAsia="fr-FR"/>
        </w:rPr>
      </w:pPr>
      <w:r w:rsidRPr="00B50B63">
        <w:rPr>
          <w:rFonts w:ascii="Arial" w:eastAsia="Calibri" w:hAnsi="Arial" w:cs="Arial"/>
          <w:b/>
        </w:rPr>
        <w:t>Table 2:</w:t>
      </w:r>
      <w:r w:rsidRPr="00B50B63">
        <w:rPr>
          <w:rFonts w:ascii="Arial" w:eastAsia="Calibri" w:hAnsi="Arial" w:cs="Arial"/>
        </w:rPr>
        <w:t xml:space="preserve"> </w:t>
      </w:r>
      <w:r w:rsidRPr="00B50B63">
        <w:rPr>
          <w:rFonts w:ascii="Arial" w:hAnsi="Arial" w:cs="Arial"/>
          <w:color w:val="000000"/>
          <w:lang w:eastAsia="fr-FR"/>
        </w:rPr>
        <w:t>Family history and period of diagnosis of type 2 diabetes in the study population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1705"/>
        <w:gridCol w:w="1669"/>
        <w:gridCol w:w="1740"/>
      </w:tblGrid>
      <w:tr w:rsidR="00B50B63" w:rsidRPr="00B50B63" w14:paraId="1FAB4B03" w14:textId="77777777" w:rsidTr="0008278F">
        <w:tc>
          <w:tcPr>
            <w:tcW w:w="3984" w:type="dxa"/>
            <w:tcBorders>
              <w:top w:val="single" w:sz="4" w:space="0" w:color="auto"/>
              <w:bottom w:val="single" w:sz="4" w:space="0" w:color="auto"/>
            </w:tcBorders>
            <w:vAlign w:val="center"/>
          </w:tcPr>
          <w:p w14:paraId="7648C198" w14:textId="77777777" w:rsidR="00B50B63" w:rsidRPr="00B50B63" w:rsidRDefault="00B50B63" w:rsidP="00B50B63">
            <w:pPr>
              <w:rPr>
                <w:rFonts w:ascii="Arial" w:hAnsi="Arial" w:cs="Arial"/>
                <w:bCs/>
                <w:sz w:val="20"/>
              </w:rPr>
            </w:pPr>
            <w:r w:rsidRPr="00B50B63">
              <w:rPr>
                <w:rFonts w:ascii="Arial" w:hAnsi="Arial" w:cs="Arial"/>
                <w:bCs/>
                <w:sz w:val="20"/>
              </w:rPr>
              <w:t>Variables</w:t>
            </w:r>
          </w:p>
        </w:tc>
        <w:tc>
          <w:tcPr>
            <w:tcW w:w="1992" w:type="dxa"/>
            <w:tcBorders>
              <w:top w:val="single" w:sz="4" w:space="0" w:color="auto"/>
              <w:bottom w:val="single" w:sz="4" w:space="0" w:color="auto"/>
            </w:tcBorders>
            <w:vAlign w:val="center"/>
          </w:tcPr>
          <w:p w14:paraId="6037EA1D" w14:textId="77777777" w:rsidR="00B50B63" w:rsidRPr="00B50B63" w:rsidRDefault="00B50B63" w:rsidP="00B50B63">
            <w:pPr>
              <w:jc w:val="center"/>
              <w:rPr>
                <w:rFonts w:ascii="Arial" w:hAnsi="Arial" w:cs="Arial"/>
                <w:bCs/>
                <w:sz w:val="20"/>
              </w:rPr>
            </w:pPr>
            <w:r w:rsidRPr="00B50B63">
              <w:rPr>
                <w:rFonts w:ascii="Arial" w:hAnsi="Arial" w:cs="Arial"/>
                <w:bCs/>
                <w:sz w:val="20"/>
              </w:rPr>
              <w:t>Modality</w:t>
            </w:r>
          </w:p>
        </w:tc>
        <w:tc>
          <w:tcPr>
            <w:tcW w:w="1993" w:type="dxa"/>
            <w:tcBorders>
              <w:top w:val="single" w:sz="4" w:space="0" w:color="auto"/>
              <w:bottom w:val="single" w:sz="4" w:space="0" w:color="auto"/>
            </w:tcBorders>
            <w:vAlign w:val="center"/>
          </w:tcPr>
          <w:p w14:paraId="5C1D4B27" w14:textId="77777777" w:rsidR="00B50B63" w:rsidRPr="00B50B63" w:rsidRDefault="00B50B63" w:rsidP="00B50B63">
            <w:pPr>
              <w:jc w:val="center"/>
              <w:rPr>
                <w:rFonts w:ascii="Arial" w:hAnsi="Arial" w:cs="Arial"/>
                <w:bCs/>
                <w:sz w:val="20"/>
              </w:rPr>
            </w:pPr>
            <w:r w:rsidRPr="00B50B63">
              <w:rPr>
                <w:rFonts w:ascii="Arial" w:hAnsi="Arial" w:cs="Arial"/>
                <w:bCs/>
                <w:sz w:val="20"/>
              </w:rPr>
              <w:t>Number</w:t>
            </w:r>
          </w:p>
        </w:tc>
        <w:tc>
          <w:tcPr>
            <w:tcW w:w="1993" w:type="dxa"/>
            <w:tcBorders>
              <w:top w:val="single" w:sz="4" w:space="0" w:color="auto"/>
              <w:bottom w:val="single" w:sz="4" w:space="0" w:color="auto"/>
            </w:tcBorders>
            <w:vAlign w:val="center"/>
          </w:tcPr>
          <w:p w14:paraId="6AD8F13B" w14:textId="77777777" w:rsidR="00B50B63" w:rsidRPr="00B50B63" w:rsidRDefault="00B50B63" w:rsidP="00B50B63">
            <w:pPr>
              <w:jc w:val="center"/>
              <w:rPr>
                <w:rFonts w:ascii="Arial" w:hAnsi="Arial" w:cs="Arial"/>
                <w:bCs/>
                <w:sz w:val="20"/>
              </w:rPr>
            </w:pPr>
            <w:r w:rsidRPr="00B50B63">
              <w:rPr>
                <w:rFonts w:ascii="Arial" w:hAnsi="Arial" w:cs="Arial"/>
                <w:bCs/>
                <w:sz w:val="20"/>
              </w:rPr>
              <w:t>Frequency (%)</w:t>
            </w:r>
          </w:p>
        </w:tc>
      </w:tr>
      <w:tr w:rsidR="00B50B63" w:rsidRPr="00B50B63" w14:paraId="24BD496D" w14:textId="77777777" w:rsidTr="0008278F">
        <w:tc>
          <w:tcPr>
            <w:tcW w:w="3984" w:type="dxa"/>
            <w:vMerge w:val="restart"/>
            <w:tcBorders>
              <w:top w:val="single" w:sz="4" w:space="0" w:color="auto"/>
            </w:tcBorders>
            <w:vAlign w:val="center"/>
          </w:tcPr>
          <w:p w14:paraId="09697F32" w14:textId="77777777" w:rsidR="00B50B63" w:rsidRPr="00B50B63" w:rsidRDefault="00B50B63" w:rsidP="00B50B63">
            <w:pPr>
              <w:rPr>
                <w:rFonts w:ascii="Arial" w:hAnsi="Arial" w:cs="Arial"/>
                <w:bCs/>
                <w:sz w:val="20"/>
              </w:rPr>
            </w:pPr>
            <w:r w:rsidRPr="00B50B63">
              <w:rPr>
                <w:rFonts w:ascii="Arial" w:hAnsi="Arial" w:cs="Arial"/>
                <w:bCs/>
                <w:sz w:val="20"/>
              </w:rPr>
              <w:t>Period of diagnosis of diabetes (year)</w:t>
            </w:r>
          </w:p>
        </w:tc>
        <w:tc>
          <w:tcPr>
            <w:tcW w:w="1992" w:type="dxa"/>
            <w:tcBorders>
              <w:top w:val="single" w:sz="4" w:space="0" w:color="auto"/>
            </w:tcBorders>
            <w:vAlign w:val="center"/>
          </w:tcPr>
          <w:p w14:paraId="2F41511F" w14:textId="77777777" w:rsidR="00B50B63" w:rsidRPr="00B50B63" w:rsidRDefault="00B50B63" w:rsidP="00B50B63">
            <w:pPr>
              <w:jc w:val="center"/>
              <w:rPr>
                <w:rFonts w:ascii="Arial" w:hAnsi="Arial" w:cs="Arial"/>
                <w:sz w:val="20"/>
              </w:rPr>
            </w:pPr>
            <w:r w:rsidRPr="00B50B63">
              <w:rPr>
                <w:rFonts w:ascii="Arial" w:hAnsi="Arial" w:cs="Arial"/>
                <w:sz w:val="20"/>
              </w:rPr>
              <w:t>&lt; 5</w:t>
            </w:r>
          </w:p>
        </w:tc>
        <w:tc>
          <w:tcPr>
            <w:tcW w:w="1993" w:type="dxa"/>
            <w:tcBorders>
              <w:top w:val="single" w:sz="4" w:space="0" w:color="auto"/>
            </w:tcBorders>
            <w:vAlign w:val="center"/>
          </w:tcPr>
          <w:p w14:paraId="77D1CF53" w14:textId="77777777" w:rsidR="00B50B63" w:rsidRPr="00B50B63" w:rsidRDefault="00B50B63" w:rsidP="00B50B63">
            <w:pPr>
              <w:jc w:val="center"/>
              <w:rPr>
                <w:rFonts w:ascii="Arial" w:hAnsi="Arial" w:cs="Arial"/>
                <w:sz w:val="20"/>
              </w:rPr>
            </w:pPr>
            <w:r w:rsidRPr="00B50B63">
              <w:rPr>
                <w:rFonts w:ascii="Arial" w:hAnsi="Arial" w:cs="Arial"/>
                <w:sz w:val="20"/>
              </w:rPr>
              <w:t>42</w:t>
            </w:r>
          </w:p>
        </w:tc>
        <w:tc>
          <w:tcPr>
            <w:tcW w:w="1993" w:type="dxa"/>
            <w:tcBorders>
              <w:top w:val="single" w:sz="4" w:space="0" w:color="auto"/>
            </w:tcBorders>
            <w:vAlign w:val="center"/>
          </w:tcPr>
          <w:p w14:paraId="470BA4C7" w14:textId="77777777" w:rsidR="00B50B63" w:rsidRPr="00B50B63" w:rsidRDefault="00B50B63" w:rsidP="00B50B63">
            <w:pPr>
              <w:jc w:val="center"/>
              <w:rPr>
                <w:rFonts w:ascii="Arial" w:hAnsi="Arial" w:cs="Arial"/>
                <w:sz w:val="20"/>
              </w:rPr>
            </w:pPr>
            <w:r w:rsidRPr="00B50B63">
              <w:rPr>
                <w:rFonts w:ascii="Arial" w:hAnsi="Arial" w:cs="Arial"/>
                <w:sz w:val="20"/>
              </w:rPr>
              <w:t>35.00</w:t>
            </w:r>
          </w:p>
        </w:tc>
      </w:tr>
      <w:tr w:rsidR="00B50B63" w:rsidRPr="00B50B63" w14:paraId="264DB4F5" w14:textId="77777777" w:rsidTr="0008278F">
        <w:tc>
          <w:tcPr>
            <w:tcW w:w="3984" w:type="dxa"/>
            <w:vMerge/>
            <w:vAlign w:val="center"/>
          </w:tcPr>
          <w:p w14:paraId="0CB699FE" w14:textId="77777777" w:rsidR="00B50B63" w:rsidRPr="00B50B63" w:rsidRDefault="00B50B63" w:rsidP="00B50B63">
            <w:pPr>
              <w:rPr>
                <w:rFonts w:ascii="Arial" w:hAnsi="Arial" w:cs="Arial"/>
                <w:bCs/>
                <w:sz w:val="20"/>
              </w:rPr>
            </w:pPr>
          </w:p>
        </w:tc>
        <w:tc>
          <w:tcPr>
            <w:tcW w:w="1992" w:type="dxa"/>
            <w:vAlign w:val="center"/>
          </w:tcPr>
          <w:p w14:paraId="543E4C03" w14:textId="77777777" w:rsidR="00B50B63" w:rsidRPr="00B50B63" w:rsidRDefault="00B50B63" w:rsidP="00B50B63">
            <w:pPr>
              <w:numPr>
                <w:ilvl w:val="0"/>
                <w:numId w:val="41"/>
              </w:numPr>
              <w:jc w:val="center"/>
              <w:rPr>
                <w:rFonts w:ascii="Arial" w:hAnsi="Arial" w:cs="Arial"/>
                <w:sz w:val="20"/>
              </w:rPr>
            </w:pPr>
            <w:r w:rsidRPr="00B50B63">
              <w:rPr>
                <w:rFonts w:ascii="Arial" w:hAnsi="Arial" w:cs="Arial"/>
                <w:sz w:val="20"/>
              </w:rPr>
              <w:t>5</w:t>
            </w:r>
          </w:p>
        </w:tc>
        <w:tc>
          <w:tcPr>
            <w:tcW w:w="1993" w:type="dxa"/>
            <w:vAlign w:val="center"/>
          </w:tcPr>
          <w:p w14:paraId="74F6E568" w14:textId="77777777" w:rsidR="00B50B63" w:rsidRPr="00B50B63" w:rsidRDefault="00B50B63" w:rsidP="00B50B63">
            <w:pPr>
              <w:jc w:val="center"/>
              <w:rPr>
                <w:rFonts w:ascii="Arial" w:hAnsi="Arial" w:cs="Arial"/>
                <w:sz w:val="20"/>
              </w:rPr>
            </w:pPr>
            <w:r w:rsidRPr="00B50B63">
              <w:rPr>
                <w:rFonts w:ascii="Arial" w:hAnsi="Arial" w:cs="Arial"/>
                <w:sz w:val="20"/>
              </w:rPr>
              <w:t>78</w:t>
            </w:r>
          </w:p>
        </w:tc>
        <w:tc>
          <w:tcPr>
            <w:tcW w:w="1993" w:type="dxa"/>
            <w:vAlign w:val="center"/>
          </w:tcPr>
          <w:p w14:paraId="3ECBAA36" w14:textId="77777777" w:rsidR="00B50B63" w:rsidRPr="00B50B63" w:rsidRDefault="00B50B63" w:rsidP="00B50B63">
            <w:pPr>
              <w:jc w:val="center"/>
              <w:rPr>
                <w:rFonts w:ascii="Arial" w:hAnsi="Arial" w:cs="Arial"/>
                <w:sz w:val="20"/>
              </w:rPr>
            </w:pPr>
            <w:r w:rsidRPr="00B50B63">
              <w:rPr>
                <w:rFonts w:ascii="Arial" w:hAnsi="Arial" w:cs="Arial"/>
                <w:sz w:val="20"/>
              </w:rPr>
              <w:t>65.00</w:t>
            </w:r>
          </w:p>
        </w:tc>
      </w:tr>
      <w:tr w:rsidR="00B50B63" w:rsidRPr="00B50B63" w14:paraId="39983E87" w14:textId="77777777" w:rsidTr="0008278F">
        <w:tc>
          <w:tcPr>
            <w:tcW w:w="3984" w:type="dxa"/>
            <w:vMerge w:val="restart"/>
            <w:vAlign w:val="center"/>
          </w:tcPr>
          <w:p w14:paraId="0E23DE98" w14:textId="77777777" w:rsidR="00B50B63" w:rsidRPr="00B50B63" w:rsidRDefault="00B50B63" w:rsidP="00B50B63">
            <w:pPr>
              <w:rPr>
                <w:rFonts w:ascii="Arial" w:hAnsi="Arial" w:cs="Arial"/>
                <w:bCs/>
                <w:sz w:val="20"/>
              </w:rPr>
            </w:pPr>
            <w:r w:rsidRPr="00B50B63">
              <w:rPr>
                <w:rFonts w:ascii="Arial" w:hAnsi="Arial" w:cs="Arial"/>
                <w:bCs/>
                <w:sz w:val="20"/>
              </w:rPr>
              <w:t>Family history of diabetes</w:t>
            </w:r>
          </w:p>
        </w:tc>
        <w:tc>
          <w:tcPr>
            <w:tcW w:w="1992" w:type="dxa"/>
            <w:vAlign w:val="center"/>
          </w:tcPr>
          <w:p w14:paraId="111F1A8E" w14:textId="77777777" w:rsidR="00B50B63" w:rsidRPr="00B50B63" w:rsidRDefault="00B50B63" w:rsidP="00B50B63">
            <w:pPr>
              <w:jc w:val="center"/>
              <w:rPr>
                <w:rFonts w:ascii="Arial" w:hAnsi="Arial" w:cs="Arial"/>
                <w:sz w:val="20"/>
              </w:rPr>
            </w:pPr>
            <w:r w:rsidRPr="00B50B63">
              <w:rPr>
                <w:rFonts w:ascii="Arial" w:hAnsi="Arial" w:cs="Arial"/>
                <w:sz w:val="20"/>
              </w:rPr>
              <w:t>Yes</w:t>
            </w:r>
          </w:p>
        </w:tc>
        <w:tc>
          <w:tcPr>
            <w:tcW w:w="1993" w:type="dxa"/>
            <w:vAlign w:val="center"/>
          </w:tcPr>
          <w:p w14:paraId="714A68F0" w14:textId="77777777" w:rsidR="00B50B63" w:rsidRPr="00B50B63" w:rsidRDefault="00B50B63" w:rsidP="00B50B63">
            <w:pPr>
              <w:jc w:val="center"/>
              <w:rPr>
                <w:rFonts w:ascii="Arial" w:hAnsi="Arial" w:cs="Arial"/>
                <w:sz w:val="20"/>
              </w:rPr>
            </w:pPr>
            <w:r w:rsidRPr="00B50B63">
              <w:rPr>
                <w:rFonts w:ascii="Arial" w:hAnsi="Arial" w:cs="Arial"/>
                <w:sz w:val="20"/>
              </w:rPr>
              <w:t>106</w:t>
            </w:r>
          </w:p>
        </w:tc>
        <w:tc>
          <w:tcPr>
            <w:tcW w:w="1993" w:type="dxa"/>
            <w:vAlign w:val="center"/>
          </w:tcPr>
          <w:p w14:paraId="4EA8B799" w14:textId="77777777" w:rsidR="00B50B63" w:rsidRPr="00B50B63" w:rsidRDefault="00B50B63" w:rsidP="00B50B63">
            <w:pPr>
              <w:jc w:val="center"/>
              <w:rPr>
                <w:rFonts w:ascii="Arial" w:hAnsi="Arial" w:cs="Arial"/>
                <w:sz w:val="20"/>
              </w:rPr>
            </w:pPr>
            <w:r w:rsidRPr="00B50B63">
              <w:rPr>
                <w:rFonts w:ascii="Arial" w:hAnsi="Arial" w:cs="Arial"/>
                <w:sz w:val="20"/>
              </w:rPr>
              <w:t>88.30</w:t>
            </w:r>
          </w:p>
        </w:tc>
      </w:tr>
      <w:tr w:rsidR="00B50B63" w:rsidRPr="00B50B63" w14:paraId="5CBB2BDA" w14:textId="77777777" w:rsidTr="0008278F">
        <w:tc>
          <w:tcPr>
            <w:tcW w:w="3984" w:type="dxa"/>
            <w:vMerge/>
            <w:tcBorders>
              <w:bottom w:val="single" w:sz="4" w:space="0" w:color="auto"/>
            </w:tcBorders>
            <w:vAlign w:val="center"/>
          </w:tcPr>
          <w:p w14:paraId="20A381A2" w14:textId="77777777" w:rsidR="00B50B63" w:rsidRPr="00B50B63" w:rsidRDefault="00B50B63" w:rsidP="00B50B63">
            <w:pPr>
              <w:jc w:val="center"/>
              <w:rPr>
                <w:rFonts w:ascii="Arial" w:hAnsi="Arial" w:cs="Arial"/>
                <w:sz w:val="20"/>
              </w:rPr>
            </w:pPr>
          </w:p>
        </w:tc>
        <w:tc>
          <w:tcPr>
            <w:tcW w:w="1992" w:type="dxa"/>
            <w:tcBorders>
              <w:bottom w:val="single" w:sz="4" w:space="0" w:color="auto"/>
            </w:tcBorders>
            <w:vAlign w:val="center"/>
          </w:tcPr>
          <w:p w14:paraId="3BB0ED5B" w14:textId="77777777" w:rsidR="00B50B63" w:rsidRPr="00B50B63" w:rsidRDefault="00B50B63" w:rsidP="00B50B63">
            <w:pPr>
              <w:jc w:val="center"/>
              <w:rPr>
                <w:rFonts w:ascii="Arial" w:hAnsi="Arial" w:cs="Arial"/>
                <w:sz w:val="20"/>
              </w:rPr>
            </w:pPr>
            <w:r w:rsidRPr="00B50B63">
              <w:rPr>
                <w:rFonts w:ascii="Arial" w:hAnsi="Arial" w:cs="Arial"/>
                <w:sz w:val="20"/>
              </w:rPr>
              <w:t>No</w:t>
            </w:r>
          </w:p>
        </w:tc>
        <w:tc>
          <w:tcPr>
            <w:tcW w:w="1993" w:type="dxa"/>
            <w:tcBorders>
              <w:bottom w:val="single" w:sz="4" w:space="0" w:color="auto"/>
            </w:tcBorders>
            <w:vAlign w:val="center"/>
          </w:tcPr>
          <w:p w14:paraId="0D8E9D2B" w14:textId="77777777" w:rsidR="00B50B63" w:rsidRPr="00B50B63" w:rsidRDefault="00B50B63" w:rsidP="00B50B63">
            <w:pPr>
              <w:jc w:val="center"/>
              <w:rPr>
                <w:rFonts w:ascii="Arial" w:hAnsi="Arial" w:cs="Arial"/>
                <w:sz w:val="20"/>
              </w:rPr>
            </w:pPr>
            <w:r w:rsidRPr="00B50B63">
              <w:rPr>
                <w:rFonts w:ascii="Arial" w:hAnsi="Arial" w:cs="Arial"/>
                <w:sz w:val="20"/>
              </w:rPr>
              <w:t>14</w:t>
            </w:r>
          </w:p>
        </w:tc>
        <w:tc>
          <w:tcPr>
            <w:tcW w:w="1993" w:type="dxa"/>
            <w:tcBorders>
              <w:bottom w:val="single" w:sz="4" w:space="0" w:color="auto"/>
            </w:tcBorders>
            <w:vAlign w:val="center"/>
          </w:tcPr>
          <w:p w14:paraId="33303DAF" w14:textId="77777777" w:rsidR="00B50B63" w:rsidRPr="00B50B63" w:rsidRDefault="00B50B63" w:rsidP="00B50B63">
            <w:pPr>
              <w:jc w:val="center"/>
              <w:rPr>
                <w:rFonts w:ascii="Arial" w:hAnsi="Arial" w:cs="Arial"/>
                <w:sz w:val="20"/>
              </w:rPr>
            </w:pPr>
            <w:r w:rsidRPr="00B50B63">
              <w:rPr>
                <w:rFonts w:ascii="Arial" w:hAnsi="Arial" w:cs="Arial"/>
                <w:sz w:val="20"/>
              </w:rPr>
              <w:t>11.70</w:t>
            </w:r>
          </w:p>
        </w:tc>
      </w:tr>
    </w:tbl>
    <w:p w14:paraId="138E3CC4" w14:textId="77777777" w:rsidR="00B50B63" w:rsidRPr="00B50B63" w:rsidRDefault="00B50B63" w:rsidP="00B50B63">
      <w:pPr>
        <w:jc w:val="both"/>
        <w:rPr>
          <w:rFonts w:ascii="Arial" w:eastAsia="Calibri" w:hAnsi="Arial" w:cs="Arial"/>
          <w:b/>
          <w:u w:val="single"/>
        </w:rPr>
      </w:pPr>
    </w:p>
    <w:p w14:paraId="52BDD443" w14:textId="77777777" w:rsidR="00B50B63" w:rsidRPr="00B50B63" w:rsidRDefault="00B50B63" w:rsidP="00B50B63">
      <w:pPr>
        <w:jc w:val="both"/>
        <w:rPr>
          <w:rFonts w:ascii="Arial" w:hAnsi="Arial" w:cs="Arial"/>
        </w:rPr>
      </w:pPr>
      <w:r w:rsidRPr="00B50B63">
        <w:rPr>
          <w:rFonts w:ascii="Arial" w:hAnsi="Arial" w:cs="Arial"/>
        </w:rPr>
        <w:t xml:space="preserve">Figure 4 shows that 20.83% of patients in the case group were obese, and a significant proportion of diabetic patients also suffered from hypertension (17.70%). </w:t>
      </w:r>
    </w:p>
    <w:p w14:paraId="5784FCDC" w14:textId="77777777" w:rsidR="00B50B63" w:rsidRPr="00B50B63" w:rsidRDefault="00B50B63" w:rsidP="00B50B63">
      <w:pPr>
        <w:jc w:val="both"/>
        <w:rPr>
          <w:rFonts w:ascii="Arial" w:hAnsi="Arial" w:cs="Arial"/>
        </w:rPr>
      </w:pPr>
      <w:r w:rsidRPr="00B50B63">
        <w:rPr>
          <w:rFonts w:ascii="Calibri" w:eastAsia="Calibri" w:hAnsi="Calibri"/>
          <w:noProof/>
          <w:sz w:val="22"/>
          <w:szCs w:val="22"/>
        </w:rPr>
        <w:lastRenderedPageBreak/>
        <mc:AlternateContent>
          <mc:Choice Requires="wpg">
            <w:drawing>
              <wp:anchor distT="0" distB="0" distL="114300" distR="114300" simplePos="0" relativeHeight="251661312" behindDoc="0" locked="0" layoutInCell="1" allowOverlap="1" wp14:anchorId="5E7FF38D" wp14:editId="6DAF5098">
                <wp:simplePos x="0" y="0"/>
                <wp:positionH relativeFrom="column">
                  <wp:posOffset>-3810</wp:posOffset>
                </wp:positionH>
                <wp:positionV relativeFrom="paragraph">
                  <wp:posOffset>127940</wp:posOffset>
                </wp:positionV>
                <wp:extent cx="5427345" cy="2955290"/>
                <wp:effectExtent l="0" t="0" r="1905" b="0"/>
                <wp:wrapNone/>
                <wp:docPr id="121399045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66132453" name="Text Box 10"/>
                        <wps:cNvSpPr txBox="1"/>
                        <wps:spPr>
                          <a:xfrm>
                            <a:off x="204825" y="0"/>
                            <a:ext cx="3211373" cy="2626157"/>
                          </a:xfrm>
                          <a:prstGeom prst="rect">
                            <a:avLst/>
                          </a:prstGeom>
                          <a:solidFill>
                            <a:sysClr val="window" lastClr="FFFFFF"/>
                          </a:solidFill>
                          <a:ln w="6350">
                            <a:noFill/>
                          </a:ln>
                        </wps:spPr>
                        <wps:txbx>
                          <w:txbxContent>
                            <w:p w14:paraId="6D69A8D0" w14:textId="77777777" w:rsidR="0008278F" w:rsidRDefault="0008278F" w:rsidP="00B50B63">
                              <w:r w:rsidRPr="00FC6EF8">
                                <w:rPr>
                                  <w:noProof/>
                                </w:rPr>
                                <w:drawing>
                                  <wp:inline distT="0" distB="0" distL="0" distR="0" wp14:anchorId="49F0B3D0" wp14:editId="322F0223">
                                    <wp:extent cx="2778984" cy="2534126"/>
                                    <wp:effectExtent l="0" t="0" r="254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517617" name="Text Box 16"/>
                        <wps:cNvSpPr txBox="1"/>
                        <wps:spPr>
                          <a:xfrm>
                            <a:off x="0" y="2633427"/>
                            <a:ext cx="5427878" cy="321869"/>
                          </a:xfrm>
                          <a:prstGeom prst="rect">
                            <a:avLst/>
                          </a:prstGeom>
                          <a:solidFill>
                            <a:sysClr val="window" lastClr="FFFFFF"/>
                          </a:solidFill>
                          <a:ln w="6350">
                            <a:noFill/>
                          </a:ln>
                        </wps:spPr>
                        <wps:txbx>
                          <w:txbxContent>
                            <w:p w14:paraId="5071CECF"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08278F" w:rsidRDefault="0008278F"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E7FF38D" id="_x0000_s1035" style="position:absolute;left:0;text-align:left;margin-left:-.3pt;margin-top:10.05pt;width:427.35pt;height:232.7pt;z-index:251661312;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">
                <v:shape id="Text Box 10" o:spid="_x0000_s1036"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" fillcolor="window" stroked="f" strokeweight=".5pt">
                  <v:textbox>
                    <w:txbxContent>
                      <w:p w14:paraId="6D69A8D0" w14:textId="77777777" w:rsidR="0008278F" w:rsidRDefault="0008278F" w:rsidP="00B50B63">
                        <w:r w:rsidRPr="00FC6EF8">
                          <w:rPr>
                            <w:noProof/>
                          </w:rPr>
                          <w:drawing>
                            <wp:inline distT="0" distB="0" distL="0" distR="0" wp14:anchorId="49F0B3D0" wp14:editId="322F0223">
                              <wp:extent cx="2778984" cy="2534126"/>
                              <wp:effectExtent l="0" t="0" r="2540" b="0"/>
                              <wp:docPr id="213274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v:textbox>
                </v:shape>
                <v:shape id="Text Box 16" o:spid="_x0000_s1037"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" fillcolor="window" stroked="f" strokeweight=".5pt">
                  <v:textbox>
                    <w:txbxContent>
                      <w:p w14:paraId="5071CECF"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08278F" w:rsidRDefault="0008278F" w:rsidP="00B50B63"/>
                    </w:txbxContent>
                  </v:textbox>
                </v:shape>
              </v:group>
            </w:pict>
          </mc:Fallback>
        </mc:AlternateContent>
      </w:r>
    </w:p>
    <w:p w14:paraId="23E55AB1" w14:textId="77777777" w:rsidR="00B50B63" w:rsidRPr="00B50B63" w:rsidRDefault="00B50B63" w:rsidP="00B50B63">
      <w:pPr>
        <w:jc w:val="both"/>
        <w:rPr>
          <w:rFonts w:ascii="Arial" w:hAnsi="Arial" w:cs="Arial"/>
        </w:rPr>
      </w:pPr>
    </w:p>
    <w:p w14:paraId="30D4F8D1" w14:textId="77777777" w:rsidR="00B50B63" w:rsidRPr="00B50B63" w:rsidRDefault="00B50B63" w:rsidP="00B50B63">
      <w:pPr>
        <w:jc w:val="both"/>
        <w:rPr>
          <w:rFonts w:ascii="Arial" w:hAnsi="Arial" w:cs="Arial"/>
        </w:rPr>
      </w:pPr>
    </w:p>
    <w:p w14:paraId="755A2C76" w14:textId="77777777" w:rsidR="00B50B63" w:rsidRPr="00B50B63" w:rsidRDefault="00B50B63" w:rsidP="00B50B63">
      <w:pPr>
        <w:jc w:val="both"/>
        <w:rPr>
          <w:rFonts w:ascii="Arial" w:hAnsi="Arial" w:cs="Arial"/>
        </w:rPr>
      </w:pPr>
    </w:p>
    <w:p w14:paraId="1F689019" w14:textId="77777777" w:rsidR="00B50B63" w:rsidRPr="00B50B63" w:rsidRDefault="00B50B63" w:rsidP="00B50B63">
      <w:pPr>
        <w:jc w:val="both"/>
        <w:rPr>
          <w:rFonts w:ascii="Arial" w:hAnsi="Arial" w:cs="Arial"/>
        </w:rPr>
      </w:pPr>
    </w:p>
    <w:p w14:paraId="096CD1D9" w14:textId="77777777" w:rsidR="00B50B63" w:rsidRPr="00B50B63" w:rsidRDefault="00B50B63" w:rsidP="00B50B63">
      <w:pPr>
        <w:jc w:val="both"/>
        <w:rPr>
          <w:rFonts w:ascii="Arial" w:hAnsi="Arial" w:cs="Arial"/>
        </w:rPr>
      </w:pPr>
    </w:p>
    <w:p w14:paraId="2EBB1F3D" w14:textId="77777777" w:rsidR="00B50B63" w:rsidRPr="00B50B63" w:rsidRDefault="00B50B63" w:rsidP="00B50B63">
      <w:pPr>
        <w:jc w:val="both"/>
        <w:rPr>
          <w:rFonts w:ascii="Arial" w:hAnsi="Arial" w:cs="Arial"/>
        </w:rPr>
      </w:pPr>
    </w:p>
    <w:p w14:paraId="5BAA43D8" w14:textId="77777777" w:rsidR="00B50B63" w:rsidRPr="00B50B63" w:rsidRDefault="00B50B63" w:rsidP="00B50B63">
      <w:pPr>
        <w:jc w:val="both"/>
        <w:rPr>
          <w:rFonts w:ascii="Arial" w:hAnsi="Arial" w:cs="Arial"/>
        </w:rPr>
      </w:pPr>
    </w:p>
    <w:p w14:paraId="2DF9A9C2" w14:textId="77777777" w:rsidR="00B50B63" w:rsidRPr="00B50B63" w:rsidRDefault="00B50B63" w:rsidP="00B50B63">
      <w:pPr>
        <w:jc w:val="both"/>
        <w:rPr>
          <w:rFonts w:ascii="Arial" w:hAnsi="Arial" w:cs="Arial"/>
        </w:rPr>
      </w:pPr>
    </w:p>
    <w:p w14:paraId="5DF24DB8" w14:textId="77777777" w:rsidR="00B50B63" w:rsidRPr="00B50B63" w:rsidRDefault="00B50B63" w:rsidP="00B50B63">
      <w:pPr>
        <w:jc w:val="both"/>
        <w:rPr>
          <w:rFonts w:ascii="Arial" w:hAnsi="Arial" w:cs="Arial"/>
        </w:rPr>
      </w:pPr>
    </w:p>
    <w:p w14:paraId="339C684E" w14:textId="77777777" w:rsidR="00B50B63" w:rsidRPr="00B50B63" w:rsidRDefault="00B50B63" w:rsidP="00B50B63">
      <w:pPr>
        <w:jc w:val="both"/>
        <w:rPr>
          <w:rFonts w:ascii="Arial" w:hAnsi="Arial" w:cs="Arial"/>
        </w:rPr>
      </w:pPr>
    </w:p>
    <w:p w14:paraId="125A57B9" w14:textId="77777777" w:rsidR="00B50B63" w:rsidRPr="00B50B63" w:rsidRDefault="00B50B63" w:rsidP="00B50B63">
      <w:pPr>
        <w:jc w:val="both"/>
        <w:rPr>
          <w:rFonts w:ascii="Arial" w:hAnsi="Arial" w:cs="Arial"/>
        </w:rPr>
      </w:pPr>
    </w:p>
    <w:p w14:paraId="2EE41073" w14:textId="77777777" w:rsidR="00B50B63" w:rsidRDefault="00B50B63" w:rsidP="00B50B63">
      <w:pPr>
        <w:jc w:val="both"/>
        <w:rPr>
          <w:rFonts w:ascii="Arial" w:hAnsi="Arial" w:cs="Arial"/>
        </w:rPr>
      </w:pPr>
    </w:p>
    <w:p w14:paraId="292361E1" w14:textId="77777777" w:rsidR="00B50B63" w:rsidRDefault="00B50B63" w:rsidP="00B50B63">
      <w:pPr>
        <w:jc w:val="both"/>
        <w:rPr>
          <w:rFonts w:ascii="Arial" w:hAnsi="Arial" w:cs="Arial"/>
        </w:rPr>
      </w:pPr>
    </w:p>
    <w:p w14:paraId="21EF979C" w14:textId="77777777" w:rsidR="00B50B63" w:rsidRDefault="00B50B63" w:rsidP="00B50B63">
      <w:pPr>
        <w:jc w:val="both"/>
        <w:rPr>
          <w:rFonts w:ascii="Arial" w:hAnsi="Arial" w:cs="Arial"/>
        </w:rPr>
      </w:pPr>
    </w:p>
    <w:p w14:paraId="29AD9F10" w14:textId="77777777" w:rsidR="00B50B63" w:rsidRDefault="00B50B63" w:rsidP="00B50B63">
      <w:pPr>
        <w:jc w:val="both"/>
        <w:rPr>
          <w:rFonts w:ascii="Arial" w:hAnsi="Arial" w:cs="Arial"/>
        </w:rPr>
      </w:pPr>
    </w:p>
    <w:p w14:paraId="436AA7AC" w14:textId="77777777" w:rsidR="00B50B63" w:rsidRDefault="00B50B63" w:rsidP="00B50B63">
      <w:pPr>
        <w:jc w:val="both"/>
        <w:rPr>
          <w:rFonts w:ascii="Arial" w:hAnsi="Arial" w:cs="Arial"/>
        </w:rPr>
      </w:pPr>
    </w:p>
    <w:p w14:paraId="67860498" w14:textId="77777777" w:rsidR="00B50B63" w:rsidRDefault="00B50B63" w:rsidP="00B50B63">
      <w:pPr>
        <w:jc w:val="both"/>
        <w:rPr>
          <w:rFonts w:ascii="Arial" w:hAnsi="Arial" w:cs="Arial"/>
        </w:rPr>
      </w:pPr>
    </w:p>
    <w:p w14:paraId="53B605AC" w14:textId="77777777" w:rsidR="00B50B63" w:rsidRDefault="00B50B63" w:rsidP="00B50B63">
      <w:pPr>
        <w:jc w:val="both"/>
        <w:rPr>
          <w:rFonts w:ascii="Arial" w:hAnsi="Arial" w:cs="Arial"/>
        </w:rPr>
      </w:pPr>
    </w:p>
    <w:p w14:paraId="28F612A8" w14:textId="77777777" w:rsidR="00B50B63" w:rsidRDefault="00B50B63" w:rsidP="00B50B63">
      <w:pPr>
        <w:jc w:val="both"/>
        <w:rPr>
          <w:rFonts w:ascii="Arial" w:hAnsi="Arial" w:cs="Arial"/>
        </w:rPr>
      </w:pPr>
    </w:p>
    <w:p w14:paraId="115DD7C5" w14:textId="77777777" w:rsidR="00B50B63" w:rsidRDefault="00B50B63" w:rsidP="00B50B63">
      <w:pPr>
        <w:jc w:val="both"/>
        <w:rPr>
          <w:rFonts w:ascii="Arial" w:hAnsi="Arial" w:cs="Arial"/>
        </w:rPr>
      </w:pPr>
    </w:p>
    <w:p w14:paraId="7A91B8B2" w14:textId="77777777" w:rsidR="00B50B63" w:rsidRDefault="00B50B63" w:rsidP="00B50B63">
      <w:pPr>
        <w:jc w:val="both"/>
        <w:rPr>
          <w:rFonts w:ascii="Arial" w:hAnsi="Arial" w:cs="Arial"/>
        </w:rPr>
      </w:pPr>
    </w:p>
    <w:p w14:paraId="0D4A2D7D" w14:textId="16F971DC" w:rsidR="00B50B63" w:rsidRDefault="00B50B63" w:rsidP="00B50B63">
      <w:pPr>
        <w:jc w:val="both"/>
        <w:rPr>
          <w:rFonts w:ascii="Arial" w:hAnsi="Arial" w:cs="Arial"/>
        </w:rPr>
      </w:pPr>
      <w:r w:rsidRPr="00B50B63">
        <w:rPr>
          <w:rFonts w:ascii="Arial" w:hAnsi="Arial" w:cs="Arial"/>
        </w:rPr>
        <w:t>Furthermore, Figure 5 reveals that obesity (86.5%) and hypertension (62.5%) were the most prevalent comorbidities among diabetic patients in the control group.</w:t>
      </w:r>
    </w:p>
    <w:p w14:paraId="50D22D98" w14:textId="77777777" w:rsidR="00207EC1" w:rsidRDefault="00207EC1" w:rsidP="00B50B63">
      <w:pPr>
        <w:jc w:val="both"/>
        <w:rPr>
          <w:rFonts w:ascii="Arial" w:hAnsi="Arial" w:cs="Arial"/>
        </w:rPr>
      </w:pPr>
    </w:p>
    <w:p w14:paraId="779A3B49" w14:textId="77777777" w:rsidR="00207EC1" w:rsidRDefault="00207EC1" w:rsidP="00B50B63">
      <w:pPr>
        <w:jc w:val="both"/>
        <w:rPr>
          <w:rFonts w:ascii="Arial" w:hAnsi="Arial" w:cs="Arial"/>
        </w:rPr>
      </w:pPr>
    </w:p>
    <w:p w14:paraId="4A92546B" w14:textId="77777777" w:rsidR="00207EC1" w:rsidRDefault="00207EC1" w:rsidP="00B50B63">
      <w:pPr>
        <w:jc w:val="both"/>
        <w:rPr>
          <w:rFonts w:ascii="Arial" w:hAnsi="Arial" w:cs="Arial"/>
        </w:rPr>
      </w:pPr>
    </w:p>
    <w:p w14:paraId="023941D7" w14:textId="77777777" w:rsidR="00207EC1" w:rsidRDefault="00207EC1" w:rsidP="00B50B63">
      <w:pPr>
        <w:jc w:val="both"/>
        <w:rPr>
          <w:rFonts w:ascii="Arial" w:hAnsi="Arial" w:cs="Arial"/>
        </w:rPr>
      </w:pPr>
    </w:p>
    <w:p w14:paraId="28FF8587" w14:textId="77777777" w:rsidR="00207EC1" w:rsidRDefault="00207EC1" w:rsidP="00B50B63">
      <w:pPr>
        <w:jc w:val="both"/>
        <w:rPr>
          <w:rFonts w:ascii="Arial" w:hAnsi="Arial" w:cs="Arial"/>
        </w:rPr>
      </w:pPr>
    </w:p>
    <w:p w14:paraId="6E54D3C8" w14:textId="77777777" w:rsidR="00207EC1" w:rsidRDefault="00207EC1" w:rsidP="00B50B63">
      <w:pPr>
        <w:jc w:val="both"/>
        <w:rPr>
          <w:rFonts w:ascii="Arial" w:hAnsi="Arial" w:cs="Arial"/>
        </w:rPr>
      </w:pPr>
    </w:p>
    <w:p w14:paraId="06B89B28" w14:textId="77777777" w:rsidR="00207EC1" w:rsidRDefault="00207EC1" w:rsidP="00B50B63">
      <w:pPr>
        <w:jc w:val="both"/>
        <w:rPr>
          <w:rFonts w:ascii="Arial" w:hAnsi="Arial" w:cs="Arial"/>
        </w:rPr>
      </w:pPr>
    </w:p>
    <w:p w14:paraId="6ECC8E13" w14:textId="77777777" w:rsidR="00207EC1" w:rsidRDefault="00207EC1" w:rsidP="00B50B63">
      <w:pPr>
        <w:jc w:val="both"/>
        <w:rPr>
          <w:rFonts w:ascii="Arial" w:hAnsi="Arial" w:cs="Arial"/>
        </w:rPr>
      </w:pPr>
    </w:p>
    <w:p w14:paraId="3F0CF578" w14:textId="77777777" w:rsidR="00207EC1" w:rsidRPr="00B50B63" w:rsidRDefault="00207EC1" w:rsidP="00B50B63">
      <w:pPr>
        <w:jc w:val="both"/>
        <w:rPr>
          <w:rFonts w:ascii="Arial" w:hAnsi="Arial" w:cs="Arial"/>
        </w:rPr>
      </w:pPr>
    </w:p>
    <w:p w14:paraId="71BFC1E4" w14:textId="77777777" w:rsidR="00B50B63" w:rsidRPr="00B50B63" w:rsidRDefault="00B50B63" w:rsidP="00B50B63">
      <w:pPr>
        <w:jc w:val="both"/>
        <w:rPr>
          <w:rFonts w:ascii="Arial" w:hAnsi="Arial" w:cs="Arial"/>
        </w:rPr>
      </w:pPr>
      <w:r w:rsidRPr="00B50B63">
        <w:rPr>
          <w:rFonts w:ascii="Calibri" w:eastAsia="Calibri" w:hAnsi="Calibri"/>
          <w:noProof/>
          <w:sz w:val="22"/>
          <w:szCs w:val="22"/>
        </w:rPr>
        <mc:AlternateContent>
          <mc:Choice Requires="wpg">
            <w:drawing>
              <wp:anchor distT="0" distB="0" distL="114300" distR="114300" simplePos="0" relativeHeight="251662336" behindDoc="0" locked="0" layoutInCell="1" allowOverlap="1" wp14:anchorId="79B3D864" wp14:editId="03817A3B">
                <wp:simplePos x="0" y="0"/>
                <wp:positionH relativeFrom="column">
                  <wp:posOffset>0</wp:posOffset>
                </wp:positionH>
                <wp:positionV relativeFrom="paragraph">
                  <wp:posOffset>-635</wp:posOffset>
                </wp:positionV>
                <wp:extent cx="5427345" cy="2955290"/>
                <wp:effectExtent l="0" t="0" r="1905" b="0"/>
                <wp:wrapNone/>
                <wp:docPr id="123031384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38743762" name="Text Box 10"/>
                        <wps:cNvSpPr txBox="1"/>
                        <wps:spPr>
                          <a:xfrm>
                            <a:off x="204825" y="0"/>
                            <a:ext cx="3211373" cy="2626157"/>
                          </a:xfrm>
                          <a:prstGeom prst="rect">
                            <a:avLst/>
                          </a:prstGeom>
                          <a:solidFill>
                            <a:sysClr val="window" lastClr="FFFFFF"/>
                          </a:solidFill>
                          <a:ln w="6350">
                            <a:noFill/>
                          </a:ln>
                        </wps:spPr>
                        <wps:txbx>
                          <w:txbxContent>
                            <w:p w14:paraId="63079E3C" w14:textId="77777777" w:rsidR="0008278F" w:rsidRDefault="0008278F" w:rsidP="00B50B63">
                              <w:r w:rsidRPr="00FC6EF8">
                                <w:rPr>
                                  <w:noProof/>
                                </w:rPr>
                                <w:drawing>
                                  <wp:inline distT="0" distB="0" distL="0" distR="0" wp14:anchorId="73E71924" wp14:editId="03BC7065">
                                    <wp:extent cx="2778984" cy="2413788"/>
                                    <wp:effectExtent l="0" t="0" r="2540" b="5715"/>
                                    <wp:docPr id="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321179" name="Text Box 16"/>
                        <wps:cNvSpPr txBox="1"/>
                        <wps:spPr>
                          <a:xfrm>
                            <a:off x="0" y="2633427"/>
                            <a:ext cx="5427878" cy="321869"/>
                          </a:xfrm>
                          <a:prstGeom prst="rect">
                            <a:avLst/>
                          </a:prstGeom>
                          <a:solidFill>
                            <a:sysClr val="window" lastClr="FFFFFF"/>
                          </a:solidFill>
                          <a:ln w="6350">
                            <a:noFill/>
                          </a:ln>
                        </wps:spPr>
                        <wps:txbx>
                          <w:txbxContent>
                            <w:p w14:paraId="6F307EF9"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08278F" w:rsidRDefault="0008278F"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9B3D864" id="_x0000_s1038" style="position:absolute;left:0;text-align:left;margin-left:0;margin-top:-.05pt;width:427.35pt;height:232.7pt;z-index:251662336;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">
                <v:shape id="Text Box 10" o:spid="_x0000_s1039"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" fillcolor="window" stroked="f" strokeweight=".5pt">
                  <v:textbox>
                    <w:txbxContent>
                      <w:p w14:paraId="63079E3C" w14:textId="77777777" w:rsidR="0008278F" w:rsidRDefault="0008278F" w:rsidP="00B50B63">
                        <w:r w:rsidRPr="00FC6EF8">
                          <w:rPr>
                            <w:noProof/>
                          </w:rPr>
                          <w:drawing>
                            <wp:inline distT="0" distB="0" distL="0" distR="0" wp14:anchorId="73E71924" wp14:editId="03BC7065">
                              <wp:extent cx="2778984" cy="2413788"/>
                              <wp:effectExtent l="0" t="0" r="2540" b="5715"/>
                              <wp:docPr id="10957239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v:textbox>
                </v:shape>
                <v:shape id="Text Box 16" o:spid="_x0000_s1040"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" fillcolor="window" stroked="f" strokeweight=".5pt">
                  <v:textbox>
                    <w:txbxContent>
                      <w:p w14:paraId="6F307EF9" w14:textId="77777777" w:rsidR="0008278F" w:rsidRPr="00E3636C" w:rsidRDefault="0008278F"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08278F" w:rsidRDefault="0008278F" w:rsidP="00B50B63"/>
                    </w:txbxContent>
                  </v:textbox>
                </v:shape>
              </v:group>
            </w:pict>
          </mc:Fallback>
        </mc:AlternateContent>
      </w:r>
    </w:p>
    <w:p w14:paraId="647E2B7B" w14:textId="77777777" w:rsidR="00B50B63" w:rsidRPr="00B50B63" w:rsidRDefault="00B50B63" w:rsidP="00B50B63">
      <w:pPr>
        <w:jc w:val="both"/>
        <w:rPr>
          <w:rFonts w:ascii="Arial" w:hAnsi="Arial" w:cs="Arial"/>
        </w:rPr>
      </w:pPr>
    </w:p>
    <w:p w14:paraId="5756FE00" w14:textId="77777777" w:rsidR="00B50B63" w:rsidRPr="00B50B63" w:rsidRDefault="00B50B63" w:rsidP="00B50B63">
      <w:pPr>
        <w:jc w:val="both"/>
        <w:rPr>
          <w:rFonts w:ascii="Arial" w:hAnsi="Arial" w:cs="Arial"/>
        </w:rPr>
      </w:pPr>
    </w:p>
    <w:p w14:paraId="3F5B2A8E" w14:textId="77777777" w:rsidR="00B50B63" w:rsidRPr="00B50B63" w:rsidRDefault="00B50B63" w:rsidP="00B50B63">
      <w:pPr>
        <w:jc w:val="both"/>
        <w:rPr>
          <w:rFonts w:ascii="Arial" w:hAnsi="Arial" w:cs="Arial"/>
        </w:rPr>
      </w:pPr>
    </w:p>
    <w:p w14:paraId="277C5A49" w14:textId="77777777" w:rsidR="00B50B63" w:rsidRPr="00B50B63" w:rsidRDefault="00B50B63" w:rsidP="00B50B63">
      <w:pPr>
        <w:jc w:val="both"/>
        <w:rPr>
          <w:rFonts w:ascii="Arial" w:hAnsi="Arial" w:cs="Arial"/>
        </w:rPr>
      </w:pPr>
    </w:p>
    <w:p w14:paraId="68A06E0C" w14:textId="77777777" w:rsidR="00B50B63" w:rsidRPr="00B50B63" w:rsidRDefault="00B50B63" w:rsidP="00B50B63">
      <w:pPr>
        <w:jc w:val="both"/>
        <w:rPr>
          <w:rFonts w:ascii="Arial" w:hAnsi="Arial" w:cs="Arial"/>
        </w:rPr>
      </w:pPr>
    </w:p>
    <w:p w14:paraId="6DAA9FCB" w14:textId="77777777" w:rsidR="00B50B63" w:rsidRPr="00B50B63" w:rsidRDefault="00B50B63" w:rsidP="00B50B63">
      <w:pPr>
        <w:jc w:val="both"/>
        <w:rPr>
          <w:rFonts w:ascii="Arial" w:hAnsi="Arial" w:cs="Arial"/>
        </w:rPr>
      </w:pPr>
    </w:p>
    <w:p w14:paraId="45C11BFE" w14:textId="77777777" w:rsidR="00B50B63" w:rsidRPr="00B50B63" w:rsidRDefault="00B50B63" w:rsidP="00B50B63">
      <w:pPr>
        <w:jc w:val="both"/>
        <w:rPr>
          <w:rFonts w:ascii="Arial" w:hAnsi="Arial" w:cs="Arial"/>
        </w:rPr>
      </w:pPr>
    </w:p>
    <w:p w14:paraId="1C5BB2D2" w14:textId="77777777" w:rsidR="00B50B63" w:rsidRPr="00B50B63" w:rsidRDefault="00B50B63" w:rsidP="00B50B63">
      <w:pPr>
        <w:jc w:val="both"/>
        <w:rPr>
          <w:rFonts w:ascii="Arial" w:hAnsi="Arial" w:cs="Arial"/>
        </w:rPr>
      </w:pPr>
    </w:p>
    <w:p w14:paraId="04E7EA13" w14:textId="77777777" w:rsidR="00B50B63" w:rsidRPr="00B50B63" w:rsidRDefault="00B50B63" w:rsidP="00B50B63">
      <w:pPr>
        <w:jc w:val="both"/>
        <w:rPr>
          <w:rFonts w:ascii="Arial" w:hAnsi="Arial" w:cs="Arial"/>
        </w:rPr>
      </w:pPr>
    </w:p>
    <w:p w14:paraId="500B8ED4" w14:textId="77777777" w:rsidR="00B50B63" w:rsidRPr="00B50B63" w:rsidRDefault="00B50B63" w:rsidP="00B50B63">
      <w:pPr>
        <w:jc w:val="both"/>
        <w:rPr>
          <w:rFonts w:ascii="Arial" w:hAnsi="Arial" w:cs="Arial"/>
        </w:rPr>
      </w:pPr>
    </w:p>
    <w:p w14:paraId="66733022" w14:textId="77777777" w:rsidR="00B50B63" w:rsidRPr="00B50B63" w:rsidRDefault="00B50B63" w:rsidP="00B50B63">
      <w:pPr>
        <w:jc w:val="both"/>
        <w:rPr>
          <w:rFonts w:ascii="Arial" w:hAnsi="Arial" w:cs="Arial"/>
        </w:rPr>
      </w:pPr>
    </w:p>
    <w:p w14:paraId="6C0A6F60" w14:textId="77777777" w:rsidR="00B50B63" w:rsidRDefault="00B50B63" w:rsidP="00B50B63">
      <w:pPr>
        <w:jc w:val="both"/>
        <w:rPr>
          <w:rFonts w:ascii="Arial" w:hAnsi="Arial" w:cs="Arial"/>
        </w:rPr>
      </w:pPr>
    </w:p>
    <w:p w14:paraId="207F26BE" w14:textId="77777777" w:rsidR="00B50B63" w:rsidRDefault="00B50B63" w:rsidP="00B50B63">
      <w:pPr>
        <w:jc w:val="both"/>
        <w:rPr>
          <w:rFonts w:ascii="Arial" w:hAnsi="Arial" w:cs="Arial"/>
        </w:rPr>
      </w:pPr>
    </w:p>
    <w:p w14:paraId="2AFE0820" w14:textId="77777777" w:rsidR="00B50B63" w:rsidRDefault="00B50B63" w:rsidP="00B50B63">
      <w:pPr>
        <w:jc w:val="both"/>
        <w:rPr>
          <w:rFonts w:ascii="Arial" w:hAnsi="Arial" w:cs="Arial"/>
        </w:rPr>
      </w:pPr>
    </w:p>
    <w:p w14:paraId="27DD13BC" w14:textId="77777777" w:rsidR="00B50B63" w:rsidRDefault="00B50B63" w:rsidP="00B50B63">
      <w:pPr>
        <w:jc w:val="both"/>
        <w:rPr>
          <w:rFonts w:ascii="Arial" w:hAnsi="Arial" w:cs="Arial"/>
        </w:rPr>
      </w:pPr>
    </w:p>
    <w:p w14:paraId="2D9D2714" w14:textId="77777777" w:rsidR="00B50B63" w:rsidRPr="00B50B63" w:rsidRDefault="00B50B63" w:rsidP="00B50B63">
      <w:pPr>
        <w:jc w:val="both"/>
        <w:rPr>
          <w:rFonts w:ascii="Arial" w:hAnsi="Arial" w:cs="Arial"/>
        </w:rPr>
      </w:pPr>
    </w:p>
    <w:p w14:paraId="675FACB6" w14:textId="77777777" w:rsidR="00B50B63" w:rsidRPr="00B50B63" w:rsidRDefault="00B50B63" w:rsidP="00B50B63">
      <w:pPr>
        <w:jc w:val="both"/>
        <w:rPr>
          <w:rFonts w:ascii="Arial" w:hAnsi="Arial" w:cs="Arial"/>
        </w:rPr>
      </w:pPr>
    </w:p>
    <w:p w14:paraId="5C719F40" w14:textId="77777777" w:rsidR="00B50B63" w:rsidRPr="00B50B63" w:rsidRDefault="00B50B63" w:rsidP="00B50B63">
      <w:pPr>
        <w:jc w:val="both"/>
        <w:rPr>
          <w:rFonts w:ascii="Arial" w:hAnsi="Arial" w:cs="Arial"/>
        </w:rPr>
      </w:pPr>
    </w:p>
    <w:p w14:paraId="0DF751FD" w14:textId="77777777" w:rsidR="00B50B63" w:rsidRDefault="00B50B63" w:rsidP="00B50B63">
      <w:pPr>
        <w:jc w:val="both"/>
        <w:rPr>
          <w:rFonts w:ascii="Arial" w:hAnsi="Arial" w:cs="Arial"/>
        </w:rPr>
      </w:pPr>
    </w:p>
    <w:p w14:paraId="6EF1878B" w14:textId="77777777" w:rsidR="00B50B63" w:rsidRPr="00B50B63" w:rsidRDefault="00B50B63" w:rsidP="00B50B63">
      <w:pPr>
        <w:jc w:val="both"/>
        <w:rPr>
          <w:rFonts w:ascii="Arial" w:hAnsi="Arial" w:cs="Arial"/>
        </w:rPr>
      </w:pPr>
    </w:p>
    <w:p w14:paraId="7E49784E"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Effect of nutritional monitoring on anthropometric and biochemical parameters of the study groups before and after the intervention</w:t>
      </w:r>
    </w:p>
    <w:p w14:paraId="639938F4" w14:textId="77777777" w:rsidR="00B50B63" w:rsidRPr="00B50B63" w:rsidRDefault="00B50B63" w:rsidP="00B50B63">
      <w:pPr>
        <w:tabs>
          <w:tab w:val="left" w:pos="810"/>
        </w:tabs>
        <w:ind w:left="720"/>
        <w:rPr>
          <w:rFonts w:ascii="Arial" w:hAnsi="Arial" w:cs="Arial"/>
          <w:b/>
        </w:rPr>
      </w:pPr>
    </w:p>
    <w:p w14:paraId="082AC2C8"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obese diabetics</w:t>
      </w:r>
    </w:p>
    <w:p w14:paraId="6B7F39D6" w14:textId="77777777" w:rsidR="00B50B63" w:rsidRPr="00B50B63" w:rsidRDefault="00B50B63" w:rsidP="00B50B63">
      <w:pPr>
        <w:jc w:val="both"/>
        <w:rPr>
          <w:rFonts w:ascii="Arial" w:hAnsi="Arial" w:cs="Arial"/>
        </w:rPr>
      </w:pPr>
      <w:r w:rsidRPr="00B50B63">
        <w:rPr>
          <w:rFonts w:ascii="Arial" w:hAnsi="Arial" w:cs="Arial"/>
        </w:rPr>
        <w:t>The diet proposed for obese (Appendix-1) was primarily based on a low-calorie diet (1600 to 1800 Kcal/day) focusing mainly on the consumption of low glycemic index foods, foods rich in dietary fiber and regular physical activity (at least 30 minutes each day). It can be observed from Table 3 that diabetic individuals following the proposed diet experienced a reduction in BMI (</w:t>
      </w:r>
      <w:r w:rsidRPr="00B50B63">
        <w:rPr>
          <w:rFonts w:ascii="Arial" w:hAnsi="Arial" w:cs="Arial"/>
          <w:i/>
          <w:iCs/>
        </w:rPr>
        <w:t>p</w:t>
      </w:r>
      <w:r w:rsidRPr="00B50B63">
        <w:rPr>
          <w:rFonts w:ascii="Arial" w:hAnsi="Arial" w:cs="Arial"/>
        </w:rPr>
        <w:t xml:space="preserve"> = 0.001), blood sugar levels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cholesterol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0.01), and triglycerides (</w:t>
      </w:r>
      <w:r w:rsidRPr="00B50B63">
        <w:rPr>
          <w:rFonts w:ascii="Arial" w:hAnsi="Arial" w:cs="Arial"/>
          <w:i/>
          <w:iCs/>
        </w:rPr>
        <w:t>p</w:t>
      </w:r>
      <w:r w:rsidRPr="00B50B63">
        <w:rPr>
          <w:rFonts w:ascii="Arial" w:hAnsi="Arial" w:cs="Arial"/>
        </w:rPr>
        <w:t xml:space="preserve"> = 0.045), along with an increase in HDL (p = 0.05). The percentage of patients suffering from obesity grade 3 dropped from 35% before intervention to 15% after intervention, corresponding to a global drop of about 42.85%. Hemoglobin levels above 8% decreased from 70% prior to food intervention to 20% following it.</w:t>
      </w:r>
    </w:p>
    <w:p w14:paraId="0ADAB604" w14:textId="77777777" w:rsidR="00B50B63" w:rsidRPr="00B50B63" w:rsidRDefault="00B50B63" w:rsidP="00B50B63">
      <w:pPr>
        <w:spacing w:before="120"/>
        <w:jc w:val="both"/>
        <w:rPr>
          <w:rFonts w:ascii="Arial" w:hAnsi="Arial" w:cs="Arial"/>
        </w:rPr>
      </w:pPr>
      <w:r w:rsidRPr="00B50B63">
        <w:rPr>
          <w:rFonts w:ascii="Arial" w:hAnsi="Arial" w:cs="Arial"/>
          <w:b/>
        </w:rPr>
        <w:t>Table 3</w:t>
      </w:r>
      <w:r w:rsidRPr="00B50B63">
        <w:rPr>
          <w:rFonts w:ascii="Arial" w:hAnsi="Arial" w:cs="Arial"/>
        </w:rPr>
        <w:t xml:space="preserve">: Impact of diet on </w:t>
      </w:r>
      <w:r w:rsidRPr="00B50B63">
        <w:rPr>
          <w:rFonts w:ascii="Arial" w:eastAsia="Calibri" w:hAnsi="Arial" w:cs="Arial"/>
        </w:rPr>
        <w:t xml:space="preserve">Body Mass Index </w:t>
      </w:r>
      <w:r w:rsidRPr="00B50B63">
        <w:rPr>
          <w:rFonts w:ascii="Arial" w:hAnsi="Arial" w:cs="Arial"/>
        </w:rPr>
        <w:t>and biochemical parameters in obese diabetic patients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959"/>
        <w:gridCol w:w="760"/>
        <w:gridCol w:w="977"/>
        <w:gridCol w:w="909"/>
        <w:gridCol w:w="809"/>
        <w:gridCol w:w="975"/>
      </w:tblGrid>
      <w:tr w:rsidR="00B50B63" w:rsidRPr="00B50B63" w14:paraId="338544CB"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717" w:type="pct"/>
            <w:vMerge w:val="restart"/>
            <w:tcBorders>
              <w:top w:val="single" w:sz="4" w:space="0" w:color="auto"/>
            </w:tcBorders>
            <w:vAlign w:val="center"/>
          </w:tcPr>
          <w:p w14:paraId="2EE2CF77"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47" w:type="pct"/>
            <w:gridSpan w:val="2"/>
            <w:tcBorders>
              <w:top w:val="single" w:sz="4" w:space="0" w:color="auto"/>
              <w:bottom w:val="single" w:sz="4" w:space="0" w:color="auto"/>
            </w:tcBorders>
            <w:vAlign w:val="center"/>
          </w:tcPr>
          <w:p w14:paraId="4E3DCA6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5" w:type="pct"/>
            <w:vMerge w:val="restart"/>
            <w:tcBorders>
              <w:top w:val="single" w:sz="4" w:space="0" w:color="auto"/>
            </w:tcBorders>
            <w:vAlign w:val="center"/>
          </w:tcPr>
          <w:p w14:paraId="338A471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047" w:type="pct"/>
            <w:gridSpan w:val="2"/>
            <w:tcBorders>
              <w:top w:val="single" w:sz="4" w:space="0" w:color="auto"/>
              <w:bottom w:val="single" w:sz="4" w:space="0" w:color="auto"/>
            </w:tcBorders>
            <w:vAlign w:val="center"/>
          </w:tcPr>
          <w:p w14:paraId="5AD5A18E"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4" w:type="pct"/>
            <w:vMerge w:val="restart"/>
            <w:tcBorders>
              <w:top w:val="single" w:sz="4" w:space="0" w:color="auto"/>
            </w:tcBorders>
            <w:vAlign w:val="center"/>
          </w:tcPr>
          <w:p w14:paraId="50A3B5E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66EA3C47" w14:textId="77777777" w:rsidTr="00B50B63">
        <w:trPr>
          <w:trHeight w:val="42"/>
        </w:trPr>
        <w:tc>
          <w:tcPr>
            <w:cnfStyle w:val="001000000000" w:firstRow="0" w:lastRow="0" w:firstColumn="1" w:lastColumn="0" w:oddVBand="0" w:evenVBand="0" w:oddHBand="0" w:evenHBand="0" w:firstRowFirstColumn="0" w:firstRowLastColumn="0" w:lastRowFirstColumn="0" w:lastRowLastColumn="0"/>
            <w:tcW w:w="1717" w:type="pct"/>
            <w:vMerge/>
            <w:tcBorders>
              <w:bottom w:val="single" w:sz="4" w:space="0" w:color="auto"/>
            </w:tcBorders>
          </w:tcPr>
          <w:p w14:paraId="1AACE13C" w14:textId="77777777" w:rsidR="00B50B63" w:rsidRPr="00B50B63" w:rsidRDefault="00B50B63" w:rsidP="00B50B63">
            <w:pPr>
              <w:rPr>
                <w:rFonts w:ascii="Arial" w:hAnsi="Arial" w:cs="Arial"/>
                <w:sz w:val="20"/>
              </w:rPr>
            </w:pPr>
          </w:p>
        </w:tc>
        <w:tc>
          <w:tcPr>
            <w:tcW w:w="1047" w:type="pct"/>
            <w:gridSpan w:val="2"/>
            <w:tcBorders>
              <w:top w:val="single" w:sz="4" w:space="0" w:color="auto"/>
              <w:bottom w:val="single" w:sz="4" w:space="0" w:color="auto"/>
            </w:tcBorders>
            <w:vAlign w:val="center"/>
          </w:tcPr>
          <w:p w14:paraId="75498B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95" w:type="pct"/>
            <w:vMerge/>
            <w:tcBorders>
              <w:bottom w:val="single" w:sz="4" w:space="0" w:color="auto"/>
            </w:tcBorders>
            <w:vAlign w:val="center"/>
          </w:tcPr>
          <w:p w14:paraId="216DD3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47" w:type="pct"/>
            <w:gridSpan w:val="2"/>
            <w:tcBorders>
              <w:top w:val="single" w:sz="4" w:space="0" w:color="auto"/>
              <w:bottom w:val="single" w:sz="4" w:space="0" w:color="auto"/>
            </w:tcBorders>
            <w:vAlign w:val="center"/>
          </w:tcPr>
          <w:p w14:paraId="0D4B79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594" w:type="pct"/>
            <w:vMerge/>
            <w:tcBorders>
              <w:bottom w:val="single" w:sz="4" w:space="0" w:color="auto"/>
            </w:tcBorders>
            <w:vAlign w:val="center"/>
          </w:tcPr>
          <w:p w14:paraId="23860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AFA50E" w14:textId="77777777" w:rsidTr="00B50B63">
        <w:trPr>
          <w:trHeight w:val="143"/>
        </w:trPr>
        <w:tc>
          <w:tcPr>
            <w:cnfStyle w:val="001000000000" w:firstRow="0" w:lastRow="0" w:firstColumn="1" w:lastColumn="0" w:oddVBand="0" w:evenVBand="0" w:oddHBand="0" w:evenHBand="0" w:firstRowFirstColumn="0" w:firstRowLastColumn="0" w:lastRowFirstColumn="0" w:lastRowLastColumn="0"/>
            <w:tcW w:w="1717" w:type="pct"/>
            <w:tcBorders>
              <w:top w:val="single" w:sz="4" w:space="0" w:color="auto"/>
            </w:tcBorders>
          </w:tcPr>
          <w:p w14:paraId="431755B2"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84" w:type="pct"/>
            <w:tcBorders>
              <w:top w:val="single" w:sz="4" w:space="0" w:color="auto"/>
            </w:tcBorders>
          </w:tcPr>
          <w:p w14:paraId="713F68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63" w:type="pct"/>
            <w:tcBorders>
              <w:top w:val="single" w:sz="4" w:space="0" w:color="auto"/>
            </w:tcBorders>
          </w:tcPr>
          <w:p w14:paraId="28A08F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5" w:type="pct"/>
            <w:tcBorders>
              <w:top w:val="single" w:sz="4" w:space="0" w:color="auto"/>
            </w:tcBorders>
          </w:tcPr>
          <w:p w14:paraId="32ACAC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p>
        </w:tc>
        <w:tc>
          <w:tcPr>
            <w:tcW w:w="554" w:type="pct"/>
            <w:tcBorders>
              <w:top w:val="single" w:sz="4" w:space="0" w:color="auto"/>
            </w:tcBorders>
            <w:vAlign w:val="center"/>
          </w:tcPr>
          <w:p w14:paraId="2564CC1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93" w:type="pct"/>
            <w:tcBorders>
              <w:top w:val="single" w:sz="4" w:space="0" w:color="auto"/>
            </w:tcBorders>
            <w:vAlign w:val="center"/>
          </w:tcPr>
          <w:p w14:paraId="26F6FF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4" w:type="pct"/>
            <w:tcBorders>
              <w:top w:val="single" w:sz="4" w:space="0" w:color="auto"/>
            </w:tcBorders>
            <w:vAlign w:val="center"/>
          </w:tcPr>
          <w:p w14:paraId="6CBC5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2EC2CB0" w14:textId="77777777" w:rsidTr="00B50B63">
        <w:trPr>
          <w:trHeight w:val="198"/>
        </w:trPr>
        <w:tc>
          <w:tcPr>
            <w:cnfStyle w:val="001000000000" w:firstRow="0" w:lastRow="0" w:firstColumn="1" w:lastColumn="0" w:oddVBand="0" w:evenVBand="0" w:oddHBand="0" w:evenHBand="0" w:firstRowFirstColumn="0" w:firstRowLastColumn="0" w:lastRowFirstColumn="0" w:lastRowLastColumn="0"/>
            <w:tcW w:w="1717" w:type="pct"/>
          </w:tcPr>
          <w:p w14:paraId="605BCE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1: 30-34.9</w:t>
            </w:r>
          </w:p>
        </w:tc>
        <w:tc>
          <w:tcPr>
            <w:tcW w:w="584" w:type="pct"/>
          </w:tcPr>
          <w:p w14:paraId="3D1371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2DF602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51B7DD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554" w:type="pct"/>
            <w:vAlign w:val="center"/>
          </w:tcPr>
          <w:p w14:paraId="15BED1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493" w:type="pct"/>
            <w:vAlign w:val="center"/>
          </w:tcPr>
          <w:p w14:paraId="5473C9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71.40</w:t>
            </w:r>
          </w:p>
        </w:tc>
        <w:tc>
          <w:tcPr>
            <w:tcW w:w="594" w:type="pct"/>
            <w:vMerge w:val="restart"/>
            <w:vAlign w:val="center"/>
          </w:tcPr>
          <w:p w14:paraId="7918AE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0.756</w:t>
            </w:r>
          </w:p>
        </w:tc>
      </w:tr>
      <w:tr w:rsidR="00B50B63" w:rsidRPr="00B50B63" w14:paraId="00F551ED"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797B25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2: 35-39.9</w:t>
            </w:r>
          </w:p>
        </w:tc>
        <w:tc>
          <w:tcPr>
            <w:tcW w:w="584" w:type="pct"/>
          </w:tcPr>
          <w:p w14:paraId="046980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5E6F0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95" w:type="pct"/>
            <w:vMerge/>
          </w:tcPr>
          <w:p w14:paraId="637115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448C0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57.10</w:t>
            </w:r>
          </w:p>
        </w:tc>
        <w:tc>
          <w:tcPr>
            <w:tcW w:w="493" w:type="pct"/>
            <w:vAlign w:val="center"/>
          </w:tcPr>
          <w:p w14:paraId="76161A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594" w:type="pct"/>
            <w:vMerge/>
            <w:vAlign w:val="center"/>
          </w:tcPr>
          <w:p w14:paraId="490286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76BF8FA"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5E5491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3: ≥ 40</w:t>
            </w:r>
          </w:p>
        </w:tc>
        <w:tc>
          <w:tcPr>
            <w:tcW w:w="584" w:type="pct"/>
          </w:tcPr>
          <w:p w14:paraId="6D632D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0E0B0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16DCD3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0A920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14.20</w:t>
            </w:r>
          </w:p>
        </w:tc>
        <w:tc>
          <w:tcPr>
            <w:tcW w:w="493" w:type="pct"/>
            <w:vAlign w:val="center"/>
          </w:tcPr>
          <w:p w14:paraId="6350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2218AB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EB061A4" w14:textId="77777777" w:rsidTr="00B50B63">
        <w:trPr>
          <w:trHeight w:val="126"/>
        </w:trPr>
        <w:tc>
          <w:tcPr>
            <w:cnfStyle w:val="001000000000" w:firstRow="0" w:lastRow="0" w:firstColumn="1" w:lastColumn="0" w:oddVBand="0" w:evenVBand="0" w:oddHBand="0" w:evenHBand="0" w:firstRowFirstColumn="0" w:firstRowLastColumn="0" w:lastRowFirstColumn="0" w:lastRowLastColumn="0"/>
            <w:tcW w:w="1717" w:type="pct"/>
          </w:tcPr>
          <w:p w14:paraId="743B4C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rPr>
            </w:pPr>
            <w:r w:rsidRPr="00B50B63">
              <w:rPr>
                <w:rFonts w:ascii="Arial" w:hAnsi="Arial" w:cs="Arial"/>
                <w:i/>
                <w:iCs/>
                <w:sz w:val="20"/>
              </w:rPr>
              <w:t>Blood glucose (g/l)</w:t>
            </w:r>
          </w:p>
        </w:tc>
        <w:tc>
          <w:tcPr>
            <w:tcW w:w="3283" w:type="pct"/>
            <w:gridSpan w:val="6"/>
            <w:vAlign w:val="center"/>
          </w:tcPr>
          <w:p w14:paraId="21F4FD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CDA0786"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5F9EB2BC"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84" w:type="pct"/>
          </w:tcPr>
          <w:p w14:paraId="663BAE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1A9643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5" w:type="pct"/>
            <w:vMerge w:val="restart"/>
            <w:vAlign w:val="center"/>
          </w:tcPr>
          <w:p w14:paraId="11B1E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20BDF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4C7750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restart"/>
            <w:vAlign w:val="center"/>
          </w:tcPr>
          <w:p w14:paraId="185EED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3DA503BB"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235F472B"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84" w:type="pct"/>
          </w:tcPr>
          <w:p w14:paraId="193A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62E730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tcPr>
          <w:p w14:paraId="5A46FA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015AF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493" w:type="pct"/>
            <w:vAlign w:val="center"/>
          </w:tcPr>
          <w:p w14:paraId="0AF380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A828E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01CFE4"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7E8D04B5"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84" w:type="pct"/>
          </w:tcPr>
          <w:p w14:paraId="02FA83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5F956B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tcPr>
          <w:p w14:paraId="025D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45500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493" w:type="pct"/>
            <w:vAlign w:val="center"/>
          </w:tcPr>
          <w:p w14:paraId="2968E7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87AB1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632AD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1E914010"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84" w:type="pct"/>
          </w:tcPr>
          <w:p w14:paraId="45535E4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463" w:type="pct"/>
          </w:tcPr>
          <w:p w14:paraId="2A55D4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39D50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B86C7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93" w:type="pct"/>
            <w:vAlign w:val="center"/>
          </w:tcPr>
          <w:p w14:paraId="3CA557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2E2779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F0961AA" w14:textId="77777777" w:rsidTr="00B50B63">
        <w:trPr>
          <w:trHeight w:val="90"/>
        </w:trPr>
        <w:tc>
          <w:tcPr>
            <w:cnfStyle w:val="001000000000" w:firstRow="0" w:lastRow="0" w:firstColumn="1" w:lastColumn="0" w:oddVBand="0" w:evenVBand="0" w:oddHBand="0" w:evenHBand="0" w:firstRowFirstColumn="0" w:firstRowLastColumn="0" w:lastRowFirstColumn="0" w:lastRowLastColumn="0"/>
            <w:tcW w:w="1717" w:type="pct"/>
          </w:tcPr>
          <w:p w14:paraId="666E9852"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283" w:type="pct"/>
            <w:gridSpan w:val="6"/>
            <w:vAlign w:val="center"/>
          </w:tcPr>
          <w:p w14:paraId="3BD680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46CD7DD" w14:textId="77777777" w:rsidTr="00B50B63">
        <w:trPr>
          <w:trHeight w:val="162"/>
        </w:trPr>
        <w:tc>
          <w:tcPr>
            <w:cnfStyle w:val="001000000000" w:firstRow="0" w:lastRow="0" w:firstColumn="1" w:lastColumn="0" w:oddVBand="0" w:evenVBand="0" w:oddHBand="0" w:evenHBand="0" w:firstRowFirstColumn="0" w:firstRowLastColumn="0" w:lastRowFirstColumn="0" w:lastRowLastColumn="0"/>
            <w:tcW w:w="1717" w:type="pct"/>
          </w:tcPr>
          <w:p w14:paraId="15F4739A"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84" w:type="pct"/>
          </w:tcPr>
          <w:p w14:paraId="5E03A1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4C4FF6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val="restart"/>
            <w:vAlign w:val="center"/>
          </w:tcPr>
          <w:p w14:paraId="32A958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25A656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795D09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014FFB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0.453</w:t>
            </w:r>
          </w:p>
        </w:tc>
      </w:tr>
      <w:tr w:rsidR="00B50B63" w:rsidRPr="00B50B63" w14:paraId="301B4DA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0EA228A2"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84" w:type="pct"/>
          </w:tcPr>
          <w:p w14:paraId="7DFD8A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2BF93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tcPr>
          <w:p w14:paraId="0A9238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973DB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1326A5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4CA34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4B9AED0"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227F68FF"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84" w:type="pct"/>
          </w:tcPr>
          <w:p w14:paraId="0CEBCA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4CBA6A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95" w:type="pct"/>
            <w:vMerge/>
          </w:tcPr>
          <w:p w14:paraId="2696FF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9D23F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85.71</w:t>
            </w:r>
          </w:p>
        </w:tc>
        <w:tc>
          <w:tcPr>
            <w:tcW w:w="493" w:type="pct"/>
            <w:vAlign w:val="center"/>
          </w:tcPr>
          <w:p w14:paraId="61D948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67B34D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6931"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42743E06" w14:textId="77777777" w:rsidR="00B50B63" w:rsidRPr="00B50B63" w:rsidRDefault="00B50B63" w:rsidP="00B50B63">
            <w:pPr>
              <w:rPr>
                <w:rFonts w:ascii="Arial" w:hAnsi="Arial" w:cs="Arial"/>
                <w:i/>
                <w:iCs/>
                <w:sz w:val="20"/>
              </w:rPr>
            </w:pPr>
            <w:r w:rsidRPr="00B50B63">
              <w:rPr>
                <w:rFonts w:ascii="Arial" w:hAnsi="Arial" w:cs="Arial"/>
                <w:i/>
                <w:iCs/>
                <w:sz w:val="20"/>
              </w:rPr>
              <w:t>Total cholesterol (mg/dl)</w:t>
            </w:r>
          </w:p>
        </w:tc>
        <w:tc>
          <w:tcPr>
            <w:tcW w:w="584" w:type="pct"/>
          </w:tcPr>
          <w:p w14:paraId="007C4B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3B6BB5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2E2ED3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57CBC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2D4B89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45DF13F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890B614"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5E62A95"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59FC6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63" w:type="pct"/>
          </w:tcPr>
          <w:p w14:paraId="44466F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95" w:type="pct"/>
            <w:vMerge w:val="restart"/>
            <w:vAlign w:val="center"/>
          </w:tcPr>
          <w:p w14:paraId="5D40D5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1B4E59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27D0ED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restart"/>
            <w:vAlign w:val="center"/>
          </w:tcPr>
          <w:p w14:paraId="154163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0.543</w:t>
            </w:r>
          </w:p>
        </w:tc>
      </w:tr>
      <w:tr w:rsidR="00B50B63" w:rsidRPr="00B50B63" w14:paraId="4DB63B4D"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2A5D071" w14:textId="77777777" w:rsidR="00B50B63" w:rsidRPr="00B50B63" w:rsidRDefault="00B50B63" w:rsidP="00B50B63">
            <w:pPr>
              <w:rPr>
                <w:rFonts w:ascii="Arial" w:hAnsi="Arial" w:cs="Arial"/>
                <w:b w:val="0"/>
                <w:sz w:val="20"/>
              </w:rPr>
            </w:pPr>
            <w:r w:rsidRPr="00B50B63">
              <w:rPr>
                <w:rFonts w:ascii="Arial" w:hAnsi="Arial" w:cs="Arial"/>
                <w:b w:val="0"/>
                <w:sz w:val="20"/>
              </w:rPr>
              <w:t>[2.1 –3]</w:t>
            </w:r>
          </w:p>
        </w:tc>
        <w:tc>
          <w:tcPr>
            <w:tcW w:w="584" w:type="pct"/>
          </w:tcPr>
          <w:p w14:paraId="1E3A5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3FCA10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45E77E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CECCE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3B4B1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4601C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A36AAA" w14:textId="77777777" w:rsidTr="00B50B63">
        <w:trPr>
          <w:trHeight w:val="153"/>
        </w:trPr>
        <w:tc>
          <w:tcPr>
            <w:cnfStyle w:val="001000000000" w:firstRow="0" w:lastRow="0" w:firstColumn="1" w:lastColumn="0" w:oddVBand="0" w:evenVBand="0" w:oddHBand="0" w:evenHBand="0" w:firstRowFirstColumn="0" w:firstRowLastColumn="0" w:lastRowFirstColumn="0" w:lastRowLastColumn="0"/>
            <w:tcW w:w="1717" w:type="pct"/>
          </w:tcPr>
          <w:p w14:paraId="630DC4B9" w14:textId="77777777" w:rsidR="00B50B63" w:rsidRPr="00B50B63" w:rsidRDefault="00B50B63" w:rsidP="00B50B63">
            <w:pPr>
              <w:rPr>
                <w:rFonts w:ascii="Arial" w:hAnsi="Arial" w:cs="Arial"/>
                <w:b w:val="0"/>
                <w:sz w:val="20"/>
              </w:rPr>
            </w:pPr>
            <w:r w:rsidRPr="00B50B63">
              <w:rPr>
                <w:rFonts w:ascii="Arial" w:hAnsi="Arial" w:cs="Arial"/>
                <w:b w:val="0"/>
                <w:sz w:val="20"/>
              </w:rPr>
              <w:t>&gt; 3</w:t>
            </w:r>
          </w:p>
        </w:tc>
        <w:tc>
          <w:tcPr>
            <w:tcW w:w="584" w:type="pct"/>
          </w:tcPr>
          <w:p w14:paraId="2240DF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55.00</w:t>
            </w:r>
          </w:p>
        </w:tc>
        <w:tc>
          <w:tcPr>
            <w:tcW w:w="463" w:type="pct"/>
          </w:tcPr>
          <w:p w14:paraId="2DCCDE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2789F3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250F1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63FBD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764881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803578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63FEB2D"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3283" w:type="pct"/>
            <w:gridSpan w:val="6"/>
            <w:vAlign w:val="center"/>
          </w:tcPr>
          <w:p w14:paraId="6D2DFB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1D690B0" w14:textId="77777777" w:rsidTr="00B50B63">
        <w:trPr>
          <w:trHeight w:val="243"/>
        </w:trPr>
        <w:tc>
          <w:tcPr>
            <w:cnfStyle w:val="001000000000" w:firstRow="0" w:lastRow="0" w:firstColumn="1" w:lastColumn="0" w:oddVBand="0" w:evenVBand="0" w:oddHBand="0" w:evenHBand="0" w:firstRowFirstColumn="0" w:firstRowLastColumn="0" w:lastRowFirstColumn="0" w:lastRowLastColumn="0"/>
            <w:tcW w:w="1717" w:type="pct"/>
          </w:tcPr>
          <w:p w14:paraId="53412A0F"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84" w:type="pct"/>
          </w:tcPr>
          <w:p w14:paraId="05F76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7FA0BE9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65.00</w:t>
            </w:r>
          </w:p>
        </w:tc>
        <w:tc>
          <w:tcPr>
            <w:tcW w:w="595" w:type="pct"/>
            <w:vMerge w:val="restart"/>
            <w:vAlign w:val="center"/>
          </w:tcPr>
          <w:p w14:paraId="54BCB0D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65DA4B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0288BA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restart"/>
            <w:vAlign w:val="center"/>
          </w:tcPr>
          <w:p w14:paraId="525715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0.564</w:t>
            </w:r>
          </w:p>
        </w:tc>
      </w:tr>
      <w:tr w:rsidR="00B50B63" w:rsidRPr="00B50B63" w14:paraId="2FD32FBE"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4F79A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84" w:type="pct"/>
          </w:tcPr>
          <w:p w14:paraId="08A3DB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111D3C0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tcPr>
          <w:p w14:paraId="299570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650023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493" w:type="pct"/>
            <w:vAlign w:val="center"/>
          </w:tcPr>
          <w:p w14:paraId="51611C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ign w:val="center"/>
          </w:tcPr>
          <w:p w14:paraId="159929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D737C0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3DB56A7"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84" w:type="pct"/>
          </w:tcPr>
          <w:p w14:paraId="20981B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8B89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14AE47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D039B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0E6680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0D602B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A721C9A"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12697D59"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3283" w:type="pct"/>
            <w:gridSpan w:val="6"/>
            <w:vAlign w:val="center"/>
          </w:tcPr>
          <w:p w14:paraId="73FA75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23141B" w14:textId="77777777" w:rsidTr="00B50B63">
        <w:trPr>
          <w:trHeight w:val="234"/>
        </w:trPr>
        <w:tc>
          <w:tcPr>
            <w:cnfStyle w:val="001000000000" w:firstRow="0" w:lastRow="0" w:firstColumn="1" w:lastColumn="0" w:oddVBand="0" w:evenVBand="0" w:oddHBand="0" w:evenHBand="0" w:firstRowFirstColumn="0" w:firstRowLastColumn="0" w:lastRowFirstColumn="0" w:lastRowLastColumn="0"/>
            <w:tcW w:w="1717" w:type="pct"/>
          </w:tcPr>
          <w:p w14:paraId="36C02ADE"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053968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F7F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18B532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A690A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AD506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497100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0.321</w:t>
            </w:r>
          </w:p>
        </w:tc>
      </w:tr>
      <w:tr w:rsidR="00B50B63" w:rsidRPr="00B50B63" w14:paraId="48AFBAAD" w14:textId="77777777" w:rsidTr="00B50B63">
        <w:trPr>
          <w:trHeight w:val="207"/>
        </w:trPr>
        <w:tc>
          <w:tcPr>
            <w:cnfStyle w:val="001000000000" w:firstRow="0" w:lastRow="0" w:firstColumn="1" w:lastColumn="0" w:oddVBand="0" w:evenVBand="0" w:oddHBand="0" w:evenHBand="0" w:firstRowFirstColumn="0" w:firstRowLastColumn="0" w:lastRowFirstColumn="0" w:lastRowLastColumn="0"/>
            <w:tcW w:w="1717" w:type="pct"/>
          </w:tcPr>
          <w:p w14:paraId="4FC71185"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84" w:type="pct"/>
          </w:tcPr>
          <w:p w14:paraId="22F800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F3C9D6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95" w:type="pct"/>
            <w:vMerge/>
          </w:tcPr>
          <w:p w14:paraId="736FDA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520346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5F8743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634427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B9CEBC5"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18994B21"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84" w:type="pct"/>
          </w:tcPr>
          <w:p w14:paraId="4BE3E1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003C40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2290C2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7C40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7C7104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7AC7BC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22B8DDA"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2E0DB8B6"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84" w:type="pct"/>
          </w:tcPr>
          <w:p w14:paraId="5F73F74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7EE264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4E4364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A68A9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6C3DBE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17BE14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F628214"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0BEDEB12"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84" w:type="pct"/>
          </w:tcPr>
          <w:p w14:paraId="415FC3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463" w:type="pct"/>
          </w:tcPr>
          <w:p w14:paraId="11D0FF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val="restart"/>
            <w:vAlign w:val="center"/>
          </w:tcPr>
          <w:p w14:paraId="19DC43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321BAF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6B3492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restart"/>
            <w:vAlign w:val="center"/>
          </w:tcPr>
          <w:p w14:paraId="5AD603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0.845</w:t>
            </w:r>
          </w:p>
        </w:tc>
      </w:tr>
      <w:tr w:rsidR="00B50B63" w:rsidRPr="00B50B63" w14:paraId="33E8402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61251C52"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84" w:type="pct"/>
          </w:tcPr>
          <w:p w14:paraId="67BC54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463" w:type="pct"/>
          </w:tcPr>
          <w:p w14:paraId="3F055C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vAlign w:val="center"/>
          </w:tcPr>
          <w:p w14:paraId="4BBF3C11"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2703F2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27329E7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5BF728E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EE046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Borders>
              <w:bottom w:val="single" w:sz="4" w:space="0" w:color="auto"/>
            </w:tcBorders>
          </w:tcPr>
          <w:p w14:paraId="6FF271D5"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84" w:type="pct"/>
            <w:tcBorders>
              <w:bottom w:val="single" w:sz="4" w:space="0" w:color="auto"/>
            </w:tcBorders>
          </w:tcPr>
          <w:p w14:paraId="4305EB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Borders>
              <w:bottom w:val="single" w:sz="4" w:space="0" w:color="auto"/>
            </w:tcBorders>
          </w:tcPr>
          <w:p w14:paraId="5532B3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Borders>
              <w:bottom w:val="single" w:sz="4" w:space="0" w:color="auto"/>
            </w:tcBorders>
            <w:vAlign w:val="center"/>
          </w:tcPr>
          <w:p w14:paraId="152CFF90"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tcBorders>
              <w:bottom w:val="single" w:sz="4" w:space="0" w:color="auto"/>
            </w:tcBorders>
            <w:vAlign w:val="center"/>
          </w:tcPr>
          <w:p w14:paraId="7A54EB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tcBorders>
              <w:bottom w:val="single" w:sz="4" w:space="0" w:color="auto"/>
            </w:tcBorders>
            <w:vAlign w:val="center"/>
          </w:tcPr>
          <w:p w14:paraId="26E85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tcBorders>
              <w:bottom w:val="single" w:sz="4" w:space="0" w:color="auto"/>
            </w:tcBorders>
            <w:vAlign w:val="center"/>
          </w:tcPr>
          <w:p w14:paraId="3A67D1F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52B0AC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n=20; Control group n=7.</w:t>
      </w:r>
    </w:p>
    <w:p w14:paraId="4F4952B4"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bookmarkStart w:id="2" w:name="_Hlk212020560"/>
      <w:r w:rsidRPr="00B50B63">
        <w:rPr>
          <w:rFonts w:ascii="Arial" w:hAnsi="Arial" w:cs="Arial"/>
          <w:i/>
          <w:iCs/>
        </w:rPr>
        <w:t>p</w:t>
      </w:r>
      <w:bookmarkEnd w:id="2"/>
      <w:r w:rsidRPr="00B50B63">
        <w:rPr>
          <w:rFonts w:ascii="Arial" w:hAnsi="Arial" w:cs="Arial"/>
        </w:rPr>
        <w:t>-value &lt; 0.05 indicate that the difference is statistically significant</w:t>
      </w:r>
    </w:p>
    <w:p w14:paraId="78AFE3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4AF6982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hypertensive diabetics</w:t>
      </w:r>
    </w:p>
    <w:p w14:paraId="71373AE6" w14:textId="77777777" w:rsidR="00B50B63" w:rsidRPr="00B50B63" w:rsidRDefault="00B50B63" w:rsidP="00B50B63">
      <w:pPr>
        <w:jc w:val="both"/>
        <w:rPr>
          <w:rFonts w:ascii="Arial" w:hAnsi="Arial" w:cs="Arial"/>
        </w:rPr>
      </w:pPr>
      <w:r w:rsidRPr="00B50B63">
        <w:rPr>
          <w:rFonts w:ascii="Arial" w:hAnsi="Arial" w:cs="Arial"/>
        </w:rPr>
        <w:lastRenderedPageBreak/>
        <w:t>The diet proposed to hypertensive people (Appendix-2) was mainly based on a low-sodium diet (less than 5g of cooking salt per day/DASH diet), normal calories, and a balanced diet. It appears from Table 4 that diabetic people who followed the proposed diet had a reduction in BMI (</w:t>
      </w:r>
      <w:r w:rsidRPr="00B50B63">
        <w:rPr>
          <w:rFonts w:ascii="Arial" w:hAnsi="Arial" w:cs="Arial"/>
          <w:i/>
          <w:iCs/>
        </w:rPr>
        <w:t>p</w:t>
      </w:r>
      <w:r w:rsidRPr="00B50B63">
        <w:rPr>
          <w:rFonts w:ascii="Arial" w:hAnsi="Arial" w:cs="Arial"/>
        </w:rPr>
        <w:t xml:space="preserve"> = 0.042), blood glucose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0.04), Triglyceride (</w:t>
      </w:r>
      <w:r w:rsidRPr="00B50B63">
        <w:rPr>
          <w:rFonts w:ascii="Arial" w:hAnsi="Arial" w:cs="Arial"/>
          <w:i/>
          <w:iCs/>
        </w:rPr>
        <w:t>p</w:t>
      </w:r>
      <w:r w:rsidRPr="00B50B63">
        <w:rPr>
          <w:rFonts w:ascii="Arial" w:hAnsi="Arial" w:cs="Arial"/>
        </w:rPr>
        <w:t xml:space="preserve"> = 0.045) and a significant increase in HDL level (</w:t>
      </w:r>
      <w:r w:rsidRPr="00B50B63">
        <w:rPr>
          <w:rFonts w:ascii="Arial" w:hAnsi="Arial" w:cs="Arial"/>
          <w:i/>
          <w:iCs/>
        </w:rPr>
        <w:t>p</w:t>
      </w:r>
      <w:r w:rsidRPr="00B50B63">
        <w:rPr>
          <w:rFonts w:ascii="Arial" w:hAnsi="Arial" w:cs="Arial"/>
        </w:rPr>
        <w:t xml:space="preserve"> = 0.001). Table 4 also show a significant reduction (</w:t>
      </w:r>
      <w:r w:rsidRPr="00B50B63">
        <w:rPr>
          <w:rFonts w:ascii="Arial" w:hAnsi="Arial" w:cs="Arial"/>
          <w:i/>
          <w:iCs/>
        </w:rPr>
        <w:t>p</w:t>
      </w:r>
      <w:r w:rsidRPr="00B50B63">
        <w:rPr>
          <w:rFonts w:ascii="Arial" w:hAnsi="Arial" w:cs="Arial"/>
        </w:rPr>
        <w:t xml:space="preserve">=0.01) of blood pressure in case group after nutritional intervention. Before the nutritional intervention, grade 1 hypertension affected 13.33% of patients, grade 2 hypertension affected 46.67%, and grade 3 hypertension affected 33.33%. After the intervention, grade 1 hypertension increased to 53.33%, grade 2 hypertension decreased to 40%, and grade 3 hypertension decreased to 6.67%. </w:t>
      </w:r>
    </w:p>
    <w:p w14:paraId="6EDB6EA1" w14:textId="77777777" w:rsidR="00B50B63" w:rsidRPr="00B50B63" w:rsidRDefault="00B50B63" w:rsidP="00B50B63">
      <w:pPr>
        <w:spacing w:before="120"/>
        <w:jc w:val="both"/>
        <w:rPr>
          <w:rFonts w:ascii="Arial" w:eastAsia="Calibri" w:hAnsi="Arial" w:cs="Arial"/>
        </w:rPr>
      </w:pPr>
      <w:r w:rsidRPr="00B50B63">
        <w:rPr>
          <w:rFonts w:ascii="Arial" w:hAnsi="Arial" w:cs="Arial"/>
          <w:b/>
        </w:rPr>
        <w:t>Table 4</w:t>
      </w:r>
      <w:r w:rsidRPr="00B50B63">
        <w:rPr>
          <w:rFonts w:ascii="Arial" w:hAnsi="Arial" w:cs="Arial"/>
        </w:rPr>
        <w:t xml:space="preserve">: </w:t>
      </w:r>
      <w:r w:rsidRPr="00B50B63">
        <w:rPr>
          <w:rFonts w:ascii="Arial" w:eastAsia="Calibri" w:hAnsi="Arial" w:cs="Arial"/>
        </w:rPr>
        <w:t>Effect of DASH diet on Body Mass Index and Biochemical parameters in Patients with Hypertension and Diabetes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4FF6CEC1" w14:textId="77777777" w:rsidTr="00B50B63">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73301809"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tcBorders>
            <w:vAlign w:val="center"/>
          </w:tcPr>
          <w:p w14:paraId="171713B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6B5C5CD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tcBorders>
            <w:vAlign w:val="center"/>
          </w:tcPr>
          <w:p w14:paraId="5161E27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339EAF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55678B20" w14:textId="77777777" w:rsidTr="00B50B63">
        <w:trPr>
          <w:trHeight w:val="27"/>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12" w:space="0" w:color="666666"/>
              <w:bottom w:val="single" w:sz="4" w:space="0" w:color="auto"/>
            </w:tcBorders>
          </w:tcPr>
          <w:p w14:paraId="4A66AC96" w14:textId="77777777" w:rsidR="00B50B63" w:rsidRPr="00B50B63" w:rsidRDefault="00B50B63" w:rsidP="00B50B63">
            <w:pPr>
              <w:rPr>
                <w:rFonts w:ascii="Arial" w:hAnsi="Arial" w:cs="Arial"/>
                <w:sz w:val="20"/>
              </w:rPr>
            </w:pPr>
          </w:p>
        </w:tc>
        <w:tc>
          <w:tcPr>
            <w:tcW w:w="1069" w:type="pct"/>
            <w:gridSpan w:val="2"/>
            <w:tcBorders>
              <w:top w:val="single" w:sz="12" w:space="0" w:color="666666"/>
              <w:bottom w:val="single" w:sz="4" w:space="0" w:color="auto"/>
            </w:tcBorders>
            <w:vAlign w:val="center"/>
          </w:tcPr>
          <w:p w14:paraId="5FF7D4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41A3F7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12" w:space="0" w:color="666666"/>
              <w:bottom w:val="single" w:sz="4" w:space="0" w:color="auto"/>
            </w:tcBorders>
            <w:vAlign w:val="center"/>
          </w:tcPr>
          <w:p w14:paraId="4A4E7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3ED390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2B68618"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051255E"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tcPr>
          <w:p w14:paraId="441339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tcPr>
          <w:p w14:paraId="308C00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tcPr>
          <w:p w14:paraId="05E8BA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tcPr>
          <w:p w14:paraId="4C50F4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tcPr>
          <w:p w14:paraId="58BEA9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tcPr>
          <w:p w14:paraId="25687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8A9049"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1F430E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A9E7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5D5A11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636FA6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0.042</w:t>
            </w:r>
          </w:p>
        </w:tc>
        <w:tc>
          <w:tcPr>
            <w:tcW w:w="697" w:type="pct"/>
            <w:vAlign w:val="center"/>
          </w:tcPr>
          <w:p w14:paraId="4D54E1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4C566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2AFF4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0.542</w:t>
            </w:r>
          </w:p>
        </w:tc>
      </w:tr>
      <w:tr w:rsidR="00B50B63" w:rsidRPr="00B50B63" w14:paraId="4BEFF39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7CE0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Normal: 19-24.9</w:t>
            </w:r>
          </w:p>
        </w:tc>
        <w:tc>
          <w:tcPr>
            <w:tcW w:w="535" w:type="pct"/>
            <w:vAlign w:val="center"/>
          </w:tcPr>
          <w:p w14:paraId="66FEA2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33" w:type="pct"/>
            <w:vAlign w:val="center"/>
          </w:tcPr>
          <w:p w14:paraId="51A555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vAlign w:val="center"/>
          </w:tcPr>
          <w:p w14:paraId="4EBC3E2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A8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78B0F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ign w:val="center"/>
          </w:tcPr>
          <w:p w14:paraId="6CDF41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E3BD9F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4F5FC1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Overweight: 25-29.9</w:t>
            </w:r>
          </w:p>
        </w:tc>
        <w:tc>
          <w:tcPr>
            <w:tcW w:w="535" w:type="pct"/>
            <w:vAlign w:val="center"/>
          </w:tcPr>
          <w:p w14:paraId="278CD5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0EC69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44" w:type="pct"/>
            <w:vMerge/>
            <w:vAlign w:val="center"/>
          </w:tcPr>
          <w:p w14:paraId="689A9E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EC3DD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42.87</w:t>
            </w:r>
          </w:p>
        </w:tc>
        <w:tc>
          <w:tcPr>
            <w:tcW w:w="529" w:type="pct"/>
            <w:vAlign w:val="center"/>
          </w:tcPr>
          <w:p w14:paraId="0B042A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654" w:type="pct"/>
            <w:vMerge/>
          </w:tcPr>
          <w:p w14:paraId="39E982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0B37A3"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6926D0C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 30</w:t>
            </w:r>
          </w:p>
        </w:tc>
        <w:tc>
          <w:tcPr>
            <w:tcW w:w="535" w:type="pct"/>
            <w:vAlign w:val="center"/>
          </w:tcPr>
          <w:p w14:paraId="1124EEB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33" w:type="pct"/>
            <w:vAlign w:val="center"/>
          </w:tcPr>
          <w:p w14:paraId="50E5A1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47E8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6418B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28.50</w:t>
            </w:r>
          </w:p>
        </w:tc>
        <w:tc>
          <w:tcPr>
            <w:tcW w:w="529" w:type="pct"/>
            <w:vAlign w:val="center"/>
          </w:tcPr>
          <w:p w14:paraId="2B8FDC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654" w:type="pct"/>
            <w:vMerge/>
          </w:tcPr>
          <w:p w14:paraId="491566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C7E422F"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A6245F4" w14:textId="77777777" w:rsidR="00B50B63" w:rsidRPr="00B50B63" w:rsidRDefault="00B50B63" w:rsidP="00B50B63">
            <w:pPr>
              <w:rPr>
                <w:rFonts w:ascii="Arial" w:hAnsi="Arial" w:cs="Arial"/>
                <w:i/>
                <w:iCs/>
                <w:sz w:val="20"/>
              </w:rPr>
            </w:pPr>
            <w:r w:rsidRPr="00B50B63">
              <w:rPr>
                <w:rFonts w:ascii="Arial" w:hAnsi="Arial" w:cs="Arial"/>
                <w:i/>
                <w:iCs/>
                <w:sz w:val="20"/>
              </w:rPr>
              <w:t>Blood glucose (g/l)</w:t>
            </w:r>
          </w:p>
        </w:tc>
        <w:tc>
          <w:tcPr>
            <w:tcW w:w="3492" w:type="pct"/>
            <w:gridSpan w:val="6"/>
          </w:tcPr>
          <w:p w14:paraId="17225E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AE111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2BDC06B"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tcPr>
          <w:p w14:paraId="348B9D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6B1EFB1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1E93E3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2A910A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1951AC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654" w:type="pct"/>
            <w:vMerge w:val="restart"/>
            <w:vAlign w:val="center"/>
          </w:tcPr>
          <w:p w14:paraId="6D56D81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0.654</w:t>
            </w:r>
          </w:p>
        </w:tc>
      </w:tr>
      <w:tr w:rsidR="00B50B63" w:rsidRPr="00B50B63" w14:paraId="534C5B82"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BD2E564"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35" w:type="pct"/>
          </w:tcPr>
          <w:p w14:paraId="54B70A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tcPr>
          <w:p w14:paraId="0D0AE9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53.34</w:t>
            </w:r>
          </w:p>
        </w:tc>
        <w:tc>
          <w:tcPr>
            <w:tcW w:w="544" w:type="pct"/>
            <w:vMerge/>
          </w:tcPr>
          <w:p w14:paraId="76A30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86B2F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7304454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05E23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59D3AA7" w14:textId="77777777" w:rsidTr="00B50B63">
        <w:trPr>
          <w:trHeight w:val="116"/>
        </w:trPr>
        <w:tc>
          <w:tcPr>
            <w:cnfStyle w:val="001000000000" w:firstRow="0" w:lastRow="0" w:firstColumn="1" w:lastColumn="0" w:oddVBand="0" w:evenVBand="0" w:oddHBand="0" w:evenHBand="0" w:firstRowFirstColumn="0" w:firstRowLastColumn="0" w:lastRowFirstColumn="0" w:lastRowLastColumn="0"/>
            <w:tcW w:w="1508" w:type="pct"/>
          </w:tcPr>
          <w:p w14:paraId="335F70E1"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35" w:type="pct"/>
          </w:tcPr>
          <w:p w14:paraId="6F7A3BB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3F5266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44" w:type="pct"/>
            <w:vMerge/>
          </w:tcPr>
          <w:p w14:paraId="57340A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287B3A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2B04C5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7122F8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39DCB3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E002FD"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35" w:type="pct"/>
          </w:tcPr>
          <w:p w14:paraId="3BDF9A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45.67</w:t>
            </w:r>
          </w:p>
        </w:tc>
        <w:tc>
          <w:tcPr>
            <w:tcW w:w="533" w:type="pct"/>
          </w:tcPr>
          <w:p w14:paraId="0C34EE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65BD74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034AE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70046E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654" w:type="pct"/>
            <w:vMerge/>
          </w:tcPr>
          <w:p w14:paraId="751A78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925F9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78A53A7"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492" w:type="pct"/>
            <w:gridSpan w:val="6"/>
          </w:tcPr>
          <w:p w14:paraId="00B7F0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2309CC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96A6F83"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35" w:type="pct"/>
          </w:tcPr>
          <w:p w14:paraId="7344C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31AEB3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restart"/>
            <w:vAlign w:val="center"/>
          </w:tcPr>
          <w:p w14:paraId="1630A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tcPr>
          <w:p w14:paraId="62D07B9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7321E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5DEDF7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0.876</w:t>
            </w:r>
          </w:p>
        </w:tc>
      </w:tr>
      <w:tr w:rsidR="00B50B63" w:rsidRPr="00B50B63" w14:paraId="50C849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FA193D"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35" w:type="pct"/>
          </w:tcPr>
          <w:p w14:paraId="1EA708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08FB81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3B39D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CB16A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0D4D60E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C8BF8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2DB12E5"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EC1EDBE"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35" w:type="pct"/>
          </w:tcPr>
          <w:p w14:paraId="60CA65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4F98FA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ACD96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C051C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6B316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83.34</w:t>
            </w:r>
          </w:p>
        </w:tc>
        <w:tc>
          <w:tcPr>
            <w:tcW w:w="654" w:type="pct"/>
            <w:vMerge/>
          </w:tcPr>
          <w:p w14:paraId="61A0DA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BC1B3E3"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Pr>
          <w:p w14:paraId="5970CF08"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535" w:type="pct"/>
          </w:tcPr>
          <w:p w14:paraId="57C338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7768DF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0D648E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5CADF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32F6AC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C469B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38B4D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511F0B84"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35" w:type="pct"/>
          </w:tcPr>
          <w:p w14:paraId="2F09B1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21DD01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restart"/>
            <w:vAlign w:val="center"/>
          </w:tcPr>
          <w:p w14:paraId="3684D7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tcPr>
          <w:p w14:paraId="21494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12B9A7D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val="restart"/>
            <w:vAlign w:val="center"/>
          </w:tcPr>
          <w:p w14:paraId="7769DE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0.534</w:t>
            </w:r>
          </w:p>
        </w:tc>
      </w:tr>
      <w:tr w:rsidR="00B50B63" w:rsidRPr="00B50B63" w14:paraId="01BC5383"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2324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35" w:type="pct"/>
          </w:tcPr>
          <w:p w14:paraId="5D75BB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46.66</w:t>
            </w:r>
          </w:p>
        </w:tc>
        <w:tc>
          <w:tcPr>
            <w:tcW w:w="533" w:type="pct"/>
          </w:tcPr>
          <w:p w14:paraId="08B5E95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45C521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6A880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795756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tcPr>
          <w:p w14:paraId="269A1F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6C26B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0DC6AE9"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35" w:type="pct"/>
          </w:tcPr>
          <w:p w14:paraId="12FE2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33" w:type="pct"/>
          </w:tcPr>
          <w:p w14:paraId="3B3CE1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299AA9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2D70C4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A2FA1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705058D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A4FEB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11502FB"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535" w:type="pct"/>
          </w:tcPr>
          <w:p w14:paraId="0E203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04F41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239ACD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CAE18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763B923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666570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6B4B1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0CCFD63"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35" w:type="pct"/>
          </w:tcPr>
          <w:p w14:paraId="132194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0A43704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5836C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Pr>
          <w:p w14:paraId="491D5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064A76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1BA05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0.603</w:t>
            </w:r>
          </w:p>
        </w:tc>
      </w:tr>
      <w:tr w:rsidR="00B50B63" w:rsidRPr="00B50B63" w14:paraId="2083054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172CC0FF"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35" w:type="pct"/>
          </w:tcPr>
          <w:p w14:paraId="2AF4B1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085CBE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44" w:type="pct"/>
            <w:vMerge/>
          </w:tcPr>
          <w:p w14:paraId="6909F5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E0F1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66.67</w:t>
            </w:r>
          </w:p>
        </w:tc>
        <w:tc>
          <w:tcPr>
            <w:tcW w:w="529" w:type="pct"/>
          </w:tcPr>
          <w:p w14:paraId="649D31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83.33</w:t>
            </w:r>
          </w:p>
        </w:tc>
        <w:tc>
          <w:tcPr>
            <w:tcW w:w="654" w:type="pct"/>
            <w:vMerge/>
          </w:tcPr>
          <w:p w14:paraId="7D722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B85ED6"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D6F01DC"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35" w:type="pct"/>
          </w:tcPr>
          <w:p w14:paraId="06A7392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58494E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tcPr>
          <w:p w14:paraId="0F56B9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D2209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6DD6E12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789C7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63308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1AF495"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35" w:type="pct"/>
          </w:tcPr>
          <w:p w14:paraId="3425E4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CC9482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40E2B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557B08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6C0383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5DCB54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C48E62"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449E71C"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35" w:type="pct"/>
          </w:tcPr>
          <w:p w14:paraId="02341A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33" w:type="pct"/>
          </w:tcPr>
          <w:p w14:paraId="23DF02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val="restart"/>
            <w:vAlign w:val="center"/>
          </w:tcPr>
          <w:p w14:paraId="3D821D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43BFBCF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2DC10C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6217A9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B50B63" w:rsidRPr="00B50B63" w14:paraId="68D19BB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F971DCB"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35" w:type="pct"/>
          </w:tcPr>
          <w:p w14:paraId="735EC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15F4900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tcPr>
          <w:p w14:paraId="62453C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152BCEB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4CA5B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tcPr>
          <w:p w14:paraId="0C59B7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5F4982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C5065D8"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35" w:type="pct"/>
          </w:tcPr>
          <w:p w14:paraId="435FF4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33" w:type="pct"/>
          </w:tcPr>
          <w:p w14:paraId="533579F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tcPr>
          <w:p w14:paraId="45951A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2680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41EC2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3B1A2B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8FA047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37D045A" w14:textId="77777777" w:rsidR="00B50B63" w:rsidRPr="00B50B63" w:rsidRDefault="00B50B63" w:rsidP="00B50B63">
            <w:pPr>
              <w:rPr>
                <w:rFonts w:ascii="Arial" w:hAnsi="Arial" w:cs="Arial"/>
                <w:i/>
                <w:iCs/>
                <w:sz w:val="20"/>
              </w:rPr>
            </w:pPr>
            <w:r w:rsidRPr="00B50B63">
              <w:rPr>
                <w:rFonts w:ascii="Arial" w:hAnsi="Arial" w:cs="Arial"/>
                <w:i/>
                <w:iCs/>
                <w:sz w:val="20"/>
              </w:rPr>
              <w:t>Blood pressure (mmHg)</w:t>
            </w:r>
          </w:p>
        </w:tc>
        <w:tc>
          <w:tcPr>
            <w:tcW w:w="535" w:type="pct"/>
          </w:tcPr>
          <w:p w14:paraId="2E1CCC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1EEB7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5DFAF3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F6D3EC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1D0DB35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1A66E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DFE1E8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A891914" w14:textId="77777777" w:rsidR="00B50B63" w:rsidRPr="00B50B63" w:rsidRDefault="00B50B63" w:rsidP="00B50B63">
            <w:pPr>
              <w:rPr>
                <w:rFonts w:ascii="Arial" w:hAnsi="Arial" w:cs="Arial"/>
                <w:b w:val="0"/>
                <w:sz w:val="20"/>
              </w:rPr>
            </w:pPr>
            <w:r w:rsidRPr="00B50B63">
              <w:rPr>
                <w:rFonts w:ascii="Arial" w:hAnsi="Arial" w:cs="Arial"/>
                <w:b w:val="0"/>
                <w:sz w:val="20"/>
                <w:lang w:val="en-AE"/>
              </w:rPr>
              <w:t>Grade 1: 140 – 159</w:t>
            </w:r>
          </w:p>
        </w:tc>
        <w:tc>
          <w:tcPr>
            <w:tcW w:w="535" w:type="pct"/>
            <w:vAlign w:val="center"/>
          </w:tcPr>
          <w:p w14:paraId="4893C65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vAlign w:val="center"/>
          </w:tcPr>
          <w:p w14:paraId="682BF8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79DBCB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00C9E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29" w:type="pct"/>
            <w:vAlign w:val="center"/>
          </w:tcPr>
          <w:p w14:paraId="7F27D6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restart"/>
            <w:vAlign w:val="center"/>
          </w:tcPr>
          <w:p w14:paraId="366B50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0.675</w:t>
            </w:r>
          </w:p>
        </w:tc>
      </w:tr>
      <w:tr w:rsidR="00B50B63" w:rsidRPr="00B50B63" w14:paraId="5B0E9CE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8E694DD" w14:textId="77777777" w:rsidR="00B50B63" w:rsidRPr="00B50B63" w:rsidRDefault="00B50B63" w:rsidP="00B50B63">
            <w:pPr>
              <w:rPr>
                <w:rFonts w:ascii="Arial" w:hAnsi="Arial" w:cs="Arial"/>
                <w:b w:val="0"/>
                <w:sz w:val="20"/>
              </w:rPr>
            </w:pPr>
            <w:r w:rsidRPr="00B50B63">
              <w:rPr>
                <w:rFonts w:ascii="Arial" w:hAnsi="Arial" w:cs="Arial"/>
                <w:b w:val="0"/>
                <w:sz w:val="20"/>
              </w:rPr>
              <w:t>Grade 2: 160 – 179</w:t>
            </w:r>
          </w:p>
        </w:tc>
        <w:tc>
          <w:tcPr>
            <w:tcW w:w="535" w:type="pct"/>
            <w:vAlign w:val="center"/>
          </w:tcPr>
          <w:p w14:paraId="30E998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33" w:type="pct"/>
            <w:vAlign w:val="center"/>
          </w:tcPr>
          <w:p w14:paraId="0C7967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tcPr>
          <w:p w14:paraId="288982B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E67E6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330244F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791CA5B9"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14BA1D9"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AA6E72B" w14:textId="77777777" w:rsidR="00B50B63" w:rsidRPr="00B50B63" w:rsidRDefault="00B50B63" w:rsidP="00B50B63">
            <w:pPr>
              <w:rPr>
                <w:rFonts w:ascii="Arial" w:hAnsi="Arial" w:cs="Arial"/>
                <w:b w:val="0"/>
                <w:sz w:val="20"/>
              </w:rPr>
            </w:pPr>
            <w:r w:rsidRPr="00B50B63">
              <w:rPr>
                <w:rFonts w:ascii="Arial" w:hAnsi="Arial" w:cs="Arial"/>
                <w:b w:val="0"/>
                <w:sz w:val="20"/>
              </w:rPr>
              <w:t>Grade 3: &gt; 180</w:t>
            </w:r>
          </w:p>
        </w:tc>
        <w:tc>
          <w:tcPr>
            <w:tcW w:w="535" w:type="pct"/>
            <w:tcBorders>
              <w:bottom w:val="single" w:sz="4" w:space="0" w:color="auto"/>
            </w:tcBorders>
            <w:vAlign w:val="center"/>
          </w:tcPr>
          <w:p w14:paraId="4FFF49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33" w:type="pct"/>
            <w:tcBorders>
              <w:bottom w:val="single" w:sz="4" w:space="0" w:color="auto"/>
            </w:tcBorders>
            <w:vAlign w:val="center"/>
          </w:tcPr>
          <w:p w14:paraId="0FC19D0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6.67</w:t>
            </w:r>
          </w:p>
        </w:tc>
        <w:tc>
          <w:tcPr>
            <w:tcW w:w="544" w:type="pct"/>
            <w:vMerge/>
            <w:tcBorders>
              <w:bottom w:val="single" w:sz="4" w:space="0" w:color="auto"/>
            </w:tcBorders>
          </w:tcPr>
          <w:p w14:paraId="11B28F3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0A2CA06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tcBorders>
              <w:bottom w:val="single" w:sz="4" w:space="0" w:color="auto"/>
            </w:tcBorders>
            <w:vAlign w:val="center"/>
          </w:tcPr>
          <w:p w14:paraId="6D1323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654" w:type="pct"/>
            <w:vMerge/>
            <w:tcBorders>
              <w:bottom w:val="single" w:sz="4" w:space="0" w:color="auto"/>
            </w:tcBorders>
            <w:vAlign w:val="center"/>
          </w:tcPr>
          <w:p w14:paraId="1249B90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D8CE20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n=15; Control group n=6</w:t>
      </w:r>
    </w:p>
    <w:p w14:paraId="60C87C29" w14:textId="77777777" w:rsidR="00B50B63" w:rsidRDefault="00B50B63" w:rsidP="00B50B63">
      <w:pPr>
        <w:jc w:val="both"/>
        <w:rPr>
          <w:rFonts w:ascii="Arial" w:eastAsia="Calibri" w:hAnsi="Arial" w:cs="Arial"/>
        </w:rPr>
      </w:pPr>
      <w:r w:rsidRPr="00B50B63">
        <w:rPr>
          <w:rFonts w:ascii="Arial" w:eastAsia="Calibri" w:hAnsi="Arial" w:cs="Arial"/>
          <w:i/>
          <w:iCs/>
        </w:rPr>
        <w:t>p</w:t>
      </w:r>
      <w:r w:rsidRPr="00B50B63">
        <w:rPr>
          <w:rFonts w:ascii="Arial" w:eastAsia="Calibri" w:hAnsi="Arial" w:cs="Arial"/>
        </w:rPr>
        <w:t>-value &lt; 0.05 indicate that the difference is statistically significant</w:t>
      </w:r>
    </w:p>
    <w:p w14:paraId="0DF32C2F" w14:textId="77777777" w:rsidR="00B50B63" w:rsidRPr="00B50B63" w:rsidRDefault="00B50B63" w:rsidP="00B50B63">
      <w:pPr>
        <w:jc w:val="both"/>
        <w:rPr>
          <w:rFonts w:ascii="Arial" w:eastAsia="Calibri" w:hAnsi="Arial" w:cs="Arial"/>
          <w:b/>
          <w:u w:val="single"/>
        </w:rPr>
      </w:pPr>
    </w:p>
    <w:p w14:paraId="06502BA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 of diabetics suffering from Gout</w:t>
      </w:r>
      <w:bookmarkStart w:id="3" w:name="_Toc151639919"/>
    </w:p>
    <w:p w14:paraId="4CA68732" w14:textId="43A0779A" w:rsidR="00B50B63" w:rsidRPr="00B50B63" w:rsidRDefault="00B50B63" w:rsidP="00B50B63">
      <w:pPr>
        <w:jc w:val="both"/>
        <w:rPr>
          <w:rFonts w:ascii="Arial" w:hAnsi="Arial" w:cs="Arial"/>
        </w:rPr>
      </w:pPr>
      <w:r w:rsidRPr="00B50B63">
        <w:rPr>
          <w:rFonts w:ascii="Arial" w:hAnsi="Arial" w:cs="Arial"/>
        </w:rPr>
        <w:lastRenderedPageBreak/>
        <w:t xml:space="preserve">The dietary plan proposed for individuals with diabetes and gout (Appendix-3) primarily focuses on a hypouricemic, hypocaloric diet. Patients are advised to adhere to some recommendations: (a) Reduce purine intake: As purines can trigger gout attacks, limiting foods rich in purines, such as red meat, seafood, legumes, and processed foods, can help alleviate symptoms </w:t>
      </w:r>
      <w:r w:rsidRPr="00B50B63">
        <w:rPr>
          <w:rFonts w:ascii="Arial" w:hAnsi="Arial" w:cs="Arial"/>
        </w:rPr>
        <w:fldChar w:fldCharType="begin" w:fldLock="1"/>
      </w:r>
      <w:r w:rsidR="00E55652">
        <w:rPr>
          <w:rFonts w:ascii="Arial" w:hAnsi="Arial" w:cs="Arial"/>
        </w:rPr>
        <w:instrText>ADDIN CSL_CITATION {"citationItems":[{"id":"ITEM-1","itemData":{"DOI":"10.3390/nu14173525","ISSN":"20726643","PMID":"36079783","abstract":"Gout is well known as an inflammatory rheumatic disease presenting with arthritis and abnormal metabolism of uric acid. The recognition of diet-induced systemic metabolic pathways have provided new mechanistic insights and potential interventions on gout progression. However, the dietary recommendations for gouty patients generally focus on food categories, with few simultaneous considerations of nutritional factors and systemic metabolism. It is worthwhile to comprehensively review the mechanistic findings and potential interventions of diet-related nutrients against the development of gout, including purine metabolism, urate deposition, and gouty inflammation. Although piecemeal modifications of various nutrients often provide incomplete dietary recommendations, understanding the role of nutritional factors in gouty development can help patients choose their healthy diet based on personal preference and disease course. The combination of dietary management and medication may potentially achieve enhanced treatment effects, especially for severe patients. Therefore, the role of dietary and nutritional factors in the development of gout is systematically reviewed to propose dietary modification strategies for gout management by: (1) reducing nutritional risk factors against metabolic syndrome; (2) supplementing with beneficial nutrients to affect uric acid metabolism and gouty inflammation; and (3) considering nutritional modification combined with medication supplementation to decrease the frequency of gout flares.","author":[{"dropping-particle":"","family":"Zhang","given":"Yingling","non-dropping-particle":"","parse-names":false,"suffix":""},{"dropping-particle":"","family":"Chen","given":"Simin","non-dropping-particle":"","parse-names":false,"suffix":""},{"dropping-particle":"","family":"Yuan","given":"Man","non-dropping-particle":"","parse-names":false,"suffix":""},{"dropping-particle":"","family":"Xu","given":"Yu","non-dropping-particle":"","parse-names":false,"suffix":""},{"dropping-particle":"","family":"Xu","given":"Hongxi","non-dropping-particle":"","parse-names":false,"suffix":""}],"container-title":"Nutrients","id":"ITEM-1","issue":"17","issued":{"date-parts":[["2022"]]},"page":"1-22","title":"Gout and Diet: A Comprehensive Review of Mechanisms and Management","type":"article-journal","volume":"14"},"uris":["http://www.mendeley.com/documents/?uuid=667d693c-3999-4249-bbd1-9e840fd14003"]}],"mendeley":{"formattedCitation":"(Y. Zhang et al., 2022)","manualFormatting":"(Zhang et al., 2022)","plainTextFormattedCitation":"(Y. Zhang et al., 2022)","previouslyFormattedCitation":"(Y. Zhang et al., 2022)"},"properties":{"noteIndex":0},"schema":"https://github.com/citation-style-language/schema/raw/master/csl-citation.json"}</w:instrText>
      </w:r>
      <w:r w:rsidRPr="00B50B63">
        <w:rPr>
          <w:rFonts w:ascii="Arial" w:hAnsi="Arial" w:cs="Arial"/>
        </w:rPr>
        <w:fldChar w:fldCharType="separate"/>
      </w:r>
      <w:r w:rsidRPr="00277351">
        <w:rPr>
          <w:rFonts w:ascii="Arial" w:hAnsi="Arial" w:cs="Arial"/>
          <w:color w:val="FF0000"/>
        </w:rPr>
        <w:t>(Zhang et al., 2022</w:t>
      </w:r>
      <w:r w:rsidRPr="00B50B63">
        <w:rPr>
          <w:rFonts w:ascii="Arial" w:hAnsi="Arial" w:cs="Arial"/>
        </w:rPr>
        <w:t>)</w:t>
      </w:r>
      <w:r w:rsidRPr="00B50B63">
        <w:rPr>
          <w:rFonts w:ascii="Arial" w:hAnsi="Arial" w:cs="Arial"/>
        </w:rPr>
        <w:fldChar w:fldCharType="end"/>
      </w:r>
      <w:r w:rsidRPr="00B50B63">
        <w:rPr>
          <w:rFonts w:ascii="Arial" w:hAnsi="Arial" w:cs="Arial"/>
        </w:rPr>
        <w:t xml:space="preserve">. (b) Increase consumption of fruits and vegetables: Rich in antioxidants and fiber, fruits and vegetables can help reduce inflammation and promote overall health </w:t>
      </w:r>
      <w:r w:rsidRPr="00B50B63">
        <w:rPr>
          <w:rFonts w:ascii="Arial" w:hAnsi="Arial" w:cs="Arial"/>
        </w:rPr>
        <w:fldChar w:fldCharType="begin" w:fldLock="1"/>
      </w:r>
      <w:r w:rsidRPr="00B50B63">
        <w:rPr>
          <w:rFonts w:ascii="Arial" w:hAnsi="Arial" w:cs="Arial"/>
        </w:rPr>
        <w:instrText>ADDIN CSL_CITATION {"citationItems":[{"id":"ITEM-1","itemData":{"DOI":"10.3904/kjim.2023.476","ISSN":"20056648","PMID":"38910514","abstract":"Background/Aims: The Gout Impact Scale (GIS), a part of the Gout Assessment Questionnaire 2.0, is used to measure gout-specific health-related quality of life (HRQOL). Although several studies have been conducted on the factors affecting the HRQOL of patients with gout, few have focused on lifestyle factors. This study aimed to investigate the correlation between lifestyle habits and HRQOL using the GIS in patients with gout. Methods: We used data from the Urate-Lowering TheRApy in Gout (ULTRA) registry, a prospective cohort of Korean patients with gout treated at multiple centers nationwide. The patients were aged ≥18 years and met the 2015 American College of Rheumatology/European League Against Rheumatism gout classification criteria. They were asked to complete a GIS and questions regarding their lifestyle habits at enrollment. Results: The study included 232 patients. ‘Gout concern overall’ scores in the GIS were significantly lower in patients who exercised more frequently and consumed soft drinks and meat less, and ‘well-being during attack’ scores were significantly lower in patients who consumed vegetables and exercised more frequently. The frequency of vegetable consumption had a negative linear relationship with the ‘well-being during attack’ and ‘gout concern during attack’ scores (p = 0.01, p = 0.001, respectively). The frequency of exercise had a negative linear relationship with the ‘gout concern overall’ and ‘gout concern during attack’ scores (p = 0.04 and p = 0.002, respectively). Conclusions: Patients with gout who frequently consumed vegetables and exercised regularly experienced less impact of gout, exhibiting a better GIS that represented HRQOL.","author":[{"dropping-particle":"","family":"Do","given":"Hyunsue","non-dropping-particle":"","parse-names":false,"suffix":""},{"dropping-particle":"","family":"Choi","given":"Hyo Jin","non-dropping-particle":"","parse-names":false,"suffix":""},{"dropping-particle":"","family":"Choi","given":"Byoongyong","non-dropping-particle":"","parse-names":false,"suffix":""},{"dropping-particle":"","family":"Son","given":"Chang Nam","non-dropping-particle":"","parse-names":false,"suffix":""},{"dropping-particle":"","family":"Kim","given":"Sang Hyon","non-dropping-particle":"","parse-names":false,"suffix":""},{"dropping-particle":"","family":"Ha","given":"You Jung","non-dropping-particle":"","parse-names":false,"suffix":""},{"dropping-particle":"","family":"Kim","given":"Ji Hyoun","non-dropping-particle":"","parse-names":false,"suffix":""},{"dropping-particle":"","family":"Kim","given":"Min Jung","non-dropping-particle":"","parse-names":false,"suffix":""},{"dropping-particle":"","family":"Shin","given":"Kichul","non-dropping-particle":"","parse-names":false,"suffix":""},{"dropping-particle":"","family":"Kim","given":"Hyun Ok","non-dropping-particle":"","parse-names":false,"suffix":""},{"dropping-particle":"","family":"Song","given":"Ran","non-dropping-particle":"","parse-names":false,"suffix":""},{"dropping-particle":"","family":"Lee","given":"Sung Won","non-dropping-particle":"","parse-names":false,"suffix":""},{"dropping-particle":"","family":"Ahn","given":"Joong Kyong","non-dropping-particle":"","parse-names":false,"suffix":""},{"dropping-particle":"","family":"Lee","given":"Seung Geun","non-dropping-particle":"","parse-names":false,"suffix":""},{"dropping-particle":"","family":"Lee","given":"Chang Hoon","non-dropping-particle":"","parse-names":false,"suffix":""},{"dropping-particle":"","family":"Son","given":"Kyeong Min","non-dropping-particle":"","parse-names":false,"suffix":""},{"dropping-particle":"","family":"Moon","given":"Ki Won","non-dropping-particle":"","parse-names":false,"suffix":""}],"container-title":"Korean Journal of Internal Medicine","id":"ITEM-1","issue":"5","issued":{"date-parts":[["2024"]]},"page":"845-854","title":"High vegetable consumption and regular exercise are associated with better quality of life in patients with gout","type":"article-journal","volume":"39"},"uris":["http://www.mendeley.com/documents/?uuid=de353868-b125-4895-85d9-d6d9851ca7bd"]}],"mendeley":{"formattedCitation":"(Do et al., 2024)","plainTextFormattedCitation":"(Do et al., 2024)","previouslyFormattedCitation":"(Do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(Do et al., 2024)</w:t>
      </w:r>
      <w:r w:rsidRPr="00B50B63">
        <w:rPr>
          <w:rFonts w:ascii="Arial" w:hAnsi="Arial" w:cs="Arial"/>
        </w:rPr>
        <w:fldChar w:fldCharType="end"/>
      </w:r>
      <w:r w:rsidRPr="00B50B63">
        <w:rPr>
          <w:rFonts w:ascii="Arial" w:hAnsi="Arial" w:cs="Arial"/>
        </w:rPr>
        <w:t xml:space="preserve">. (c) Opt for lean protein sources: Choosing lean protein sources, such as poultry, fish, and legumes, can help minimize purine intake </w:t>
      </w:r>
      <w:r w:rsidRPr="00B50B63">
        <w:rPr>
          <w:rFonts w:ascii="Arial" w:hAnsi="Arial" w:cs="Arial"/>
        </w:rPr>
        <w:fldChar w:fldCharType="begin" w:fldLock="1"/>
      </w:r>
      <w:r w:rsidRPr="00B50B63">
        <w:rPr>
          <w:rFonts w:ascii="Arial" w:hAnsi="Arial" w:cs="Arial"/>
        </w:rPr>
        <w:instrText>ADDIN CSL_CITATION {"citationItems":[{"id":"ITEM-1","itemData":{"DOI":"10.1097/BOR.0000000000000779","ISBN":"0000000000000","ISSN":"15316963","PMID":"33399399","abstract":"Purpose of review Although gout's cardinal feature is inflammatory arthritis, it is closely associated with insulin resistance and considered a manifestation of the metabolic syndrome. As such, both gout and hyperuricemia are often associated with major cardiometabolic and renal comorbidities that drive the persistently elevated premature mortality rates among gout patients. To that end, conventional low-purine (i.e., low-protein) dietary advice given to many patients with gout warrant reconsideration. Recent findings Recent research suggests that several healthy diets, such as the Mediterranean or Dietary Approaches to Stop Hypertension (DASH) diets, in combination with weight loss for those who are overweight or obese, can drastically improve cardiometabolic risk factors and outcomes. By treating gout as a part of the metabolic syndrome and shifting our dietary recommendations to these healthy dietary patterns, the beneficial effects on gout endpoints should naturally follow for the majority of typical gout cases, mediated through changes in insulin resistance. Summary Dietary recommendations for the management of hyperuricemia and gout should be approached holistically, taking into consideration its associated cardiometabolic comorbidities. Several healthy dietary patterns, many with similar themes, can be tailored to suit comorbidity profiles and personal preferences.","author":[{"dropping-particle":"","family":"Yokose","given":"Chio","non-dropping-particle":"","parse-names":false,"suffix":""},{"dropping-particle":"","family":"McCormick","given":"Natalie","non-dropping-particle":"","parse-names":false,"suffix":""},{"dropping-particle":"","family":"Choi","given":"Hyon K.","non-dropping-particle":"","parse-names":false,"suffix":""}],"container-title":"Current Opinion in Rheumatology","id":"ITEM-1","issue":"2","issued":{"date-parts":[["2021"]]},"page":"135-144","title":"The role of diet in hyperuricemia and gout","type":"article-journal","volume":"33"},"uris":["http://www.mendeley.com/documents/?uuid=028e841a-450a-4b22-94cc-13fb6d204da7"]}],"mendeley":{"formattedCitation":"(Yokose et al., 2021)","plainTextFormattedCitation":"(Yokose et al., 2021)","previouslyFormattedCitation":"(Yokose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(Yokose et al., 2021)</w:t>
      </w:r>
      <w:r w:rsidRPr="00B50B63">
        <w:rPr>
          <w:rFonts w:ascii="Arial" w:hAnsi="Arial" w:cs="Arial"/>
        </w:rPr>
        <w:fldChar w:fldCharType="end"/>
      </w:r>
      <w:r w:rsidRPr="00B50B63">
        <w:rPr>
          <w:rFonts w:ascii="Arial" w:hAnsi="Arial" w:cs="Arial"/>
        </w:rPr>
        <w:t xml:space="preserve">. (d) Limit sugar and saturated fat consumption: Restricting sugar and saturated fat intake can aid in managing diabetes and gout </w:t>
      </w:r>
      <w:r w:rsidRPr="00B50B63">
        <w:rPr>
          <w:rFonts w:ascii="Arial" w:hAnsi="Arial" w:cs="Arial"/>
        </w:rPr>
        <w:fldChar w:fldCharType="begin" w:fldLock="1"/>
      </w:r>
      <w:r w:rsidRPr="00B50B63">
        <w:rPr>
          <w:rFonts w:ascii="Arial" w:hAnsi="Arial" w:cs="Arial"/>
        </w:rPr>
        <w:instrText>ADDIN CSL_CITATION {"citationItems":[{"id":"ITEM-1","itemData":{"DOI":"10.3390/nu16172883","ISSN":"20726643","abstract":"This study aimed to investigate the associations between carbohydrate intake and gout risk, along with interactions between genetic susceptibility and carbohydrates, and the mediating roles of biomarkers. We included 187,387 participants who were free of gout at baseline and completed at least one dietary assessment in the UK Biobank. Cox proportional hazard models were used to estimate the associations between carbohydrate intake and gout risk. Over a median follow-up of 11.69 years, 2548 incident cases of gout were recorded. Total carbohydrate intake was associated with a reduced gout risk (Q4 vs. Q1: HR 0.67, 95% CI 0.60–0.74), as were total sugars (0.89, 0.80–0.99), non-free sugars (0.70, 0.63–0.78), total starch (0.70, 0.63–0.78), refined grain starch (0.85, 0.76–0.95), wholegrain starch (0.73, 0.65–0.82), and fiber (0.72, 0.64–0.80), whereas free sugars (1.15, 1.04–1.28) were associated with an increased risk. Significant additive interactions were found between total carbohydrates and genetic risk, as well as between total starch and genetic risk. Serum urate was identified as a significant mediator in all associations between carbohydrate intake (total, different types, and sources) and gout risk. In conclusion, total carbohydrate and different types and sources of carbohydrate (excluding free sugars) intake were associated with a reduced risk of gout.","author":[{"dropping-particle":"","family":"Hua","given":"Baojie","non-dropping-particle":"","parse-names":false,"suffix":""},{"dropping-particle":"","family":"Dong","given":"Ziwei","non-dropping-particle":"","parse-names":false,"suffix":""},{"dropping-particle":"","family":"Yang","given":"Yudan","non-dropping-particle":"","parse-names":false,"suffix":""},{"dropping-particle":"","family":"Liu","given":"Wei","non-dropping-particle":"","parse-names":false,"suffix":""},{"dropping-particle":"","family":"Chen","given":"Shuhui","non-dropping-particle":"","parse-names":false,"suffix":""},{"dropping-particle":"","family":"Chen","given":"Ying","non-dropping-particle":"","parse-names":false,"suffix":""},{"dropping-particle":"","family":"Sun","given":"Xiaohui","non-dropping-particle":"","parse-names":false,"suffix":""},{"dropping-particle":"","family":"Ye","given":"Ding","non-dropping-particle":"","parse-names":false,"suffix":""},{"dropping-particle":"","family":"Li","given":"Jiayu","non-dropping-particle":"","parse-names":false,"suffix":""},{"dropping-particle":"","family":"Mao","given":"Yingying","non-dropping-particle":"","parse-names":false,"suffix":""}],"container-title":"Nutrients ","id":"ITEM-1","issue":"17","issued":{"date-parts":[["2024"]]},"title":"Dietary Carbohydrates, Genetic Susceptibility, and Gout Risk: A Prospective Cohort Study in the UK","type":"article-journal","volume":"16"},"uris":["http://www.mendeley.com/documents/?uuid=a52c929b-0d9f-4eb1-ad20-8f88441fe0b6"]}],"mendeley":{"formattedCitation":"(Hua et al., 2024)","plainTextFormattedCitation":"(Hua et al., 2024)","previouslyFormattedCitation":"(Hua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(Hua et al., 2024)</w:t>
      </w:r>
      <w:r w:rsidRPr="00B50B63">
        <w:rPr>
          <w:rFonts w:ascii="Arial" w:hAnsi="Arial" w:cs="Arial"/>
        </w:rPr>
        <w:fldChar w:fldCharType="end"/>
      </w:r>
      <w:r w:rsidRPr="00B50B63">
        <w:rPr>
          <w:rFonts w:ascii="Arial" w:hAnsi="Arial" w:cs="Arial"/>
        </w:rPr>
        <w:t xml:space="preserve">. (e) Stay hydrated: Drinking plenty of water can help eliminate toxins and prevent gout attacks </w:t>
      </w:r>
      <w:r w:rsidRPr="00B50B63">
        <w:rPr>
          <w:rFonts w:ascii="Arial" w:hAnsi="Arial" w:cs="Arial"/>
        </w:rPr>
        <w:fldChar w:fldCharType="begin" w:fldLock="1"/>
      </w:r>
      <w:r w:rsidRPr="00B50B63">
        <w:rPr>
          <w:rFonts w:ascii="Arial" w:hAnsi="Arial" w:cs="Arial"/>
        </w:rPr>
        <w:instrText>ADDIN CSL_CITATION {"citationItems":[{"id":"ITEM-1","itemData":{"DOI":"10.1016/j.rdc.2022.06.009","ISSN":"15583163","PMID":"36333002","author":[{"dropping-particle":"","family":"Helget","given":"Lindsay N.","non-dropping-particle":"","parse-names":false,"suffix":""},{"dropping-particle":"","family":"Mikuls","given":"Ted R.","non-dropping-particle":"","parse-names":false,"suffix":""}],"container-title":"Rheumatic Disease Clinics of North America","id":"ITEM-1","issue":"4","issued":{"date-parts":[["2022"]]},"page":"891-906","title":"Environmental Triggers of Hyperuricemia and Gout","type":"article-journal","volume":"48"},"uris":["http://www.mendeley.com/documents/?uuid=8c7978ae-526e-4867-80ca-b6d5d399ed0d"]}],"mendeley":{"formattedCitation":"(Helget &amp; Mikuls, 2022)","plainTextFormattedCitation":"(Helget &amp; Mikuls, 2022)","previouslyFormattedCitation":"(Helget &amp; Mikuls,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(Helget &amp; Mikuls, 2022)</w:t>
      </w:r>
      <w:r w:rsidRPr="00B50B63">
        <w:rPr>
          <w:rFonts w:ascii="Arial" w:hAnsi="Arial" w:cs="Arial"/>
        </w:rPr>
        <w:fldChar w:fldCharType="end"/>
      </w:r>
      <w:r w:rsidRPr="00B50B63">
        <w:rPr>
          <w:rFonts w:ascii="Arial" w:hAnsi="Arial" w:cs="Arial"/>
        </w:rPr>
        <w:t>. Diabetic individuals who adhered to the proposed diet as shown in table 5 was found to exhibit significant reductions in Body Mass Index (BMI) (</w:t>
      </w:r>
      <w:r w:rsidRPr="00B50B63">
        <w:rPr>
          <w:rFonts w:ascii="Arial" w:hAnsi="Arial" w:cs="Arial"/>
          <w:i/>
          <w:iCs/>
        </w:rPr>
        <w:t>p</w:t>
      </w:r>
      <w:r w:rsidRPr="00B50B63">
        <w:rPr>
          <w:rFonts w:ascii="Arial" w:hAnsi="Arial" w:cs="Arial"/>
        </w:rPr>
        <w:t xml:space="preserve"> = 0.012), blood glucose levels (</w:t>
      </w:r>
      <w:r w:rsidRPr="00B50B63">
        <w:rPr>
          <w:rFonts w:ascii="Arial" w:hAnsi="Arial" w:cs="Arial"/>
          <w:i/>
          <w:iCs/>
        </w:rPr>
        <w:t>p</w:t>
      </w:r>
      <w:r w:rsidRPr="00B50B63">
        <w:rPr>
          <w:rFonts w:ascii="Arial" w:hAnsi="Arial" w:cs="Arial"/>
        </w:rPr>
        <w:t xml:space="preserve"> = 0.05), glycated hemoglobin (HbA1c)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0.024), low-density lipoprotein (LDL) cholesterol (</w:t>
      </w:r>
      <w:r w:rsidRPr="00B50B63">
        <w:rPr>
          <w:rFonts w:ascii="Arial" w:hAnsi="Arial" w:cs="Arial"/>
          <w:i/>
          <w:iCs/>
        </w:rPr>
        <w:t>p</w:t>
      </w:r>
      <w:r w:rsidRPr="00B50B63">
        <w:rPr>
          <w:rFonts w:ascii="Arial" w:hAnsi="Arial" w:cs="Arial"/>
        </w:rPr>
        <w:t xml:space="preserve"> = 0.04), and triglycerides (</w:t>
      </w:r>
      <w:r w:rsidRPr="00B50B63">
        <w:rPr>
          <w:rFonts w:ascii="Arial" w:hAnsi="Arial" w:cs="Arial"/>
          <w:i/>
          <w:iCs/>
        </w:rPr>
        <w:t>p</w:t>
      </w:r>
      <w:r w:rsidRPr="00B50B63">
        <w:rPr>
          <w:rFonts w:ascii="Arial" w:hAnsi="Arial" w:cs="Arial"/>
        </w:rPr>
        <w:t xml:space="preserve"> = 0.045). Moreover, a significant increase in high-density lipoprotein (HDL) levels was observed (</w:t>
      </w:r>
      <w:r w:rsidRPr="00B50B63">
        <w:rPr>
          <w:rFonts w:ascii="Arial" w:hAnsi="Arial" w:cs="Arial"/>
          <w:i/>
          <w:iCs/>
        </w:rPr>
        <w:t>p</w:t>
      </w:r>
      <w:r w:rsidRPr="00B50B63">
        <w:rPr>
          <w:rFonts w:ascii="Arial" w:hAnsi="Arial" w:cs="Arial"/>
        </w:rPr>
        <w:t xml:space="preserve"> = 0.01). </w:t>
      </w:r>
    </w:p>
    <w:p w14:paraId="2B9D5C7C" w14:textId="77777777" w:rsidR="00B50B63" w:rsidRPr="00B50B63" w:rsidRDefault="00B50B63" w:rsidP="00B50B63">
      <w:pPr>
        <w:jc w:val="both"/>
        <w:rPr>
          <w:rFonts w:ascii="Arial" w:hAnsi="Arial" w:cs="Arial"/>
        </w:rPr>
      </w:pPr>
    </w:p>
    <w:p w14:paraId="4EF1DA49" w14:textId="77777777" w:rsidR="00B50B63" w:rsidRPr="00B50B63" w:rsidRDefault="00B50B63" w:rsidP="00B50B63">
      <w:pPr>
        <w:jc w:val="both"/>
        <w:rPr>
          <w:rFonts w:ascii="Arial" w:hAnsi="Arial" w:cs="Arial"/>
        </w:rPr>
      </w:pPr>
      <w:r w:rsidRPr="00B50B63">
        <w:rPr>
          <w:rFonts w:ascii="Arial" w:hAnsi="Arial" w:cs="Arial"/>
          <w:b/>
        </w:rPr>
        <w:t xml:space="preserve">Table 5: </w:t>
      </w:r>
      <w:r w:rsidRPr="00B50B63">
        <w:rPr>
          <w:rFonts w:ascii="Arial" w:eastAsia="Calibri" w:hAnsi="Arial" w:cs="Arial"/>
        </w:rPr>
        <w:t>Effect of diet on Body Mass Index and Biochemical parameters in diabetics patients with g</w:t>
      </w:r>
      <w:r w:rsidRPr="00B50B63">
        <w:rPr>
          <w:rFonts w:ascii="Arial" w:hAnsi="Arial" w:cs="Arial"/>
        </w:rPr>
        <w:t>out</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2692D72E"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2F50092C"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2C7CB0F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469E586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bottom w:val="single" w:sz="4" w:space="0" w:color="auto"/>
            </w:tcBorders>
            <w:vAlign w:val="center"/>
          </w:tcPr>
          <w:p w14:paraId="43B29C1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61A35E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4A8445AE"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6A55C7A4" w14:textId="77777777" w:rsidR="00B50B63" w:rsidRPr="00B50B63" w:rsidRDefault="00B50B63" w:rsidP="00B50B63">
            <w:pPr>
              <w:jc w:val="both"/>
              <w:rPr>
                <w:rFonts w:ascii="Arial" w:hAnsi="Arial" w:cs="Arial"/>
                <w:sz w:val="20"/>
              </w:rPr>
            </w:pPr>
          </w:p>
        </w:tc>
        <w:tc>
          <w:tcPr>
            <w:tcW w:w="1069" w:type="pct"/>
            <w:gridSpan w:val="2"/>
            <w:tcBorders>
              <w:top w:val="single" w:sz="4" w:space="0" w:color="auto"/>
              <w:bottom w:val="single" w:sz="4" w:space="0" w:color="auto"/>
            </w:tcBorders>
            <w:vAlign w:val="center"/>
          </w:tcPr>
          <w:p w14:paraId="77D8C6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524F9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52C8C3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7AEF54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C406629" w14:textId="77777777" w:rsidTr="00B50B63">
        <w:trPr>
          <w:trHeight w:val="170"/>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4F721294"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vAlign w:val="center"/>
          </w:tcPr>
          <w:p w14:paraId="663FA6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vAlign w:val="center"/>
          </w:tcPr>
          <w:p w14:paraId="32F4F4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vAlign w:val="center"/>
          </w:tcPr>
          <w:p w14:paraId="7A4631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vAlign w:val="center"/>
          </w:tcPr>
          <w:p w14:paraId="71E2756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vAlign w:val="center"/>
          </w:tcPr>
          <w:p w14:paraId="17BF4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vAlign w:val="center"/>
          </w:tcPr>
          <w:p w14:paraId="2158F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B50B63" w:rsidRPr="00B50B63" w14:paraId="29A8B9BC" w14:textId="77777777" w:rsidTr="00B50B63">
        <w:trPr>
          <w:trHeight w:val="215"/>
        </w:trPr>
        <w:tc>
          <w:tcPr>
            <w:cnfStyle w:val="001000000000" w:firstRow="0" w:lastRow="0" w:firstColumn="1" w:lastColumn="0" w:oddVBand="0" w:evenVBand="0" w:oddHBand="0" w:evenHBand="0" w:firstRowFirstColumn="0" w:firstRowLastColumn="0" w:lastRowFirstColumn="0" w:lastRowLastColumn="0"/>
            <w:tcW w:w="1508" w:type="pct"/>
          </w:tcPr>
          <w:p w14:paraId="7D9C31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C1C1A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0D4213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3AE288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0.124</w:t>
            </w:r>
          </w:p>
        </w:tc>
        <w:tc>
          <w:tcPr>
            <w:tcW w:w="697" w:type="pct"/>
            <w:vAlign w:val="center"/>
          </w:tcPr>
          <w:p w14:paraId="1F8A7E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F18EA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9F6B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0.235</w:t>
            </w:r>
          </w:p>
        </w:tc>
      </w:tr>
      <w:tr w:rsidR="00B50B63" w:rsidRPr="00B50B63" w14:paraId="2FFB1B0A"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48EA23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597347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68502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ign w:val="center"/>
          </w:tcPr>
          <w:p w14:paraId="27AFEC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15B6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12FDA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27E24E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97E861"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F491DE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30D2D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BA556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vAlign w:val="center"/>
          </w:tcPr>
          <w:p w14:paraId="40EC616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476069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58BD4F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718FE0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4F346"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9BA96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62893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DB47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44" w:type="pct"/>
            <w:vMerge/>
            <w:vAlign w:val="center"/>
          </w:tcPr>
          <w:p w14:paraId="4FAFBB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A6D4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5226E45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912D2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71B7C7E"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957B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7BB4A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00AD2A7"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83DD6A"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1D21E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74DE4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0F68A8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0.036</w:t>
            </w:r>
          </w:p>
        </w:tc>
        <w:tc>
          <w:tcPr>
            <w:tcW w:w="697" w:type="pct"/>
            <w:vAlign w:val="center"/>
          </w:tcPr>
          <w:p w14:paraId="3D0E62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6BEA72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C2D47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0.079</w:t>
            </w:r>
          </w:p>
        </w:tc>
      </w:tr>
      <w:tr w:rsidR="00B50B63" w:rsidRPr="00B50B63" w14:paraId="549F914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A4014DB"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576CD4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05185C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ign w:val="center"/>
          </w:tcPr>
          <w:p w14:paraId="12A315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57E2F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4E53F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09BDE2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429C7AC"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95C49D"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74A470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6386A5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44" w:type="pct"/>
            <w:vMerge/>
            <w:vAlign w:val="center"/>
          </w:tcPr>
          <w:p w14:paraId="3F8371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0A422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3C279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76C44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33848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1DDEEEC"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2A239A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2EF72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713B5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A3834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93650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53B57A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F4291E" w14:textId="77777777" w:rsidTr="00B50B63">
        <w:trPr>
          <w:trHeight w:val="251"/>
        </w:trPr>
        <w:tc>
          <w:tcPr>
            <w:cnfStyle w:val="001000000000" w:firstRow="0" w:lastRow="0" w:firstColumn="1" w:lastColumn="0" w:oddVBand="0" w:evenVBand="0" w:oddHBand="0" w:evenHBand="0" w:firstRowFirstColumn="0" w:firstRowLastColumn="0" w:lastRowFirstColumn="0" w:lastRowLastColumn="0"/>
            <w:tcW w:w="1508" w:type="pct"/>
          </w:tcPr>
          <w:p w14:paraId="776FE1EB"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A3ADB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15C9D" w14:textId="77777777" w:rsidTr="00B50B63">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57DA5856"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6E7BBF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C6B66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44" w:type="pct"/>
            <w:vMerge w:val="restart"/>
            <w:vAlign w:val="center"/>
          </w:tcPr>
          <w:p w14:paraId="5F4650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0.021</w:t>
            </w:r>
          </w:p>
        </w:tc>
        <w:tc>
          <w:tcPr>
            <w:tcW w:w="697" w:type="pct"/>
            <w:vAlign w:val="center"/>
          </w:tcPr>
          <w:p w14:paraId="278268F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102B0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6F4416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r>
      <w:tr w:rsidR="00B50B63" w:rsidRPr="00B50B63" w14:paraId="42E8A7B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EABA97"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6C051E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1B73DB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44" w:type="pct"/>
            <w:vMerge/>
            <w:vAlign w:val="center"/>
          </w:tcPr>
          <w:p w14:paraId="46BB8A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B61F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CD765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0E5DE3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C01958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7759D7"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67BE94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15429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679EC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E8352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0EF87C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6DD128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C26875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3D1850D"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07EA2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D46409"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2D237A7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51ECB6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496D04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6407E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234D34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3E0E4A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45B1D2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0.934</w:t>
            </w:r>
          </w:p>
        </w:tc>
      </w:tr>
      <w:tr w:rsidR="00B50B63" w:rsidRPr="00B50B63" w14:paraId="06BE9FF2" w14:textId="77777777" w:rsidTr="00B50B63">
        <w:trPr>
          <w:trHeight w:val="188"/>
        </w:trPr>
        <w:tc>
          <w:tcPr>
            <w:cnfStyle w:val="001000000000" w:firstRow="0" w:lastRow="0" w:firstColumn="1" w:lastColumn="0" w:oddVBand="0" w:evenVBand="0" w:oddHBand="0" w:evenHBand="0" w:firstRowFirstColumn="0" w:firstRowLastColumn="0" w:lastRowFirstColumn="0" w:lastRowLastColumn="0"/>
            <w:tcW w:w="1508" w:type="pct"/>
          </w:tcPr>
          <w:p w14:paraId="5C0E9E43"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37DA46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4BDE1E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23348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230D59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67E5C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089CE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6693A9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A0ABC90"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8F0BC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672B8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A12156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2CD1C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1BC67B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13E4AA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D3C7F30"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DF93CD2"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D9F24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DC06C1C" w14:textId="77777777" w:rsidTr="00B50B63">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64E81300"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62DDA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825BD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AE091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142E6D5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425CE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497DE4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0.865</w:t>
            </w:r>
          </w:p>
        </w:tc>
      </w:tr>
      <w:tr w:rsidR="00B50B63" w:rsidRPr="00B50B63" w14:paraId="4775FE5A" w14:textId="77777777" w:rsidTr="00B50B63">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5A0058DE"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A5E2FA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6A575F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4FC7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54C598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B6BA1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2B2863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A08EAA"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4AB8ED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1492FD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6604E77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652FFD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D1045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100.00</w:t>
            </w:r>
          </w:p>
        </w:tc>
        <w:tc>
          <w:tcPr>
            <w:tcW w:w="529" w:type="pct"/>
            <w:vAlign w:val="center"/>
          </w:tcPr>
          <w:p w14:paraId="7434A7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231C45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12D117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08DD358"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1BF1AA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DA12C5"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904475E"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1432B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8A3F46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44" w:type="pct"/>
            <w:vMerge w:val="restart"/>
            <w:vAlign w:val="center"/>
          </w:tcPr>
          <w:p w14:paraId="44E53A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0.023</w:t>
            </w:r>
          </w:p>
        </w:tc>
        <w:tc>
          <w:tcPr>
            <w:tcW w:w="697" w:type="pct"/>
            <w:vAlign w:val="center"/>
          </w:tcPr>
          <w:p w14:paraId="28FAEF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DCE2BB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296F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0.987</w:t>
            </w:r>
          </w:p>
        </w:tc>
      </w:tr>
      <w:tr w:rsidR="00B50B63" w:rsidRPr="00B50B63" w14:paraId="36B76AED"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230ECA3D"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097142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33" w:type="pct"/>
            <w:vAlign w:val="center"/>
          </w:tcPr>
          <w:p w14:paraId="590785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086B6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B0BBB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2C15B13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573C13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92760C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58DE2EF"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1F47C6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1F9E1BF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0FA2A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6D6358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742F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7F8EED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B95F0B" w14:textId="77777777" w:rsidTr="00B50B63">
        <w:trPr>
          <w:trHeight w:val="80"/>
        </w:trPr>
        <w:tc>
          <w:tcPr>
            <w:cnfStyle w:val="001000000000" w:firstRow="0" w:lastRow="0" w:firstColumn="1" w:lastColumn="0" w:oddVBand="0" w:evenVBand="0" w:oddHBand="0" w:evenHBand="0" w:firstRowFirstColumn="0" w:firstRowLastColumn="0" w:lastRowFirstColumn="0" w:lastRowLastColumn="0"/>
            <w:tcW w:w="1508" w:type="pct"/>
          </w:tcPr>
          <w:p w14:paraId="66B7D634"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35A180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288DFDF"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7FDBF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2525C0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45817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restart"/>
            <w:vAlign w:val="center"/>
          </w:tcPr>
          <w:p w14:paraId="328FE0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0.024</w:t>
            </w:r>
          </w:p>
        </w:tc>
        <w:tc>
          <w:tcPr>
            <w:tcW w:w="697" w:type="pct"/>
            <w:vAlign w:val="center"/>
          </w:tcPr>
          <w:p w14:paraId="54A618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031618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01BD9E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5F827212"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0152F0" w14:textId="77777777" w:rsidR="00B50B63" w:rsidRPr="00B50B63" w:rsidRDefault="00B50B63" w:rsidP="00B50B63">
            <w:pPr>
              <w:jc w:val="both"/>
              <w:rPr>
                <w:rFonts w:ascii="Arial" w:hAnsi="Arial" w:cs="Arial"/>
                <w:b w:val="0"/>
                <w:sz w:val="20"/>
              </w:rPr>
            </w:pPr>
            <w:r w:rsidRPr="00B50B63">
              <w:rPr>
                <w:rFonts w:ascii="Arial" w:hAnsi="Arial" w:cs="Arial"/>
                <w:b w:val="0"/>
                <w:sz w:val="20"/>
              </w:rPr>
              <w:lastRenderedPageBreak/>
              <w:t>[0.3 –0.5]</w:t>
            </w:r>
          </w:p>
        </w:tc>
        <w:tc>
          <w:tcPr>
            <w:tcW w:w="535" w:type="pct"/>
            <w:vAlign w:val="center"/>
          </w:tcPr>
          <w:p w14:paraId="25D786B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585830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44" w:type="pct"/>
            <w:vMerge/>
            <w:vAlign w:val="center"/>
          </w:tcPr>
          <w:p w14:paraId="4A4058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17CD3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4CD5B3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D50CAD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CF96EAC" w14:textId="77777777" w:rsidTr="00B50B63">
        <w:trPr>
          <w:trHeight w:val="242"/>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A5EFFD2"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1988E8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tcBorders>
              <w:bottom w:val="single" w:sz="4" w:space="0" w:color="auto"/>
            </w:tcBorders>
            <w:vAlign w:val="center"/>
          </w:tcPr>
          <w:p w14:paraId="3450BA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tcBorders>
              <w:bottom w:val="single" w:sz="4" w:space="0" w:color="auto"/>
            </w:tcBorders>
            <w:vAlign w:val="center"/>
          </w:tcPr>
          <w:p w14:paraId="18064D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44C67B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tcBorders>
              <w:bottom w:val="single" w:sz="4" w:space="0" w:color="auto"/>
            </w:tcBorders>
            <w:vAlign w:val="center"/>
          </w:tcPr>
          <w:p w14:paraId="0D783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tcBorders>
              <w:bottom w:val="single" w:sz="4" w:space="0" w:color="auto"/>
            </w:tcBorders>
            <w:vAlign w:val="center"/>
          </w:tcPr>
          <w:p w14:paraId="57E37B2E"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1817A9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 = 8; Control group n = 4</w:t>
      </w:r>
    </w:p>
    <w:p w14:paraId="5EDFDDF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-value &lt; 0.05 indicate that the difference is statistically significant</w:t>
      </w:r>
    </w:p>
    <w:bookmarkEnd w:id="3"/>
    <w:p w14:paraId="4D523A65"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 xml:space="preserve">Cases of diabetics suffering from kidney failure </w:t>
      </w:r>
    </w:p>
    <w:p w14:paraId="66971858" w14:textId="77777777" w:rsidR="00B50B63" w:rsidRPr="00B50B63" w:rsidRDefault="00B50B63" w:rsidP="00B50B63">
      <w:pPr>
        <w:jc w:val="both"/>
        <w:rPr>
          <w:rFonts w:ascii="Arial" w:hAnsi="Arial" w:cs="Arial"/>
        </w:rPr>
      </w:pPr>
      <w:r w:rsidRPr="00B50B63">
        <w:rPr>
          <w:rFonts w:ascii="Arial" w:hAnsi="Arial" w:cs="Arial"/>
        </w:rPr>
        <w:t>The diet proposed to people with kidney failure (Appendix-4) was mainly based on a hypo-protein diet ranging from 0.8g/Kg/d in protein, hypoglycemic, normal calories, and a balanced diet. According to Table 6, diabetic individuals who adhered to the proposed diet low in proteins demonstrated significant reductions in BMI (p = 0.01), blood glucose (</w:t>
      </w:r>
      <w:r w:rsidRPr="00B50B63">
        <w:rPr>
          <w:rFonts w:ascii="Arial" w:hAnsi="Arial" w:cs="Arial"/>
          <w:i/>
          <w:iCs/>
        </w:rPr>
        <w:t>p</w:t>
      </w:r>
      <w:r w:rsidRPr="00B50B63">
        <w:rPr>
          <w:rFonts w:ascii="Arial" w:hAnsi="Arial" w:cs="Arial"/>
        </w:rPr>
        <w:t xml:space="preserve"> = 0.001), glycated hemoglobin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 LDL (</w:t>
      </w:r>
      <w:r w:rsidRPr="00B50B63">
        <w:rPr>
          <w:rFonts w:ascii="Arial" w:hAnsi="Arial" w:cs="Arial"/>
          <w:i/>
          <w:iCs/>
        </w:rPr>
        <w:t>p</w:t>
      </w:r>
      <w:r w:rsidRPr="00B50B63">
        <w:rPr>
          <w:rFonts w:ascii="Arial" w:hAnsi="Arial" w:cs="Arial"/>
        </w:rPr>
        <w:t xml:space="preserve"> = 0.05), triglycerides (</w:t>
      </w:r>
      <w:r w:rsidRPr="00B50B63">
        <w:rPr>
          <w:rFonts w:ascii="Arial" w:hAnsi="Arial" w:cs="Arial"/>
          <w:i/>
          <w:iCs/>
        </w:rPr>
        <w:t>p</w:t>
      </w:r>
      <w:r w:rsidRPr="00B50B63">
        <w:rPr>
          <w:rFonts w:ascii="Arial" w:hAnsi="Arial" w:cs="Arial"/>
        </w:rPr>
        <w:t xml:space="preserve"> = 0.05), and creatinine (</w:t>
      </w:r>
      <w:r w:rsidRPr="00B50B63">
        <w:rPr>
          <w:rFonts w:ascii="Arial" w:hAnsi="Arial" w:cs="Arial"/>
          <w:i/>
          <w:iCs/>
        </w:rPr>
        <w:t>p</w:t>
      </w:r>
      <w:r w:rsidRPr="00B50B63">
        <w:rPr>
          <w:rFonts w:ascii="Arial" w:hAnsi="Arial" w:cs="Arial"/>
        </w:rPr>
        <w:t xml:space="preserve"> = 0.05). Additionally, a significant increase in HDL levels was observed (</w:t>
      </w:r>
      <w:r w:rsidRPr="00B50B63">
        <w:rPr>
          <w:rFonts w:ascii="Arial" w:hAnsi="Arial" w:cs="Arial"/>
          <w:i/>
          <w:iCs/>
        </w:rPr>
        <w:t xml:space="preserve">p </w:t>
      </w:r>
      <w:r w:rsidRPr="00B50B63">
        <w:rPr>
          <w:rFonts w:ascii="Arial" w:hAnsi="Arial" w:cs="Arial"/>
        </w:rPr>
        <w:t>= 0.012).</w:t>
      </w:r>
    </w:p>
    <w:p w14:paraId="4D8DD823" w14:textId="77777777" w:rsidR="00B50B63" w:rsidRPr="00B50B63" w:rsidRDefault="00B50B63" w:rsidP="00B50B63">
      <w:pPr>
        <w:jc w:val="both"/>
        <w:rPr>
          <w:rFonts w:ascii="Arial" w:hAnsi="Arial" w:cs="Arial"/>
        </w:rPr>
      </w:pPr>
    </w:p>
    <w:p w14:paraId="55A98D55" w14:textId="77777777" w:rsidR="00B50B63" w:rsidRPr="00B50B63" w:rsidRDefault="00B50B63" w:rsidP="00B50B63">
      <w:pPr>
        <w:jc w:val="both"/>
        <w:rPr>
          <w:rFonts w:ascii="Arial" w:eastAsia="Calibri" w:hAnsi="Arial" w:cs="Arial"/>
        </w:rPr>
      </w:pPr>
      <w:r w:rsidRPr="00B50B63">
        <w:rPr>
          <w:rFonts w:ascii="Arial" w:hAnsi="Arial" w:cs="Arial"/>
          <w:b/>
        </w:rPr>
        <w:t xml:space="preserve">Table 6: </w:t>
      </w:r>
      <w:r w:rsidRPr="00B50B63">
        <w:rPr>
          <w:rFonts w:ascii="Arial" w:eastAsia="Calibri" w:hAnsi="Arial" w:cs="Arial"/>
        </w:rPr>
        <w:t xml:space="preserve">Effect of diet on body mass index and biochemical parameters in diabetic patients suffering from kidney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641F3F78" w14:textId="77777777" w:rsidTr="00FF2F5E">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49FCED1"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61CE1911"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3AA485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54A847C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6D5D37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D903123"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1DD2CF5D"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3B69E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86CE1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34166B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5B32F93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F20F2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2FB9EA5A"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0A604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29D018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2F43B4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536AB1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F1E7B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0F73DD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27A9BF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633B65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78BCD9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tcBorders>
              <w:top w:val="single" w:sz="4" w:space="0" w:color="auto"/>
            </w:tcBorders>
            <w:vAlign w:val="center"/>
          </w:tcPr>
          <w:p w14:paraId="7FF15C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697069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Borders>
              <w:top w:val="single" w:sz="4" w:space="0" w:color="auto"/>
            </w:tcBorders>
            <w:vAlign w:val="center"/>
          </w:tcPr>
          <w:p w14:paraId="18816D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top w:val="single" w:sz="4" w:space="0" w:color="auto"/>
            </w:tcBorders>
            <w:vAlign w:val="center"/>
          </w:tcPr>
          <w:p w14:paraId="385941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tcBorders>
              <w:top w:val="single" w:sz="4" w:space="0" w:color="auto"/>
            </w:tcBorders>
            <w:vAlign w:val="center"/>
          </w:tcPr>
          <w:p w14:paraId="533808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0.895</w:t>
            </w:r>
          </w:p>
        </w:tc>
      </w:tr>
      <w:tr w:rsidR="00FF2F5E" w:rsidRPr="00B50B63" w14:paraId="6E482D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633F8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2D9E2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BCFF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44" w:type="pct"/>
            <w:vMerge/>
            <w:vAlign w:val="center"/>
          </w:tcPr>
          <w:p w14:paraId="753B62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23E8F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51DD5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549189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B2CC4C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FDB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0B326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73DDBD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1CBA42F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0A6EC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0EC3E3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0C06C7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0ECB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F85683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3BFD19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7B5B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03F31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35EA4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0D22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8E82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F2678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EF5491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130215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A9A9D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B7AE1F6"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143B8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4B1642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vAlign w:val="center"/>
          </w:tcPr>
          <w:p w14:paraId="2FF664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A77E2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042E6D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435AF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0.367</w:t>
            </w:r>
          </w:p>
        </w:tc>
      </w:tr>
      <w:tr w:rsidR="00FF2F5E" w:rsidRPr="00B50B63" w14:paraId="2006350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90E6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29F780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170361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ign w:val="center"/>
          </w:tcPr>
          <w:p w14:paraId="77C301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F1674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7167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8A654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6EFA2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2D5A56"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4BEF54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378318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B4E9A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185F6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B531B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E43E9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CBFF36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7F9F95"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6519E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2D21C41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36C14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4DCA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757A7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18CD08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1A146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EA7C35"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0ABCE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2BF43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58D2B68"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13C6D7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E47FA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restart"/>
            <w:vAlign w:val="center"/>
          </w:tcPr>
          <w:p w14:paraId="3A6165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456F77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604E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4CD929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FF2F5E" w:rsidRPr="00B50B63" w14:paraId="631476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B45F6F8"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36205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1203CE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724AB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4D595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60C74E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2B09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169E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307952A"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74F231C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0A6D01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2EAF3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A811B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25F60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6A2AB2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E3EB5F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5BFD934"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7BFC6F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981A268"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66D7EB98"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4761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13.33</w:t>
            </w:r>
          </w:p>
        </w:tc>
        <w:tc>
          <w:tcPr>
            <w:tcW w:w="533" w:type="pct"/>
            <w:vAlign w:val="center"/>
          </w:tcPr>
          <w:p w14:paraId="40E10F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w:t>
            </w:r>
          </w:p>
        </w:tc>
        <w:tc>
          <w:tcPr>
            <w:tcW w:w="544" w:type="pct"/>
            <w:vMerge w:val="restart"/>
            <w:vAlign w:val="center"/>
          </w:tcPr>
          <w:p w14:paraId="150D74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404A59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F4DA5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60E5C3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0.123</w:t>
            </w:r>
          </w:p>
        </w:tc>
      </w:tr>
      <w:tr w:rsidR="00B50B63" w:rsidRPr="00B50B63" w14:paraId="3AC7707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D405649"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183AF49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46.67</w:t>
            </w:r>
          </w:p>
        </w:tc>
        <w:tc>
          <w:tcPr>
            <w:tcW w:w="533" w:type="pct"/>
            <w:vAlign w:val="center"/>
          </w:tcPr>
          <w:p w14:paraId="28C5A5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26.66</w:t>
            </w:r>
          </w:p>
        </w:tc>
        <w:tc>
          <w:tcPr>
            <w:tcW w:w="544" w:type="pct"/>
            <w:vMerge/>
            <w:vAlign w:val="center"/>
          </w:tcPr>
          <w:p w14:paraId="4160D5F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AFD8F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2C850C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7394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6579D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031ED42"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667ABA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w:t>
            </w:r>
          </w:p>
        </w:tc>
        <w:tc>
          <w:tcPr>
            <w:tcW w:w="533" w:type="pct"/>
            <w:vAlign w:val="center"/>
          </w:tcPr>
          <w:p w14:paraId="32312C1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13.34</w:t>
            </w:r>
          </w:p>
        </w:tc>
        <w:tc>
          <w:tcPr>
            <w:tcW w:w="544" w:type="pct"/>
            <w:vMerge/>
            <w:vAlign w:val="center"/>
          </w:tcPr>
          <w:p w14:paraId="237542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9640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734431C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1A36C6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25DF4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9FFF795"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7BC9FE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6CF93D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F434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4598E1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51487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4F9476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0.015</w:t>
            </w:r>
          </w:p>
        </w:tc>
        <w:tc>
          <w:tcPr>
            <w:tcW w:w="697" w:type="pct"/>
            <w:vAlign w:val="center"/>
          </w:tcPr>
          <w:p w14:paraId="0D87F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3A94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0124AB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0.415</w:t>
            </w:r>
          </w:p>
        </w:tc>
      </w:tr>
      <w:tr w:rsidR="00B50B63" w:rsidRPr="00B50B63" w14:paraId="781DD93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4674C4B"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9E6864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7BBA31F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311D0C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27691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9C62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21CE08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C4D0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C238F91"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6B476D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E32D2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EB4CE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5579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F24BF8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FD3BB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AE0987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01776886"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CF194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59073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45212F"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5816E4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0152DA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629F67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18505C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5E07E8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7064A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3D0E5DE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F7785B4"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17511C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1DB9EA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006D1F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56523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440E4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33E6D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5726FC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3421A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49FB13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4030925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226A462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21140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AF27F8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4135A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B407C7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237E577"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056AB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4B7AF9"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3F3D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5C7B63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4B445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12DFC1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2D01A7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78F6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4284EB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6EAC875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AB96464"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54D4A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1315BC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3D9BFF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4A8690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D29F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A3001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D9B2B0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D1941C"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vAlign w:val="center"/>
          </w:tcPr>
          <w:p w14:paraId="622BDF4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48223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42957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119F6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C2245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9D5E4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35D5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4CE96FE" w14:textId="77777777" w:rsidR="00B50B63" w:rsidRPr="00B50B63" w:rsidRDefault="00B50B63" w:rsidP="00B50B63">
            <w:pPr>
              <w:jc w:val="both"/>
              <w:rPr>
                <w:rFonts w:ascii="Arial" w:hAnsi="Arial" w:cs="Arial"/>
                <w:i/>
                <w:iCs/>
                <w:sz w:val="20"/>
              </w:rPr>
            </w:pPr>
            <w:r w:rsidRPr="00B50B63">
              <w:rPr>
                <w:rFonts w:ascii="Arial" w:hAnsi="Arial" w:cs="Arial"/>
                <w:i/>
                <w:iCs/>
                <w:sz w:val="20"/>
              </w:rPr>
              <w:t>Creatinine (g/l)</w:t>
            </w:r>
          </w:p>
        </w:tc>
        <w:tc>
          <w:tcPr>
            <w:tcW w:w="3492" w:type="pct"/>
            <w:gridSpan w:val="6"/>
            <w:vAlign w:val="center"/>
          </w:tcPr>
          <w:p w14:paraId="748353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42FE376"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53E062A" w14:textId="77777777" w:rsidR="00B50B63" w:rsidRPr="00B50B63" w:rsidRDefault="00B50B63" w:rsidP="00B50B63">
            <w:pPr>
              <w:jc w:val="both"/>
              <w:rPr>
                <w:rFonts w:ascii="Arial" w:hAnsi="Arial" w:cs="Arial"/>
                <w:b w:val="0"/>
                <w:sz w:val="20"/>
              </w:rPr>
            </w:pPr>
            <w:r w:rsidRPr="00B50B63">
              <w:rPr>
                <w:rFonts w:ascii="Arial" w:hAnsi="Arial" w:cs="Arial"/>
                <w:b w:val="0"/>
                <w:sz w:val="20"/>
              </w:rPr>
              <w:t>&lt; 12</w:t>
            </w:r>
          </w:p>
        </w:tc>
        <w:tc>
          <w:tcPr>
            <w:tcW w:w="535" w:type="pct"/>
            <w:vAlign w:val="center"/>
          </w:tcPr>
          <w:p w14:paraId="777F55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AFFB3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90.00</w:t>
            </w:r>
          </w:p>
        </w:tc>
        <w:tc>
          <w:tcPr>
            <w:tcW w:w="544" w:type="pct"/>
            <w:vMerge w:val="restart"/>
            <w:vAlign w:val="center"/>
          </w:tcPr>
          <w:p w14:paraId="6E9A7D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37C029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200D4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54EA8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7E52F9D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60061" w14:textId="77777777" w:rsidR="00B50B63" w:rsidRPr="00B50B63" w:rsidRDefault="00B50B63" w:rsidP="00B50B63">
            <w:pPr>
              <w:jc w:val="both"/>
              <w:rPr>
                <w:rFonts w:ascii="Arial" w:hAnsi="Arial" w:cs="Arial"/>
                <w:b w:val="0"/>
                <w:sz w:val="20"/>
              </w:rPr>
            </w:pPr>
            <w:r w:rsidRPr="00B50B63">
              <w:rPr>
                <w:rFonts w:ascii="Arial" w:hAnsi="Arial" w:cs="Arial"/>
                <w:b w:val="0"/>
                <w:sz w:val="20"/>
              </w:rPr>
              <w:lastRenderedPageBreak/>
              <w:t>[13 – 15]</w:t>
            </w:r>
          </w:p>
        </w:tc>
        <w:tc>
          <w:tcPr>
            <w:tcW w:w="535" w:type="pct"/>
            <w:vAlign w:val="center"/>
          </w:tcPr>
          <w:p w14:paraId="3EB973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6B87AC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4EE153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559E0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541305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78CD7D7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9B5176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048D054" w14:textId="77777777" w:rsidR="00B50B63" w:rsidRPr="00B50B63" w:rsidRDefault="00B50B63" w:rsidP="00B50B63">
            <w:pPr>
              <w:jc w:val="both"/>
              <w:rPr>
                <w:rFonts w:ascii="Arial" w:hAnsi="Arial" w:cs="Arial"/>
                <w:b w:val="0"/>
                <w:sz w:val="20"/>
              </w:rPr>
            </w:pPr>
            <w:r w:rsidRPr="00B50B63">
              <w:rPr>
                <w:rFonts w:ascii="Arial" w:hAnsi="Arial" w:cs="Arial"/>
                <w:b w:val="0"/>
                <w:sz w:val="20"/>
              </w:rPr>
              <w:t>&gt; 15</w:t>
            </w:r>
          </w:p>
        </w:tc>
        <w:tc>
          <w:tcPr>
            <w:tcW w:w="535" w:type="pct"/>
            <w:tcBorders>
              <w:bottom w:val="single" w:sz="4" w:space="0" w:color="auto"/>
            </w:tcBorders>
            <w:vAlign w:val="center"/>
          </w:tcPr>
          <w:p w14:paraId="146D0B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tcBorders>
              <w:bottom w:val="single" w:sz="4" w:space="0" w:color="auto"/>
            </w:tcBorders>
            <w:vAlign w:val="center"/>
          </w:tcPr>
          <w:p w14:paraId="365162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tcBorders>
              <w:bottom w:val="single" w:sz="4" w:space="0" w:color="auto"/>
            </w:tcBorders>
            <w:vAlign w:val="center"/>
          </w:tcPr>
          <w:p w14:paraId="6B2D93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4E83729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bottom w:val="single" w:sz="4" w:space="0" w:color="auto"/>
            </w:tcBorders>
            <w:vAlign w:val="center"/>
          </w:tcPr>
          <w:p w14:paraId="23CF5B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64E7BF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234E8EC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n=10; Control group n=4</w:t>
      </w:r>
    </w:p>
    <w:p w14:paraId="17C9088B" w14:textId="77777777" w:rsidR="00B50B63" w:rsidRPr="00B50B63" w:rsidRDefault="00B50B63" w:rsidP="00B50B63">
      <w:pPr>
        <w:jc w:val="both"/>
        <w:rPr>
          <w:rFonts w:ascii="Arial" w:eastAsia="Calibri" w:hAnsi="Arial" w:cs="Arial"/>
        </w:rPr>
      </w:pPr>
      <w:r w:rsidRPr="00B50B63">
        <w:rPr>
          <w:rFonts w:ascii="Arial" w:eastAsia="Calibri" w:hAnsi="Arial" w:cs="Arial"/>
          <w:i/>
          <w:iCs/>
          <w:sz w:val="22"/>
          <w:szCs w:val="22"/>
        </w:rPr>
        <w:t>p</w:t>
      </w:r>
      <w:r w:rsidRPr="00B50B63">
        <w:rPr>
          <w:rFonts w:ascii="Arial" w:eastAsia="Calibri" w:hAnsi="Arial" w:cs="Arial"/>
        </w:rPr>
        <w:t xml:space="preserve"> -value &lt; 0.05 indicate that the difference is statistically significant</w:t>
      </w:r>
    </w:p>
    <w:p w14:paraId="16598D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14:paraId="0498E20D"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diabetics suffering from heart failure and stroke</w:t>
      </w:r>
    </w:p>
    <w:p w14:paraId="7824AF30" w14:textId="77777777" w:rsidR="00B50B63" w:rsidRPr="00B50B63" w:rsidRDefault="00B50B63" w:rsidP="00B50B63">
      <w:pPr>
        <w:jc w:val="both"/>
        <w:rPr>
          <w:rFonts w:ascii="Arial" w:hAnsi="Arial" w:cs="Arial"/>
        </w:rPr>
      </w:pPr>
      <w:r w:rsidRPr="00B50B63">
        <w:rPr>
          <w:rFonts w:ascii="Arial" w:hAnsi="Arial" w:cs="Arial"/>
        </w:rPr>
        <w:t xml:space="preserve">The proposed diet for individuals suffering from heart failure and stroke (Appendix-5) primarily consisted of a low-sodium, hypoglycemic diet, low in saturated fats, and free from alcohol and tobacco. Additionally, the diet emphasized an increase in foods rich in polyunsaturated fatty acids, particularly omega-3 fatty acids, which have been shown to protect against cardiovascular disease. These fatty acids are predominantly found in fatty fish (herring, mackerel, sardines), as well as in sesame seeds and dietary fiber. Regular physical activity was also encouraged. </w:t>
      </w:r>
    </w:p>
    <w:p w14:paraId="3261B38F" w14:textId="77777777" w:rsidR="00B50B63" w:rsidRPr="00B50B63" w:rsidRDefault="00B50B63" w:rsidP="00B50B63">
      <w:pPr>
        <w:jc w:val="both"/>
        <w:rPr>
          <w:rFonts w:ascii="Arial" w:hAnsi="Arial" w:cs="Arial"/>
        </w:rPr>
      </w:pPr>
      <w:r w:rsidRPr="00B50B63">
        <w:rPr>
          <w:rFonts w:ascii="Arial" w:hAnsi="Arial" w:cs="Arial"/>
        </w:rPr>
        <w:t>As evident from Tables 7 and 8 adherences to the proposed diet resulted in significant reductions in BMI (</w:t>
      </w:r>
      <w:r w:rsidRPr="00B50B63">
        <w:rPr>
          <w:rFonts w:ascii="Arial" w:hAnsi="Arial" w:cs="Arial"/>
          <w:i/>
          <w:iCs/>
        </w:rPr>
        <w:t>p</w:t>
      </w:r>
      <w:r w:rsidRPr="00B50B63">
        <w:rPr>
          <w:rFonts w:ascii="Arial" w:hAnsi="Arial" w:cs="Arial"/>
        </w:rPr>
        <w:t xml:space="preserve"> = 0.038), blood sugar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0.046), total cholesterol (</w:t>
      </w:r>
      <w:r w:rsidRPr="00B50B63">
        <w:rPr>
          <w:rFonts w:ascii="Arial" w:hAnsi="Arial" w:cs="Arial"/>
          <w:i/>
          <w:iCs/>
        </w:rPr>
        <w:t>p</w:t>
      </w:r>
      <w:r w:rsidRPr="00B50B63">
        <w:rPr>
          <w:rFonts w:ascii="Arial" w:hAnsi="Arial" w:cs="Arial"/>
        </w:rPr>
        <w:t xml:space="preserve"> = 0.01), LDL (</w:t>
      </w:r>
      <w:r w:rsidRPr="00B50B63">
        <w:rPr>
          <w:rFonts w:ascii="Arial" w:hAnsi="Arial" w:cs="Arial"/>
          <w:i/>
          <w:iCs/>
        </w:rPr>
        <w:t>p</w:t>
      </w:r>
      <w:r w:rsidRPr="00B50B63">
        <w:rPr>
          <w:rFonts w:ascii="Arial" w:hAnsi="Arial" w:cs="Arial"/>
        </w:rPr>
        <w:t xml:space="preserve"> = 0.041), and triglycerides (</w:t>
      </w:r>
      <w:r w:rsidRPr="00B50B63">
        <w:rPr>
          <w:rFonts w:ascii="Arial" w:hAnsi="Arial" w:cs="Arial"/>
          <w:i/>
          <w:iCs/>
        </w:rPr>
        <w:t>p</w:t>
      </w:r>
      <w:r w:rsidRPr="00B50B63">
        <w:rPr>
          <w:rFonts w:ascii="Arial" w:hAnsi="Arial" w:cs="Arial"/>
        </w:rPr>
        <w:t xml:space="preserve"> = 0.035).</w:t>
      </w:r>
    </w:p>
    <w:p w14:paraId="693236CF" w14:textId="77777777" w:rsidR="00B50B63" w:rsidRPr="00B50B63" w:rsidRDefault="00B50B63" w:rsidP="00B50B63">
      <w:pPr>
        <w:jc w:val="both"/>
        <w:rPr>
          <w:rFonts w:ascii="Arial" w:hAnsi="Arial" w:cs="Arial"/>
        </w:rPr>
      </w:pPr>
    </w:p>
    <w:p w14:paraId="466D96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7</w:t>
      </w:r>
      <w:r w:rsidRPr="00B50B63">
        <w:rPr>
          <w:rFonts w:ascii="Arial" w:hAnsi="Arial" w:cs="Arial"/>
        </w:rPr>
        <w:t xml:space="preserve">: Effect of diet on body mass index and biochemical parameters in diabetic patients suffering from heart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5B0F3C79"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75312E7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7AD054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54CB18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0A439C0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EC5886A"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7F78E6F2" w14:textId="77777777" w:rsidTr="00FF2F5E">
        <w:trPr>
          <w:trHeight w:val="30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728FD25C"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1285FC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39365A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5428F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157689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90E62A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5C40D82F"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3EB270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5E832D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6978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416E10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66BA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5C06B9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7EFBEC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7EAEE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5ADC6F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tcBorders>
              <w:top w:val="single" w:sz="4" w:space="0" w:color="auto"/>
            </w:tcBorders>
            <w:vAlign w:val="center"/>
          </w:tcPr>
          <w:p w14:paraId="55BB1CA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064686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0.038</w:t>
            </w:r>
          </w:p>
        </w:tc>
        <w:tc>
          <w:tcPr>
            <w:tcW w:w="697" w:type="pct"/>
            <w:tcBorders>
              <w:top w:val="single" w:sz="4" w:space="0" w:color="auto"/>
            </w:tcBorders>
            <w:vAlign w:val="center"/>
          </w:tcPr>
          <w:p w14:paraId="5A9E50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top w:val="single" w:sz="4" w:space="0" w:color="auto"/>
            </w:tcBorders>
            <w:vAlign w:val="center"/>
          </w:tcPr>
          <w:p w14:paraId="067EF0A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4EE33F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F08DF1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21A62E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7F5F4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060535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62.50</w:t>
            </w:r>
          </w:p>
        </w:tc>
        <w:tc>
          <w:tcPr>
            <w:tcW w:w="544" w:type="pct"/>
            <w:vMerge/>
            <w:vAlign w:val="center"/>
          </w:tcPr>
          <w:p w14:paraId="10EA88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078A4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7F5B4C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6CA3B2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B0F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629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B42C0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33" w:type="pct"/>
            <w:vAlign w:val="center"/>
          </w:tcPr>
          <w:p w14:paraId="5AF21A4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44" w:type="pct"/>
            <w:vMerge/>
            <w:vAlign w:val="center"/>
          </w:tcPr>
          <w:p w14:paraId="14E5E48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27C58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075EB0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56B396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3714B0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92D0C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704628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33" w:type="pct"/>
            <w:vAlign w:val="center"/>
          </w:tcPr>
          <w:p w14:paraId="4E89BC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151E0C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CC3EB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433A49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E1A03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8DF03C" w14:textId="77777777" w:rsidTr="00FF2F5E">
        <w:trPr>
          <w:trHeight w:val="134"/>
        </w:trPr>
        <w:tc>
          <w:tcPr>
            <w:cnfStyle w:val="001000000000" w:firstRow="0" w:lastRow="0" w:firstColumn="1" w:lastColumn="0" w:oddVBand="0" w:evenVBand="0" w:oddHBand="0" w:evenHBand="0" w:firstRowFirstColumn="0" w:firstRowLastColumn="0" w:lastRowFirstColumn="0" w:lastRowLastColumn="0"/>
            <w:tcW w:w="1508" w:type="pct"/>
          </w:tcPr>
          <w:p w14:paraId="2FBD40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0A552C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821B4F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45CE64"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710BACB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67ECE9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restart"/>
            <w:vAlign w:val="center"/>
          </w:tcPr>
          <w:p w14:paraId="06D42B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148B6AE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38FD1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F591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58BE0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27A9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6CAE55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77119F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7A2C79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2FB1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BCC30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36870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332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C4BC4EC"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51CE41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12.50</w:t>
            </w:r>
          </w:p>
        </w:tc>
        <w:tc>
          <w:tcPr>
            <w:tcW w:w="533" w:type="pct"/>
            <w:vAlign w:val="center"/>
          </w:tcPr>
          <w:p w14:paraId="70A6C14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44" w:type="pct"/>
            <w:vMerge/>
            <w:vAlign w:val="center"/>
          </w:tcPr>
          <w:p w14:paraId="48516C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6AFDA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5368FB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D8DFD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9C1F51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616B64B"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305C05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554651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059FFC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5B1E3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747F99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5E34C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27BD5C9" w14:textId="77777777" w:rsidTr="00FF2F5E">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10E3EA11"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29753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81469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C55150"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73CD6D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2AE85F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2F9425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617D27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95254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6764D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2D22203F"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117DD5BE"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237D87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12.25</w:t>
            </w:r>
          </w:p>
        </w:tc>
        <w:tc>
          <w:tcPr>
            <w:tcW w:w="533" w:type="pct"/>
            <w:vAlign w:val="center"/>
          </w:tcPr>
          <w:p w14:paraId="21B304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6BB893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30A0D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53BAFA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472D3A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B053F4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13BD1ED"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3EF13E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47E641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44" w:type="pct"/>
            <w:vMerge/>
            <w:vAlign w:val="center"/>
          </w:tcPr>
          <w:p w14:paraId="675C6E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FF94F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7A6859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1031A14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9A9AA9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58F40F"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697D3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0562917"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7D0198D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150C5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52A8FFD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restart"/>
            <w:vAlign w:val="center"/>
          </w:tcPr>
          <w:p w14:paraId="386B2F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309FF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1AB99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1F30DB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6A4D0EE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7330F8"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022A7D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3312D9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16.16</w:t>
            </w:r>
          </w:p>
        </w:tc>
        <w:tc>
          <w:tcPr>
            <w:tcW w:w="544" w:type="pct"/>
            <w:vMerge/>
            <w:vAlign w:val="center"/>
          </w:tcPr>
          <w:p w14:paraId="753030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CE91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3A9381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5DD909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08DAF3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4139EA"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46578D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7EA38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8.83</w:t>
            </w:r>
          </w:p>
        </w:tc>
        <w:tc>
          <w:tcPr>
            <w:tcW w:w="544" w:type="pct"/>
            <w:vMerge/>
            <w:vAlign w:val="center"/>
          </w:tcPr>
          <w:p w14:paraId="5F87FD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F14B2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80435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347D93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745E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6888D8D"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1FAB44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7608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69A745"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742FC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FE62C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5C418A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vAlign w:val="center"/>
          </w:tcPr>
          <w:p w14:paraId="595869D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29" w:type="pct"/>
            <w:vAlign w:val="center"/>
          </w:tcPr>
          <w:p w14:paraId="2FE0FA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654" w:type="pct"/>
            <w:vMerge w:val="restart"/>
            <w:vAlign w:val="center"/>
          </w:tcPr>
          <w:p w14:paraId="65073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3D310C2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2F6BEA"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1E4BA9B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57BA32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1D42CA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524D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29" w:type="pct"/>
            <w:vAlign w:val="center"/>
          </w:tcPr>
          <w:p w14:paraId="3E817E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654" w:type="pct"/>
            <w:vMerge/>
            <w:vAlign w:val="center"/>
          </w:tcPr>
          <w:p w14:paraId="08E110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DCA2A8"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ACEB3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0DC7B6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41B613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11DE8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36205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127DE8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654" w:type="pct"/>
            <w:vMerge/>
            <w:vAlign w:val="center"/>
          </w:tcPr>
          <w:p w14:paraId="0353D9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0FF50E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558D20A"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B7E8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7D2920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DCFCC3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27DB38F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20246E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30A6CB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0.035</w:t>
            </w:r>
          </w:p>
        </w:tc>
        <w:tc>
          <w:tcPr>
            <w:tcW w:w="697" w:type="pct"/>
            <w:vAlign w:val="center"/>
          </w:tcPr>
          <w:p w14:paraId="09E22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4325FC1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2344F7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1DEBDADD"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543948A6"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34A4D8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3322E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5D058C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8E705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1C65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011857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F87D9F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80FE6"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0DC6D8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205BB6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7973556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8A06B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D5246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86ED9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9B7C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C2F55D"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374BAF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3AA4FC9"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010371F9"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7C381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EEB67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77DFBD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5D73863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F006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1A3A2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961BF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7C3A33D" w14:textId="77777777" w:rsidR="00B50B63" w:rsidRPr="00B50B63" w:rsidRDefault="00B50B63" w:rsidP="00B50B63">
            <w:pPr>
              <w:jc w:val="both"/>
              <w:rPr>
                <w:rFonts w:ascii="Arial" w:hAnsi="Arial" w:cs="Arial"/>
                <w:b w:val="0"/>
                <w:sz w:val="20"/>
              </w:rPr>
            </w:pPr>
            <w:r w:rsidRPr="00B50B63">
              <w:rPr>
                <w:rFonts w:ascii="Arial" w:hAnsi="Arial" w:cs="Arial"/>
                <w:b w:val="0"/>
                <w:sz w:val="20"/>
              </w:rPr>
              <w:lastRenderedPageBreak/>
              <w:t>[0.3 –0.5]</w:t>
            </w:r>
          </w:p>
        </w:tc>
        <w:tc>
          <w:tcPr>
            <w:tcW w:w="535" w:type="pct"/>
            <w:vAlign w:val="center"/>
          </w:tcPr>
          <w:p w14:paraId="275A5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FDA57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06524F7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EBECB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89BE1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F2C1656"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7FF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45F0FF30"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497AB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tcBorders>
              <w:bottom w:val="single" w:sz="4" w:space="0" w:color="auto"/>
            </w:tcBorders>
            <w:vAlign w:val="center"/>
          </w:tcPr>
          <w:p w14:paraId="02F2862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tcBorders>
              <w:bottom w:val="single" w:sz="4" w:space="0" w:color="auto"/>
            </w:tcBorders>
            <w:vAlign w:val="center"/>
          </w:tcPr>
          <w:p w14:paraId="2D11C3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1D77F3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bottom w:val="single" w:sz="4" w:space="0" w:color="auto"/>
            </w:tcBorders>
            <w:vAlign w:val="center"/>
          </w:tcPr>
          <w:p w14:paraId="1DBDBC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1300A03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94F42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n=16; Control group n=3</w:t>
      </w:r>
    </w:p>
    <w:p w14:paraId="30B05B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8A2911C"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71CA85AC" w14:textId="77777777" w:rsidR="00FF2F5E"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190DC470" w14:textId="77777777" w:rsidR="00FF2F5E" w:rsidRPr="00B50B63"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FA5DB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8:</w:t>
      </w:r>
      <w:r w:rsidRPr="00B50B63">
        <w:rPr>
          <w:rFonts w:ascii="Arial" w:hAnsi="Arial" w:cs="Arial"/>
        </w:rPr>
        <w:t xml:space="preserve"> Effect of diet on body mass index and biochemical parameters in diabetic patients suffering from stroke</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43BC93E1"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8E77E1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13DD0097"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06C583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77818BD3"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3FDE06E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1C416FD"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4" w:space="0" w:color="auto"/>
              <w:bottom w:val="single" w:sz="4" w:space="0" w:color="auto"/>
            </w:tcBorders>
          </w:tcPr>
          <w:p w14:paraId="3481FA27"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79667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A98AC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E294A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top w:val="single" w:sz="4" w:space="0" w:color="auto"/>
              <w:bottom w:val="single" w:sz="4" w:space="0" w:color="auto"/>
            </w:tcBorders>
            <w:vAlign w:val="center"/>
          </w:tcPr>
          <w:p w14:paraId="112B36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00A418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1AB2B217"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5466EF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0BFCF9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02FB89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06E8E8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025B4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31832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440D404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74818D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292271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tcBorders>
              <w:top w:val="single" w:sz="4" w:space="0" w:color="auto"/>
            </w:tcBorders>
            <w:vAlign w:val="center"/>
          </w:tcPr>
          <w:p w14:paraId="296A0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44" w:type="pct"/>
            <w:vMerge w:val="restart"/>
            <w:tcBorders>
              <w:top w:val="single" w:sz="4" w:space="0" w:color="auto"/>
            </w:tcBorders>
            <w:vAlign w:val="center"/>
          </w:tcPr>
          <w:p w14:paraId="64A04F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Borders>
              <w:top w:val="single" w:sz="4" w:space="0" w:color="auto"/>
            </w:tcBorders>
            <w:vAlign w:val="center"/>
          </w:tcPr>
          <w:p w14:paraId="751426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tcBorders>
              <w:top w:val="single" w:sz="4" w:space="0" w:color="auto"/>
            </w:tcBorders>
            <w:vAlign w:val="center"/>
          </w:tcPr>
          <w:p w14:paraId="211A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107A6F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47C6C4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B68CD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EB0AB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2AB231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ign w:val="center"/>
          </w:tcPr>
          <w:p w14:paraId="112B00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9C388E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1D673D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CC1D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C7932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451C4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FF0B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58.33</w:t>
            </w:r>
          </w:p>
        </w:tc>
        <w:tc>
          <w:tcPr>
            <w:tcW w:w="533" w:type="pct"/>
            <w:vAlign w:val="center"/>
          </w:tcPr>
          <w:p w14:paraId="204650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44" w:type="pct"/>
            <w:vMerge/>
            <w:vAlign w:val="center"/>
          </w:tcPr>
          <w:p w14:paraId="448EF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B4F09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622627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6CD64F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72AC28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764E4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4A10E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16.68</w:t>
            </w:r>
          </w:p>
        </w:tc>
        <w:tc>
          <w:tcPr>
            <w:tcW w:w="533" w:type="pct"/>
            <w:vAlign w:val="center"/>
          </w:tcPr>
          <w:p w14:paraId="11A2FD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34F1649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BACF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4AF78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7AB6F0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4C248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E76813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347638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70DA6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6CC5C3"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3EB9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0946B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58F30F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0.023</w:t>
            </w:r>
          </w:p>
        </w:tc>
        <w:tc>
          <w:tcPr>
            <w:tcW w:w="697" w:type="pct"/>
            <w:vAlign w:val="center"/>
          </w:tcPr>
          <w:p w14:paraId="7FB3254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16A95A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9F62E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749DE31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77A704"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114F19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33" w:type="pct"/>
            <w:vAlign w:val="center"/>
          </w:tcPr>
          <w:p w14:paraId="22867D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1C9194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EF1D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B43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64AA4E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C688E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81CDFC9"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36C20F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4DD35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58.34</w:t>
            </w:r>
          </w:p>
        </w:tc>
        <w:tc>
          <w:tcPr>
            <w:tcW w:w="544" w:type="pct"/>
            <w:vMerge/>
            <w:vAlign w:val="center"/>
          </w:tcPr>
          <w:p w14:paraId="3FBC44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4907B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5E32D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74BA3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FB866D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A7E5A76"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7C612D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37109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130BD1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77D2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26E974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6533CF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8E0B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04EC8E9"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97E54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64489D7" w14:textId="77777777" w:rsidTr="00FF2F5E">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0A5564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08FFDA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5A689A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44" w:type="pct"/>
            <w:vMerge w:val="restart"/>
            <w:vAlign w:val="center"/>
          </w:tcPr>
          <w:p w14:paraId="79EB63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5648AF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3D8F3D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3B42A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5193EC9F" w14:textId="77777777" w:rsidTr="00FF2F5E">
        <w:trPr>
          <w:trHeight w:val="179"/>
        </w:trPr>
        <w:tc>
          <w:tcPr>
            <w:cnfStyle w:val="001000000000" w:firstRow="0" w:lastRow="0" w:firstColumn="1" w:lastColumn="0" w:oddVBand="0" w:evenVBand="0" w:oddHBand="0" w:evenHBand="0" w:firstRowFirstColumn="0" w:firstRowLastColumn="0" w:lastRowFirstColumn="0" w:lastRowLastColumn="0"/>
            <w:tcW w:w="1508" w:type="pct"/>
          </w:tcPr>
          <w:p w14:paraId="0E68A1F9"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5F1A8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8ED8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44" w:type="pct"/>
            <w:vMerge/>
            <w:vAlign w:val="center"/>
          </w:tcPr>
          <w:p w14:paraId="6BDAFE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B745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A55E4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5C1FF8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9D478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E97F8E"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42CF44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248C5A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378267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0B6F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26B664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3E2D65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D1A7CC"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22CD210B"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2795C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6ED6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A1F3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A7D43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291666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1F122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641260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5C5BE0D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4BCE32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1ED7CCB2" w14:textId="77777777" w:rsidTr="00FF2F5E">
        <w:trPr>
          <w:trHeight w:val="152"/>
        </w:trPr>
        <w:tc>
          <w:tcPr>
            <w:cnfStyle w:val="001000000000" w:firstRow="0" w:lastRow="0" w:firstColumn="1" w:lastColumn="0" w:oddVBand="0" w:evenVBand="0" w:oddHBand="0" w:evenHBand="0" w:firstRowFirstColumn="0" w:firstRowLastColumn="0" w:lastRowFirstColumn="0" w:lastRowLastColumn="0"/>
            <w:tcW w:w="1508" w:type="pct"/>
          </w:tcPr>
          <w:p w14:paraId="7726E51A"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2A300E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10971E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10875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25955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2832D6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4166C6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8E260FC"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7D494DD"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115FD8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24F1190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505B2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95C3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08791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3BE41A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311DA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FAF7059"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875E7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416EC78"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0D4A8341"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7E9A1F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79B043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7A2B1C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62DF7A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w:t>
            </w:r>
          </w:p>
        </w:tc>
        <w:tc>
          <w:tcPr>
            <w:tcW w:w="529" w:type="pct"/>
            <w:vAlign w:val="center"/>
          </w:tcPr>
          <w:p w14:paraId="327DD6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w:t>
            </w:r>
          </w:p>
        </w:tc>
        <w:tc>
          <w:tcPr>
            <w:tcW w:w="654" w:type="pct"/>
            <w:vMerge w:val="restart"/>
            <w:vAlign w:val="center"/>
          </w:tcPr>
          <w:p w14:paraId="20A6A5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761757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E7A7E06"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6C41A2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2D038E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7C7B86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D818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529" w:type="pct"/>
            <w:vAlign w:val="center"/>
          </w:tcPr>
          <w:p w14:paraId="623126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654" w:type="pct"/>
            <w:vMerge/>
            <w:vAlign w:val="center"/>
          </w:tcPr>
          <w:p w14:paraId="1294EB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A641C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884090F"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7C5C7C8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03235A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7E4F32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F5ABE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753C15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w:t>
            </w:r>
          </w:p>
        </w:tc>
        <w:tc>
          <w:tcPr>
            <w:tcW w:w="654" w:type="pct"/>
            <w:vMerge/>
            <w:vAlign w:val="center"/>
          </w:tcPr>
          <w:p w14:paraId="032DA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6A82D1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DA525ED"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03ACC9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E3E567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D5A8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3BB814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FF8A1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44" w:type="pct"/>
            <w:vMerge w:val="restart"/>
            <w:vAlign w:val="center"/>
          </w:tcPr>
          <w:p w14:paraId="20580A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6C9600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51991C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restart"/>
            <w:vAlign w:val="center"/>
          </w:tcPr>
          <w:p w14:paraId="79E7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726332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8715E1"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615F10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33" w:type="pct"/>
            <w:vAlign w:val="center"/>
          </w:tcPr>
          <w:p w14:paraId="170E0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0FBD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67EEC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29" w:type="pct"/>
            <w:vAlign w:val="center"/>
          </w:tcPr>
          <w:p w14:paraId="2E490B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43461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324447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9E016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62A7D1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41.67</w:t>
            </w:r>
          </w:p>
        </w:tc>
        <w:tc>
          <w:tcPr>
            <w:tcW w:w="533" w:type="pct"/>
            <w:vAlign w:val="center"/>
          </w:tcPr>
          <w:p w14:paraId="5B0FF37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0DFB6F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1F70A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7D4FFB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00630E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1A980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16475AF"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16038F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179E0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B1DD18"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087BE4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140147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102579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w:t>
            </w:r>
          </w:p>
        </w:tc>
        <w:tc>
          <w:tcPr>
            <w:tcW w:w="697" w:type="pct"/>
            <w:vAlign w:val="center"/>
          </w:tcPr>
          <w:p w14:paraId="08A49CB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2E1CD5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654" w:type="pct"/>
            <w:vMerge w:val="restart"/>
            <w:vAlign w:val="center"/>
          </w:tcPr>
          <w:p w14:paraId="2325180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2F73E3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87EB"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F0C30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33" w:type="pct"/>
            <w:vAlign w:val="center"/>
          </w:tcPr>
          <w:p w14:paraId="41A8528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ign w:val="center"/>
          </w:tcPr>
          <w:p w14:paraId="7171D5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7291F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3F99C91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09C418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4C22F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21ABF77"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772FF8E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33" w:type="pct"/>
            <w:tcBorders>
              <w:bottom w:val="single" w:sz="4" w:space="0" w:color="auto"/>
            </w:tcBorders>
            <w:vAlign w:val="center"/>
          </w:tcPr>
          <w:p w14:paraId="066C39A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tcBorders>
              <w:bottom w:val="single" w:sz="4" w:space="0" w:color="auto"/>
            </w:tcBorders>
            <w:vAlign w:val="center"/>
          </w:tcPr>
          <w:p w14:paraId="00ED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20EE21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tcBorders>
              <w:bottom w:val="single" w:sz="4" w:space="0" w:color="auto"/>
            </w:tcBorders>
            <w:vAlign w:val="center"/>
          </w:tcPr>
          <w:p w14:paraId="6A8A753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tcBorders>
              <w:bottom w:val="single" w:sz="4" w:space="0" w:color="auto"/>
            </w:tcBorders>
            <w:vAlign w:val="center"/>
          </w:tcPr>
          <w:p w14:paraId="5CBEC30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0CE5D4D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n=12; Control group n=3</w:t>
      </w:r>
    </w:p>
    <w:p w14:paraId="682218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F05CC9C" w14:textId="77777777" w:rsidR="00B50B63" w:rsidRPr="00B50B63" w:rsidRDefault="00B50B63" w:rsidP="00B50B63">
      <w:pPr>
        <w:jc w:val="both"/>
        <w:rPr>
          <w:rFonts w:ascii="Arial" w:hAnsi="Arial" w:cs="Arial"/>
        </w:rPr>
      </w:pPr>
    </w:p>
    <w:p w14:paraId="1C87763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Discussion</w:t>
      </w:r>
    </w:p>
    <w:p w14:paraId="13CE9AB6" w14:textId="77777777" w:rsidR="00B50B63" w:rsidRPr="00B50B63" w:rsidRDefault="00B50B63" w:rsidP="00B50B63">
      <w:pPr>
        <w:jc w:val="both"/>
        <w:rPr>
          <w:rFonts w:ascii="Arial" w:hAnsi="Arial" w:cs="Arial"/>
          <w:b/>
        </w:rPr>
      </w:pPr>
    </w:p>
    <w:p w14:paraId="7811E838" w14:textId="125079C1" w:rsidR="00B50B63" w:rsidRPr="00B50B63" w:rsidRDefault="00B50B63" w:rsidP="00B50B63">
      <w:pPr>
        <w:jc w:val="both"/>
        <w:rPr>
          <w:rFonts w:ascii="Arial" w:hAnsi="Arial" w:cs="Arial"/>
        </w:rPr>
      </w:pPr>
      <w:r w:rsidRPr="00B50B63">
        <w:rPr>
          <w:rFonts w:ascii="Arial" w:hAnsi="Arial" w:cs="Arial"/>
        </w:rPr>
        <w:t xml:space="preserve">Implementing a dietary regimen is crucial for diabetes management, but some hospitals, such as NRGHNC, face challenges. The sociodemographic characteristics of the study population reveal notable trends. The gender distribution, with 44.16% men and 55.84% women, </w:t>
      </w:r>
      <w:r w:rsidRPr="00B50B63">
        <w:rPr>
          <w:rFonts w:ascii="Arial" w:hAnsi="Arial" w:cs="Arial"/>
        </w:rPr>
        <w:lastRenderedPageBreak/>
        <w:t xml:space="preserve">suggests a relatively good balance in terms of gender representation. This balance allows for a better understanding of the impact of diabetes on both genders. The age distribution shows that the majority of participants (55%) fall within the 40-60 age group, which is consistent with existing literature that suggests that the risk of developing </w:t>
      </w:r>
      <w:r w:rsidR="00601813" w:rsidRPr="00277351">
        <w:rPr>
          <w:rFonts w:ascii="Arial" w:hAnsi="Arial" w:cs="Arial"/>
          <w:color w:val="FF0000"/>
        </w:rPr>
        <w:t>T2D</w:t>
      </w:r>
      <w:r w:rsidRPr="00B50B63">
        <w:rPr>
          <w:rFonts w:ascii="Arial" w:hAnsi="Arial" w:cs="Arial"/>
        </w:rPr>
        <w:t xml:space="preserve"> increases with age, although the exact mechanisms underlying this relationship are not fully understood </w:t>
      </w:r>
      <w:r w:rsidRPr="00B50B63">
        <w:rPr>
          <w:rFonts w:ascii="Arial" w:hAnsi="Arial" w:cs="Arial"/>
        </w:rPr>
        <w:fldChar w:fldCharType="begin" w:fldLock="1"/>
      </w:r>
      <w:r w:rsidRPr="00B50B63">
        <w:rPr>
          <w:rFonts w:ascii="Arial" w:hAnsi="Arial" w:cs="Arial"/>
        </w:rPr>
        <w:instrText>ADDIN CSL_CITATION {"citationItems":[{"id":"ITEM-1","itemData":{"DOI":"10.2147/DMSO.S390857","ISSN":"11787007","abstract":"Objective: This study aimed to investigate the interaction between age groups and risk factors for diabetes and prediabetes in Shanghai communities and to identify the effect of age on other risk factors for diabetes and prediabetes. Methods: This study recruited 3540 participants with undiagnosed diabetes or prediabetes in 14 communities in Shanghai from February to August 2019. All participants underwent a comprehensive examination, including filling out a detailed questionnaire, physical examination, 75 g oral glucose tolerance test, and blood sample collection. In addition, logistic regression was used to analyze the interaction between age and risk factors for prediabetes and diabetes. Results: The statistical analysis included 2776 people. In this study, the prevalence of diabetes and prediabetes were 15.1% and 52.3%, respectively. The prevalence of diabetes and prediabetes is higher in the elderly than in the middle-aged group. Among the risk factors for diabetes, overweight was associated with higher age (P-interaction 0.028). In addition, among the risk factors for prediabetes, a high level of education was associated with higher age (P-interaction 0.039) and elevated serum cholesterol level was associated with lower age (P-interaction 0.019). Conclusion: This study confirmed an interaction between age and other influencing factors, which may be important in explaining differences in risk factors for diabetes and prediabetes in the middle-aged and elderly populations. Community health facilities can provide health guidance to people of different age groups to prevent and control prediabetes and diabetes.","author":[{"dropping-particle":"","family":"Yan","given":"Zihui","non-dropping-particle":"","parse-names":false,"suffix":""},{"dropping-particle":"","family":"Cai","given":"Mengjie","non-dropping-particle":"","parse-names":false,"suffix":""},{"dropping-particle":"","family":"Han","given":"Xu","non-dropping-particle":"","parse-names":false,"suffix":""},{"dropping-particle":"","family":"Chen","given":"Qingguang","non-dropping-particle":"","parse-names":false,"suffix":""},{"dropping-particle":"","family":"Lu","given":"Hao","non-dropping-particle":"","parse-names":false,"suffix":""}],"container-title":"Diabetes, Metabolic Syndrome and Obesity","id":"ITEM-1","issue":"December 2022","issued":{"date-parts":[["2023"]]},"page":"85-93","title":"The Interaction Between Age and Risk Factors for Diabetes and Prediabetes: A Community-Based Cross-Sectional Study","type":"article-journal","volume":"16"},"uris":["http://www.mendeley.com/documents/?uuid=9dc625ab-2a2a-46e8-baab-c80321add58f"]}],"mendeley":{"formattedCitation":"(Yan et al., 2023)","plainTextFormattedCitation":"(Yan et al., 2023)","previouslyFormattedCitation":"(Yan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(Yan et al., 2023)</w:t>
      </w:r>
      <w:r w:rsidRPr="00B50B63">
        <w:rPr>
          <w:rFonts w:ascii="Arial" w:hAnsi="Arial" w:cs="Arial"/>
        </w:rPr>
        <w:fldChar w:fldCharType="end"/>
      </w:r>
      <w:r w:rsidRPr="00B50B63">
        <w:rPr>
          <w:rFonts w:ascii="Arial" w:hAnsi="Arial" w:cs="Arial"/>
        </w:rPr>
        <w:t xml:space="preserve">. The proportion of participants over 60 years old (16.6%) also highlights the need for targeted interventions for older adults, who are more susceptible to diabetes-related complications </w:t>
      </w:r>
      <w:r w:rsidRPr="00B50B63">
        <w:rPr>
          <w:rFonts w:ascii="Arial" w:hAnsi="Arial" w:cs="Arial"/>
        </w:rPr>
        <w:fldChar w:fldCharType="begin" w:fldLock="1"/>
      </w:r>
      <w:r w:rsidRPr="00B50B63">
        <w:rPr>
          <w:rFonts w:ascii="Arial" w:hAnsi="Arial" w:cs="Arial"/>
        </w:rPr>
        <w:instrText>ADDIN CSL_CITATION {"citationItems":[{"id":"ITEM-1","itemData":{"DOI":"10.1159/000501745","ISSN":"14230003","PMID":"31505500","author":[{"dropping-particle":"","family":"Fazeli","given":"Pouneh K.","non-dropping-particle":"","parse-names":false,"suffix":""},{"dropping-particle":"","family":"Lee","given":"Hang","non-dropping-particle":"","parse-names":false,"suffix":""},{"dropping-particle":"","family":"Steinhauser","given":"Matthew L.","non-dropping-particle":"","parse-names":false,"suffix":""}],"container-title":"Gerontology","id":"ITEM-1","issue":"2","issued":{"date-parts":[["2019"]]},"page":"209-210","title":"Aging Is a Powerful Risk Factor for Type 2 Diabetes Mellitus Independent of Body Mass Index","type":"article-journal","volume":"66"},"uris":["http://www.mendeley.com/documents/?uuid=0f34c16a-3653-4d3a-bf45-b37b97f01c8d"]}],"mendeley":{"formattedCitation":"(Fazeli et al., 2019)","plainTextFormattedCitation":"(Fazeli et al., 2019)","previouslyFormattedCitation":"(Fazeli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(Fazeli et al., 2019)</w:t>
      </w:r>
      <w:r w:rsidRPr="00B50B63">
        <w:rPr>
          <w:rFonts w:ascii="Arial" w:hAnsi="Arial" w:cs="Arial"/>
        </w:rPr>
        <w:fldChar w:fldCharType="end"/>
      </w:r>
      <w:r w:rsidRPr="00B50B63">
        <w:rPr>
          <w:rFonts w:ascii="Arial" w:hAnsi="Arial" w:cs="Arial"/>
        </w:rPr>
        <w:t xml:space="preserve">. This highlights the need for further research into the underlying mechanisms of the age-related increase in </w:t>
      </w:r>
      <w:r w:rsidRPr="00277351">
        <w:rPr>
          <w:rFonts w:ascii="Arial" w:hAnsi="Arial" w:cs="Arial"/>
          <w:color w:val="FF0000"/>
        </w:rPr>
        <w:t>T2D</w:t>
      </w:r>
      <w:r w:rsidRPr="00B50B63">
        <w:rPr>
          <w:rFonts w:ascii="Arial" w:hAnsi="Arial" w:cs="Arial"/>
        </w:rPr>
        <w:t xml:space="preserve"> prevalence, which could lead to new treatment opportunities. The educational level of the participants is noteworthy, with 30% having no formal education. Similar findings were reported by Kambou (1995) in Benin, where a high proportion of diabetic patients had no formal education (45%) </w:t>
      </w:r>
      <w:r w:rsidRPr="00B50B63">
        <w:rPr>
          <w:rFonts w:ascii="Arial" w:hAnsi="Arial" w:cs="Arial"/>
        </w:rPr>
        <w:fldChar w:fldCharType="begin" w:fldLock="1"/>
      </w:r>
      <w:r w:rsidRPr="00B50B63">
        <w:rPr>
          <w:rFonts w:ascii="Arial" w:hAnsi="Arial" w:cs="Arial"/>
        </w:rPr>
        <w:instrText>ADDIN CSL_CITATION {"citationItems":[{"id":"ITEM-1","itemData":{"author":[{"dropping-particle":"","family":"Kambou Ludovic","given":"Jean","non-dropping-particle":"","parse-names":false,"suffix":""}],"id":"ITEM-1","issued":{"date-parts":[["1997"]]},"page":"1-150","title":"Contribution à l'étude de l'alimentation du diabétique dans le service de médecine interne du Centre Hospitalier National Yalgado-Ouédraogo","type":"article-journal","volume":"14"},"uris":["http://www.mendeley.com/documents/?uuid=da17129e-716e-493e-9bed-a850011d735d"]}],"mendeley":{"formattedCitation":"(Kambou Ludovic, 1997)","plainTextFormattedCitation":"(Kambou Ludovic, 1997)","previouslyFormattedCitation":"(Kambou Ludovic, 1997)"},"properties":{"noteIndex":0},"schema":"https://github.com/citation-style-language/schema/raw/master/csl-citation.json"}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(Kambou Ludovic, 1997)</w:t>
      </w:r>
      <w:r w:rsidRPr="00B50B63">
        <w:rPr>
          <w:rFonts w:ascii="Arial" w:hAnsi="Arial" w:cs="Arial"/>
        </w:rPr>
        <w:fldChar w:fldCharType="end"/>
      </w:r>
      <w:r w:rsidRPr="00B50B63">
        <w:rPr>
          <w:rFonts w:ascii="Arial" w:hAnsi="Arial" w:cs="Arial"/>
        </w:rPr>
        <w:t xml:space="preserve">. In line with Song et al.'s (2019) findings, the present results show that individuals with higher levels of education have a reduced risk of diabetes </w:t>
      </w:r>
      <w:r w:rsidRPr="00B50B63">
        <w:rPr>
          <w:rFonts w:ascii="Arial" w:hAnsi="Arial" w:cs="Arial"/>
        </w:rPr>
        <w:fldChar w:fldCharType="begin" w:fldLock="1"/>
      </w:r>
      <w:r w:rsidRPr="00B50B63">
        <w:rPr>
          <w:rFonts w:ascii="Arial" w:hAnsi="Arial" w:cs="Arial"/>
        </w:rPr>
        <w:instrText>ADDIN CSL_CITATION {"citationItems":[{"id":"ITEM-1","itemData":{"DOI":"10.1007/s13300-019-0655-x","ISSN":"18696961","abstract":"Introduction: The aims of this study were to investigate the prevalence of adult diabetes and prediabetes in Bengbu (eastern China) in 2017, and to identify measures that can be taken to reduce the prevalence of diabetes and prediabetes in this region. Methods: A stratified cluster random sampling method was used in the study. Two sampling sites were randomly selected from each of the four districts of Bengbu City, and all permanent residents (resident for ≥ 5 years) at all eight sampling sites aged 18 years or above were cluster sampled, which led to the sampling of 3388 adults. After screening, a total of 3144 respondents were enrolled in the study. The t test was utilized to compare the mean parameter values of the males and the females, and variance analysis was employed to compare the mean values of the nondiabetic, prediabetic, and diabetic groups. The chi-squared test was used to compare rates. Logistic regression was used for multivariate analysis, and the statistical significance level α was set to 0.05. Results: The mean ages of the male and female groups were 51.1 ± 15.7 and 49.4 ± 15.1 years, respectively (p &lt; 0.05). The diabetes prevalence in adults was 11.5% (8.4% after standardization), while the prevalence of prediabetes in adults was 32.0% (27.6% after standardization). The prevalence of diabetes and that of prediabetes gradually increased with age (both p &lt; 0.05). Older age, hypertension, overweight status, obesity, central obesity, current smoker status, low serum high-density lipoprotein level, and high serum low-density lipoprotein level were all significantly associated with a higher risk of diabetes (p &lt; 0.05). Conclusion: The prevalence of diabetes and that of prediabetes in adults in Bengbu City remain high. Intervention aimed at reducing the occurrence of diabetic complications and preventing prediabetes from further development is urgently required.","author":[{"dropping-particle":"","family":"Song","given":"Yuan","non-dropping-particle":"","parse-names":false,"suffix":""},{"dropping-particle":"","family":"Zhang","given":"Xiaomei","non-dropping-particle":"","parse-names":false,"suffix":""},{"dropping-particle":"","family":"Zhang","given":"Hengyan","non-dropping-particle":"","parse-names":false,"suffix":""},{"dropping-particle":"","family":"Yang","given":"Qingqing","non-dropping-particle":"","parse-names":false,"suffix":""},{"dropping-particle":"","family":"Zhang","given":"Shirong","non-dropping-particle":"","parse-names":false,"suffix":""},{"dropping-particle":"","family":"Zhang","given":"Yadi","non-dropping-particle":"","parse-names":false,"suffix":""},{"dropping-particle":"","family":"Chen","given":"Yufei","non-dropping-particle":"","parse-names":false,"suffix":""},{"dropping-particle":"","family":"Ji","given":"Yingchun","non-dropping-particle":"","parse-names":false,"suffix":""},{"dropping-particle":"","family":"Hu","given":"Xiaolei","non-dropping-particle":"","parse-names":false,"suffix":""}],"container-title":"Diabetes Therapy","id":"ITEM-1","issue":"4","issued":{"date-parts":[["2019"]]},"page":"1473-1485","publisher":"Springer Healthcare","title":"Prevalence of Diabetes and Prediabetes in Adults from a Third-Tier City in Eastern China: A Cross-Sectional Study","type":"article-journal","volume":"10"},"uris":["http://www.mendeley.com/documents/?uuid=171c5e1b-23cd-44a2-a538-3eca1fecf81d"]}],"mendeley":{"formattedCitation":"(Song et al., 2019)","plainTextFormattedCitation":"(Song et al., 2019)","previouslyFormattedCitation":"(Song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(Song et al., 2019)</w:t>
      </w:r>
      <w:r w:rsidRPr="00B50B63">
        <w:rPr>
          <w:rFonts w:ascii="Arial" w:hAnsi="Arial" w:cs="Arial"/>
        </w:rPr>
        <w:fldChar w:fldCharType="end"/>
      </w:r>
      <w:r w:rsidRPr="00B50B63">
        <w:rPr>
          <w:rFonts w:ascii="Arial" w:hAnsi="Arial" w:cs="Arial"/>
        </w:rPr>
        <w:t xml:space="preserve">. This may be attributed to the fact that individuals with higher education levels are more likely to effectively manage their blood glucose levels and have a greater understanding of the condition. The occupational distribution reveals that housewives constitute the largest proportion of the sample (27.5%). This finding may be related to the fact that women, particularly those in domestic roles, frequently eat multiple snacks when cooking. Carlson et al.'s (2019) results show that the relationship between occupation and </w:t>
      </w:r>
      <w:r w:rsidR="00601813" w:rsidRPr="00277351">
        <w:rPr>
          <w:rFonts w:ascii="Arial" w:hAnsi="Arial" w:cs="Arial"/>
          <w:color w:val="FF0000"/>
        </w:rPr>
        <w:t>T2D</w:t>
      </w:r>
      <w:r w:rsidRPr="00B50B63">
        <w:rPr>
          <w:rFonts w:ascii="Arial" w:hAnsi="Arial" w:cs="Arial"/>
        </w:rPr>
        <w:t xml:space="preserve"> was marked by significant differences in the prevalence of lifestyle risk factors. While civil engineers, architects, teachers, physiotherapists, authors, managers, and computer scientists had the lowest incidence and prevalence, manufacturing workers, drivers, and cleaners had the highest prevalence and incidence </w:t>
      </w:r>
      <w:r w:rsidRPr="00B50B63">
        <w:rPr>
          <w:rFonts w:ascii="Arial" w:hAnsi="Arial" w:cs="Arial"/>
        </w:rPr>
        <w:fldChar w:fldCharType="begin" w:fldLock="1"/>
      </w:r>
      <w:r w:rsidRPr="00B50B63">
        <w:rPr>
          <w:rFonts w:ascii="Arial" w:hAnsi="Arial" w:cs="Arial"/>
        </w:rPr>
        <w:instrText>ADDIN CSL_CITATION {"citationItems":[{"id":"ITEM-1","itemData":{"DOI":"10.1007/s00125-019-04997-5","ISSN":"14320428","PMID":"31570970","abstract":"Aims/hypothesis: The workplace is a potentially important arena for prevention of type 2 diabetes and the first step is to identify occupations where the disease is common and/or risk is high. Therefore, our aim was to analyse incidence and prevalence of type 2 diabetes across all occupational groups in Sweden. Methods: This nationwide study included all Swedish citizens born between 1937 and 1979 and gainfully employed between 2001 and 2013 (N = 4,550,892), and followed for a diagnosis of diabetes from 2006 to 2015 (n = 201,717) through national registers. Prevalence in 2013 (mean age 51 years; range 35–67) and age-standardised incidence (per 1000 person-years) were analysed across the 30 most common occupations among men and women. Information on BMI, physical fitness and smoking was obtained through the National Conscription (mean age 18) and Medical Birth Registers (mean age 29). Results: Prevalence of type 2 diabetes was 5.2% in men and 3.2% in women; in men it was highest among motor vehicle drivers (8.8%) and in women it was highest among manufacturing workers (6.4%). Incidence varied dramatically across occupational groups. In men, it was highest among manufacturing workers (9.41) and professional drivers (9.32) and lowest among university teachers (3.44). In women, incidence was highest in manufacturing workers (7.20) and cleaners (6.18) and lowest in physiotherapists (2.20). We found major differences in the prevalence of being overweight and smoking and in the level of physical fitness across these occupational groups even at young ages. Conclusions/interpretation: Professional drivers, manufacturing workers and cleaners have a threefold increased risk of type 2 diabetes compared with university teachers and physiotherapists. These differences most likely reflect dramatic differences in the prevalence of lifestyle risk factors. If workplace interventions could reduce weight and increase physical activity among employees in these occupations, major health gains may be made.","author":[{"dropping-particle":"","family":"Carlsson","given":"Sofia","non-dropping-particle":"","parse-names":false,"suffix":""},{"dropping-particle":"","family":"Andersson","given":"Tomas","non-dropping-particle":"","parse-names":false,"suffix":""},{"dropping-particle":"","family":"Talbäck","given":"Mats","non-dropping-particle":"","parse-names":false,"suffix":""},{"dropping-particle":"","family":"Feychting","given":"Maria","non-dropping-particle":"","parse-names":false,"suffix":""}],"container-title":"Diabetologia","id":"ITEM-1","issue":"1","issued":{"date-parts":[["2020"]]},"page":"95-103","publisher":"Diabetologia","title":"Incidence and prevalence of type 2 diabetes by occupation: results from all Swedish employees","type":"article-journal","volume":"63"},"uris":["http://www.mendeley.com/documents/?uuid=d95b1a81-3884-4b7f-a607-f9bdfae34df8"]}],"mendeley":{"formattedCitation":"(Carlsson et al., 2020)","plainTextFormattedCitation":"(Carlsson et al., 2020)","previouslyFormattedCitation":"(Carlsson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(Carlsson et al., 2020)</w:t>
      </w:r>
      <w:r w:rsidRPr="00B50B63">
        <w:rPr>
          <w:rFonts w:ascii="Arial" w:hAnsi="Arial" w:cs="Arial"/>
        </w:rPr>
        <w:fldChar w:fldCharType="end"/>
      </w:r>
      <w:r w:rsidRPr="00B50B63">
        <w:rPr>
          <w:rFonts w:ascii="Arial" w:hAnsi="Arial" w:cs="Arial"/>
        </w:rPr>
        <w:t>.</w:t>
      </w:r>
    </w:p>
    <w:p w14:paraId="62069DB5" w14:textId="345B8F1F" w:rsidR="00B50B63" w:rsidRPr="00B50B63" w:rsidRDefault="00B50B63" w:rsidP="00B50B63">
      <w:pPr>
        <w:jc w:val="both"/>
        <w:rPr>
          <w:rFonts w:ascii="Arial" w:hAnsi="Arial" w:cs="Arial"/>
        </w:rPr>
      </w:pPr>
      <w:r w:rsidRPr="00B50B63">
        <w:rPr>
          <w:rFonts w:ascii="Arial" w:hAnsi="Arial" w:cs="Arial"/>
        </w:rPr>
        <w:t xml:space="preserve">The results presented in Figures 1, 2, and 3 provide valuable insights into the dietary habits and awareness of patients in our study population. Firstly, Figure 1 highlights a concerning trend, where 60.6% of patients are unaware of the significance of diet on health, while only 39.4% are aware. This lack of awareness is consistent with preview study that have shown that one-third of individuals with diabetes, have limited knowledge about the importance of diet in managing their condition </w:t>
      </w:r>
      <w:r w:rsidRPr="00B50B63">
        <w:rPr>
          <w:rFonts w:ascii="Arial" w:hAnsi="Arial" w:cs="Arial"/>
        </w:rPr>
        <w:fldChar w:fldCharType="begin" w:fldLock="1"/>
      </w:r>
      <w:r w:rsidRPr="00B50B63">
        <w:rPr>
          <w:rFonts w:ascii="Arial" w:hAnsi="Arial" w:cs="Arial"/>
        </w:rPr>
        <w:instrText>ADDIN CSL_CITATION {"citationItems":[{"id":"ITEM-1","itemData":{"abstract":"Globally, type 2 diabetes mellitus (T2DM) is considered as one of the most common diseases. The etiology of T2DM is complex and is associated with irreversible risk factors such as age, genetic, race, and ethnicity and reversible factors such as diet, physical activity and smoking. The objectives of this review are to examine various studies to explore relationship of T2DM with different dietary habits/patterns and practices and its complications. Dietary habits and sedentary lifestyle are the major factors for rapidly rising incidence of DM among developing countries. In type 2 diabetics, recently, elevated HbA1c level has also been considered as one of the leading risk factors for developing microvascular and macrovascular complications. Improvement in the elevated HbA1c level can be achieved through diet management; thus, the patients could be prevented from developing the diabetes complications. Awareness about diabetes complications and consequent improvement in dietary knowledge, attitude, and practices lead to better control of the disease. The stakeholders (health-care providers, health facilities, agencies involved in diabetes care, etc.) should encourage patients to understand the importance of diet which may help in disease management, appropriate self-care and better quality of life.","author":[{"dropping-particle":"","family":"Waqas Sami","given":"Tahir Ansari","non-dropping-particle":"","parse-names":false,"suffix":""},{"dropping-particle":"","family":"Butt","given":"Nadeem Shafique","non-dropping-particle":"","parse-names":false,"suffix":""},{"dropping-particle":"","family":"Hamid","given":"Mohd Rashid Ab","non-dropping-particle":"","parse-names":false,"suffix":""}],"container-title":"International Journal of Health Sciences","id":"ITEM-1","issue":"2","issued":{"date-parts":[["2017"]]},"page":"65-71","title":"Effect of diet on type 2 diabetes mellitus: A review","type":"article-journal","volume":"11"},"uris":["http://www.mendeley.com/documents/?uuid=bc85cc8e-e243-4f79-8288-c0a29b1e184f"]}],"mendeley":{"formattedCitation":"(Waqas Sami et al., 2017)","plainTextFormattedCitation":"(Waqas Sami et al., 2017)","previouslyFormattedCitation":"(Waqas Sami et al.,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(Waqas Sami et al., 2017)</w:t>
      </w:r>
      <w:r w:rsidRPr="00B50B63">
        <w:rPr>
          <w:rFonts w:ascii="Arial" w:hAnsi="Arial" w:cs="Arial"/>
        </w:rPr>
        <w:fldChar w:fldCharType="end"/>
      </w:r>
      <w:r w:rsidRPr="00B50B63">
        <w:rPr>
          <w:rFonts w:ascii="Arial" w:hAnsi="Arial" w:cs="Arial"/>
        </w:rPr>
        <w:t xml:space="preserve">. For instance, a study by </w:t>
      </w:r>
      <w:proofErr w:type="spellStart"/>
      <w:r w:rsidRPr="00B50B63">
        <w:rPr>
          <w:rFonts w:ascii="Arial" w:hAnsi="Arial" w:cs="Arial"/>
        </w:rPr>
        <w:t>Kawalka</w:t>
      </w:r>
      <w:proofErr w:type="spellEnd"/>
      <w:r w:rsidRPr="00B50B63">
        <w:rPr>
          <w:rFonts w:ascii="Arial" w:hAnsi="Arial" w:cs="Arial"/>
        </w:rPr>
        <w:t xml:space="preserve"> et al., (2025) found that patients with diabetes often struggle to make informed dietary choices due to limited nutrition knowledge </w:t>
      </w:r>
      <w:r w:rsidRPr="00B50B63">
        <w:rPr>
          <w:rFonts w:ascii="Arial" w:hAnsi="Arial" w:cs="Arial"/>
        </w:rPr>
        <w:fldChar w:fldCharType="begin" w:fldLock="1"/>
      </w:r>
      <w:r w:rsidRPr="00B50B63">
        <w:rPr>
          <w:rFonts w:ascii="Arial" w:hAnsi="Arial" w:cs="Arial"/>
        </w:rPr>
        <w:instrText>ADDIN CSL_CITATION {"citationItems":[{"id":"ITEM-1","itemData":{"DOI":"10.3389/fnut.2025.1420662","author":[{"dropping-particle":"","family":"Kawalkar","given":"Umesh","non-dropping-particle":"","parse-names":false,"suffix":""},{"dropping-particle":"","family":"Mankar","given":"Amar","non-dropping-particle":"","parse-names":false,"suffix":""},{"dropping-particle":"","family":"Puri","given":"Mahesh","non-dropping-particle":"","parse-names":false,"suffix":""},{"dropping-particle":"","family":"Singh","given":"Anshu","non-dropping-particle":"","parse-names":false,"suffix":""},{"dropping-particle":"","family":"Telrandhe","given":"Shital","non-dropping-particle":"","parse-names":false,"suffix":""},{"dropping-particle":"","family":"Gaidhane","given":"Abhay","non-dropping-particle":"","parse-names":false,"suffix":""},{"dropping-particle":"","family":"Talapalliwar","given":"Manoj","non-dropping-particle":"","parse-names":false,"suffix":""},{"dropping-particle":"","family":"Fuladi","given":"Sayali","non-dropping-particle":"","parse-names":false,"suffix":""}],"container-title":"Frontiers in Nutrition","id":"ITEM-1","issue":"1420662","issued":{"date-parts":[["2025"]]},"page":"1-7","title":"Evaluating diabetes-related nutrition knowledge and dietary beliefs among type 2 diabetes patients in Vidarbha region , Maharashtra : a mixed method approach for insightful analysis","type":"article-journal","volume":"12"},"uris":["http://www.mendeley.com/documents/?uuid=6bedb739-0d6a-4ac5-9ff8-aef0ab8c3c88"]}],"mendeley":{"formattedCitation":"(Kawalkar et al., 2025)","plainTextFormattedCitation":"(Kawalkar et al., 2025)","previouslyFormattedCitation":"(Kawalkar et al., 2025)"},"properties":{"noteIndex":0},"schema":"https://github.com/citation-style-language/schema/raw/master/csl-citation.json"}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(Kawalkar et al., 2025)</w:t>
      </w:r>
      <w:r w:rsidRPr="00B50B63">
        <w:rPr>
          <w:rFonts w:ascii="Arial" w:hAnsi="Arial" w:cs="Arial"/>
        </w:rPr>
        <w:fldChar w:fldCharType="end"/>
      </w:r>
      <w:r w:rsidRPr="00B50B63">
        <w:rPr>
          <w:rFonts w:ascii="Arial" w:hAnsi="Arial" w:cs="Arial"/>
        </w:rPr>
        <w:t xml:space="preserve">. This result differs from that of </w:t>
      </w:r>
      <w:proofErr w:type="spellStart"/>
      <w:r w:rsidRPr="00B50B63">
        <w:rPr>
          <w:rFonts w:ascii="Arial" w:hAnsi="Arial" w:cs="Arial"/>
        </w:rPr>
        <w:t>Alkhudidi</w:t>
      </w:r>
      <w:proofErr w:type="spellEnd"/>
      <w:r w:rsidRPr="00B50B63">
        <w:rPr>
          <w:rFonts w:ascii="Arial" w:hAnsi="Arial" w:cs="Arial"/>
        </w:rPr>
        <w:t xml:space="preserve"> et al. (2021) in Saudi Arabia, which indicates that the majority of patients (90%) possess a good understanding of the significance of diet in the management of </w:t>
      </w:r>
      <w:r w:rsidR="00601813" w:rsidRPr="00277351">
        <w:rPr>
          <w:rFonts w:ascii="Arial" w:hAnsi="Arial" w:cs="Arial"/>
          <w:color w:val="FF0000"/>
        </w:rPr>
        <w:t>T2D</w:t>
      </w:r>
      <w:r w:rsidRPr="00B50B63">
        <w:rPr>
          <w:rFonts w:ascii="Arial" w:hAnsi="Arial" w:cs="Arial"/>
        </w:rPr>
        <w:t xml:space="preserve"> </w:t>
      </w:r>
      <w:r w:rsidRPr="00B50B63">
        <w:rPr>
          <w:rFonts w:ascii="Arial" w:hAnsi="Arial" w:cs="Arial"/>
        </w:rPr>
        <w:fldChar w:fldCharType="begin" w:fldLock="1"/>
      </w:r>
      <w:r w:rsidRPr="00B50B63">
        <w:rPr>
          <w:rFonts w:ascii="Arial" w:hAnsi="Arial" w:cs="Arial"/>
        </w:rPr>
        <w:instrText>ADDIN CSL_CITATION {"citationItems":[{"id":"ITEM-1","itemData":{"DOI":"10.5455/msm.2021.33.276-281","ISSN":"1986597X","abstract":"Background: Diabetes is becoming more prevalent in undeveloped countries, what is known about self-care practice is insignificant, like self-monitoring of blood glucose, balanced diet, Medication adherence, and exercise. For people newly diagnosed with type 2 diabetes, exercise is usually one of the first control measures recommended. These practices are considered as the basis of diabetes management. Objctive: The study goal is to assess the awareness of type 2 diabetic patients about the importance of exercise and diet on diabetes type 2. Methods: A cross-sectional observational survey study that was carried out in western Province, Saudi Arabia. A questionnaires were used to ask about the background information and patients’ demographics, self-monitoring of blood glucose, eating and drinking habits, exercise habits, and beliefs about the effectiveness of diet and exercise on blood glucose. Results: A total of 568 type 2 of diabetic patients. The average age of the participants was 51.89 ± 12.82 years, 53.5% were females, 89.8% were educated, 81.2% were married, and 30.1% were from Jeddah city. 30.3 % of patients did not practice healthy habits, and 43 % did not exercise, even though 90 % believed that exercise and diet had a positive impact on glucose level in the blood.Male patients showed considerably a higher percentage of those who continued to engage in unhealthy habits such as “smoking, eating fast food, eating sugars, or drinking soft drinks. Conclusion: A significant proportion of Saudi diabetic patients did not follow ahealthy diet and exercise on a regular basis. Health policymakers should conduct effective health education sessions for diabetic patients on the importance of a healthy diet and exercise in diabetes management.","author":[{"dropping-particle":"","family":"Alkhudidi","given":"Faisal Hamed","non-dropping-particle":"","parse-names":false,"suffix":""},{"dropping-particle":"","family":"Alsulaimani","given":"Abeer Ibrahim","non-dropping-particle":"","parse-names":false,"suffix":""},{"dropping-particle":"","family":"Alharthi","given":"Amjad Hassan","non-dropping-particle":"","parse-names":false,"suffix":""},{"dropping-particle":"","family":"Alrumaym","given":"Amani Hassan","non-dropping-particle":"","parse-names":false,"suffix":""},{"dropping-particle":"","family":"Alharthi","given":"Ethar Khalid","non-dropping-particle":"","parse-names":false,"suffix":""},{"dropping-particle":"","family":"Altalhi","given":"Wahaj Abdullah","non-dropping-particle":"","parse-names":false,"suffix":""},{"dropping-particle":"","family":"Alkhaldi","given":"Layla Mudeef","non-dropping-particle":"","parse-names":false,"suffix":""},{"dropping-particle":"","family":"Alhossini","given":"Zouhor Atallah","non-dropping-particle":"","parse-names":false,"suffix":""},{"dropping-particle":"","family":"Alzahrani","given":"Khames Torki","non-dropping-particle":"","parse-names":false,"suffix":""}],"container-title":"Materia Socio-Medica","id":"ITEM-1","issue":"4","issued":{"date-parts":[["2021"]]},"page":"276-281","title":"Awareness of Type 2 Diabetic Patients about the Importance of Exercise and Diet on Diabetes Type 2 in the Western Region of Saudi Arabia","type":"article-journal","volume":"33"},"uris":["http://www.mendeley.com/documents/?uuid=cefb1144-a2e2-4314-bcb1-f8bae7358515"]}],"mendeley":{"formattedCitation":"(Alkhudidi et al., 2021)","plainTextFormattedCitation":"(Alkhudidi et al., 2021)","previouslyFormattedCitation":"(Alkhudidi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proofErr w:type="spellStart"/>
      <w:r w:rsidRPr="00B50B63">
        <w:rPr>
          <w:rFonts w:ascii="Arial" w:hAnsi="Arial" w:cs="Arial"/>
        </w:rPr>
        <w:t>Alkhudidi</w:t>
      </w:r>
      <w:proofErr w:type="spellEnd"/>
      <w:r w:rsidRPr="00B50B63">
        <w:rPr>
          <w:rFonts w:ascii="Arial" w:hAnsi="Arial" w:cs="Arial"/>
        </w:rPr>
        <w:t xml:space="preserve"> et al., 2021)</w:t>
      </w:r>
      <w:r w:rsidRPr="00B50B63">
        <w:rPr>
          <w:rFonts w:ascii="Arial" w:hAnsi="Arial" w:cs="Arial"/>
        </w:rPr>
        <w:fldChar w:fldCharType="end"/>
      </w:r>
      <w:r w:rsidRPr="00B50B63">
        <w:rPr>
          <w:rFonts w:ascii="Arial" w:hAnsi="Arial" w:cs="Arial"/>
        </w:rPr>
        <w:t xml:space="preserve">. This difference can be ascribed to the lower level of education among our study population in comparison to the group studied by </w:t>
      </w:r>
      <w:proofErr w:type="spellStart"/>
      <w:r w:rsidRPr="00B50B63">
        <w:rPr>
          <w:rFonts w:ascii="Arial" w:hAnsi="Arial" w:cs="Arial"/>
        </w:rPr>
        <w:t>Alkhudidi</w:t>
      </w:r>
      <w:proofErr w:type="spellEnd"/>
      <w:r w:rsidRPr="00B50B63">
        <w:rPr>
          <w:rFonts w:ascii="Arial" w:hAnsi="Arial" w:cs="Arial"/>
        </w:rPr>
        <w:t xml:space="preserve"> et al. (2021), where the majority (89.8%) were educated. </w:t>
      </w:r>
    </w:p>
    <w:p w14:paraId="32DD2237" w14:textId="6C048069" w:rsidR="00B50B63" w:rsidRPr="00B50B63" w:rsidRDefault="00B50B63" w:rsidP="00B50B63">
      <w:pPr>
        <w:jc w:val="both"/>
        <w:rPr>
          <w:rFonts w:ascii="Arial" w:hAnsi="Arial" w:cs="Arial"/>
        </w:rPr>
      </w:pPr>
      <w:r w:rsidRPr="00B50B63">
        <w:rPr>
          <w:rFonts w:ascii="Arial" w:hAnsi="Arial" w:cs="Arial"/>
        </w:rPr>
        <w:t xml:space="preserve">The dietary diversity score, as presented in Figure 2, reveals that a significant proportion of the population (55%) has a low dietary diversity score, indicating a lack of variety in their diet. This is concerning, as a diverse diet is essential for maintaining optimal health and preventing chronic diseases </w:t>
      </w:r>
      <w:r w:rsidRPr="00B50B63">
        <w:rPr>
          <w:rFonts w:ascii="Arial" w:hAnsi="Arial" w:cs="Arial"/>
        </w:rPr>
        <w:fldChar w:fldCharType="begin" w:fldLock="1"/>
      </w:r>
      <w:r w:rsidRPr="00B50B63">
        <w:rPr>
          <w:rFonts w:ascii="Arial" w:hAnsi="Arial" w:cs="Arial"/>
        </w:rPr>
        <w:instrText>ADDIN CSL_CITATION {"citationItems":[{"id":"ITEM-1","itemData":{"DOI":"10.1016/S0140-6736(14)60613-9","ISSN":"1474547X","PMID":"24910231","abstract":"In the past couple of decades, evidence from prospective observational studies and clinical trials has converged to support the importance of individual nutrients, foods, and dietary patterns in the prevention and management of type 2 diabetes. The quality of dietary fats and carbohydrates consumed is more crucial than is the quantity of these macronutrients. Diets rich in wholegrains, fruits, vegetables, legumes, and nuts; moderate in alcohol consumption; and lower in refined grains, red or processed meats, and sugar-sweetened beverages have been shown to reduce the risk of diabetes and improve glycaemic control and blood lipids in patients with diabetes. With an emphasis on overall diet quality, several dietary patterns such as Mediterranean, low glycaemic index, moderately low carbohydrate, and vegetarian diets can be tailored to personal and cultural food preferences and appropriate calorie needs for weight control and diabetes prevention and management. Although much progress has been made in development and implementation of evidence-based nutrition recommendations in developed countries, concerted worldwide efforts and policies are warranted to alleviate regional disparities.","author":[{"dropping-particle":"","family":"Ley","given":"Sylvia H.","non-dropping-particle":"","parse-names":false,"suffix":""},{"dropping-particle":"","family":"Hamdy","given":"Osama","non-dropping-particle":"","parse-names":false,"suffix":""},{"dropping-particle":"","family":"Mohan","given":"Viswanathan","non-dropping-particle":"","parse-names":false,"suffix":""},{"dropping-particle":"","family":"Hu","given":"Frank B.","non-dropping-particle":"","parse-names":false,"suffix":""}],"container-title":"The Lancet","id":"ITEM-1","issue":"9933","issued":{"date-parts":[["2014"]]},"page":"1999-2007","title":"Prevention and management of type 2 diabetes: Dietary components and nutritional strategies","type":"article","volume":"383"},"uris":["http://www.mendeley.com/documents/?uuid=164c0c9c-09c5-4050-9975-d137093048b2"]}],"mendeley":{"formattedCitation":"(Ley et al., 2014)","plainTextFormattedCitation":"(Ley et al., 2014)","previouslyFormattedCitation":"(Ley et al.,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(Ley et al., 2014)</w:t>
      </w:r>
      <w:r w:rsidRPr="00B50B63">
        <w:rPr>
          <w:rFonts w:ascii="Arial" w:hAnsi="Arial" w:cs="Arial"/>
        </w:rPr>
        <w:fldChar w:fldCharType="end"/>
      </w:r>
      <w:r w:rsidRPr="00B50B63">
        <w:rPr>
          <w:rFonts w:ascii="Arial" w:hAnsi="Arial" w:cs="Arial"/>
        </w:rPr>
        <w:t xml:space="preserve">. According to Ley et </w:t>
      </w:r>
      <w:r w:rsidRPr="00277351">
        <w:rPr>
          <w:rFonts w:ascii="Arial" w:hAnsi="Arial" w:cs="Arial"/>
          <w:color w:val="FF0000"/>
        </w:rPr>
        <w:t xml:space="preserve">al. </w:t>
      </w:r>
      <w:r w:rsidRPr="00B50B63">
        <w:rPr>
          <w:rFonts w:ascii="Arial" w:hAnsi="Arial" w:cs="Arial"/>
        </w:rPr>
        <w:t xml:space="preserve">(2020), a diet rich in fruits, vegetables, whole grains, and lean protein can help reduce the risk of chronic diseases, including diabetes and cardiovascular disease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The fact that only 15% of the population have a high daily dietary diversity score suggests that many patients may be at risk of nutrient deficiencies and chronic diseases. Differences in dietary diversity scores within the study population may be attributed to variations in economic level and nutrition knowledge, which is likely linked to education level. </w:t>
      </w:r>
    </w:p>
    <w:p w14:paraId="68765C50" w14:textId="03BF3BC0" w:rsidR="00B50B63" w:rsidRPr="00B50B63" w:rsidRDefault="00B50B63" w:rsidP="00B50B63">
      <w:pPr>
        <w:jc w:val="both"/>
        <w:rPr>
          <w:rFonts w:ascii="Arial" w:hAnsi="Arial" w:cs="Arial"/>
        </w:rPr>
      </w:pPr>
      <w:r w:rsidRPr="00B50B63">
        <w:rPr>
          <w:rFonts w:ascii="Arial" w:hAnsi="Arial" w:cs="Arial"/>
        </w:rPr>
        <w:t xml:space="preserve">Food frequencies referring to the number of meals consumed in a day help calculate the caloric intake necessary to regulate energy levels and prevent hypoglycemia. The frequency of meal consumption is crucial for diabetic patients, as the effectiveness of their medication is contingent upon it. In elderly individuals with </w:t>
      </w:r>
      <w:r w:rsidR="00601813" w:rsidRPr="00277351">
        <w:rPr>
          <w:rFonts w:ascii="Arial" w:hAnsi="Arial" w:cs="Arial"/>
          <w:color w:val="FF0000"/>
        </w:rPr>
        <w:t>T2D</w:t>
      </w:r>
      <w:r w:rsidRPr="00B50B63">
        <w:rPr>
          <w:rFonts w:ascii="Arial" w:hAnsi="Arial" w:cs="Arial"/>
        </w:rPr>
        <w:t xml:space="preserve">, a greater frequency of meals promptly reduces spikes in glucose levels and decreases insulin and free fatty acid (FFA) levels throughout the day </w:t>
      </w:r>
      <w:r w:rsidRPr="00B50B63">
        <w:rPr>
          <w:rFonts w:ascii="Arial" w:hAnsi="Arial" w:cs="Arial"/>
        </w:rPr>
        <w:fldChar w:fldCharType="begin" w:fldLock="1"/>
      </w:r>
      <w:r w:rsidRPr="00B50B63">
        <w:rPr>
          <w:rFonts w:ascii="Arial" w:hAnsi="Arial" w:cs="Arial"/>
        </w:rPr>
        <w:instrText>ADDIN CSL_CITATION {"citationItems":[{"id":"ITEM-1","itemData":{"DOI":"10.2337/diacare.16.1.4","ISSN":"01495992","PMID":"8422824","abstract":"OBJECTIVE - We studied the effects of meal frequency on blood glucose, serum insulin, and FFAs in 12 NIDDM subjects. RESEARCH DESIGN AND METHODS - Subjects were assigned in random order to two 8-hr observation periods after an overnight fast. They received isocaloric diets with similar composition either as six small or as two large meals. At the end of each study period, an IVGTT was given. RESULTS - Two large meals induced an 84% greater maximum amplitude of glucose excursions than six small meals (6.1 ± 0.5 vs. 3.3 ± 0.5 mM, P &lt; 0.005) and higher insulin responses (P &lt; 0.03). The Kg response to an IVGTT did not differ in the two situations. The average FFA level was lowest in response to frequent meals (P &lt; 0.02). CONCLUSIONS - A higher meal frequency acutely subdues glucose excursions and reduces insulin and FFA levels during the daytime in older NIDDM subjects.","author":[{"dropping-particle":"","family":"Bertelsen","given":"Jette","non-dropping-particle":"","parse-names":false,"suffix":""},{"dropping-particle":"","family":"Christiansen","given":"Christian","non-dropping-particle":"","parse-names":false,"suffix":""},{"dropping-particle":"","family":"Thomsen","given":"Claus","non-dropping-particle":"","parse-names":false,"suffix":""},{"dropping-particle":"","family":"Poulsen","given":"Per L.","non-dropping-particle":"","parse-names":false,"suffix":""},{"dropping-particle":"","family":"Vestergaard","given":"Svend","non-dropping-particle":"","parse-names":false,"suffix":""},{"dropping-particle":"","family":"Steinov","given":"Alice","non-dropping-particle":"","parse-names":false,"suffix":""},{"dropping-particle":"","family":"Rasmussen","given":"Lars H.","non-dropping-particle":"","parse-names":false,"suffix":""},{"dropping-particle":"","family":"Rasmussen","given":"Ole","non-dropping-particle":"","parse-names":false,"suffix":""},{"dropping-particle":"","family":"Hermansen","given":"Kjeld","non-dropping-particle":"","parse-names":false,"suffix":""}],"container-title":"Diabetes Care","id":"ITEM-1","issue":"1","issued":{"date-parts":[["1993"]]},"page":"4-7","title":"Effect of meal frequency on blood glucose, insulin, and free fatty acids in NIDDM subjects","type":"article-journal","volume":"16"},"uris":["http://www.mendeley.com/documents/?uuid=b8c85f10-86c5-4149-a012-a393676bc2d5"]}],"mendeley":{"formattedCitation":"(Bertelsen et al., 1993)","plainTextFormattedCitation":"(Bertelsen et al., 1993)","previouslyFormattedCitation":"(Bertelsen et al., 1993)"},"properties":{"noteIndex":0},"schema":"https://github.com/citation-style-language/schema/raw/master/csl-citation.json"}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(Bertelsen et al., 1993)</w:t>
      </w:r>
      <w:r w:rsidRPr="00B50B63">
        <w:rPr>
          <w:rFonts w:ascii="Arial" w:hAnsi="Arial" w:cs="Arial"/>
        </w:rPr>
        <w:fldChar w:fldCharType="end"/>
      </w:r>
      <w:r w:rsidRPr="00B50B63">
        <w:rPr>
          <w:rFonts w:ascii="Arial" w:hAnsi="Arial" w:cs="Arial"/>
        </w:rPr>
        <w:t xml:space="preserve">. Figure 3 shows that the majority of patients </w:t>
      </w:r>
      <w:r w:rsidRPr="00B50B63">
        <w:rPr>
          <w:rFonts w:ascii="Arial" w:hAnsi="Arial" w:cs="Arial"/>
        </w:rPr>
        <w:lastRenderedPageBreak/>
        <w:t xml:space="preserve">(83.9%) consume four meals daily. This finding is consistent with previous studies that have shown that eating frequency can have a significant impact on glucose regulation and weight management </w:t>
      </w:r>
      <w:r w:rsidRPr="00B50B63">
        <w:rPr>
          <w:rFonts w:ascii="Arial" w:hAnsi="Arial" w:cs="Arial"/>
        </w:rPr>
        <w:fldChar w:fldCharType="begin" w:fldLock="1"/>
      </w:r>
      <w:r w:rsidRPr="00B50B63">
        <w:rPr>
          <w:rFonts w:ascii="Arial" w:hAnsi="Arial" w:cs="Arial"/>
        </w:rPr>
        <w:instrText>ADDIN CSL_CITATION {"citationItems":[{"id":"ITEM-1","itemData":{"DOI":"10.3390/nu14091719","ISSN":"20726643","PMID":"35565686","abstract":"Individuals with metabolic syndrome have increased risk for developing health conditions, including cardiovascular diseases and stroke. Modifiable risk factors, such as exercise and diet, are key components in the prevention and control of metabolic syndrome. Specifically, dietary patterns and habits are extremely successful in controlling more than one of the metabolic syndrome risk factors. Meal timing and frequency have been associated with type 2 diabetes, cardiovascular diseases, and other chronic conditions. However, there is limited evidence linking metabolic syndrome to meal timing and meal frequency. This review summarizes and discusses how meal timing and frequency impact metabolic outcomes in adults.","author":[{"dropping-particle":"","family":"Alkhulaifi","given":"Fatema","non-dropping-particle":"","parse-names":false,"suffix":""},{"dropping-particle":"","family":"Darkoh","given":"Charles","non-dropping-particle":"","parse-names":false,"suffix":""}],"container-title":"Nutrients","id":"ITEM-1","issue":"9","issued":{"date-parts":[["2022"]]},"page":"1-10","title":"Meal Timing, Meal Frequency and Metabolic Syndrome","type":"article-journal","volume":"14"},"uris":["http://www.mendeley.com/documents/?uuid=2da7f71f-1e79-4265-815a-fcb4c923bb37"]}],"mendeley":{"formattedCitation":"(Alkhulaifi &amp; Darkoh, 2022)","plainTextFormattedCitation":"(Alkhulaifi &amp; Darkoh, 2022)","previouslyFormattedCitation":"(Alkhulaifi &amp; Darkoh,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(Alkhulaifi &amp; Darkoh, 2022)</w:t>
      </w:r>
      <w:r w:rsidRPr="00B50B63">
        <w:rPr>
          <w:rFonts w:ascii="Arial" w:hAnsi="Arial" w:cs="Arial"/>
        </w:rPr>
        <w:fldChar w:fldCharType="end"/>
      </w:r>
      <w:r w:rsidRPr="00B50B63">
        <w:rPr>
          <w:rFonts w:ascii="Arial" w:hAnsi="Arial" w:cs="Arial"/>
        </w:rPr>
        <w:t>. However, data on whether patients are consuming meals at regular intervals or snacking frequently throughout the day are not available.</w:t>
      </w:r>
    </w:p>
    <w:p w14:paraId="1FC05C14" w14:textId="77777777" w:rsidR="00B50B63" w:rsidRPr="00B50B63" w:rsidRDefault="00B50B63" w:rsidP="00B50B63">
      <w:pPr>
        <w:jc w:val="both"/>
        <w:rPr>
          <w:rFonts w:ascii="Arial" w:hAnsi="Arial" w:cs="Arial"/>
        </w:rPr>
      </w:pPr>
      <w:r w:rsidRPr="00B50B63">
        <w:rPr>
          <w:rFonts w:ascii="Arial" w:hAnsi="Arial" w:cs="Arial"/>
        </w:rPr>
        <w:t xml:space="preserve">The findings in Table 2 and Figures 4 and 5 shed important light on the traits of the diabetic patients in our research sample. The finding that 65% of diabetic patients had symptoms for more than 5 years suggests that many patients may have had undiagnosed or poorly managed diabetes for an extended period. This is consistent with previous studies that have shown that delayed diagnosis and inadequate management of diabetes can lead to increased risk of complications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Early detection and treatment of diabetes are critical to preventing long-term complications and improving patient outcomes </w:t>
      </w:r>
      <w:r w:rsidRPr="00B50B63">
        <w:rPr>
          <w:rFonts w:ascii="Arial" w:hAnsi="Arial" w:cs="Arial"/>
        </w:rPr>
        <w:fldChar w:fldCharType="begin" w:fldLock="1"/>
      </w:r>
      <w:r w:rsidRPr="00B50B63">
        <w:rPr>
          <w:rFonts w:ascii="Arial" w:hAnsi="Arial" w:cs="Arial"/>
        </w:rPr>
        <w:instrText>ADDIN CSL_CITATION {"citationItems":[{"id":"ITEM-1","itemData":{"URL":"https://www.who.int/news-room/fact-sheets/detail/diabetes","accessed":{"date-parts":[["2025","5","2"]]},"author":[{"dropping-particle":"","family":"WHO","given":"","non-dropping-particle":"","parse-names":false,"suffix":""}],"id":"ITEM-1","issued":{"date-parts":[["2024"]]},"title":"Diabetes","type":"webpage"},"uris":["http://www.mendeley.com/documents/?uuid=e876c14d-cdb5-3dab-bd6e-cd723f8f8af2"]}],"mendeley":{"formattedCitation":"(WHO, 2024a)","plainTextFormattedCitation":"(WHO, 2024a)","previouslyFormattedCitation":"(WHO, 2024a)"},"properties":{"noteIndex":0},"schema":"https://github.com/citation-style-language/schema/raw/master/csl-citation.json"}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2024a)</w:t>
      </w:r>
      <w:r w:rsidRPr="00B50B63">
        <w:rPr>
          <w:rFonts w:ascii="Arial" w:hAnsi="Arial" w:cs="Arial"/>
        </w:rPr>
        <w:fldChar w:fldCharType="end"/>
      </w:r>
      <w:r w:rsidRPr="00B50B63">
        <w:rPr>
          <w:rFonts w:ascii="Arial" w:hAnsi="Arial" w:cs="Arial"/>
        </w:rPr>
        <w:t xml:space="preserve">. </w:t>
      </w:r>
    </w:p>
    <w:p w14:paraId="31993E23" w14:textId="77777777" w:rsidR="00B50B63" w:rsidRPr="00B50B63" w:rsidRDefault="00B50B63" w:rsidP="00B50B63">
      <w:pPr>
        <w:jc w:val="both"/>
        <w:rPr>
          <w:rFonts w:ascii="Arial" w:hAnsi="Arial" w:cs="Arial"/>
        </w:rPr>
      </w:pPr>
      <w:r w:rsidRPr="00B50B63">
        <w:rPr>
          <w:rFonts w:ascii="Arial" w:hAnsi="Arial" w:cs="Arial"/>
        </w:rPr>
        <w:t xml:space="preserve">The high prevalence of family history of diabetes (88.3%) in the study population is consistent with previous studies that have shown that the more a person is exposed to risk factors of genetic origin, the higher the likelihood of developing diabetes early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(Piko et al., 2021)</w:t>
      </w:r>
      <w:r w:rsidRPr="00B50B63">
        <w:rPr>
          <w:rFonts w:ascii="Arial" w:hAnsi="Arial" w:cs="Arial"/>
        </w:rPr>
        <w:fldChar w:fldCharType="end"/>
      </w:r>
      <w:r w:rsidRPr="00B50B63">
        <w:rPr>
          <w:rFonts w:ascii="Arial" w:hAnsi="Arial" w:cs="Arial"/>
        </w:rPr>
        <w:t xml:space="preserve">. This assumption tends to be confirmed in this study, with 88.3% of the study population having a family history. The results also highlight the significant burden of comorbidities among diabetic patients. Obesity and hypertension were found to be prevalent comorbidities in both the case and control groups. This can be attributed to the imbalance between caloric intake and expenditure on the one hand, and the lack of regular physical activity on the other hand. Moreover, obesity predisposes individuals to certain comorbidities, such as dyslipidemia and hypercholesterolemia, which are risk factors for diabetes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t>.</w:t>
      </w:r>
    </w:p>
    <w:p w14:paraId="5EF19A82" w14:textId="77777777" w:rsidR="00B50B63" w:rsidRPr="00B50B63" w:rsidRDefault="00B50B63" w:rsidP="00B50B63">
      <w:pPr>
        <w:jc w:val="both"/>
        <w:rPr>
          <w:rFonts w:ascii="Arial" w:hAnsi="Arial" w:cs="Arial"/>
        </w:rPr>
      </w:pPr>
      <w:r w:rsidRPr="00B50B63">
        <w:rPr>
          <w:rFonts w:ascii="Arial" w:hAnsi="Arial" w:cs="Arial"/>
        </w:rPr>
        <w:t xml:space="preserve">The high prevalence of hypertension (17.70%) among diabetic patients can be attributed to the fact that diabetes can lead to high blood pressure. Specifically, excess glucose converted into fat is a cardiovascular risk factor that contributes to hypertension. Furthermore, diabetes is a major risk factor for various complications, including blindness, kidney failure, heart attacks, strokes, and lower limb amputation </w:t>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(Jia &amp; Sowers, 2021)</w:t>
      </w:r>
      <w:r w:rsidRPr="00B50B63">
        <w:rPr>
          <w:rFonts w:ascii="Arial" w:hAnsi="Arial" w:cs="Arial"/>
        </w:rPr>
        <w:fldChar w:fldCharType="end"/>
      </w:r>
      <w:r w:rsidRPr="00B50B63">
        <w:rPr>
          <w:rFonts w:ascii="Arial" w:hAnsi="Arial" w:cs="Arial"/>
        </w:rPr>
        <w:t>.</w:t>
      </w:r>
    </w:p>
    <w:p w14:paraId="75C1463D" w14:textId="77777777" w:rsidR="00B50B63" w:rsidRPr="00B50B63" w:rsidRDefault="00B50B63" w:rsidP="00B50B63">
      <w:pPr>
        <w:jc w:val="both"/>
        <w:rPr>
          <w:rFonts w:ascii="Arial" w:hAnsi="Arial" w:cs="Arial"/>
          <w:color w:val="EE0000"/>
        </w:rPr>
      </w:pPr>
      <w:r w:rsidRPr="00B50B63">
        <w:rPr>
          <w:rFonts w:ascii="Arial" w:hAnsi="Arial" w:cs="Arial"/>
        </w:rPr>
        <w:t>The results presented in Tables 3-8 demonstrate the effectiveness of a comprehensive dietary intervention in improving health outcomes for individuals with diabetes and associated complications. The proposed diet in table 3 who are supposed to manage diabetes suffering from obesity focused on low-calorie intake, low glycemic index foods, high dietary fiber, and regular physical activity, led to significant reductions in BMI, blood sugar levels, glycated hemoglobin, cholesterol, LDL, and triglycerides, as well as an increase in HDL.</w:t>
      </w:r>
    </w:p>
    <w:p w14:paraId="12B08A46" w14:textId="77777777" w:rsidR="00B50B63" w:rsidRPr="00B50B63" w:rsidRDefault="00B50B63" w:rsidP="00B50B63">
      <w:pPr>
        <w:jc w:val="both"/>
        <w:rPr>
          <w:rFonts w:ascii="Arial" w:hAnsi="Arial" w:cs="Arial"/>
        </w:rPr>
      </w:pPr>
      <w:r w:rsidRPr="00B50B63">
        <w:rPr>
          <w:rFonts w:ascii="Arial" w:hAnsi="Arial" w:cs="Arial"/>
        </w:rPr>
        <w:t xml:space="preserve">The proposed diet outlined in Table 3, designed to manage diabetes in individuals with obesity, emphasized low-calorie intake, low glycemic index foods, high dietary fiber, and regular physical activity, resulting in significant reductions in BMI, blood sugar levels, glycated hemoglobin, cholesterol, LDL, and triglycerides, as well as an increase in HDL. The decrease in BMI, blood sugar levels, glycated hemoglobin, cholesterol and triglycerides may be attributed to the consumption of a balanced diet and soluble dietary fiber, which reduces glucose absorption and results in delayed carbohydrate digestion. Additionally, the practice of regular physical activity contributes to an increase in basal metabolism, thereby accelerating weight loss. Studies have shown the effectiveness of physical exercise in reducing glycated hemoglobin levels. The mechanisms that raise blood glucose levels are regulated by the contraction of muscles during physical exercise. Complex pathways are involved, which ultimately lead to an increase in glucose uptake, insulin sensitivity, fat oxidation in liver and muscle, vasodilatation, blood flow, glucose transport in vessel, reduction of fat deposit in adipocyte and improvement of the endocrine pancreas's performance </w:t>
      </w:r>
      <w:r w:rsidRPr="00B50B63">
        <w:rPr>
          <w:rFonts w:ascii="Arial" w:hAnsi="Arial" w:cs="Arial"/>
        </w:rPr>
        <w:fldChar w:fldCharType="begin" w:fldLock="1"/>
      </w:r>
      <w:r w:rsidRPr="00B50B63">
        <w:rPr>
          <w:rFonts w:ascii="Arial" w:hAnsi="Arial" w:cs="Arial"/>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(Singh et al., 2023)</w:t>
      </w:r>
      <w:r w:rsidRPr="00B50B63">
        <w:rPr>
          <w:rFonts w:ascii="Arial" w:hAnsi="Arial" w:cs="Arial"/>
        </w:rPr>
        <w:fldChar w:fldCharType="end"/>
      </w:r>
      <w:r w:rsidRPr="00B50B63">
        <w:rPr>
          <w:rFonts w:ascii="Arial" w:hAnsi="Arial" w:cs="Arial"/>
        </w:rPr>
        <w:t xml:space="preserve">. Furthermore, the reduction in LDL cholesterol, triglycerides and an increase in HDL cholesterol levels could be explained by the presence of bioactive compounds in the foods that they consumed, in particular phenolic compounds, phytosterols and soluble dietary fibers (SDF), making it possible to reduce cholesterol levels in the blood, hence the </w:t>
      </w:r>
      <w:proofErr w:type="spellStart"/>
      <w:r w:rsidRPr="00B50B63">
        <w:rPr>
          <w:rFonts w:ascii="Arial" w:hAnsi="Arial" w:cs="Arial"/>
        </w:rPr>
        <w:t>hypocholesterolemic</w:t>
      </w:r>
      <w:proofErr w:type="spellEnd"/>
      <w:r w:rsidRPr="00B50B63">
        <w:rPr>
          <w:rFonts w:ascii="Arial" w:hAnsi="Arial" w:cs="Arial"/>
        </w:rPr>
        <w:t xml:space="preserve"> effect observed. There are several hypothesized mechanisms explaining how phytosterols prevent cholesterol from being absorbed. These include blocking the hydrolysis of cholesterol </w:t>
      </w:r>
      <w:r w:rsidRPr="00B50B63">
        <w:rPr>
          <w:rFonts w:ascii="Arial" w:hAnsi="Arial" w:cs="Arial"/>
        </w:rPr>
        <w:lastRenderedPageBreak/>
        <w:t xml:space="preserve">ester, competing with cholesterol for solubilization into mixed micelles, co-crystallizing phytosterols and cholesterol, interfering with transport across enterocytes apical membrane, and impairing the intracellular re-esterification of cholesterol by acyl-coenzyme A: cholesterol acyltransferase-2 (ACAT-2) for incorporation into chylomicrons and lymphatic system secretion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t xml:space="preserve">. The benefits of SDF in lowering cholesterol have been attributed to three main biological mechanisms: prevention of the small intestine's bile salt (BS) re-absorption, which results in an excess of </w:t>
      </w:r>
      <w:proofErr w:type="spellStart"/>
      <w:r w:rsidRPr="00B50B63">
        <w:rPr>
          <w:rFonts w:ascii="Arial" w:hAnsi="Arial" w:cs="Arial"/>
        </w:rPr>
        <w:t>faecal</w:t>
      </w:r>
      <w:proofErr w:type="spellEnd"/>
      <w:r w:rsidRPr="00B50B63">
        <w:rPr>
          <w:rFonts w:ascii="Arial" w:hAnsi="Arial" w:cs="Arial"/>
        </w:rPr>
        <w:t xml:space="preserve"> BS excretion; a decreased glycemic response, which results in less insulin stimulating the production of hepatic cholesterol; and physiological effects of SDF fermentation products, primarily propionate </w:t>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(Gunness &amp; Gidley, 2010)</w:t>
      </w:r>
      <w:r w:rsidRPr="00B50B63">
        <w:rPr>
          <w:rFonts w:ascii="Arial" w:hAnsi="Arial" w:cs="Arial"/>
        </w:rPr>
        <w:fldChar w:fldCharType="end"/>
      </w:r>
      <w:r w:rsidRPr="00B50B63">
        <w:rPr>
          <w:rFonts w:ascii="Arial" w:hAnsi="Arial" w:cs="Arial"/>
        </w:rPr>
        <w:t>.</w:t>
      </w:r>
    </w:p>
    <w:p w14:paraId="19B55980" w14:textId="47BF347F" w:rsidR="00B50B63" w:rsidRPr="00B50B63" w:rsidRDefault="00B50B63" w:rsidP="00B50B63">
      <w:pPr>
        <w:jc w:val="both"/>
        <w:rPr>
          <w:rFonts w:ascii="Arial" w:hAnsi="Arial" w:cs="Arial"/>
        </w:rPr>
      </w:pPr>
      <w:r w:rsidRPr="00B50B63">
        <w:rPr>
          <w:rFonts w:ascii="Arial" w:hAnsi="Arial" w:cs="Arial"/>
        </w:rPr>
        <w:t xml:space="preserve">Diabetes and hypertension are two prevalent metabolic diseases that frequently coexist in the same person. The risk of cardiovascular disease, renal failure, and other consequences is increased when they coexist. Having diabetes can lead to high blood pressure because of problems with the immune system, vascular endothelial dysfunction, over activity of the renin-angiotensin-aldosterone system, maladaptive changes in the autonomic nervous system, and detrimental environmental variables </w:t>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(Naha et al., 2021)</w:t>
      </w:r>
      <w:r w:rsidRPr="00B50B63">
        <w:rPr>
          <w:rFonts w:ascii="Arial" w:hAnsi="Arial" w:cs="Arial"/>
        </w:rPr>
        <w:fldChar w:fldCharType="end"/>
      </w:r>
      <w:r w:rsidRPr="00B50B63">
        <w:rPr>
          <w:rFonts w:ascii="Arial" w:hAnsi="Arial" w:cs="Arial"/>
        </w:rPr>
        <w:t xml:space="preserve">. The Dietary Approaches to Stop Hypertension (DASH) promotes the consumption of vegetables and fruits, lean meat and dairy products, and the inclusion of micronutrients in the menu. It also advocates the reduction of sodium in the diet to about 1500 mg/day </w:t>
      </w:r>
      <w:r w:rsidRPr="00B50B63">
        <w:rPr>
          <w:rFonts w:ascii="Arial" w:hAnsi="Arial" w:cs="Arial"/>
        </w:rPr>
        <w:fldChar w:fldCharType="begin" w:fldLock="1"/>
      </w:r>
      <w:r w:rsidRPr="00B50B63">
        <w:rPr>
          <w:rFonts w:ascii="Arial" w:hAnsi="Arial" w:cs="Arial"/>
        </w:rPr>
        <w:instrText>ADDIN CSL_CITATION {"citationItems":[{"id":"ITEM-1","itemData":{"PMID":"29494120","abstract":"In the last 50 years in the United States, clinicians have seen a rise in diseases, including hypertension, diabetes, obesity, and coronary artery disease. An estimated 2000 people die of heart disease every day in the United States. Around 30% of US adults are hypertensive.[1] The risk factors of hypertension are fortunately can be controlled to an extend by utilization of the DASH diet. Chronic diseases related to diet and obesity have become significant causes of death in the United States across all ethnicities. Obesity has been linked to the significant etiological factor in diabetes, hypertension, cancer, and coronary artery disease. Although there have been several advancements in the scientific world regarding new medications and cutting-edge diagnostic techniques, the rate of these diseases has multiplied many times. This increase has been steep, particularly in the last 20 years. Due to this trend, major organizations, including the American Heart Association, National Institutes of Health, and National Heart, Lung, and Blood Institute have all started looking at an integrative approach to managing this growing epidemic. Diagnostic testing and medications are still the mainstays of patient management. However, the importance of diet, exercise, stress reduction, and lifestyle habits cannot be ignored. [2][3][4]","author":[{"dropping-particle":"","family":"Challa","given":"Hima J.","non-dropping-particle":"","parse-names":false,"suffix":""},{"dropping-particle":"","family":"Ameer","given":"Muhammad Atif","non-dropping-particle":"","parse-names":false,"suffix":""},{"dropping-particle":"","family":"Uppaluri","given":"Kalyan R.","non-dropping-particle":"","parse-names":false,"suffix":""}],"container-title":"StatPearls","id":"ITEM-1","issued":{"date-parts":[["2020","1","23"]]},"publisher":"StatPearls Publishing","title":"DASH Diet To Stop Hypertension","type":"book"},"uris":["http://www.mendeley.com/documents/?uuid=cd30fd9a-021c-366a-b097-9c881956e3a4"]}],"mendeley":{"formattedCitation":"(Challa et al., 2020)","plainTextFormattedCitation":"(Challa et al., 2020)","previouslyFormattedCitation":"(Challa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(Challa et al., 2020)</w:t>
      </w:r>
      <w:r w:rsidRPr="00B50B63">
        <w:rPr>
          <w:rFonts w:ascii="Arial" w:hAnsi="Arial" w:cs="Arial"/>
        </w:rPr>
        <w:fldChar w:fldCharType="end"/>
      </w:r>
      <w:r w:rsidRPr="00B50B63">
        <w:rPr>
          <w:rFonts w:ascii="Arial" w:hAnsi="Arial" w:cs="Arial"/>
        </w:rPr>
        <w:t>. Following the DASH diet by diabetic patients with hypertension has beneficial effects in improving systolic blood pressure</w:t>
      </w:r>
      <w:r w:rsidR="005E388C">
        <w:rPr>
          <w:rFonts w:ascii="Arial" w:hAnsi="Arial" w:cs="Arial"/>
          <w:color w:val="FF0000"/>
        </w:rPr>
        <w:t xml:space="preserve">, as </w:t>
      </w:r>
      <w:r w:rsidRPr="00277351">
        <w:rPr>
          <w:rFonts w:ascii="Arial" w:hAnsi="Arial" w:cs="Arial"/>
          <w:color w:val="FF0000"/>
        </w:rPr>
        <w:t>show</w:t>
      </w:r>
      <w:r w:rsidR="005E388C">
        <w:rPr>
          <w:rFonts w:ascii="Arial" w:hAnsi="Arial" w:cs="Arial"/>
          <w:color w:val="FF0000"/>
        </w:rPr>
        <w:t>n</w:t>
      </w:r>
      <w:r w:rsidRPr="00B50B63">
        <w:rPr>
          <w:rFonts w:ascii="Arial" w:hAnsi="Arial" w:cs="Arial"/>
        </w:rPr>
        <w:t> in table 4.</w:t>
      </w:r>
    </w:p>
    <w:p w14:paraId="5D375492" w14:textId="508290E8" w:rsidR="00B50B63" w:rsidRPr="00B50B63" w:rsidRDefault="00B50B63" w:rsidP="00B50B63">
      <w:pPr>
        <w:jc w:val="both"/>
        <w:rPr>
          <w:rFonts w:ascii="Arial" w:hAnsi="Arial" w:cs="Arial"/>
        </w:rPr>
      </w:pPr>
      <w:r w:rsidRPr="00B50B63">
        <w:rPr>
          <w:rFonts w:ascii="Arial" w:hAnsi="Arial" w:cs="Arial"/>
        </w:rPr>
        <w:t xml:space="preserve">Gout is a common complication in diabetic patients, resulting from the accumulation of uric acid crystals in the joints, and involves a complex interplay of metabolic and hormonal factors. Insulin resistance and hyperinsulinemia, impaired glucose metabolism, increased fructose metabolism, impaired renal uric acid excretion, and chronic inflammation and oxidative stress all contribute to the development of gout in diabetic patients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w:instrText>
      </w:r>
      <w:r w:rsidRPr="00032FB4">
        <w:rPr>
          <w:rFonts w:ascii="Arial" w:hAnsi="Arial" w:cs="Arial"/>
          <w:lang w:val="fr-FR"/>
        </w:rPr>
        <w:instrText>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w:instrText>
      </w:r>
      <w:r w:rsidRPr="00B50B63">
        <w:rPr>
          <w:rFonts w:ascii="Arial" w:hAnsi="Arial" w:cs="Arial"/>
          <w:lang w:val="fr-FR"/>
        </w:rPr>
        <w:instrText>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(Piko et al., 2021</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 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xml:space="preserve">; Chandrasekaran &amp; </w:t>
      </w:r>
      <w:proofErr w:type="spellStart"/>
      <w:r w:rsidRPr="00B50B63">
        <w:rPr>
          <w:rFonts w:ascii="Arial" w:hAnsi="Arial" w:cs="Arial"/>
          <w:lang w:val="fr-FR"/>
        </w:rPr>
        <w:t>Weiskirchen</w:t>
      </w:r>
      <w:proofErr w:type="spellEnd"/>
      <w:r w:rsidRPr="00B50B63">
        <w:rPr>
          <w:rFonts w:ascii="Arial" w:hAnsi="Arial" w:cs="Arial"/>
          <w:lang w:val="fr-FR"/>
        </w:rPr>
        <w:t>, 2024</w:t>
      </w:r>
      <w:r w:rsidRPr="00B50B63">
        <w:rPr>
          <w:rFonts w:ascii="Arial" w:hAnsi="Arial" w:cs="Arial"/>
        </w:rPr>
        <w:fldChar w:fldCharType="end"/>
      </w:r>
      <w:r w:rsidRPr="00B50B63">
        <w:rPr>
          <w:rFonts w:ascii="Arial" w:hAnsi="Arial" w:cs="Arial"/>
        </w:rPr>
        <w:fldChar w:fldCharType="begin" w:fldLock="1"/>
      </w:r>
      <w:r w:rsidR="00D622D2">
        <w:rPr>
          <w:rFonts w:ascii="Arial" w:hAnsi="Arial" w:cs="Arial"/>
          <w:lang w:val="fr-FR"/>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2021)","manualFormatting":"; 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xml:space="preserve">; Jia &amp; </w:t>
      </w:r>
      <w:proofErr w:type="spellStart"/>
      <w:r w:rsidRPr="00B50B63">
        <w:rPr>
          <w:rFonts w:ascii="Arial" w:hAnsi="Arial" w:cs="Arial"/>
          <w:lang w:val="fr-FR"/>
        </w:rPr>
        <w:t>Sowers</w:t>
      </w:r>
      <w:proofErr w:type="spellEnd"/>
      <w:r w:rsidRPr="00B50B63">
        <w:rPr>
          <w:rFonts w:ascii="Arial" w:hAnsi="Arial" w:cs="Arial"/>
          <w:lang w:val="fr-FR"/>
        </w:rPr>
        <w:t>, 2021</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Singh et al., 2023)</w:t>
      </w:r>
      <w:r w:rsidRPr="00B50B63">
        <w:rPr>
          <w:rFonts w:ascii="Arial" w:hAnsi="Arial" w:cs="Arial"/>
        </w:rPr>
        <w:fldChar w:fldCharType="end"/>
      </w:r>
      <w:r w:rsidRPr="00B50B63">
        <w:rPr>
          <w:rFonts w:ascii="Arial" w:hAnsi="Arial" w:cs="Arial"/>
          <w:lang w:val="fr-FR"/>
        </w:rPr>
        <w:t xml:space="preserve">. </w:t>
      </w:r>
      <w:r w:rsidRPr="00B50B63">
        <w:rPr>
          <w:rFonts w:ascii="Arial" w:hAnsi="Arial" w:cs="Arial"/>
        </w:rPr>
        <w:t xml:space="preserve">Specifically, insulin resistance leads to hyperinsulinemia, which stimulates uric acid reabsorption in the kidneys, increasing serum uric acid levels </w:t>
      </w:r>
      <w:r w:rsidRPr="00B50B63">
        <w:rPr>
          <w:rFonts w:ascii="Arial" w:hAnsi="Arial" w:cs="Arial"/>
        </w:rPr>
        <w:fldChar w:fldCharType="begin" w:fldLock="1"/>
      </w:r>
      <w:r w:rsidRPr="00B50B63">
        <w:rPr>
          <w:rFonts w:ascii="Arial" w:hAnsi="Arial" w:cs="Arial"/>
        </w:rPr>
        <w:instrText>ADDIN CSL_CITATION {"citationItems":[{"id":"ITEM-1","itemData":{"DOI":"10.1097/MD.0000000000036732","abstract":"Diabetes, arises from either an absolute or relative insufficiency of insulin or insulin resistance of peripheral tissues. For assessing long-term blood glucose concentration and insulin resistance, the utilization of glycosylated hemoglobin (HbA1c) and the Homeostatic Model Assessment of Insulin Resistance (HOMA-IR) is widespread. Insulin resistance can lead to hyperuricemia by reducing the kidney ability to excrete urate, thus increasing sodium reabsorption. The aim of this study was to investigate the possible relationship between serum uric acid levels and insulin resistance. This was a retrospective case-control study. A total of 2530 applications in 2-year time were included in the study. Patient, known hypertension status, fasting plasma glucose, insulin, uric acid, HDL, low-density lipoprotein (LDL), triglyceride/Tg, HbA1c laboratory values and Tg/HDL ratio were examined. A statistically significant difference existed in the median uric acid values between the insulin-resistant and insulin-sensitive groups (P &lt; .001). Additionally, a weak positive statistical correlation was identified between uric acid and HOMA-IR values (R = 0.299; P &lt; .001) and uric acid and Tg/HDL values (R = 0.357; P &lt; .001). This study concludes that there is a positive correlation between serum uric acid levels and insulin resistance. Abbreviations: FPG = fasting plasma glucose, HDL = high-density lipoprotein, HOMA = Homeostatic Assessment of Insulin Resistance, LDL = low-density lipoprotein, METS-IR = Metabolic Score for Insulin Resistance, TAG = triacylglycerols.","author":[{"dropping-particle":"","family":"Sakallı","given":"Ayça Asma","non-dropping-particle":"","parse-names":false,"suffix":""},{"dropping-particle":"","family":"Küçükerdem","given":"H Seda","non-dropping-particle":"","parse-names":false,"suffix":""},{"dropping-particle":"","family":"Aygün","given":"Olgu","non-dropping-particle":"","parse-names":false,"suffix":""}],"id":"ITEM-1","issued":{"date-parts":[["2023"]]},"title":"Medicine ® What is the relationship between serum uric acid level and insulin resistance? A case-control study","type":"article-journal"},"uris":["http://www.mendeley.com/documents/?uuid=ac6ac6b2-f295-3d29-ad7c-b2f7425e130c"]}],"mendeley":{"formattedCitation":"(Sakallı et al., 2023)","plainTextFormattedCitation":"(Sakallı et al., 2023)","previouslyFormattedCitation":"(Sakallı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(Sakallı et al., 2023)</w:t>
      </w:r>
      <w:r w:rsidRPr="00B50B63">
        <w:rPr>
          <w:rFonts w:ascii="Arial" w:hAnsi="Arial" w:cs="Arial"/>
        </w:rPr>
        <w:fldChar w:fldCharType="end"/>
      </w:r>
      <w:r w:rsidRPr="00B50B63">
        <w:rPr>
          <w:rFonts w:ascii="Arial" w:hAnsi="Arial" w:cs="Arial"/>
        </w:rPr>
        <w:t xml:space="preserve">, while impaired glucose metabolism and increased fructose consumption stimulate uric acid production through the pentose phosphate pathway and liver metabolism, respectively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Jia &amp; Sowers, 2021)</w:t>
      </w:r>
      <w:r w:rsidRPr="00B50B63">
        <w:rPr>
          <w:rFonts w:ascii="Arial" w:hAnsi="Arial" w:cs="Arial"/>
        </w:rPr>
        <w:fldChar w:fldCharType="end"/>
      </w:r>
      <w:r w:rsidRPr="00B50B63">
        <w:rPr>
          <w:rFonts w:ascii="Arial" w:hAnsi="Arial" w:cs="Arial"/>
        </w:rPr>
        <w:t xml:space="preserve">. Additionally, impaired renal function reduces uric acid excretion </w:t>
      </w:r>
      <w:r w:rsidRPr="00B50B63">
        <w:rPr>
          <w:rFonts w:ascii="Arial" w:hAnsi="Arial" w:cs="Arial"/>
        </w:rPr>
        <w:fldChar w:fldCharType="begin" w:fldLock="1"/>
      </w:r>
      <w:r w:rsidRPr="00B50B63">
        <w:rPr>
          <w:rFonts w:ascii="Arial" w:hAnsi="Arial" w:cs="Arial"/>
        </w:rPr>
        <w:instrText>ADDIN CSL_CITATION {"citationItems":[{"id":"ITEM-1","itemData":{"DOI":"10.1016/J.JACC.2023.10.030","ISSN":"15583597","PMID":"38199714","abstract":"AbstractGout is characterized by increased production of purines (through the pentose phosphate pathway), which is coupled with reduced renal or intestinal excretion of urate. Concurrent upregulati...","author":[{"dropping-particle":"","family":"Packer","given":"Milton","non-dropping-particle":"","parse-names":false,"suffix":""}],"container-title":"Journal of the American College of Cardiology","id":"ITEM-1","issue":"2","issued":{"date-parts":[["2024","1","16"]]},"page":"371-381","publisher":"American College of Cardiology FoundationWashington D.C.","title":"Hyperuricemia and Gout Reduction by SGLT2 Inhibitors in Diabetes and Heart Failure: JACC Review Topic of the Week","type":"article-journal","volume":"83"},"uris":["http://www.mendeley.com/documents/?uuid=75f16f9b-3326-3962-9fe0-5b2607fcf23e"]}],"mendeley":{"formattedCitation":"(Packer, 2024)","plainTextFormattedCitation":"(Packer, 2024)","previouslyFormattedCitation":"(Packer,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(Packer, 2024)</w:t>
      </w:r>
      <w:r w:rsidRPr="00B50B63">
        <w:rPr>
          <w:rFonts w:ascii="Arial" w:hAnsi="Arial" w:cs="Arial"/>
        </w:rPr>
        <w:fldChar w:fldCharType="end"/>
      </w:r>
      <w:r w:rsidRPr="00B50B63">
        <w:rPr>
          <w:rFonts w:ascii="Arial" w:hAnsi="Arial" w:cs="Arial"/>
        </w:rPr>
        <w:t xml:space="preserve">, and chronic inflammation and oxidative stress promote uric acid production and crystal formation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t xml:space="preserve">, ultimately leading to gout development in diabetic patients. The proposed dietary plan for individuals with diabetes and gout, as outlined in Appendix-3, is a comprehensive approach that targets the management of both conditions. The plan's focus on a hypouricemic, hypocaloric diet is well supported by existing literature. Limiting foods rich in purines, such as red meat, seafood, and processed foods, can help alleviate symptoms. A study published in the European Journal of Medical Research found that a low-purine diet can significantly reduce serum uric acid levels and gout attack frequency </w:t>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2024)","plainTextFormattedCitation":"(Chen et al., 2024)","previouslyFormattedCitation":"(Chen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(Chen et al., 2024)</w:t>
      </w:r>
      <w:r w:rsidRPr="00B50B63">
        <w:rPr>
          <w:rFonts w:ascii="Arial" w:hAnsi="Arial" w:cs="Arial"/>
        </w:rPr>
        <w:fldChar w:fldCharType="end"/>
      </w:r>
      <w:r w:rsidRPr="00B50B63">
        <w:rPr>
          <w:rFonts w:ascii="Arial" w:hAnsi="Arial" w:cs="Arial"/>
        </w:rPr>
        <w:t xml:space="preserve">. The results of the study demonstrate that diabetic individuals who adhered to the proposed diet exhibited significant reductions in BMI, blood glucose levels, HbA1c, total cholesterol, LDL cholesterol, and triglycerides. Moreover, a significant increase in HDL levels was observed (Table 5). These findings are consistent with previous studies that have shown the benefits of a comprehensive dietary approach in managing diabetes and gout </w:t>
      </w:r>
      <w:r w:rsidRPr="00B50B63">
        <w:rPr>
          <w:rFonts w:ascii="Arial" w:hAnsi="Arial" w:cs="Arial"/>
        </w:rPr>
        <w:fldChar w:fldCharType="begin" w:fldLock="1"/>
      </w:r>
      <w:r w:rsidRPr="00B50B63">
        <w:rPr>
          <w:rFonts w:ascii="Arial" w:hAnsi="Arial" w:cs="Arial"/>
        </w:rPr>
        <w:instrText>ADDIN CSL_CITATION {"citationItems":[{"id":"ITEM-1","itemData":{"author":[{"dropping-particle":"","family":"Taju","given":"Khalid Ghazi","non-dropping-particle":"","parse-names":false,"suffix":""},{"dropping-particle":"","family":"Aldossari","given":"Abdulrahman Saad","non-dropping-particle":"","parse-names":false,"suffix":""},{"dropping-particle":"","family":"Almuhanna","given":"Faisal Mohammed","non-dropping-particle":"","parse-names":false,"suffix":""},{"dropping-particle":"","family":"Khalid","given":"Ghassan","non-dropping-particle":"","parse-names":false,"suffix":""},{"dropping-particle":"","family":"Harazi","given":"Al","non-dropping-particle":"","parse-names":false,"suffix":""}],"id":"ITEM-1","issue":"12","issued":{"date-parts":[["2024"]]},"title":"Role of Diet and Lifestyle in Prevention of Recurrent Gout Attacks","type":"article-journal","volume":"4"},"uris":["http://www.mendeley.com/documents/?uuid=640409f6-3d24-44d8-a890-69f05af49a9d"]}],"mendeley":{"formattedCitation":"(Taju et al., 2024)","plainTextFormattedCitation":"(Taju et al., 2024)","previouslyFormattedCitation":"(Taju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(Taju et al., 2024)</w:t>
      </w:r>
      <w:r w:rsidRPr="00B50B63">
        <w:rPr>
          <w:rFonts w:ascii="Arial" w:hAnsi="Arial" w:cs="Arial"/>
        </w:rPr>
        <w:fldChar w:fldCharType="end"/>
      </w:r>
    </w:p>
    <w:p w14:paraId="2EB45369" w14:textId="65644E39" w:rsidR="00B50B63" w:rsidRPr="00B50B63" w:rsidRDefault="00B50B63" w:rsidP="00B50B63">
      <w:pPr>
        <w:jc w:val="both"/>
        <w:rPr>
          <w:rFonts w:ascii="Arial" w:hAnsi="Arial" w:cs="Arial"/>
        </w:rPr>
      </w:pPr>
      <w:r w:rsidRPr="00B50B63">
        <w:rPr>
          <w:rFonts w:ascii="Arial" w:hAnsi="Arial" w:cs="Arial"/>
        </w:rPr>
        <w:t xml:space="preserve">Diabetic nephropathy is a common complication of diabetes, resulting from a complex interplay of biochemical and molecular mechanisms. Key biochemical mechanisms contributing to renal insufficiency in diabetic patients include the formation of advanced glycosylation end-products (AGEs), activation of the polyol pathway, increased expression of transforming growth factor-β (TGF-β), activation of protein kinase C (PKC), and impaired nitric oxide production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2010)","manualFormatting":"; 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Gunness &amp; Gidley, 2010)</w:t>
      </w:r>
      <w:r w:rsidRPr="00B50B63">
        <w:rPr>
          <w:rFonts w:ascii="Arial" w:hAnsi="Arial" w:cs="Arial"/>
        </w:rPr>
        <w:fldChar w:fldCharType="end"/>
      </w:r>
      <w:r w:rsidRPr="00B50B63">
        <w:rPr>
          <w:rFonts w:ascii="Arial" w:hAnsi="Arial" w:cs="Arial"/>
        </w:rPr>
        <w:t xml:space="preserve">. These mechanisms lead to the accumulation of cross-linked molecules in renal tissue, oxidative stress, inflammation, and </w:t>
      </w:r>
      <w:r w:rsidRPr="00B50B63">
        <w:rPr>
          <w:rFonts w:ascii="Arial" w:hAnsi="Arial" w:cs="Arial"/>
        </w:rPr>
        <w:lastRenderedPageBreak/>
        <w:t xml:space="preserve">fibrosis, ultimately contributing to renal damage and insufficiency. Consuming a low-protein diet may be beneficial for individuals with diabetes, particularly those with kidney disease. A low-protein diet can reduce kidney strain, as high protein intake can exacerbate kidney disease in individuals with diabetes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2021)","manualFormatting":"; 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Naha et al., 2021)</w:t>
      </w:r>
      <w:r w:rsidRPr="00B50B63">
        <w:rPr>
          <w:rFonts w:ascii="Arial" w:hAnsi="Arial" w:cs="Arial"/>
        </w:rPr>
        <w:fldChar w:fldCharType="end"/>
      </w:r>
      <w:r w:rsidRPr="00B50B63">
        <w:rPr>
          <w:rFonts w:ascii="Arial" w:hAnsi="Arial" w:cs="Arial"/>
        </w:rPr>
        <w:t xml:space="preserve">. Additionally, some studies suggest that low-protein diets may help improve blood sugar control in individuals with </w:t>
      </w:r>
      <w:r w:rsidR="00601813" w:rsidRPr="00277351">
        <w:rPr>
          <w:rFonts w:ascii="Arial" w:hAnsi="Arial" w:cs="Arial"/>
          <w:color w:val="FF0000"/>
        </w:rPr>
        <w:t>T2D</w:t>
      </w:r>
      <w:r w:rsidRPr="00B50B63">
        <w:rPr>
          <w:rFonts w:ascii="Arial" w:hAnsi="Arial" w:cs="Arial"/>
        </w:rPr>
        <w:t xml:space="preserve">  and can be effective for weight loss, a key component of diabetes management </w:t>
      </w:r>
      <w:r w:rsidRPr="00B50B63">
        <w:rPr>
          <w:rFonts w:ascii="Arial" w:hAnsi="Arial" w:cs="Arial"/>
        </w:rPr>
        <w:fldChar w:fldCharType="begin" w:fldLock="1"/>
      </w:r>
      <w:r w:rsidRPr="00B50B63">
        <w:rPr>
          <w:rFonts w:ascii="Arial" w:hAnsi="Arial" w:cs="Arial"/>
        </w:rPr>
        <w:instrText>ADDIN CSL_CITATION {"citationItems":[{"id":"ITEM-1","itemData":{"DOI":"10.1016/J.DIABRES.2023.110881","ISSN":"0168-8227","PMID":"37591343","abstract":"Glucagon-like peptide-1 receptor agonists (GLP-1 RAs) are widely used to address multiple aspects of type 2 diabetes mellitus (T2DM) management, including glycaemic control, weight loss, and cardiovascular risk reduction. Semaglutide, a well-established GLP-1 RA approved for T2DM treatment and weight management, demonstrates marked efficacy in achieving these clinically important goals. The American Diabetes Association (ADA) and the European Association for the Study of Diabetes (EASD) consensus report emphasizes the importance of a holistic approach to T2DM treatment, with weight control as a key component for improving patient outcomes. Notably, semaglutide is mentioned in the consensus report as having 'very high' efficacy for both glucose lowering and weight loss in T2DM treatment. Nevertheless, as has been observed with other weight-lowering drugs, weight loss observed with semaglutide appears less profound in individuals with T2DM than in those with obesity without T2DM, a phenomenon requiring further investigation. The semaglutide safety and tolerability profiles are well established, and it is approved in some countries to reduce cardiovascular risk in certain populations with T2DM. Thus, semaglutide offers a well-established therapeutic option that aligns well with guideline recommendations for T2DM management, emphasizing the high importance of weight control and amelioration of other cardiometabolic risk factors.","author":[{"dropping-particle":"","family":"Kurtzhals","given":"Peter","non-dropping-particle":"","parse-names":false,"suffix":""},{"dropping-particle":"","family":"Flindt Kreiner","given":"Frederik","non-dropping-particle":"","parse-names":false,"suffix":""},{"dropping-particle":"","family":"Singh Bindra","given":"Rubdeep","non-dropping-particle":"","parse-names":false,"suffix":""}],"container-title":"Diabetes Research and Clinical Practice","id":"ITEM-1","issued":{"date-parts":[["2023","9","1"]]},"page":"110881","publisher":"Elsevier","title":"The role of weight control in the management of type 2 diabetes mellitus: Perspectives on semaglutide","type":"article-journal","volume":"203"},"uris":["http://www.mendeley.com/documents/?uuid=2a2b41c1-b7b4-3fba-8d4c-3486aed20ff9"]}],"mendeley":{"formattedCitation":"(Kurtzhals et al., 2023)","plainTextFormattedCitation":"(Kurtzhals et al., 2023)","previouslyFormattedCitation":"(Kurtzhals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(Kurtzhals et al., 2023)</w:t>
      </w:r>
      <w:r w:rsidRPr="00B50B63">
        <w:rPr>
          <w:rFonts w:ascii="Arial" w:hAnsi="Arial" w:cs="Arial"/>
        </w:rPr>
        <w:fldChar w:fldCharType="end"/>
      </w:r>
      <w:r w:rsidRPr="00B50B63">
        <w:rPr>
          <w:rFonts w:ascii="Arial" w:hAnsi="Arial" w:cs="Arial"/>
        </w:rPr>
        <w:t xml:space="preserve">. The proposed diet for individuals with kidney failure showed significant reductions in various health markers and a significant increase in HDL levels. The decrease in protein consumption is in line with research that indicates a low-protein diet may help halt the course of renal disease </w:t>
      </w:r>
      <w:r w:rsidRPr="00B50B63">
        <w:rPr>
          <w:rFonts w:ascii="Arial" w:hAnsi="Arial" w:cs="Arial"/>
        </w:rPr>
        <w:fldChar w:fldCharType="begin" w:fldLock="1"/>
      </w:r>
      <w:r w:rsidR="00A648D6">
        <w:rPr>
          <w:rFonts w:ascii="Arial" w:hAnsi="Arial" w:cs="Arial"/>
        </w:rPr>
        <w:instrText>ADDIN CSL_CITATION {"citationItems":[{"id":"ITEM-1","itemData":{"DOI":"10.1007/s11255-022-03390-3","ISBN":"0123456789","ISSN":"15732584","PMID":"36310191","abstract":"Background: The feasibility and efficacy of low-protein diets (LPD) treatment in chronic kidney disease (CKD) is controversial. Based on the characteristics of the Chinese diet, we observe the qualification rates and short-term clinical effects of LPD for CKD patients in our center. Methods: This is a retrospective cohort study. CKD stages 3–5 patients who were regularly followed up 5 times (over 2 years) and treated with LPD were included. We collected clinical data to observe the changes in LPD qualification rates and divided patients into LPD and non-LPD group according to the average dietary protein intake (DPI) of 5 follow-up time points and compared the changes in primary and secondary outcome measures between the two groups. Results: We analyzed data from 161 eligible CKD stages 3–5 patients. From baseline to the 5th follow-up time point, the LPD qualification rates of all patients were 11.80%, 35.40%, 47.82%, 53.43% and 54.04%, respectively. For primary outcome measures, the urine protein/creatinine ratio (UPCR) decreased more in the LPD group than in the non-LPD group [Median (interquartile range, IQR) of the difference between the 5th follow-up time point and baseline: 0.19 (− 0.01–0.73) vs. 0.10 (− 0.08–0.27), P &lt; 0.001]. We constructed three classes of mixed linear models (model I, II, III). The UPCR slopes were all negative in the LPD group and positive in the non-LPD group (P &lt; 0.001). Meanwhile, in model I, the estimate glomerular filtration rate(eGFR) decline slope in the LPD group was lower than that in the non-LPD group [slope (standard error): − 1.32 (0.37) vs. − 2.35 (0.33), P = 0.036]. For secondary outcome measures, body mass index (BMI) triglycerides (TG), body weight, and fat free mass (FFM) showed stable statistical differences in the comparison of LPD and non-LPD groups, with greater declines in the former. Conclusion: The results of this study suggest that LPD treatment can reduce UPCR in patients with CKD stages 3–5, and may also delay the decline in eGFR. Meanwhile, it also reduces BMI, TG, body weight, and FFM, thus the need to prevent malnutrition in clinical implementation.","author":[{"dropping-particle":"","family":"Zhang","given":"Xian long","non-dropping-particle":"","parse-names":false,"suffix":""},{"dropping-particle":"","family":"Zhang","given":"Min","non-dropping-particle":"","parse-names":false,"suffix":""},{"dropping-particle":"","family":"Lei","given":"Nuo","non-dropping-particle":"","parse-names":false,"suffix":""},{"dropping-particle":"","family":"Ouyang","given":"Wen wei","non-dropping-particle":"","parse-names":false,"suffix":""},{"dropping-particle":"","family":"Chen","given":"Hui fen","non-dropping-particle":"","parse-names":false,"suffix":""},{"dropping-particle":"","family":"Lao","given":"Bei ni","non-dropping-particle":"","parse-names":false,"suffix":""},{"dropping-particle":"","family":"Xu","given":"Yan min","non-dropping-particle":"","parse-names":false,"suffix":""},{"dropping-particle":"","family":"Tang","given":"Fang","non-dropping-particle":"","parse-names":false,"suffix":""},{"dropping-particle":"","family":"Fu","given":"Li zhe","non-dropping-particle":"","parse-names":false,"suffix":""},{"dropping-particle":"","family":"Liu","given":"Xu sheng","non-dropping-particle":"","parse-names":false,"suffix":""},{"dropping-particle":"","family":"Wu","given":"Yi fan","non-dropping-particle":"","parse-names":false,"suffix":""}],"container-title":"International Urology and Nephrology","id":"ITEM-1","issue":"4","issued":{"date-parts":[["2023"]]},"page":"1059-1070","publisher":"Springer Netherlands","title":"An investigation of low-protein diets’ qualification rates and an analysis of their short-term effects for patients with CKD stages 3–5: a single-center retrospective cohort study from China","type":"article-journal","volume":"55"},"uris":["http://www.mendeley.com/documents/?uuid=6b6ff0e8-2e04-44fa-9d29-b061f69dc8e8"]}],"mendeley":{"formattedCitation":"(X. long Zhang et al., 2023)","manualFormatting":"(Zhang et al., 2023)","plainTextFormattedCitation":"(X. long Zhang et al., 2023)","previouslyFormattedCitation":"(X. long Zhang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t>
      </w:r>
      <w:r w:rsidRPr="00277351">
        <w:rPr>
          <w:rFonts w:ascii="Arial" w:hAnsi="Arial" w:cs="Arial"/>
          <w:color w:val="FF0000"/>
        </w:rPr>
        <w:t>Zhang et al., 2023</w:t>
      </w:r>
      <w:r w:rsidRPr="00B50B63">
        <w:rPr>
          <w:rFonts w:ascii="Arial" w:hAnsi="Arial" w:cs="Arial"/>
        </w:rPr>
        <w:t>)</w:t>
      </w:r>
      <w:r w:rsidRPr="00B50B63">
        <w:rPr>
          <w:rFonts w:ascii="Arial" w:hAnsi="Arial" w:cs="Arial"/>
        </w:rPr>
        <w:fldChar w:fldCharType="end"/>
      </w:r>
      <w:r w:rsidRPr="00B50B63">
        <w:rPr>
          <w:rFonts w:ascii="Arial" w:hAnsi="Arial" w:cs="Arial"/>
        </w:rPr>
        <w:t xml:space="preserve">. The reduction in creatinine levels is also significant, as it suggests that the diet may have helped to improve kidney function or slow the progression of kidney disease. Creatinine is a waste product that is filtered by the kidneys, and high levels can indicate kidney damage or disease </w:t>
      </w:r>
      <w:r w:rsidRPr="00B50B63">
        <w:rPr>
          <w:rFonts w:ascii="Arial" w:hAnsi="Arial" w:cs="Arial"/>
        </w:rPr>
        <w:fldChar w:fldCharType="begin" w:fldLock="1"/>
      </w:r>
      <w:r w:rsidRPr="00B50B63">
        <w:rPr>
          <w:rFonts w:ascii="Arial" w:hAnsi="Arial" w:cs="Arial"/>
        </w:rPr>
        <w:instrText>ADDIN CSL_CITATION {"citationItems":[{"id":"ITEM-1","itemData":{"DOI":"10.1038/s41598-023-33878-6","ISBN":"0123456789","ISSN":"20452322","PMID":"37100791","abstract":"The relationship between serum creatinine and type 2 diabetes is limited. We aimed to investigate the association of baseline serum creatinine and new-onset type 2 diabetes in Chinese population. This retrospective cohort study was conducted using data from the health screening program in China. The population were divided into four groups based on serum creatinine levels, and the outcome of interest was the occurrence of a diabetic event. Cox proportional risk model was used to assess the independent effect of baseline serum creatinine level on future diabetes risk. Sensitivity and subgroup analysis were used to verify the reliability of the results. After an average follow-up of 3.12 years, among 201,298 individuals aged ≥ 20 years, 3389 patients developed diabetes. Compared with participants in quartile 2–4 (&gt; 51.6umol/L for female, &gt; 71.8umol/L for male,), a significantly higher risk of new-onset Type 2 Diabetes (OR, 1.15; 95%CI: 1.07–1.23) was found in those in quartile 1 (&lt; 51.6umol/L for female, &lt; 71.8umol/L for male). Moreover, Similar results were found in various subgroups stratified by age, BMI, TG, TC, FPG and family history group. Low serum creatinine is independently associated with increased risk of type 2 diabetes in Chinese adults. It was also stable in various subgroups stratified.","author":[{"dropping-particle":"","family":"Li","given":"Rugang","non-dropping-particle":"","parse-names":false,"suffix":""},{"dropping-particle":"","family":"He","given":"Min","non-dropping-particle":"","parse-names":false,"suffix":""},{"dropping-particle":"","family":"Yang","given":"Qilin","non-dropping-particle":"","parse-names":false,"suffix":""},{"dropping-particle":"","family":"Liang","given":"Zezhi","non-dropping-particle":"","parse-names":false,"suffix":""},{"dropping-particle":"","family":"li","given":"Ying","non-dropping-particle":"","parse-names":false,"suffix":""},{"dropping-particle":"","family":"Huang","given":"Ling","non-dropping-particle":"","parse-names":false,"suffix":""},{"dropping-particle":"","family":"Wu","given":"Rong","non-dropping-particle":"","parse-names":false,"suffix":""},{"dropping-particle":"","family":"Huang","given":"Jieping","non-dropping-particle":"","parse-names":false,"suffix":""}],"container-title":"Scientific Reports","id":"ITEM-1","issue":"1","issued":{"date-parts":[["2023"]]},"page":"1-9","publisher":"Nature Publishing Group UK","title":"Association between serum creatinine and type 2 diabetes in the Chinese population: a retrospective cohort study","type":"article-journal","volume":"13"},"uris":["http://www.mendeley.com/documents/?uuid=37cfb6f3-3006-46c6-b0ab-ada1ba80632d"]}],"mendeley":{"formattedCitation":"(Li et al., 2023)","plainTextFormattedCitation":"(Li et al., 2023)","previouslyFormattedCitation":"(Li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(Li et al., 2023)</w:t>
      </w:r>
      <w:r w:rsidRPr="00B50B63">
        <w:rPr>
          <w:rFonts w:ascii="Arial" w:hAnsi="Arial" w:cs="Arial"/>
        </w:rPr>
        <w:fldChar w:fldCharType="end"/>
      </w:r>
      <w:r w:rsidRPr="00B50B63">
        <w:rPr>
          <w:rFonts w:ascii="Arial" w:hAnsi="Arial" w:cs="Arial"/>
        </w:rPr>
        <w:t xml:space="preserve">. </w:t>
      </w:r>
    </w:p>
    <w:p w14:paraId="56F0ABF9" w14:textId="77777777" w:rsidR="00B50B63" w:rsidRPr="00B50B63" w:rsidRDefault="00B50B63" w:rsidP="00B50B63">
      <w:pPr>
        <w:jc w:val="both"/>
        <w:rPr>
          <w:rFonts w:ascii="Arial" w:hAnsi="Arial" w:cs="Arial"/>
        </w:rPr>
      </w:pPr>
      <w:r w:rsidRPr="00B50B63">
        <w:rPr>
          <w:rFonts w:ascii="Arial" w:hAnsi="Arial" w:cs="Arial"/>
        </w:rPr>
        <w:t xml:space="preserve">In diabetic patients, the biochemical mechanism underlying heart failure and stroke involves a complex interplay of insulin resistance, oxidative stress, and inflammation. Hyperglycemia and insulin resistance trigger the activation of the renin-angiotensin-aldosterone system (RAAS), leading to elevated angiotensin II levels, which promote vasoconstriction, inflammation, and fibrosis </w:t>
      </w:r>
      <w:r w:rsidRPr="00B50B63">
        <w:rPr>
          <w:rFonts w:ascii="Arial" w:hAnsi="Arial" w:cs="Arial"/>
        </w:rPr>
        <w:fldChar w:fldCharType="begin" w:fldLock="1"/>
      </w:r>
      <w:r w:rsidRPr="00B50B63">
        <w:rPr>
          <w:rFonts w:ascii="Arial" w:hAnsi="Arial" w:cs="Arial"/>
        </w:rPr>
        <w:instrText>ADDIN CSL_CITATION {"citationItems":[{"id":"ITEM-1","itemData":{"DOI":"10.3390/LIFE13071598","ISSN":"2075-1729","abstract":"Diabetic cardiomyopathy refers to myocardial dysfunction in type 2 diabetes, but without the traditional cardiovascular risk factors or overt clinical atherosclerosis and valvular disease. The activation of the renin–angiotensin system (RAS), oxidative stress, lipotoxicity, maladaptive immune responses, imbalanced mitochondrial dynamics, impaired myocyte autophagy, increased myocyte apoptosis, and fibrosis contribute to diabetic cardiomyopathy. This review summarizes the studies that address the link between cardiomyopathy and the RAS in humans and presents proposed pathophysiological mechanisms underlying this association. The RAS plays an important role in the development and progression of diabetic cardiomyopathy. The over-activation of the classical RAS axis in diabetes leads to the increased production of angiotensin (Ang) II, angiotensin type 1 receptor activation, and aldosterone release, contributing to increased oxidative stress, fibrosis, and cardiac remodeling. In contrast, Ang-(1-7) suppresses oxidative stress, inhibits tissue fibrosis, and prevents extensive cardiac remodeling. Angiotensin-converting-enzyme (ACE) inhibitors and angiotensin receptor blockers improve heart functioning and reduce the occurrence of diabetic cardiomyopathy. Experimental studies also show beneficial effects for Ang-(1-7) and angiotensin-converting enzyme 2 infusion in improving heart functioning and tissue injury. Further research is necessary to fully understand the pathophysiology of diabetic cardiomyopathy and to translate experimental findings into clinical practice.","author":[{"dropping-particle":"","family":"Batista","given":"João Pedro Thimotheo","non-dropping-particle":"","parse-names":false,"suffix":""},{"dropping-particle":"de","family":"Faria","given":"André Oliveira Vilela","non-dropping-particle":"","parse-names":false,"suffix":""},{"dropping-particle":"","family":"Ribeiro","given":"Thomas Felipe Silva","non-dropping-particle":"","parse-names":false,"suffix":""},{"dropping-particle":"","family":"Simões e Silva","given":"Ana Cristina","non-dropping-particle":"","parse-names":false,"suffix":""}],"container-title":"Life 2023, Vol. 13, Page 1598","id":"ITEM-1","issue":"7","issued":{"date-parts":[["2023","7","21"]]},"page":"1598","publisher":"Multidisciplinary Digital Publishing Institute","title":"The Role of Renin–Angiotensin System in Diabetic Cardiomyopathy: A Narrative Review","type":"article-journal","volume":"13"},"uris":["http://www.mendeley.com/documents/?uuid=63263204-f6bc-3f7c-818a-e50febb081fb"]}],"mendeley":{"formattedCitation":"(Batista et al., 2023)","plainTextFormattedCitation":"(Batista et al., 2023)","previouslyFormattedCitation":"(Batista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(Batista et al., 2023)</w:t>
      </w:r>
      <w:r w:rsidRPr="00B50B63">
        <w:rPr>
          <w:rFonts w:ascii="Arial" w:hAnsi="Arial" w:cs="Arial"/>
        </w:rPr>
        <w:fldChar w:fldCharType="end"/>
      </w:r>
      <w:r w:rsidRPr="00B50B63">
        <w:rPr>
          <w:rFonts w:ascii="Arial" w:hAnsi="Arial" w:cs="Arial"/>
        </w:rPr>
        <w:t xml:space="preserve">. This results in endothelial dysfunction, characterized by reduced nitric oxide production and increased endothelin-1 levels, contributing to impaired vasodilation and increased vascular resistance </w:t>
      </w:r>
      <w:r w:rsidRPr="00B50B63">
        <w:rPr>
          <w:rFonts w:ascii="Arial" w:hAnsi="Arial" w:cs="Arial"/>
        </w:rPr>
        <w:fldChar w:fldCharType="begin" w:fldLock="1"/>
      </w:r>
      <w:r w:rsidRPr="00B50B63">
        <w:rPr>
          <w:rFonts w:ascii="Arial" w:hAnsi="Arial" w:cs="Arial"/>
        </w:rPr>
        <w:instrText>ADDIN CSL_CITATION {"citationItems":[{"id":"ITEM-1","itemData":{"DOI":"10.3390/ijms241310705","ISSN":"14220067","PMID":"37445881","abstract":"Endothelial dysfunction (ED) is an important marker of future atherosclerosis and cardiovascular disease, especially in people with diabetes. This article summarizes the evidence on endothelial dysfunction in people with diabetes and adds different perspectives that can affect the presence and severity of ED and its consequences. We highlight that data on ED in type 1 diabetes are lacking and discuss the relationship between ED and arterial stiffness. Several interesting studies have been published showing that ED modulates microRNA, microvesicles, lipid levels, and the endoplasmatic reticulum. A better understanding of ED could provide important insights into the microvascular complications of diabetes, their treatment, and even their prevention.","author":[{"dropping-particle":"","family":"Dubsky","given":"Michal","non-dropping-particle":"","parse-names":false,"suffix":""},{"dropping-particle":"","family":"Veleba","given":"Jiri","non-dropping-particle":"","parse-names":false,"suffix":""},{"dropping-particle":"","family":"Sojakova","given":"Dominika","non-dropping-particle":"","parse-names":false,"suffix":""},{"dropping-particle":"","family":"Marhefkova","given":"Natalia","non-dropping-particle":"","parse-names":false,"suffix":""},{"dropping-particle":"","family":"Fejfarova","given":"Vladimira","non-dropping-particle":"","parse-names":false,"suffix":""},{"dropping-particle":"","family":"Jude","given":"Edward B.","non-dropping-particle":"","parse-names":false,"suffix":""}],"container-title":"International Journal of Molecular Sciences","id":"ITEM-1","issue":"13","issued":{"date-parts":[["2023"]]},"page":"1-12","title":"Endothelial Dysfunction in Diabetes Mellitus: New Insights","type":"article-journal","volume":"24"},"uris":["http://www.mendeley.com/documents/?uuid=e45df736-d626-44ee-b5d2-a386a32d31fa"]}],"mendeley":{"formattedCitation":"(Dubsky et al., 2023)","plainTextFormattedCitation":"(Dubsky et al., 2023)","previouslyFormattedCitation":"(Dubsky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(Dubsky et al., 2023)</w:t>
      </w:r>
      <w:r w:rsidRPr="00B50B63">
        <w:rPr>
          <w:rFonts w:ascii="Arial" w:hAnsi="Arial" w:cs="Arial"/>
        </w:rPr>
        <w:fldChar w:fldCharType="end"/>
      </w:r>
      <w:r w:rsidRPr="00B50B63">
        <w:rPr>
          <w:rFonts w:ascii="Arial" w:hAnsi="Arial" w:cs="Arial"/>
        </w:rPr>
        <w:t xml:space="preserve">. Furthermore, chronic inflammation and oxidative stress lead to atherosclerosis, cardiac remodeling, and ultimately, heart failure and stroke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2023)","manualFormatting":"(Anaizi,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2024)","manualFormatting":"; Chen et al., 2024)","plainTextFormattedCitation":"(Chen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Chen et al., 2024)</w:t>
      </w:r>
      <w:r w:rsidRPr="00B50B63">
        <w:rPr>
          <w:rFonts w:ascii="Arial" w:hAnsi="Arial" w:cs="Arial"/>
        </w:rPr>
        <w:fldChar w:fldCharType="end"/>
      </w:r>
      <w:r w:rsidRPr="00B50B63">
        <w:rPr>
          <w:rFonts w:ascii="Arial" w:hAnsi="Arial" w:cs="Arial"/>
        </w:rPr>
        <w:t>. The proposed diet for individuals with heart failure and stroke is a well-rounded approach that targets multiple risk factors for cardiovascular disease. The diet's emphasis on low sodium, hypoglycemic, and low saturated fat intake, as well as the inclusion of foods rich in omega-3 fatty acids and regular physical activity.</w:t>
      </w:r>
    </w:p>
    <w:p w14:paraId="6A025E93" w14:textId="77777777" w:rsidR="00B50B63" w:rsidRPr="00B50B63" w:rsidRDefault="00B50B63" w:rsidP="00B50B63">
      <w:pPr>
        <w:jc w:val="both"/>
        <w:rPr>
          <w:rFonts w:ascii="Arial" w:hAnsi="Arial" w:cs="Arial"/>
        </w:rPr>
      </w:pPr>
    </w:p>
    <w:p w14:paraId="77F3158D" w14:textId="77777777" w:rsidR="00B50B63" w:rsidRPr="00B50B63" w:rsidRDefault="00B50B63" w:rsidP="00B50B63">
      <w:pPr>
        <w:keepNext/>
        <w:numPr>
          <w:ilvl w:val="0"/>
          <w:numId w:val="39"/>
        </w:numPr>
        <w:spacing w:line="259" w:lineRule="auto"/>
        <w:ind w:left="270" w:hanging="270"/>
        <w:jc w:val="both"/>
        <w:rPr>
          <w:rFonts w:ascii="Times New Roman" w:hAnsi="Times New Roman"/>
          <w:caps/>
          <w:sz w:val="24"/>
          <w:szCs w:val="24"/>
        </w:rPr>
      </w:pPr>
      <w:r w:rsidRPr="00B50B63">
        <w:rPr>
          <w:rFonts w:ascii="Arial" w:hAnsi="Arial" w:cs="Arial"/>
          <w:b/>
          <w:caps/>
          <w:sz w:val="22"/>
        </w:rPr>
        <w:t>Conclusion</w:t>
      </w:r>
      <w:r w:rsidRPr="00B50B63">
        <w:rPr>
          <w:rFonts w:ascii="Times New Roman" w:hAnsi="Times New Roman"/>
          <w:b/>
          <w:caps/>
          <w:sz w:val="24"/>
          <w:szCs w:val="24"/>
        </w:rPr>
        <w:t xml:space="preserve"> </w:t>
      </w:r>
    </w:p>
    <w:p w14:paraId="438EAE7F" w14:textId="77777777" w:rsidR="00B50B63" w:rsidRPr="00B50B63" w:rsidRDefault="00B50B63" w:rsidP="00B50B63">
      <w:pPr>
        <w:keepNext/>
        <w:ind w:left="270"/>
        <w:jc w:val="both"/>
        <w:rPr>
          <w:rFonts w:ascii="Times New Roman" w:hAnsi="Times New Roman"/>
          <w:caps/>
        </w:rPr>
      </w:pPr>
    </w:p>
    <w:p w14:paraId="53C903BF" w14:textId="0FB294BE" w:rsidR="00B50B63" w:rsidRPr="00B50B63" w:rsidRDefault="00B50B63" w:rsidP="00B50B63">
      <w:pPr>
        <w:jc w:val="both"/>
        <w:rPr>
          <w:rFonts w:ascii="Arial" w:hAnsi="Arial" w:cs="Arial"/>
        </w:rPr>
      </w:pPr>
      <w:r w:rsidRPr="00B50B63">
        <w:rPr>
          <w:rFonts w:ascii="Arial" w:hAnsi="Arial" w:cs="Arial"/>
        </w:rPr>
        <w:t xml:space="preserve">This study demonstrates the significant impact of nutrition education and monitoring on the health status of diabetic patients with associated pathologies. The results show that nutritional monitoring led to significant improvements in anthropometric and biochemical parameters, including reductions in fasting blood glucose, glycated hemoglobin, triglycerides, total cholesterol, LDL, creatinine, and body mass index. Additionally, it resulted in lower blood pressure in hypertensive diabetics, reduced renal impairment, and heart failure. Notably, HDL levels increased significantly. Furthermore, the study highlights the importance of nutrition education in improving knowledge and skills of diabetic patients, with a significant increase in awareness about the importance of diet for diabetic patients. </w:t>
      </w:r>
      <w:r w:rsidR="00110BF5" w:rsidRPr="00277351">
        <w:rPr>
          <w:rFonts w:ascii="Arial" w:hAnsi="Arial" w:cs="Arial"/>
          <w:color w:val="FF0000"/>
        </w:rPr>
        <w:t>However, the study's findings should be interpreted with caution due to the lack of control for potential confounding variables, such as dietary adherence, physical activity, and medication use, which may have influenced the results.</w:t>
      </w:r>
      <w:r w:rsidR="00110BF5">
        <w:rPr>
          <w:rFonts w:ascii="Arial" w:hAnsi="Arial" w:cs="Arial"/>
        </w:rPr>
        <w:t xml:space="preserve"> </w:t>
      </w:r>
      <w:r w:rsidRPr="00B50B63">
        <w:rPr>
          <w:rFonts w:ascii="Arial" w:hAnsi="Arial" w:cs="Arial"/>
        </w:rPr>
        <w:t>Overall, this study emphasizes the crucial role of nutrition education and monitoring in the management of type 2 diabetes and associated pathologies, and underscores the need for healthcare professionals to prioritize nutrition education and counseling in the care of diabetic patients.</w:t>
      </w:r>
    </w:p>
    <w:p w14:paraId="61A18669" w14:textId="77777777" w:rsidR="00B50B63" w:rsidRPr="00B50B63" w:rsidRDefault="00B50B63" w:rsidP="00B50B63">
      <w:pPr>
        <w:jc w:val="both"/>
        <w:rPr>
          <w:rFonts w:ascii="Arial" w:hAnsi="Arial" w:cs="Arial"/>
        </w:rPr>
      </w:pPr>
    </w:p>
    <w:p w14:paraId="21350B82"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CONSENT FOR PUBLICATION</w:t>
      </w:r>
    </w:p>
    <w:p w14:paraId="0B07454F" w14:textId="77777777" w:rsidR="00B50B63" w:rsidRPr="00B50B63" w:rsidRDefault="00B50B63" w:rsidP="00B50B63">
      <w:pPr>
        <w:keepNext/>
        <w:jc w:val="both"/>
        <w:rPr>
          <w:rFonts w:ascii="Arial" w:hAnsi="Arial" w:cs="Arial"/>
          <w:b/>
          <w:caps/>
        </w:rPr>
      </w:pPr>
    </w:p>
    <w:p w14:paraId="30FA9B53"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19259EC3" w14:textId="77777777" w:rsidR="00B50B63" w:rsidRPr="00B50B63" w:rsidRDefault="00B50B63" w:rsidP="00B50B63">
      <w:pPr>
        <w:keepNext/>
        <w:jc w:val="both"/>
        <w:rPr>
          <w:rFonts w:ascii="Arial" w:hAnsi="Arial" w:cs="Arial"/>
        </w:rPr>
      </w:pPr>
    </w:p>
    <w:p w14:paraId="53486FFD"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ETHICS APPROVAL AND CONSENT TO PARTICIPATE</w:t>
      </w:r>
    </w:p>
    <w:p w14:paraId="1CFD0BE3" w14:textId="77777777" w:rsidR="00B50B63" w:rsidRPr="00B50B63" w:rsidRDefault="00B50B63" w:rsidP="00B50B63">
      <w:pPr>
        <w:keepNext/>
        <w:jc w:val="both"/>
        <w:rPr>
          <w:rFonts w:ascii="Arial" w:hAnsi="Arial" w:cs="Arial"/>
          <w:b/>
          <w:caps/>
        </w:rPr>
      </w:pPr>
    </w:p>
    <w:p w14:paraId="32BDC82D" w14:textId="77777777" w:rsidR="00B50B63" w:rsidRPr="00B50B63" w:rsidRDefault="00B50B63" w:rsidP="00B50B63">
      <w:pPr>
        <w:keepNext/>
        <w:jc w:val="both"/>
        <w:rPr>
          <w:rFonts w:ascii="Arial" w:hAnsi="Arial" w:cs="Arial"/>
        </w:rPr>
      </w:pPr>
      <w:r w:rsidRPr="00B50B63">
        <w:rPr>
          <w:rFonts w:ascii="Arial" w:hAnsi="Arial" w:cs="Arial"/>
        </w:rPr>
        <w:t xml:space="preserve">The studies involving humans were approved by The Ethics Committee of the Postdoctoral Research Unit in Food Science and Nutrition. The studies were conducted in accordance with </w:t>
      </w:r>
      <w:r w:rsidRPr="00B50B63">
        <w:rPr>
          <w:rFonts w:ascii="Arial" w:hAnsi="Arial" w:cs="Arial"/>
        </w:rPr>
        <w:lastRenderedPageBreak/>
        <w:t>the local legislation and institutional requirements. The participants provided their written informed consent to participate in this study.</w:t>
      </w:r>
    </w:p>
    <w:p w14:paraId="35B52F7B" w14:textId="77777777" w:rsidR="00B50B63" w:rsidRPr="00B50B63" w:rsidRDefault="00B50B63" w:rsidP="00B50B63">
      <w:pPr>
        <w:keepNext/>
        <w:jc w:val="both"/>
        <w:rPr>
          <w:rFonts w:ascii="Arial" w:hAnsi="Arial" w:cs="Arial"/>
        </w:rPr>
      </w:pPr>
    </w:p>
    <w:p w14:paraId="02EB3FF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DATA AVAILABILITY STATEMENT</w:t>
      </w:r>
    </w:p>
    <w:p w14:paraId="160124F2" w14:textId="77777777" w:rsidR="00B50B63" w:rsidRPr="00B50B63" w:rsidRDefault="00B50B63" w:rsidP="00B50B63">
      <w:pPr>
        <w:keepNext/>
        <w:jc w:val="both"/>
        <w:rPr>
          <w:rFonts w:ascii="Arial" w:hAnsi="Arial" w:cs="Arial"/>
          <w:b/>
          <w:caps/>
        </w:rPr>
      </w:pPr>
    </w:p>
    <w:p w14:paraId="44F31F53" w14:textId="77777777" w:rsidR="00B50B63" w:rsidRPr="00B50B63" w:rsidRDefault="00B50B63" w:rsidP="00B50B63">
      <w:pPr>
        <w:keepNext/>
        <w:jc w:val="both"/>
        <w:rPr>
          <w:rFonts w:ascii="Arial" w:hAnsi="Arial" w:cs="Arial"/>
        </w:rPr>
      </w:pPr>
      <w:r w:rsidRPr="00B50B63">
        <w:rPr>
          <w:rFonts w:ascii="Arial" w:hAnsi="Arial" w:cs="Arial"/>
        </w:rPr>
        <w:t>The datasets used and/or analyzed during the current study are available from the corresponding author on reasonable request.</w:t>
      </w:r>
    </w:p>
    <w:p w14:paraId="3E05819A" w14:textId="77777777" w:rsidR="00B50B63" w:rsidRPr="00B50B63" w:rsidRDefault="00B50B63" w:rsidP="00B50B63">
      <w:pPr>
        <w:keepNext/>
        <w:jc w:val="both"/>
        <w:rPr>
          <w:rFonts w:ascii="Arial" w:hAnsi="Arial" w:cs="Arial"/>
        </w:rPr>
      </w:pPr>
    </w:p>
    <w:p w14:paraId="7DD99BD8" w14:textId="77777777" w:rsidR="00B50B63" w:rsidRPr="00B50B63" w:rsidRDefault="00B50B63" w:rsidP="00B50B63">
      <w:pPr>
        <w:keepNext/>
        <w:jc w:val="both"/>
        <w:rPr>
          <w:rFonts w:ascii="Arial" w:hAnsi="Arial" w:cs="Arial"/>
        </w:rPr>
      </w:pPr>
    </w:p>
    <w:p w14:paraId="203CB44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CLINICAL TRIAL NUMBER</w:t>
      </w:r>
    </w:p>
    <w:p w14:paraId="53DC65D9" w14:textId="77777777" w:rsidR="00B50B63" w:rsidRPr="00B50B63" w:rsidRDefault="00B50B63" w:rsidP="00B50B63">
      <w:pPr>
        <w:keepNext/>
        <w:jc w:val="both"/>
        <w:rPr>
          <w:rFonts w:ascii="Arial" w:hAnsi="Arial" w:cs="Arial"/>
          <w:b/>
          <w:caps/>
        </w:rPr>
      </w:pPr>
    </w:p>
    <w:p w14:paraId="493C2B2B"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2450FBB2" w14:textId="77777777" w:rsidR="00B50B63" w:rsidRDefault="00B50B63" w:rsidP="00B50B63">
      <w:pPr>
        <w:keepNext/>
        <w:jc w:val="both"/>
        <w:rPr>
          <w:rFonts w:ascii="Arial" w:hAnsi="Arial" w:cs="Arial"/>
        </w:rPr>
      </w:pPr>
    </w:p>
    <w:p w14:paraId="606695F8" w14:textId="77777777" w:rsidR="008B5014" w:rsidRPr="00B50B63" w:rsidRDefault="008B5014" w:rsidP="008B5014">
      <w:pPr>
        <w:spacing w:line="480" w:lineRule="auto"/>
        <w:jc w:val="both"/>
        <w:rPr>
          <w:rFonts w:ascii="Arial" w:eastAsia="Calibri" w:hAnsi="Arial" w:cs="Arial"/>
          <w:sz w:val="22"/>
        </w:rPr>
      </w:pPr>
      <w:r w:rsidRPr="00B50B63">
        <w:rPr>
          <w:rFonts w:ascii="Arial" w:eastAsia="Calibri" w:hAnsi="Arial" w:cs="Arial"/>
          <w:b/>
          <w:sz w:val="22"/>
        </w:rPr>
        <w:t>DEFINITIONS, ACRONYMS, ABBREVIATIONS</w:t>
      </w:r>
    </w:p>
    <w:p w14:paraId="5A943471"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ADA</w:t>
      </w:r>
      <w:r w:rsidRPr="00B50B63">
        <w:rPr>
          <w:rFonts w:ascii="Arial" w:eastAsia="Calibri" w:hAnsi="Arial" w:cs="Arial"/>
          <w:bCs/>
          <w:color w:val="000000"/>
        </w:rPr>
        <w:t>: American Diabetes Association</w:t>
      </w:r>
    </w:p>
    <w:p w14:paraId="02ACBBBB" w14:textId="77777777" w:rsidR="008B5014" w:rsidRPr="00B50B63" w:rsidRDefault="008B5014" w:rsidP="008B5014">
      <w:pPr>
        <w:jc w:val="both"/>
        <w:rPr>
          <w:rFonts w:ascii="Arial" w:eastAsia="Calibri" w:hAnsi="Arial" w:cs="Arial"/>
        </w:rPr>
      </w:pPr>
      <w:r w:rsidRPr="00B50B63">
        <w:rPr>
          <w:rFonts w:ascii="Arial" w:eastAsia="Calibri" w:hAnsi="Arial" w:cs="Arial"/>
          <w:b/>
          <w:bCs/>
        </w:rPr>
        <w:t>DF</w:t>
      </w:r>
      <w:r w:rsidRPr="00B50B63">
        <w:rPr>
          <w:rFonts w:ascii="Arial" w:eastAsia="Calibri" w:hAnsi="Arial" w:cs="Arial"/>
        </w:rPr>
        <w:t xml:space="preserve">: Dietary Fiber </w:t>
      </w:r>
    </w:p>
    <w:p w14:paraId="37AA9EE5" w14:textId="77777777" w:rsidR="008B5014" w:rsidRPr="00B50B63" w:rsidRDefault="008B5014" w:rsidP="008B5014">
      <w:pPr>
        <w:jc w:val="both"/>
        <w:rPr>
          <w:rFonts w:ascii="Arial" w:eastAsia="Calibri" w:hAnsi="Arial" w:cs="Arial"/>
          <w:bCs/>
        </w:rPr>
      </w:pPr>
      <w:r w:rsidRPr="00B50B63">
        <w:rPr>
          <w:rFonts w:ascii="Arial" w:eastAsia="Calibri" w:hAnsi="Arial" w:cs="Arial"/>
          <w:b/>
        </w:rPr>
        <w:t>GI</w:t>
      </w:r>
      <w:r w:rsidRPr="00B50B63">
        <w:rPr>
          <w:rFonts w:ascii="Arial" w:eastAsia="Calibri" w:hAnsi="Arial" w:cs="Arial"/>
          <w:bCs/>
        </w:rPr>
        <w:t xml:space="preserve">: Glycemic index </w:t>
      </w:r>
    </w:p>
    <w:p w14:paraId="279E863F" w14:textId="77777777" w:rsidR="008B5014" w:rsidRPr="00B50B63" w:rsidRDefault="008B5014" w:rsidP="008B5014">
      <w:pPr>
        <w:jc w:val="both"/>
        <w:rPr>
          <w:rFonts w:ascii="Arial" w:eastAsia="Calibri" w:hAnsi="Arial" w:cs="Arial"/>
        </w:rPr>
      </w:pPr>
      <w:r w:rsidRPr="00B50B63">
        <w:rPr>
          <w:rFonts w:ascii="Arial" w:eastAsia="Calibri" w:hAnsi="Arial" w:cs="Arial"/>
          <w:b/>
          <w:bCs/>
        </w:rPr>
        <w:t>HDL</w:t>
      </w:r>
      <w:r w:rsidRPr="00B50B63">
        <w:rPr>
          <w:rFonts w:ascii="Arial" w:eastAsia="Calibri" w:hAnsi="Arial" w:cs="Arial"/>
        </w:rPr>
        <w:t>: High-Density Lipoprotein</w:t>
      </w:r>
    </w:p>
    <w:p w14:paraId="0790DB35"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IDF</w:t>
      </w:r>
      <w:r w:rsidRPr="00B50B63">
        <w:rPr>
          <w:rFonts w:ascii="Arial" w:eastAsia="Calibri" w:hAnsi="Arial" w:cs="Arial"/>
          <w:bCs/>
          <w:color w:val="000000"/>
        </w:rPr>
        <w:t>: International Diabetes Federation</w:t>
      </w:r>
    </w:p>
    <w:p w14:paraId="5B363C32" w14:textId="77777777" w:rsidR="008B5014" w:rsidRPr="00B50B63" w:rsidRDefault="008B5014" w:rsidP="008B5014">
      <w:pPr>
        <w:jc w:val="both"/>
        <w:rPr>
          <w:rFonts w:ascii="Arial" w:eastAsia="Calibri" w:hAnsi="Arial" w:cs="Arial"/>
        </w:rPr>
      </w:pPr>
      <w:r w:rsidRPr="00B50B63">
        <w:rPr>
          <w:rFonts w:ascii="Arial" w:eastAsia="Calibri" w:hAnsi="Arial" w:cs="Arial"/>
          <w:b/>
          <w:bCs/>
        </w:rPr>
        <w:t>LDL</w:t>
      </w:r>
      <w:r w:rsidRPr="00B50B63">
        <w:rPr>
          <w:rFonts w:ascii="Arial" w:eastAsia="Calibri" w:hAnsi="Arial" w:cs="Arial"/>
        </w:rPr>
        <w:t xml:space="preserve">: Low-Density Lipoprotein </w:t>
      </w:r>
    </w:p>
    <w:p w14:paraId="4AB02FFE" w14:textId="77777777" w:rsidR="008B5014" w:rsidRPr="00B50B63" w:rsidRDefault="008B5014" w:rsidP="008B5014">
      <w:pPr>
        <w:jc w:val="both"/>
        <w:rPr>
          <w:rFonts w:ascii="Arial" w:eastAsia="Calibri" w:hAnsi="Arial" w:cs="Arial"/>
        </w:rPr>
      </w:pPr>
      <w:r w:rsidRPr="00B50B63">
        <w:rPr>
          <w:rFonts w:ascii="Arial" w:eastAsia="Calibri" w:hAnsi="Arial" w:cs="Arial"/>
          <w:b/>
          <w:bCs/>
        </w:rPr>
        <w:t>T2D</w:t>
      </w:r>
      <w:r w:rsidRPr="00B50B63">
        <w:rPr>
          <w:rFonts w:ascii="Arial" w:eastAsia="Calibri" w:hAnsi="Arial" w:cs="Arial"/>
        </w:rPr>
        <w:t>: Type 2 diabetes</w:t>
      </w:r>
    </w:p>
    <w:p w14:paraId="642DF757" w14:textId="77777777" w:rsidR="008B5014" w:rsidRPr="00B50B63" w:rsidRDefault="008B5014" w:rsidP="008B5014">
      <w:pPr>
        <w:jc w:val="both"/>
        <w:rPr>
          <w:rFonts w:ascii="Arial" w:eastAsia="Calibri" w:hAnsi="Arial" w:cs="Arial"/>
        </w:rPr>
      </w:pPr>
      <w:r w:rsidRPr="00B50B63">
        <w:rPr>
          <w:rFonts w:ascii="Arial" w:eastAsia="Calibri" w:hAnsi="Arial" w:cs="Arial"/>
          <w:b/>
          <w:bCs/>
        </w:rPr>
        <w:t>HDM</w:t>
      </w:r>
      <w:r w:rsidRPr="00B50B63">
        <w:rPr>
          <w:rFonts w:ascii="Arial" w:eastAsia="Calibri" w:hAnsi="Arial" w:cs="Arial"/>
        </w:rPr>
        <w:t>: Hygiene-Dietary Measures</w:t>
      </w:r>
    </w:p>
    <w:p w14:paraId="5276BD2A" w14:textId="77777777" w:rsidR="008B5014" w:rsidRPr="00B50B63" w:rsidRDefault="008B5014" w:rsidP="008B5014">
      <w:pPr>
        <w:jc w:val="both"/>
        <w:rPr>
          <w:rFonts w:ascii="Arial" w:eastAsia="Calibri" w:hAnsi="Arial" w:cs="Arial"/>
        </w:rPr>
      </w:pPr>
      <w:r w:rsidRPr="00B50B63">
        <w:rPr>
          <w:rFonts w:ascii="Arial" w:hAnsi="Arial" w:cs="Arial"/>
          <w:b/>
          <w:bCs/>
          <w:color w:val="000000"/>
          <w:lang w:eastAsia="fr-FR"/>
        </w:rPr>
        <w:t>NRGHNC</w:t>
      </w:r>
      <w:r w:rsidRPr="00B50B63">
        <w:rPr>
          <w:rFonts w:ascii="Arial" w:hAnsi="Arial" w:cs="Arial"/>
          <w:color w:val="000000"/>
          <w:lang w:eastAsia="fr-FR"/>
        </w:rPr>
        <w:t xml:space="preserve">: </w:t>
      </w:r>
      <w:r w:rsidRPr="00B50B63">
        <w:rPr>
          <w:rFonts w:ascii="Arial" w:eastAsia="Calibri" w:hAnsi="Arial" w:cs="Arial"/>
        </w:rPr>
        <w:t>National Reference General Hospital in the city of N’Djamena</w:t>
      </w:r>
    </w:p>
    <w:p w14:paraId="3043D810" w14:textId="77777777" w:rsidR="008B5014" w:rsidRPr="00B50B63" w:rsidRDefault="008B5014" w:rsidP="008B5014">
      <w:pPr>
        <w:jc w:val="both"/>
        <w:rPr>
          <w:rFonts w:ascii="Arial" w:eastAsia="Calibri" w:hAnsi="Arial" w:cs="Arial"/>
        </w:rPr>
      </w:pPr>
      <w:r w:rsidRPr="00B50B63">
        <w:rPr>
          <w:rFonts w:ascii="Arial" w:eastAsia="Calibri" w:hAnsi="Arial" w:cs="Arial"/>
          <w:b/>
          <w:bCs/>
        </w:rPr>
        <w:t>NRUHC</w:t>
      </w:r>
      <w:r w:rsidRPr="00B50B63">
        <w:rPr>
          <w:rFonts w:ascii="Arial" w:eastAsia="Calibri" w:hAnsi="Arial" w:cs="Arial"/>
        </w:rPr>
        <w:t>: National Reference University Hospital Center</w:t>
      </w:r>
    </w:p>
    <w:p w14:paraId="35C4B58E" w14:textId="77777777" w:rsidR="008B5014" w:rsidRPr="00B50B63" w:rsidRDefault="008B5014" w:rsidP="008B5014">
      <w:pPr>
        <w:jc w:val="both"/>
        <w:rPr>
          <w:rFonts w:ascii="Arial" w:eastAsia="Calibri" w:hAnsi="Arial" w:cs="Arial"/>
        </w:rPr>
      </w:pPr>
      <w:r w:rsidRPr="00B50B63">
        <w:rPr>
          <w:rFonts w:ascii="Arial" w:eastAsia="Calibri" w:hAnsi="Arial" w:cs="Arial"/>
          <w:b/>
          <w:bCs/>
        </w:rPr>
        <w:t>BMI</w:t>
      </w:r>
      <w:r w:rsidRPr="00B50B63">
        <w:rPr>
          <w:rFonts w:ascii="Arial" w:eastAsia="Calibri" w:hAnsi="Arial" w:cs="Arial"/>
        </w:rPr>
        <w:t>: Body Mass Index</w:t>
      </w:r>
    </w:p>
    <w:p w14:paraId="5675D6F6"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DTEI</w:t>
      </w:r>
      <w:r w:rsidRPr="00B50B63">
        <w:rPr>
          <w:rFonts w:ascii="Arial" w:hAnsi="Arial" w:cs="Arial"/>
          <w:color w:val="000000"/>
          <w:lang w:eastAsia="fr-FR"/>
        </w:rPr>
        <w:t>: Daily Total Energy Intake</w:t>
      </w:r>
    </w:p>
    <w:p w14:paraId="01C4750F"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DASH</w:t>
      </w:r>
      <w:r w:rsidRPr="00B50B63">
        <w:rPr>
          <w:rFonts w:ascii="Arial" w:hAnsi="Arial" w:cs="Arial"/>
          <w:color w:val="000000"/>
          <w:lang w:eastAsia="fr-FR"/>
        </w:rPr>
        <w:t>: Dietary Approaches to Stop Hypertension</w:t>
      </w:r>
    </w:p>
    <w:p w14:paraId="68CB842F"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HbA1c</w:t>
      </w:r>
      <w:r w:rsidRPr="00B50B63">
        <w:rPr>
          <w:rFonts w:ascii="Arial" w:hAnsi="Arial" w:cs="Arial"/>
          <w:lang w:eastAsia="fr-FR"/>
        </w:rPr>
        <w:t xml:space="preserve">: </w:t>
      </w:r>
      <w:proofErr w:type="spellStart"/>
      <w:r w:rsidRPr="00B50B63">
        <w:rPr>
          <w:rFonts w:ascii="Arial" w:hAnsi="Arial" w:cs="Arial"/>
          <w:lang w:eastAsia="fr-FR"/>
        </w:rPr>
        <w:t>Haemoglobin</w:t>
      </w:r>
      <w:proofErr w:type="spellEnd"/>
      <w:r w:rsidRPr="00B50B63">
        <w:rPr>
          <w:rFonts w:ascii="Arial" w:hAnsi="Arial" w:cs="Arial"/>
          <w:lang w:eastAsia="fr-FR"/>
        </w:rPr>
        <w:t xml:space="preserve"> A1c</w:t>
      </w:r>
    </w:p>
    <w:p w14:paraId="629AE0B5"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FBG</w:t>
      </w:r>
      <w:r w:rsidRPr="00B50B63">
        <w:rPr>
          <w:rFonts w:ascii="Arial" w:hAnsi="Arial" w:cs="Arial"/>
          <w:lang w:eastAsia="fr-FR"/>
        </w:rPr>
        <w:t>: Fasting Blood Glucose</w:t>
      </w:r>
    </w:p>
    <w:p w14:paraId="6AAB643B"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SBP</w:t>
      </w:r>
      <w:r w:rsidRPr="00B50B63">
        <w:rPr>
          <w:rFonts w:ascii="Arial" w:hAnsi="Arial" w:cs="Arial"/>
          <w:lang w:eastAsia="fr-FR"/>
        </w:rPr>
        <w:t>: Systolic Blood Pressure</w:t>
      </w:r>
    </w:p>
    <w:p w14:paraId="4C311B87"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DBP</w:t>
      </w:r>
      <w:r w:rsidRPr="00B50B63">
        <w:rPr>
          <w:rFonts w:ascii="Arial" w:hAnsi="Arial" w:cs="Arial"/>
          <w:lang w:eastAsia="fr-FR"/>
        </w:rPr>
        <w:t xml:space="preserve">: Diastolic Blood Pressure </w:t>
      </w:r>
    </w:p>
    <w:p w14:paraId="12F9D9B2" w14:textId="77777777" w:rsidR="008B5014" w:rsidRPr="00B50B63" w:rsidRDefault="008B5014" w:rsidP="008B5014">
      <w:pPr>
        <w:jc w:val="both"/>
        <w:rPr>
          <w:rFonts w:ascii="Arial" w:eastAsia="Calibri" w:hAnsi="Arial" w:cs="Arial"/>
        </w:rPr>
      </w:pPr>
      <w:r w:rsidRPr="00B50B63">
        <w:rPr>
          <w:rFonts w:ascii="Arial" w:eastAsia="Calibri" w:hAnsi="Arial" w:cs="Arial"/>
          <w:b/>
          <w:bCs/>
        </w:rPr>
        <w:t>HBP</w:t>
      </w:r>
      <w:r w:rsidRPr="00B50B63">
        <w:rPr>
          <w:rFonts w:ascii="Arial" w:eastAsia="Calibri" w:hAnsi="Arial" w:cs="Arial"/>
        </w:rPr>
        <w:t>: High Blood Pressure</w:t>
      </w:r>
    </w:p>
    <w:p w14:paraId="1621385D"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WHO</w:t>
      </w:r>
      <w:r w:rsidRPr="00B50B63">
        <w:rPr>
          <w:rFonts w:ascii="Arial" w:hAnsi="Arial" w:cs="Arial"/>
          <w:lang w:eastAsia="fr-FR"/>
        </w:rPr>
        <w:t>: Word Health Organization</w:t>
      </w:r>
    </w:p>
    <w:p w14:paraId="137C1231" w14:textId="77777777" w:rsidR="008B5014" w:rsidRPr="00B50B63" w:rsidRDefault="008B5014" w:rsidP="008B5014">
      <w:pPr>
        <w:jc w:val="both"/>
        <w:rPr>
          <w:rFonts w:ascii="Arial" w:hAnsi="Arial" w:cs="Arial"/>
        </w:rPr>
      </w:pPr>
      <w:r w:rsidRPr="00B50B63">
        <w:rPr>
          <w:rFonts w:ascii="Arial" w:hAnsi="Arial" w:cs="Arial"/>
          <w:b/>
          <w:bCs/>
        </w:rPr>
        <w:t>DDS</w:t>
      </w:r>
      <w:r w:rsidRPr="00B50B63">
        <w:rPr>
          <w:rFonts w:ascii="Arial" w:hAnsi="Arial" w:cs="Arial"/>
        </w:rPr>
        <w:t>: Dietary Diversity Score</w:t>
      </w:r>
    </w:p>
    <w:p w14:paraId="19D2A371" w14:textId="77777777" w:rsidR="008B5014" w:rsidRPr="00B50B63" w:rsidRDefault="008B5014" w:rsidP="008B5014">
      <w:pPr>
        <w:jc w:val="both"/>
        <w:rPr>
          <w:rFonts w:ascii="Arial" w:hAnsi="Arial" w:cs="Arial"/>
        </w:rPr>
      </w:pPr>
      <w:r w:rsidRPr="00B50B63">
        <w:rPr>
          <w:rFonts w:ascii="Arial" w:hAnsi="Arial" w:cs="Arial"/>
          <w:b/>
          <w:bCs/>
        </w:rPr>
        <w:t>FFA</w:t>
      </w:r>
      <w:r w:rsidRPr="00B50B63">
        <w:rPr>
          <w:rFonts w:ascii="Arial" w:hAnsi="Arial" w:cs="Arial"/>
        </w:rPr>
        <w:t>: Free Fatty Acid</w:t>
      </w:r>
    </w:p>
    <w:p w14:paraId="40D4DE06" w14:textId="77777777" w:rsidR="008B5014" w:rsidRPr="00B50B63" w:rsidRDefault="008B5014" w:rsidP="008B5014">
      <w:pPr>
        <w:jc w:val="both"/>
        <w:rPr>
          <w:rFonts w:ascii="Arial" w:hAnsi="Arial" w:cs="Arial"/>
          <w:lang w:eastAsia="fr-FR"/>
        </w:rPr>
      </w:pPr>
      <w:r w:rsidRPr="00B50B63">
        <w:rPr>
          <w:rFonts w:ascii="Arial" w:hAnsi="Arial" w:cs="Arial"/>
          <w:b/>
          <w:bCs/>
        </w:rPr>
        <w:t>ACAT-2</w:t>
      </w:r>
      <w:r w:rsidRPr="00B50B63">
        <w:rPr>
          <w:rFonts w:ascii="Arial" w:hAnsi="Arial" w:cs="Arial"/>
        </w:rPr>
        <w:t>: Cholesterol acyltransferase-2</w:t>
      </w:r>
    </w:p>
    <w:p w14:paraId="415659F5" w14:textId="77777777" w:rsidR="008B5014" w:rsidRPr="00B50B63" w:rsidRDefault="008B5014" w:rsidP="008B5014">
      <w:pPr>
        <w:jc w:val="both"/>
        <w:rPr>
          <w:rFonts w:ascii="Arial" w:eastAsia="Calibri" w:hAnsi="Arial" w:cs="Arial"/>
        </w:rPr>
      </w:pPr>
      <w:r w:rsidRPr="00B50B63">
        <w:rPr>
          <w:rFonts w:ascii="Arial" w:hAnsi="Arial" w:cs="Arial"/>
          <w:b/>
          <w:bCs/>
        </w:rPr>
        <w:t>SDF</w:t>
      </w:r>
      <w:r w:rsidRPr="00B50B63">
        <w:rPr>
          <w:rFonts w:ascii="Arial" w:hAnsi="Arial" w:cs="Arial"/>
        </w:rPr>
        <w:t xml:space="preserve">: </w:t>
      </w:r>
      <w:r w:rsidRPr="00B50B63">
        <w:rPr>
          <w:rFonts w:ascii="Arial" w:eastAsia="Calibri" w:hAnsi="Arial" w:cs="Arial"/>
        </w:rPr>
        <w:t xml:space="preserve">Soluble Dietary Fibers </w:t>
      </w:r>
    </w:p>
    <w:p w14:paraId="28C5D450" w14:textId="77777777" w:rsidR="008B5014" w:rsidRPr="00B50B63" w:rsidRDefault="008B5014" w:rsidP="008B5014">
      <w:pPr>
        <w:jc w:val="both"/>
        <w:rPr>
          <w:rFonts w:ascii="Arial" w:eastAsia="Calibri" w:hAnsi="Arial" w:cs="Arial"/>
        </w:rPr>
      </w:pPr>
      <w:r w:rsidRPr="00B50B63">
        <w:rPr>
          <w:rFonts w:ascii="Arial" w:hAnsi="Arial" w:cs="Arial"/>
          <w:b/>
          <w:bCs/>
        </w:rPr>
        <w:t>BS</w:t>
      </w:r>
      <w:r w:rsidRPr="00B50B63">
        <w:rPr>
          <w:rFonts w:ascii="Arial" w:hAnsi="Arial" w:cs="Arial"/>
        </w:rPr>
        <w:t>: Bile Salt</w:t>
      </w:r>
    </w:p>
    <w:p w14:paraId="486EBF67" w14:textId="77777777" w:rsidR="008B5014" w:rsidRPr="00B50B63" w:rsidRDefault="008B5014" w:rsidP="008B5014">
      <w:pPr>
        <w:jc w:val="both"/>
        <w:rPr>
          <w:rFonts w:ascii="Arial" w:eastAsia="Calibri" w:hAnsi="Arial" w:cs="Arial"/>
        </w:rPr>
      </w:pPr>
      <w:r w:rsidRPr="00B50B63">
        <w:rPr>
          <w:rFonts w:ascii="Arial" w:eastAsia="Calibri" w:hAnsi="Arial" w:cs="Arial"/>
          <w:b/>
          <w:bCs/>
        </w:rPr>
        <w:t>AGEs</w:t>
      </w:r>
      <w:r w:rsidRPr="00B50B63">
        <w:rPr>
          <w:rFonts w:ascii="Arial" w:eastAsia="Calibri" w:hAnsi="Arial" w:cs="Arial"/>
        </w:rPr>
        <w:t>: Advanced Glycosylation End-products</w:t>
      </w:r>
    </w:p>
    <w:p w14:paraId="5BB1B10D" w14:textId="77777777" w:rsidR="008B5014" w:rsidRPr="00B50B63" w:rsidRDefault="008B5014" w:rsidP="008B5014">
      <w:pPr>
        <w:jc w:val="both"/>
        <w:rPr>
          <w:rFonts w:ascii="Arial" w:eastAsia="Calibri" w:hAnsi="Arial" w:cs="Arial"/>
        </w:rPr>
      </w:pPr>
      <w:r w:rsidRPr="00B50B63">
        <w:rPr>
          <w:rFonts w:ascii="Arial" w:eastAsia="Calibri" w:hAnsi="Arial" w:cs="Arial"/>
          <w:b/>
          <w:bCs/>
        </w:rPr>
        <w:t>TGF-β</w:t>
      </w:r>
      <w:r w:rsidRPr="00B50B63">
        <w:rPr>
          <w:rFonts w:ascii="Arial" w:eastAsia="Calibri" w:hAnsi="Arial" w:cs="Arial"/>
        </w:rPr>
        <w:t>: Transforming Growth Factor- β</w:t>
      </w:r>
    </w:p>
    <w:p w14:paraId="4AE2295F" w14:textId="77777777" w:rsidR="008B5014" w:rsidRPr="00B50B63" w:rsidRDefault="008B5014" w:rsidP="008B5014">
      <w:pPr>
        <w:jc w:val="both"/>
        <w:rPr>
          <w:rFonts w:ascii="Arial" w:eastAsia="Calibri" w:hAnsi="Arial" w:cs="Arial"/>
        </w:rPr>
      </w:pPr>
      <w:r w:rsidRPr="00B50B63">
        <w:rPr>
          <w:rFonts w:ascii="Arial" w:eastAsia="Calibri" w:hAnsi="Arial" w:cs="Arial"/>
          <w:b/>
          <w:bCs/>
        </w:rPr>
        <w:t>PKC</w:t>
      </w:r>
      <w:r w:rsidRPr="00B50B63">
        <w:rPr>
          <w:rFonts w:ascii="Arial" w:eastAsia="Calibri" w:hAnsi="Arial" w:cs="Arial"/>
        </w:rPr>
        <w:t xml:space="preserve">: Protein Kinase C </w:t>
      </w:r>
    </w:p>
    <w:p w14:paraId="6159FFB2" w14:textId="38798D22" w:rsidR="008B5014" w:rsidRDefault="008B5014" w:rsidP="008B5014">
      <w:pPr>
        <w:jc w:val="both"/>
        <w:rPr>
          <w:rFonts w:ascii="Arial" w:eastAsia="Calibri" w:hAnsi="Arial" w:cs="Arial"/>
        </w:rPr>
      </w:pPr>
      <w:r w:rsidRPr="00B50B63">
        <w:rPr>
          <w:rFonts w:ascii="Arial" w:eastAsia="Calibri" w:hAnsi="Arial" w:cs="Arial"/>
          <w:b/>
          <w:bCs/>
        </w:rPr>
        <w:t>RAAS</w:t>
      </w:r>
      <w:r w:rsidRPr="00B50B63">
        <w:rPr>
          <w:rFonts w:ascii="Arial" w:eastAsia="Calibri" w:hAnsi="Arial" w:cs="Arial"/>
        </w:rPr>
        <w:t>: Renin-Angiotensin-Aldosterone System</w:t>
      </w:r>
    </w:p>
    <w:p w14:paraId="2A2834DC" w14:textId="198BC5B7" w:rsidR="004275E5" w:rsidRDefault="004275E5" w:rsidP="008B5014">
      <w:pPr>
        <w:jc w:val="both"/>
        <w:rPr>
          <w:rFonts w:ascii="Arial" w:eastAsia="Calibri" w:hAnsi="Arial" w:cs="Arial"/>
        </w:rPr>
      </w:pPr>
    </w:p>
    <w:p w14:paraId="222CCF4E" w14:textId="78F5FA81" w:rsidR="004275E5" w:rsidRDefault="004275E5" w:rsidP="008B5014">
      <w:pPr>
        <w:jc w:val="both"/>
        <w:rPr>
          <w:rFonts w:ascii="Arial" w:eastAsia="Calibri" w:hAnsi="Arial" w:cs="Arial"/>
        </w:rPr>
      </w:pPr>
    </w:p>
    <w:p w14:paraId="0F98123D" w14:textId="5B159874" w:rsidR="004275E5" w:rsidRDefault="004275E5" w:rsidP="008B5014">
      <w:pPr>
        <w:jc w:val="both"/>
        <w:rPr>
          <w:rFonts w:ascii="Arial" w:eastAsia="Calibri" w:hAnsi="Arial" w:cs="Arial"/>
        </w:rPr>
      </w:pPr>
    </w:p>
    <w:p w14:paraId="66867A32" w14:textId="77777777" w:rsidR="004275E5" w:rsidRPr="00B50B63" w:rsidRDefault="004275E5" w:rsidP="008B5014">
      <w:pPr>
        <w:jc w:val="both"/>
        <w:rPr>
          <w:rFonts w:ascii="Arial" w:eastAsia="Calibri" w:hAnsi="Arial" w:cs="Arial"/>
        </w:rPr>
      </w:pPr>
    </w:p>
    <w:p w14:paraId="1F8A7361" w14:textId="77777777" w:rsidR="00F27D39" w:rsidRPr="00277351" w:rsidRDefault="00F27D39" w:rsidP="00277351">
      <w:pPr>
        <w:jc w:val="both"/>
        <w:rPr>
          <w:rFonts w:ascii="Arial" w:eastAsia="Calibri" w:hAnsi="Arial" w:cs="Arial"/>
          <w:b/>
          <w:color w:val="FF0000"/>
          <w:kern w:val="2"/>
        </w:rPr>
      </w:pPr>
      <w:bookmarkStart w:id="4" w:name="_Hlk197682619"/>
      <w:bookmarkStart w:id="5" w:name="_Hlk180402183"/>
      <w:bookmarkStart w:id="6" w:name="_Hlk183680988"/>
      <w:r w:rsidRPr="00277351">
        <w:rPr>
          <w:rFonts w:ascii="Arial" w:eastAsia="Calibri" w:hAnsi="Arial" w:cs="Arial"/>
          <w:b/>
          <w:color w:val="FF0000"/>
          <w:kern w:val="2"/>
        </w:rPr>
        <w:t>Disclaimer (Artificial intelligence)</w:t>
      </w:r>
    </w:p>
    <w:p w14:paraId="4BB7B9CB" w14:textId="77777777" w:rsidR="00F27D39" w:rsidRPr="00277351" w:rsidRDefault="00F27D39" w:rsidP="00277351">
      <w:pPr>
        <w:jc w:val="both"/>
        <w:rPr>
          <w:rFonts w:ascii="Arial" w:eastAsia="Calibri" w:hAnsi="Arial" w:cs="Arial"/>
          <w:color w:val="FF0000"/>
          <w:kern w:val="2"/>
        </w:rPr>
      </w:pPr>
      <w:r w:rsidRPr="00277351">
        <w:rPr>
          <w:rFonts w:ascii="Arial" w:eastAsia="Calibri" w:hAnsi="Arial" w:cs="Arial"/>
          <w:color w:val="FF0000"/>
          <w:kern w:val="2"/>
        </w:rPr>
        <w:t xml:space="preserve">Author(s) hereby declare that NO generative AI technologies such as Large Language Models (ChatGPT, COPILOT, etc.) and text-to-image generators have been used during the writing or editing of this manuscript. </w:t>
      </w:r>
    </w:p>
    <w:bookmarkEnd w:id="4"/>
    <w:bookmarkEnd w:id="5"/>
    <w:bookmarkEnd w:id="6"/>
    <w:p w14:paraId="51D4A4CB"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lastRenderedPageBreak/>
        <w:t>References</w:t>
      </w:r>
    </w:p>
    <w:p w14:paraId="65C2E45F" w14:textId="77777777" w:rsidR="00B50B63" w:rsidRPr="00B50B63" w:rsidRDefault="00B50B63" w:rsidP="00B50B63">
      <w:pPr>
        <w:keepNext/>
        <w:jc w:val="both"/>
        <w:rPr>
          <w:rFonts w:ascii="Arial" w:hAnsi="Arial" w:cs="Arial"/>
          <w:b/>
          <w:caps/>
        </w:rPr>
      </w:pPr>
    </w:p>
    <w:p w14:paraId="00C00E8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b/>
          <w:sz w:val="24"/>
          <w:szCs w:val="24"/>
          <w:u w:val="single"/>
        </w:rPr>
        <w:fldChar w:fldCharType="begin" w:fldLock="1"/>
      </w:r>
      <w:r w:rsidRPr="00B50B63">
        <w:rPr>
          <w:rFonts w:ascii="Times New Roman" w:eastAsia="Calibri" w:hAnsi="Times New Roman"/>
          <w:b/>
          <w:sz w:val="24"/>
          <w:szCs w:val="24"/>
          <w:u w:val="single"/>
        </w:rPr>
        <w:instrText xml:space="preserve">ADDIN Mendeley Bibliography CSL_BIBLIOGRAPHY </w:instrText>
      </w:r>
      <w:r w:rsidRPr="00B50B63">
        <w:rPr>
          <w:rFonts w:ascii="Times New Roman" w:eastAsia="Calibri" w:hAnsi="Times New Roman"/>
          <w:b/>
          <w:sz w:val="24"/>
          <w:szCs w:val="24"/>
          <w:u w:val="single"/>
        </w:rPr>
        <w:fldChar w:fldCharType="separate"/>
      </w:r>
      <w:r w:rsidRPr="00B50B63">
        <w:rPr>
          <w:rFonts w:ascii="Times New Roman" w:eastAsia="Calibri" w:hAnsi="Times New Roman"/>
          <w:noProof/>
        </w:rPr>
        <w:t xml:space="preserve">Alkhudidi, F. H., Alsulaimani, A. I., Alharthi, A. H., Alrumaym, A. H., Alharthi, E. K., Altalhi, W. A., Alkhaldi, L. M., Alhossini, Z. A., &amp; Alzahrani, K. T. (2021). Awareness of Type 2 Diabetic Patients about the Importance of Exercise and Diet on Diabetes Type 2 in the Western Region of Saudi Arabia. </w:t>
      </w:r>
      <w:r w:rsidRPr="00B50B63">
        <w:rPr>
          <w:rFonts w:ascii="Times New Roman" w:eastAsia="Calibri" w:hAnsi="Times New Roman"/>
          <w:i/>
          <w:iCs/>
          <w:noProof/>
        </w:rPr>
        <w:t>Materia Socio-Medica</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(4), 276–281. https://doi.org/10.5455/msm.2021.33.276-281</w:t>
      </w:r>
    </w:p>
    <w:p w14:paraId="62FAB1E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Alkhulaifi, F., &amp; Darkoh, C. (2022). Meal Timing, Meal Frequency and Metabolic Syndrome.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(9), 1–10. https://doi.org/10.3390/nu14091719</w:t>
      </w:r>
    </w:p>
    <w:p w14:paraId="4687C8B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Anaizi, N. (2023). The Impact of Uric Acid on Human Health: Beyond Gout and Kidney Stones. </w:t>
      </w:r>
      <w:r w:rsidRPr="00B50B63">
        <w:rPr>
          <w:rFonts w:ascii="Times New Roman" w:eastAsia="Calibri" w:hAnsi="Times New Roman"/>
          <w:i/>
          <w:iCs/>
          <w:noProof/>
        </w:rPr>
        <w:t>Ibnosina Journal of Medicine and Biomedical Sciences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(03), 110–116. https://doi.org/10.1055/s-0043-1770929</w:t>
      </w:r>
    </w:p>
    <w:p w14:paraId="622C7CC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Batista, J. P. T., Faria, A. O. V. de, Ribeiro, T. F. S., &amp; Simões e Silva, A. C. (2023). The Role of Renin–Angiotensin System in Diabetic Cardiomyopathy: A Narrative Review. </w:t>
      </w:r>
      <w:r w:rsidRPr="00B50B63">
        <w:rPr>
          <w:rFonts w:ascii="Times New Roman" w:eastAsia="Calibri" w:hAnsi="Times New Roman"/>
          <w:i/>
          <w:iCs/>
          <w:noProof/>
        </w:rPr>
        <w:t>Life 2023, Vol. 13, Page 1598</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(7), 1598. https://doi.org/10.3390/LIFE13071598</w:t>
      </w:r>
    </w:p>
    <w:p w14:paraId="5FBAFB9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Bertelsen, J., Christiansen, C., Thomsen, C., Poulsen, P. L., Vestergaard, S., Steinov, A., Rasmussen, L. H., Rasmussen, O., &amp; Hermansen, K. (1993). Effect of meal frequency on blood glucose, insulin, and free fatty acids in NIDDM subjects. </w:t>
      </w:r>
      <w:r w:rsidRPr="00B50B63">
        <w:rPr>
          <w:rFonts w:ascii="Times New Roman" w:eastAsia="Calibri" w:hAnsi="Times New Roman"/>
          <w:i/>
          <w:iCs/>
          <w:noProof/>
        </w:rPr>
        <w:t>Diabetes Care</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 4–7. https://doi.org/10.2337/diacare.16.1.4</w:t>
      </w:r>
    </w:p>
    <w:p w14:paraId="2353876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Carlson, R. V., Boyd, K. M., &amp; Webb, D. J. (2004). The revision of the Declaration of Helsinki: Past, present and future. In </w:t>
      </w:r>
      <w:r w:rsidRPr="00B50B63">
        <w:rPr>
          <w:rFonts w:ascii="Times New Roman" w:eastAsia="Calibri" w:hAnsi="Times New Roman"/>
          <w:i/>
          <w:iCs/>
          <w:noProof/>
        </w:rPr>
        <w:t>British Journal of Clinical Pharmacology</w:t>
      </w:r>
      <w:r w:rsidRPr="00B50B63">
        <w:rPr>
          <w:rFonts w:ascii="Times New Roman" w:eastAsia="Calibri" w:hAnsi="Times New Roman"/>
          <w:noProof/>
        </w:rPr>
        <w:t xml:space="preserve"> (Vol. 57, Issue 6, pp. 695–713). https://doi.org/10.1111/j.1365-2125.2004.02103.x</w:t>
      </w:r>
    </w:p>
    <w:p w14:paraId="567E84A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Carlsson, S., Andersson, T., Talbäck, M., &amp; Feychting, M. (2020). Incidence and prevalence of type 2 diabetes by occupation: results from all Swedish employees. </w:t>
      </w:r>
      <w:r w:rsidRPr="00B50B63">
        <w:rPr>
          <w:rFonts w:ascii="Times New Roman" w:eastAsia="Calibri" w:hAnsi="Times New Roman"/>
          <w:i/>
          <w:iCs/>
          <w:noProof/>
        </w:rPr>
        <w:t>Diabetologia</w:t>
      </w:r>
      <w:r w:rsidRPr="00B50B63">
        <w:rPr>
          <w:rFonts w:ascii="Times New Roman" w:eastAsia="Calibri" w:hAnsi="Times New Roman"/>
          <w:noProof/>
        </w:rPr>
        <w:t xml:space="preserve">, </w:t>
      </w:r>
      <w:r w:rsidRPr="00B50B63">
        <w:rPr>
          <w:rFonts w:ascii="Times New Roman" w:eastAsia="Calibri" w:hAnsi="Times New Roman"/>
          <w:i/>
          <w:iCs/>
          <w:noProof/>
        </w:rPr>
        <w:t>63</w:t>
      </w:r>
      <w:r w:rsidRPr="00B50B63">
        <w:rPr>
          <w:rFonts w:ascii="Times New Roman" w:eastAsia="Calibri" w:hAnsi="Times New Roman"/>
          <w:noProof/>
        </w:rPr>
        <w:t>(1), 95–103. https://doi.org/10.1007/s00125-019-04997-5</w:t>
      </w:r>
    </w:p>
    <w:p w14:paraId="4EB4261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Challa, H. J., Ameer, M. A., &amp; Uppaluri, K. R. (2020). DASH Diet To Stop Hypertension. In </w:t>
      </w:r>
      <w:r w:rsidRPr="00B50B63">
        <w:rPr>
          <w:rFonts w:ascii="Times New Roman" w:eastAsia="Calibri" w:hAnsi="Times New Roman"/>
          <w:i/>
          <w:iCs/>
          <w:noProof/>
        </w:rPr>
        <w:t>StatPearls</w:t>
      </w:r>
      <w:r w:rsidRPr="00B50B63">
        <w:rPr>
          <w:rFonts w:ascii="Times New Roman" w:eastAsia="Calibri" w:hAnsi="Times New Roman"/>
          <w:noProof/>
        </w:rPr>
        <w:t>. StatPearls Publishing. https://www.ncbi.nlm.nih.gov/books/NBK482514/</w:t>
      </w:r>
    </w:p>
    <w:p w14:paraId="7026A4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Chalmers, J. (1999). 1999 World Health Organization-International Society of Hypertension guidelines for the management of hypertension. </w:t>
      </w:r>
      <w:r w:rsidRPr="00B50B63">
        <w:rPr>
          <w:rFonts w:ascii="Times New Roman" w:eastAsia="Calibri" w:hAnsi="Times New Roman"/>
          <w:i/>
          <w:iCs/>
          <w:noProof/>
        </w:rPr>
        <w:t>Clinical and Experimental Hypertension</w:t>
      </w:r>
      <w:r w:rsidRPr="00B50B63">
        <w:rPr>
          <w:rFonts w:ascii="Times New Roman" w:eastAsia="Calibri" w:hAnsi="Times New Roman"/>
          <w:noProof/>
        </w:rPr>
        <w:t xml:space="preserve">, </w:t>
      </w:r>
      <w:r w:rsidRPr="00B50B63">
        <w:rPr>
          <w:rFonts w:ascii="Times New Roman" w:eastAsia="Calibri" w:hAnsi="Times New Roman"/>
          <w:i/>
          <w:iCs/>
          <w:noProof/>
        </w:rPr>
        <w:t>21</w:t>
      </w:r>
      <w:r w:rsidRPr="00B50B63">
        <w:rPr>
          <w:rFonts w:ascii="Times New Roman" w:eastAsia="Calibri" w:hAnsi="Times New Roman"/>
          <w:noProof/>
        </w:rPr>
        <w:t>(5–6), 1009–1060. https://doi.org/10.3109/10641969909061028</w:t>
      </w:r>
    </w:p>
    <w:p w14:paraId="1570D3E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Chandrasekaran, P., &amp; Weiskirchen, R. (2024). The Role of Obesity in Type 2 Diabetes Mellitus—An Overview.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(3). https://doi.org/10.3390/ijms25031882</w:t>
      </w:r>
    </w:p>
    <w:p w14:paraId="247D1F1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Chen, Z., Xue, X., Ma, L., Zhou, S., Li, K., Wang, C., Sun, W., Li, C., &amp; Chen, Y. (2024). Effect of low-purine diet on the serum uric acid of gout patients in different clinical subtypes: a prospective cohort study. </w:t>
      </w:r>
      <w:r w:rsidRPr="00B50B63">
        <w:rPr>
          <w:rFonts w:ascii="Times New Roman" w:eastAsia="Calibri" w:hAnsi="Times New Roman"/>
          <w:i/>
          <w:iCs/>
          <w:noProof/>
        </w:rPr>
        <w:t>European Journal of Medical Research</w:t>
      </w:r>
      <w:r w:rsidRPr="00B50B63">
        <w:rPr>
          <w:rFonts w:ascii="Times New Roman" w:eastAsia="Calibri" w:hAnsi="Times New Roman"/>
          <w:noProof/>
        </w:rPr>
        <w:t xml:space="preserve">, </w:t>
      </w:r>
      <w:r w:rsidRPr="00B50B63">
        <w:rPr>
          <w:rFonts w:ascii="Times New Roman" w:eastAsia="Calibri" w:hAnsi="Times New Roman"/>
          <w:i/>
          <w:iCs/>
          <w:noProof/>
        </w:rPr>
        <w:t>29</w:t>
      </w:r>
      <w:r w:rsidRPr="00B50B63">
        <w:rPr>
          <w:rFonts w:ascii="Times New Roman" w:eastAsia="Calibri" w:hAnsi="Times New Roman"/>
          <w:noProof/>
        </w:rPr>
        <w:t>(1), 449. https://doi.org/10.1186/s40001-024-02012-1</w:t>
      </w:r>
    </w:p>
    <w:p w14:paraId="6F1F036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Dionadji M, Boy B, Mouanodji M, B. G. (2010). Prevalence of diabetes mellitus in rural areas in Chad. </w:t>
      </w:r>
      <w:r w:rsidRPr="00B50B63">
        <w:rPr>
          <w:rFonts w:ascii="Times New Roman" w:eastAsia="Calibri" w:hAnsi="Times New Roman"/>
          <w:i/>
          <w:iCs/>
          <w:noProof/>
          <w:lang w:val="fr-FR"/>
        </w:rPr>
        <w:t>Medecine Tropicale : Revue Du Corps de Sante Colonial</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70</w:t>
      </w:r>
      <w:r w:rsidRPr="00B50B63">
        <w:rPr>
          <w:rFonts w:ascii="Times New Roman" w:eastAsia="Calibri" w:hAnsi="Times New Roman"/>
          <w:noProof/>
          <w:lang w:val="fr-FR"/>
        </w:rPr>
        <w:t>(4), 414–415.</w:t>
      </w:r>
    </w:p>
    <w:p w14:paraId="13D29A4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Dionadji, M., Oumar, A., Nodjito, M., &amp; Ibrahim, A. (2015). Prévalence des complications médicales chez les Diabétiques Hospitalisés à l’Hôpital Général de Référence Nationale de Ndjamena. </w:t>
      </w:r>
      <w:r w:rsidRPr="00B50B63">
        <w:rPr>
          <w:rFonts w:ascii="Times New Roman" w:eastAsia="Calibri" w:hAnsi="Times New Roman"/>
          <w:noProof/>
        </w:rPr>
        <w:t xml:space="preserve">In </w:t>
      </w:r>
      <w:r w:rsidRPr="00B50B63">
        <w:rPr>
          <w:rFonts w:ascii="Times New Roman" w:eastAsia="Calibri" w:hAnsi="Times New Roman"/>
          <w:i/>
          <w:iCs/>
          <w:noProof/>
        </w:rPr>
        <w:t>Health Sciences and Diseases</w:t>
      </w:r>
      <w:r w:rsidRPr="00B50B63">
        <w:rPr>
          <w:rFonts w:ascii="Times New Roman" w:eastAsia="Calibri" w:hAnsi="Times New Roman"/>
          <w:noProof/>
        </w:rPr>
        <w:t xml:space="preserve"> (Vol. 16, Issue 3, pp. 1–4). http://www.hsd-fmsb.org/index.php/hsd/article/view/553</w:t>
      </w:r>
    </w:p>
    <w:p w14:paraId="117471A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Do, H., Choi, H. J., Choi, B., Son, C. N., Kim, S. H., Ha, Y. J., Kim, J. H., Kim, M. J., Shin, K., Kim, H. O., Song, R., Lee, S. W., Ahn, J. K., Lee, S. G., Lee, C. H., Son, K. M., &amp; Moon, K. W. (2024). High vegetable consumption and regular exercise are associated with better quality of life in patients with gout. </w:t>
      </w:r>
      <w:r w:rsidRPr="00B50B63">
        <w:rPr>
          <w:rFonts w:ascii="Times New Roman" w:eastAsia="Calibri" w:hAnsi="Times New Roman"/>
          <w:i/>
          <w:iCs/>
          <w:noProof/>
        </w:rPr>
        <w:t>Korean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39</w:t>
      </w:r>
      <w:r w:rsidRPr="00B50B63">
        <w:rPr>
          <w:rFonts w:ascii="Times New Roman" w:eastAsia="Calibri" w:hAnsi="Times New Roman"/>
          <w:noProof/>
        </w:rPr>
        <w:t>(5), 845–854. https://doi.org/10.3904/kjim.2023.476</w:t>
      </w:r>
    </w:p>
    <w:p w14:paraId="3B37E1F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Dubsky, M., Veleba, J., Sojakova, D., Marhefkova, N., Fejfarova, V., &amp; Jude, E. B. (2023). Endothelial Dysfunction in Diabetes Mellitus: New Insights.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24</w:t>
      </w:r>
      <w:r w:rsidRPr="00B50B63">
        <w:rPr>
          <w:rFonts w:ascii="Times New Roman" w:eastAsia="Calibri" w:hAnsi="Times New Roman"/>
          <w:noProof/>
        </w:rPr>
        <w:t>(13), 1–12. https://doi.org/10.3390/ijms241310705</w:t>
      </w:r>
    </w:p>
    <w:p w14:paraId="69E393B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Fazeli, P. K., Lee, H., &amp; Steinhauser, M. L. (2019). Aging Is a Powerful Risk Factor for Type 2 Diabetes Mellitus Independent of Body Mass Index. </w:t>
      </w:r>
      <w:r w:rsidRPr="00B50B63">
        <w:rPr>
          <w:rFonts w:ascii="Times New Roman" w:eastAsia="Calibri" w:hAnsi="Times New Roman"/>
          <w:i/>
          <w:iCs/>
          <w:noProof/>
        </w:rPr>
        <w:t>Gerontology</w:t>
      </w:r>
      <w:r w:rsidRPr="00B50B63">
        <w:rPr>
          <w:rFonts w:ascii="Times New Roman" w:eastAsia="Calibri" w:hAnsi="Times New Roman"/>
          <w:noProof/>
        </w:rPr>
        <w:t xml:space="preserve">, </w:t>
      </w:r>
      <w:r w:rsidRPr="00B50B63">
        <w:rPr>
          <w:rFonts w:ascii="Times New Roman" w:eastAsia="Calibri" w:hAnsi="Times New Roman"/>
          <w:i/>
          <w:iCs/>
          <w:noProof/>
        </w:rPr>
        <w:t>66</w:t>
      </w:r>
      <w:r w:rsidRPr="00B50B63">
        <w:rPr>
          <w:rFonts w:ascii="Times New Roman" w:eastAsia="Calibri" w:hAnsi="Times New Roman"/>
          <w:noProof/>
        </w:rPr>
        <w:t xml:space="preserve">(2), 209–210. </w:t>
      </w:r>
      <w:r w:rsidRPr="00B50B63">
        <w:rPr>
          <w:rFonts w:ascii="Times New Roman" w:eastAsia="Calibri" w:hAnsi="Times New Roman"/>
          <w:noProof/>
        </w:rPr>
        <w:lastRenderedPageBreak/>
        <w:t>https://doi.org/10.1159/000501745</w:t>
      </w:r>
    </w:p>
    <w:p w14:paraId="5AA6EA6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Gunness, P., &amp; Gidley, M. J. (2010). Mechanisms underlying the cholesterol-lowering properties of soluble dietary fibre polysaccharides. </w:t>
      </w:r>
      <w:r w:rsidRPr="00B50B63">
        <w:rPr>
          <w:rFonts w:ascii="Times New Roman" w:eastAsia="Calibri" w:hAnsi="Times New Roman"/>
          <w:i/>
          <w:iCs/>
          <w:noProof/>
        </w:rPr>
        <w:t>Food and Function</w:t>
      </w:r>
      <w:r w:rsidRPr="00B50B63">
        <w:rPr>
          <w:rFonts w:ascii="Times New Roman" w:eastAsia="Calibri" w:hAnsi="Times New Roman"/>
          <w:noProof/>
        </w:rPr>
        <w:t xml:space="preserve">, </w:t>
      </w:r>
      <w:r w:rsidRPr="00B50B63">
        <w:rPr>
          <w:rFonts w:ascii="Times New Roman" w:eastAsia="Calibri" w:hAnsi="Times New Roman"/>
          <w:i/>
          <w:iCs/>
          <w:noProof/>
        </w:rPr>
        <w:t>1</w:t>
      </w:r>
      <w:r w:rsidRPr="00B50B63">
        <w:rPr>
          <w:rFonts w:ascii="Times New Roman" w:eastAsia="Calibri" w:hAnsi="Times New Roman"/>
          <w:noProof/>
        </w:rPr>
        <w:t>(2), 149–155. https://doi.org/10.1039/c0fo00080a</w:t>
      </w:r>
    </w:p>
    <w:p w14:paraId="507AAB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Helget, L. N., &amp; Mikuls, T. R. (2022). Environmental Triggers of Hyperuricemia and Gout. </w:t>
      </w:r>
      <w:r w:rsidRPr="00B50B63">
        <w:rPr>
          <w:rFonts w:ascii="Times New Roman" w:eastAsia="Calibri" w:hAnsi="Times New Roman"/>
          <w:i/>
          <w:iCs/>
          <w:noProof/>
        </w:rPr>
        <w:t>Rheumatic Disease Clinics of North America</w:t>
      </w:r>
      <w:r w:rsidRPr="00B50B63">
        <w:rPr>
          <w:rFonts w:ascii="Times New Roman" w:eastAsia="Calibri" w:hAnsi="Times New Roman"/>
          <w:noProof/>
        </w:rPr>
        <w:t xml:space="preserve">, </w:t>
      </w:r>
      <w:r w:rsidRPr="00B50B63">
        <w:rPr>
          <w:rFonts w:ascii="Times New Roman" w:eastAsia="Calibri" w:hAnsi="Times New Roman"/>
          <w:i/>
          <w:iCs/>
          <w:noProof/>
        </w:rPr>
        <w:t>48</w:t>
      </w:r>
      <w:r w:rsidRPr="00B50B63">
        <w:rPr>
          <w:rFonts w:ascii="Times New Roman" w:eastAsia="Calibri" w:hAnsi="Times New Roman"/>
          <w:noProof/>
        </w:rPr>
        <w:t>(4), 891–906. https://doi.org/10.1016/j.rdc.2022.06.009</w:t>
      </w:r>
    </w:p>
    <w:p w14:paraId="0D0149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Hua, B., Dong, Z., Yang, Y., Liu, W., Chen, S., Chen, Y., Sun, X., Ye, D., Li, J., &amp; Mao, Y. (2024). Dietary Carbohydrates, Genetic Susceptibility, and Gout Risk: A Prospective Cohort Study in the UK. </w:t>
      </w:r>
      <w:r w:rsidRPr="00B50B63">
        <w:rPr>
          <w:rFonts w:ascii="Times New Roman" w:eastAsia="Calibri" w:hAnsi="Times New Roman"/>
          <w:i/>
          <w:iCs/>
          <w:noProof/>
        </w:rPr>
        <w:t xml:space="preserve">Nutrients </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(17). https://doi.org/10.3390/nu16172883</w:t>
      </w:r>
    </w:p>
    <w:p w14:paraId="0560037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IDF. (2021). International Diabetes Federation. In IDF Diabetes Atlas (Ed.),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(10TH editi, Vol. 102, Issue 2). https://doi.org/10.1016/j.diabres.2013.10.013</w:t>
      </w:r>
    </w:p>
    <w:p w14:paraId="4F71726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Jesch, E. D., &amp; Carr, T. P. (2017). Food Ingredients That Inhibit Cholesterol Absorption. </w:t>
      </w:r>
      <w:r w:rsidRPr="00B50B63">
        <w:rPr>
          <w:rFonts w:ascii="Times New Roman" w:eastAsia="Calibri" w:hAnsi="Times New Roman"/>
          <w:i/>
          <w:iCs/>
          <w:noProof/>
        </w:rPr>
        <w:t>Preventive Nutrition and Food Science</w:t>
      </w:r>
      <w:r w:rsidRPr="00B50B63">
        <w:rPr>
          <w:rFonts w:ascii="Times New Roman" w:eastAsia="Calibri" w:hAnsi="Times New Roman"/>
          <w:noProof/>
        </w:rPr>
        <w:t xml:space="preserve">, </w:t>
      </w:r>
      <w:r w:rsidRPr="00B50B63">
        <w:rPr>
          <w:rFonts w:ascii="Times New Roman" w:eastAsia="Calibri" w:hAnsi="Times New Roman"/>
          <w:i/>
          <w:iCs/>
          <w:noProof/>
        </w:rPr>
        <w:t>22</w:t>
      </w:r>
      <w:r w:rsidRPr="00B50B63">
        <w:rPr>
          <w:rFonts w:ascii="Times New Roman" w:eastAsia="Calibri" w:hAnsi="Times New Roman"/>
          <w:noProof/>
        </w:rPr>
        <w:t>(2), 67–80. https://doi.org/https://doi.org/10.3746/pnf.2017.22.2.67</w:t>
      </w:r>
    </w:p>
    <w:p w14:paraId="4E3DA2A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Jia, G., &amp; Sowers, J. R. (2021). Hypertension in Diabetes: An Update of Basic Mechanisms and Clinical Disease. </w:t>
      </w:r>
      <w:r w:rsidRPr="00B50B63">
        <w:rPr>
          <w:rFonts w:ascii="Times New Roman" w:eastAsia="Calibri" w:hAnsi="Times New Roman"/>
          <w:i/>
          <w:iCs/>
          <w:noProof/>
          <w:lang w:val="fr-FR"/>
        </w:rPr>
        <w:t>Hypertension</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78</w:t>
      </w:r>
      <w:r w:rsidRPr="00B50B63">
        <w:rPr>
          <w:rFonts w:ascii="Times New Roman" w:eastAsia="Calibri" w:hAnsi="Times New Roman"/>
          <w:noProof/>
          <w:lang w:val="fr-FR"/>
        </w:rPr>
        <w:t>(5), 1197–1205. https://doi.org/10.1161/HYPERTENSIONAHA.121.17981</w:t>
      </w:r>
    </w:p>
    <w:p w14:paraId="2D96532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Kambou Ludovic, J. (1997). </w:t>
      </w:r>
      <w:r w:rsidRPr="00B50B63">
        <w:rPr>
          <w:rFonts w:ascii="Times New Roman" w:eastAsia="Calibri" w:hAnsi="Times New Roman"/>
          <w:i/>
          <w:iCs/>
          <w:noProof/>
          <w:lang w:val="fr-FR"/>
        </w:rPr>
        <w:t>Contribution à l’étude de l’alimentation du diabétique dans le service de médecine interne du Centre Hospitalier National Yalgado-Ouédraogo</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14</w:t>
      </w:r>
      <w:r w:rsidRPr="00B50B63">
        <w:rPr>
          <w:rFonts w:ascii="Times New Roman" w:eastAsia="Calibri" w:hAnsi="Times New Roman"/>
          <w:noProof/>
          <w:lang w:val="fr-FR"/>
        </w:rPr>
        <w:t>, 1–150. http://www.beep.ird.fr/collect/uouaga/index/assoc/M08226.dir/M08226.pdf</w:t>
      </w:r>
    </w:p>
    <w:p w14:paraId="7B003775"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Kawalkar, U., Mankar, A., Puri, M., Singh, A., Telrandhe, S., Gaidhane, A., Talapalliwar, M., &amp; Fuladi, S. (2025). Evaluating diabetes-related nutrition knowledge and dietary beliefs among type 2 diabetes patients in Vidarbha region , Maharashtra : a mixed method approach for insightful analysis. </w:t>
      </w:r>
      <w:r w:rsidRPr="00B50B63">
        <w:rPr>
          <w:rFonts w:ascii="Times New Roman" w:eastAsia="Calibri" w:hAnsi="Times New Roman"/>
          <w:i/>
          <w:iCs/>
          <w:noProof/>
        </w:rPr>
        <w:t>Frontiers in Nutrition</w:t>
      </w:r>
      <w:r w:rsidRPr="00B50B63">
        <w:rPr>
          <w:rFonts w:ascii="Times New Roman" w:eastAsia="Calibri" w:hAnsi="Times New Roman"/>
          <w:noProof/>
        </w:rPr>
        <w:t xml:space="preserve">, </w:t>
      </w:r>
      <w:r w:rsidRPr="00B50B63">
        <w:rPr>
          <w:rFonts w:ascii="Times New Roman" w:eastAsia="Calibri" w:hAnsi="Times New Roman"/>
          <w:i/>
          <w:iCs/>
          <w:noProof/>
        </w:rPr>
        <w:t>12</w:t>
      </w:r>
      <w:r w:rsidRPr="00B50B63">
        <w:rPr>
          <w:rFonts w:ascii="Times New Roman" w:eastAsia="Calibri" w:hAnsi="Times New Roman"/>
          <w:noProof/>
        </w:rPr>
        <w:t>(1420662), 1–7. https://doi.org/10.3389/fnut.2025.1420662</w:t>
      </w:r>
    </w:p>
    <w:p w14:paraId="525C8A3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Kurtzhals, P., Flindt Kreiner, F., &amp; Singh Bindra, R. (2023). The role of weight control in the management of type 2 diabetes mellitus: Perspectives on semaglutide.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w:t>
      </w:r>
      <w:r w:rsidRPr="00B50B63">
        <w:rPr>
          <w:rFonts w:ascii="Times New Roman" w:eastAsia="Calibri" w:hAnsi="Times New Roman"/>
          <w:i/>
          <w:iCs/>
          <w:noProof/>
        </w:rPr>
        <w:t>203</w:t>
      </w:r>
      <w:r w:rsidRPr="00B50B63">
        <w:rPr>
          <w:rFonts w:ascii="Times New Roman" w:eastAsia="Calibri" w:hAnsi="Times New Roman"/>
          <w:noProof/>
        </w:rPr>
        <w:t>, 110881. https://doi.org/10.1016/J.DIABRES.2023.110881</w:t>
      </w:r>
    </w:p>
    <w:p w14:paraId="432F9D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Ley, S. H., Hamdy, O., Mohan, V., &amp; Hu, F. B. (2014). Prevention and management of type 2 diabetes: Dietary components and nutritional strategies. In </w:t>
      </w:r>
      <w:r w:rsidRPr="00B50B63">
        <w:rPr>
          <w:rFonts w:ascii="Times New Roman" w:eastAsia="Calibri" w:hAnsi="Times New Roman"/>
          <w:i/>
          <w:iCs/>
          <w:noProof/>
        </w:rPr>
        <w:t>The Lancet</w:t>
      </w:r>
      <w:r w:rsidRPr="00B50B63">
        <w:rPr>
          <w:rFonts w:ascii="Times New Roman" w:eastAsia="Calibri" w:hAnsi="Times New Roman"/>
          <w:noProof/>
        </w:rPr>
        <w:t xml:space="preserve"> (Vol. 383, Issue 9933, pp. 1999–2007). https://doi.org/10.1016/S0140-6736(14)60613-9</w:t>
      </w:r>
    </w:p>
    <w:p w14:paraId="14B3533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Li, R., He, M., Yang, Q., Liang, Z., li, Y., Huang, L., Wu, R., &amp; Huang, J. (2023). Association between serum creatinine and type 2 diabetes in the Chinese population: a retrospective cohort study. </w:t>
      </w:r>
      <w:r w:rsidRPr="00B50B63">
        <w:rPr>
          <w:rFonts w:ascii="Times New Roman" w:eastAsia="Calibri" w:hAnsi="Times New Roman"/>
          <w:i/>
          <w:iCs/>
          <w:noProof/>
        </w:rPr>
        <w:t>Scientific Reports</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(1), 1–9. https://doi.org/10.1038/s41598-023-33878-6</w:t>
      </w:r>
    </w:p>
    <w:p w14:paraId="3E8C4B8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Minari, T. P., Tácito, L. H. B., Yugar, L. B. T., Ferreira-Melo, S. E., Manzano, C. F., Pires, A. C., Moreno, H., Vilela-Martin, J. F., Cosenso-Martin, L. N., &amp; Yugar-Toledo, J. C. (2023). Nutritional Strategies for the Management of Type 2 Diabetes Mellitus: A Narrative Review.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(24), 1–27. https://doi.org/10.3390/nu15245096</w:t>
      </w:r>
    </w:p>
    <w:p w14:paraId="273B79F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Naha, S., Gardner, M. J., Khangura, D., Kurukulasuriya, L. R., &amp; Sowers, J. R. (2021). Hypertension in Diabetes. </w:t>
      </w:r>
      <w:r w:rsidRPr="00B50B63">
        <w:rPr>
          <w:rFonts w:ascii="Times New Roman" w:eastAsia="Calibri" w:hAnsi="Times New Roman"/>
          <w:i/>
          <w:iCs/>
          <w:noProof/>
        </w:rPr>
        <w:t>Diabetes and Kidney Disease, Second Edition</w:t>
      </w:r>
      <w:r w:rsidRPr="00B50B63">
        <w:rPr>
          <w:rFonts w:ascii="Times New Roman" w:eastAsia="Calibri" w:hAnsi="Times New Roman"/>
          <w:noProof/>
        </w:rPr>
        <w:t>, 263–291. https://www.ncbi.nlm.nih.gov/books/NBK279027/</w:t>
      </w:r>
    </w:p>
    <w:p w14:paraId="2FC33B2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NCD Team. (2023). Analytical Fact Sheet Diabetes , a silent killer in Africa. </w:t>
      </w:r>
      <w:r w:rsidRPr="00B50B63">
        <w:rPr>
          <w:rFonts w:ascii="Times New Roman" w:eastAsia="Calibri" w:hAnsi="Times New Roman"/>
          <w:i/>
          <w:iCs/>
          <w:noProof/>
        </w:rPr>
        <w:t>WHO: Integrated African Health Observatory</w:t>
      </w:r>
      <w:r w:rsidRPr="00B50B63">
        <w:rPr>
          <w:rFonts w:ascii="Times New Roman" w:eastAsia="Calibri" w:hAnsi="Times New Roman"/>
          <w:noProof/>
        </w:rPr>
        <w:t xml:space="preserve">, </w:t>
      </w:r>
      <w:r w:rsidRPr="00B50B63">
        <w:rPr>
          <w:rFonts w:ascii="Times New Roman" w:eastAsia="Calibri" w:hAnsi="Times New Roman"/>
          <w:i/>
          <w:iCs/>
          <w:noProof/>
        </w:rPr>
        <w:t>March</w:t>
      </w:r>
      <w:r w:rsidRPr="00B50B63">
        <w:rPr>
          <w:rFonts w:ascii="Times New Roman" w:eastAsia="Calibri" w:hAnsi="Times New Roman"/>
          <w:noProof/>
        </w:rPr>
        <w:t>, 1–9.</w:t>
      </w:r>
    </w:p>
    <w:p w14:paraId="6FC1C82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Packer, M. (2024). Hyperuricemia and Gout Reduction by SGLT2 Inhibitors in Diabetes and Heart Failure: JACC Review Topic of the Week. </w:t>
      </w:r>
      <w:r w:rsidRPr="00B50B63">
        <w:rPr>
          <w:rFonts w:ascii="Times New Roman" w:eastAsia="Calibri" w:hAnsi="Times New Roman"/>
          <w:i/>
          <w:iCs/>
          <w:noProof/>
        </w:rPr>
        <w:t>Journal of the American College of Cardiology</w:t>
      </w:r>
      <w:r w:rsidRPr="00B50B63">
        <w:rPr>
          <w:rFonts w:ascii="Times New Roman" w:eastAsia="Calibri" w:hAnsi="Times New Roman"/>
          <w:noProof/>
        </w:rPr>
        <w:t xml:space="preserve">, </w:t>
      </w:r>
      <w:r w:rsidRPr="00B50B63">
        <w:rPr>
          <w:rFonts w:ascii="Times New Roman" w:eastAsia="Calibri" w:hAnsi="Times New Roman"/>
          <w:i/>
          <w:iCs/>
          <w:noProof/>
        </w:rPr>
        <w:t>83</w:t>
      </w:r>
      <w:r w:rsidRPr="00B50B63">
        <w:rPr>
          <w:rFonts w:ascii="Times New Roman" w:eastAsia="Calibri" w:hAnsi="Times New Roman"/>
          <w:noProof/>
        </w:rPr>
        <w:t>(2), 371–381. https://doi.org/10.1016/J.JACC.2023.10.030</w:t>
      </w:r>
    </w:p>
    <w:p w14:paraId="78291AD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Piko, P., Werissa, N. A., Fiatal, S., Sandor, J., &amp; Adany, R. (2021). Impact of genetic factors on the age of onset for type 2 diabetes mellitus in addition to the conventional risk factors. </w:t>
      </w:r>
      <w:r w:rsidRPr="00B50B63">
        <w:rPr>
          <w:rFonts w:ascii="Times New Roman" w:eastAsia="Calibri" w:hAnsi="Times New Roman"/>
          <w:i/>
          <w:iCs/>
          <w:noProof/>
        </w:rPr>
        <w:t>Journal of Personalized Medicine</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(1), 1–17. https://doi.org/10.3390/jpm11010006</w:t>
      </w:r>
    </w:p>
    <w:p w14:paraId="5BF8C39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Sakallı, A. A., Küçükerdem, H. S., &amp; Aygün, O. (2023). </w:t>
      </w:r>
      <w:r w:rsidRPr="00B50B63">
        <w:rPr>
          <w:rFonts w:ascii="Times New Roman" w:eastAsia="Calibri" w:hAnsi="Times New Roman"/>
          <w:i/>
          <w:iCs/>
          <w:noProof/>
        </w:rPr>
        <w:t>Medicine ® What is the relationship between serum uric acid level and insulin resistance? A case-control study</w:t>
      </w:r>
      <w:r w:rsidRPr="00B50B63">
        <w:rPr>
          <w:rFonts w:ascii="Times New Roman" w:eastAsia="Calibri" w:hAnsi="Times New Roman"/>
          <w:noProof/>
        </w:rPr>
        <w:t>. https://doi.org/10.1097/MD.0000000000036732</w:t>
      </w:r>
    </w:p>
    <w:p w14:paraId="717444F4"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lastRenderedPageBreak/>
        <w:t xml:space="preserve">Singh, B., Koneru, Y. C., Zimmerman, H., Kanagala, S. G., Milne, I., Sethi, A., &amp; Jain, R. (2023). A step in the right direction: exploring the effects of aerobic exercise on HbA1c reduction. </w:t>
      </w:r>
      <w:r w:rsidRPr="00B50B63">
        <w:rPr>
          <w:rFonts w:ascii="Times New Roman" w:eastAsia="Calibri" w:hAnsi="Times New Roman"/>
          <w:i/>
          <w:iCs/>
          <w:noProof/>
        </w:rPr>
        <w:t>The Egyptian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35</w:t>
      </w:r>
      <w:r w:rsidRPr="00B50B63">
        <w:rPr>
          <w:rFonts w:ascii="Times New Roman" w:eastAsia="Calibri" w:hAnsi="Times New Roman"/>
          <w:noProof/>
        </w:rPr>
        <w:t>(1), 4–9. https://doi.org/10.1186/s43162-023-00247-8</w:t>
      </w:r>
    </w:p>
    <w:p w14:paraId="148641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Song, Y., Zhang, X., Zhang, H., Yang, Q., Zhang, S., Zhang, Y., Chen, Y., Ji, Y., &amp; Hu, X. (2019). </w:t>
      </w:r>
      <w:r w:rsidRPr="00B50B63">
        <w:rPr>
          <w:rFonts w:ascii="Times New Roman" w:eastAsia="Calibri" w:hAnsi="Times New Roman"/>
          <w:noProof/>
        </w:rPr>
        <w:t xml:space="preserve">Prevalence of Diabetes and Prediabetes in Adults from a Third-Tier City in Eastern China: A Cross-Sectional Study. </w:t>
      </w:r>
      <w:r w:rsidRPr="00B50B63">
        <w:rPr>
          <w:rFonts w:ascii="Times New Roman" w:eastAsia="Calibri" w:hAnsi="Times New Roman"/>
          <w:i/>
          <w:iCs/>
          <w:noProof/>
        </w:rPr>
        <w:t>Diabetes Therapy</w:t>
      </w:r>
      <w:r w:rsidRPr="00B50B63">
        <w:rPr>
          <w:rFonts w:ascii="Times New Roman" w:eastAsia="Calibri" w:hAnsi="Times New Roman"/>
          <w:noProof/>
        </w:rPr>
        <w:t xml:space="preserve">, </w:t>
      </w:r>
      <w:r w:rsidRPr="00B50B63">
        <w:rPr>
          <w:rFonts w:ascii="Times New Roman" w:eastAsia="Calibri" w:hAnsi="Times New Roman"/>
          <w:i/>
          <w:iCs/>
          <w:noProof/>
        </w:rPr>
        <w:t>10</w:t>
      </w:r>
      <w:r w:rsidRPr="00B50B63">
        <w:rPr>
          <w:rFonts w:ascii="Times New Roman" w:eastAsia="Calibri" w:hAnsi="Times New Roman"/>
          <w:noProof/>
        </w:rPr>
        <w:t>(4), 1473–1485. https://doi.org/10.1007/s13300-019-0655-x</w:t>
      </w:r>
    </w:p>
    <w:p w14:paraId="7D84CA3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Taju, K. G., Aldossari, A. S., Almuhanna, F. M., Khalid, G., &amp; Harazi, A. (2024). </w:t>
      </w:r>
      <w:r w:rsidRPr="00B50B63">
        <w:rPr>
          <w:rFonts w:ascii="Times New Roman" w:eastAsia="Calibri" w:hAnsi="Times New Roman"/>
          <w:i/>
          <w:iCs/>
          <w:noProof/>
        </w:rPr>
        <w:t>Role of Diet and Lifestyle in Prevention of Recurrent Gout Attacks</w:t>
      </w:r>
      <w:r w:rsidRPr="00B50B63">
        <w:rPr>
          <w:rFonts w:ascii="Times New Roman" w:eastAsia="Calibri" w:hAnsi="Times New Roman"/>
          <w:noProof/>
        </w:rPr>
        <w:t xml:space="preserve">. </w:t>
      </w:r>
      <w:r w:rsidRPr="00B50B63">
        <w:rPr>
          <w:rFonts w:ascii="Times New Roman" w:eastAsia="Calibri" w:hAnsi="Times New Roman"/>
          <w:i/>
          <w:iCs/>
          <w:noProof/>
        </w:rPr>
        <w:t>4</w:t>
      </w:r>
      <w:r w:rsidRPr="00B50B63">
        <w:rPr>
          <w:rFonts w:ascii="Times New Roman" w:eastAsia="Calibri" w:hAnsi="Times New Roman"/>
          <w:noProof/>
        </w:rPr>
        <w:t>(12).</w:t>
      </w:r>
    </w:p>
    <w:p w14:paraId="6A4EA19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Waqas Sami, T. A., Butt, N. S., &amp; Hamid, M. R. A. (2017). Effect of diet on type 2 diabetes mellitus: A review. </w:t>
      </w:r>
      <w:r w:rsidRPr="00B50B63">
        <w:rPr>
          <w:rFonts w:ascii="Times New Roman" w:eastAsia="Calibri" w:hAnsi="Times New Roman"/>
          <w:i/>
          <w:iCs/>
          <w:noProof/>
        </w:rPr>
        <w:t>International Journal of Health Sciences</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(2), 65–71.</w:t>
      </w:r>
    </w:p>
    <w:p w14:paraId="659A9A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(2014). </w:t>
      </w:r>
      <w:r w:rsidRPr="00B50B63">
        <w:rPr>
          <w:rFonts w:ascii="Times New Roman" w:eastAsia="Calibri" w:hAnsi="Times New Roman"/>
          <w:i/>
          <w:iCs/>
          <w:noProof/>
        </w:rPr>
        <w:t>Obesity and overweight</w:t>
      </w:r>
      <w:r w:rsidRPr="00B50B63">
        <w:rPr>
          <w:rFonts w:ascii="Times New Roman" w:eastAsia="Calibri" w:hAnsi="Times New Roman"/>
          <w:noProof/>
        </w:rPr>
        <w:t>. https://www.who.int/en/news-room/fact-sheets/detail/obesity-and-overweight</w:t>
      </w:r>
    </w:p>
    <w:p w14:paraId="7723A0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(2024a). </w:t>
      </w:r>
      <w:r w:rsidRPr="00B50B63">
        <w:rPr>
          <w:rFonts w:ascii="Times New Roman" w:eastAsia="Calibri" w:hAnsi="Times New Roman"/>
          <w:i/>
          <w:iCs/>
          <w:noProof/>
        </w:rPr>
        <w:t>Diabetes</w:t>
      </w:r>
      <w:r w:rsidRPr="00B50B63">
        <w:rPr>
          <w:rFonts w:ascii="Times New Roman" w:eastAsia="Calibri" w:hAnsi="Times New Roman"/>
          <w:noProof/>
        </w:rPr>
        <w:t>. https://www.who.int/news-room/fact-sheets/detail/diabetes</w:t>
      </w:r>
    </w:p>
    <w:p w14:paraId="2CCEDC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(2024b). </w:t>
      </w:r>
      <w:r w:rsidRPr="00B50B63">
        <w:rPr>
          <w:rFonts w:ascii="Times New Roman" w:eastAsia="Calibri" w:hAnsi="Times New Roman"/>
          <w:i/>
          <w:iCs/>
          <w:noProof/>
        </w:rPr>
        <w:t>World Diabetes Day | United Nations</w:t>
      </w:r>
      <w:r w:rsidRPr="00B50B63">
        <w:rPr>
          <w:rFonts w:ascii="Times New Roman" w:eastAsia="Calibri" w:hAnsi="Times New Roman"/>
          <w:noProof/>
        </w:rPr>
        <w:t>. https://www.un.org/en/observances/diabetes-day</w:t>
      </w:r>
    </w:p>
    <w:p w14:paraId="16E09A9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Williams, R. (2019). L’ATLAS DU DIABÈTE DE LA FID 9ème Édition 2019. In </w:t>
      </w:r>
      <w:r w:rsidRPr="00B50B63">
        <w:rPr>
          <w:rFonts w:ascii="Times New Roman" w:eastAsia="Calibri" w:hAnsi="Times New Roman"/>
          <w:i/>
          <w:iCs/>
          <w:noProof/>
          <w:lang w:val="fr-FR"/>
        </w:rPr>
        <w:t>Atlas du diabète de la FID: Vol. 9ème éditi</w:t>
      </w:r>
      <w:r w:rsidRPr="00B50B63">
        <w:rPr>
          <w:rFonts w:ascii="Times New Roman" w:eastAsia="Calibri" w:hAnsi="Times New Roman"/>
          <w:noProof/>
          <w:lang w:val="fr-FR"/>
        </w:rPr>
        <w:t>.</w:t>
      </w:r>
    </w:p>
    <w:p w14:paraId="41964A5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Yan, Z., Cai, M., Han, X., Chen, Q., &amp; Lu, H. (2023). The Interaction Between Age and Risk Factors for Diabetes and Prediabetes: A Community-Based Cross-Sectional Study. </w:t>
      </w:r>
      <w:r w:rsidRPr="00B50B63">
        <w:rPr>
          <w:rFonts w:ascii="Times New Roman" w:eastAsia="Calibri" w:hAnsi="Times New Roman"/>
          <w:i/>
          <w:iCs/>
          <w:noProof/>
        </w:rPr>
        <w:t>Diabetes, Metabolic Syndrome and Obesity</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(December 2022), 85–93. https://doi.org/10.2147/DMSO.S390857</w:t>
      </w:r>
    </w:p>
    <w:p w14:paraId="3DAF0F7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 Y., Zhuo, S., Lu, W., He, K., Sui, Y., Li, Y., Chen, Y., Wu, S., Chen, P., &amp; Fang, S. (2022). A diet rich in fruit and whole grains is associated with a low risk of type 2 diabetes mellitus: findings from a case-control study in South China. </w:t>
      </w:r>
      <w:r w:rsidRPr="00B50B63">
        <w:rPr>
          <w:rFonts w:ascii="Times New Roman" w:eastAsia="Calibri" w:hAnsi="Times New Roman"/>
          <w:i/>
          <w:iCs/>
          <w:noProof/>
        </w:rPr>
        <w:t>Public Health Nutrition</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(6), 1492–1503. https://doi.org/10.1017/S1368980020004930</w:t>
      </w:r>
    </w:p>
    <w:p w14:paraId="7FF1784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Yeh, Y. K., Yen, F. S., &amp; Hwu, C. M. (2023). Diet and exercise are a fundamental part of comprehensive care for type 2 diabetes. </w:t>
      </w:r>
      <w:r w:rsidRPr="00B50B63">
        <w:rPr>
          <w:rFonts w:ascii="Times New Roman" w:eastAsia="Calibri" w:hAnsi="Times New Roman"/>
          <w:i/>
          <w:iCs/>
          <w:noProof/>
        </w:rPr>
        <w:t>Journal of Diabetes Investigation</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(8), 936–939. https://doi.org/10.1111/jdi.14043</w:t>
      </w:r>
    </w:p>
    <w:p w14:paraId="6DA1695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Yokose, C., McCormick, N., &amp; Choi, H. K. (2021). The role of diet in hyperuricemia and gout. </w:t>
      </w:r>
      <w:r w:rsidRPr="00B50B63">
        <w:rPr>
          <w:rFonts w:ascii="Times New Roman" w:eastAsia="Calibri" w:hAnsi="Times New Roman"/>
          <w:i/>
          <w:iCs/>
          <w:noProof/>
        </w:rPr>
        <w:t>Current Opinion in Rheumatology</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(2), 135–144. https://doi.org/10.1097/BOR.0000000000000779</w:t>
      </w:r>
    </w:p>
    <w:p w14:paraId="6453AF3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X. long, Zhang, M., Lei, N., Ouyang, W. wei, Chen, H. fen, Lao, B. ni, Xu, Y. min, Tang, F., Fu, L. zhe, Liu, X. sheng, &amp; Wu, Y. fan. (2023). An investigation of low-protein diets’ qualification rates and an analysis of their short-term effects for patients with CKD stages 3–5: a single-center retrospective cohort study from China. </w:t>
      </w:r>
      <w:r w:rsidRPr="00B50B63">
        <w:rPr>
          <w:rFonts w:ascii="Times New Roman" w:eastAsia="Calibri" w:hAnsi="Times New Roman"/>
          <w:i/>
          <w:iCs/>
          <w:noProof/>
        </w:rPr>
        <w:t>International Urology and Nephrology</w:t>
      </w:r>
      <w:r w:rsidRPr="00B50B63">
        <w:rPr>
          <w:rFonts w:ascii="Times New Roman" w:eastAsia="Calibri" w:hAnsi="Times New Roman"/>
          <w:noProof/>
        </w:rPr>
        <w:t xml:space="preserve">, </w:t>
      </w:r>
      <w:r w:rsidRPr="00B50B63">
        <w:rPr>
          <w:rFonts w:ascii="Times New Roman" w:eastAsia="Calibri" w:hAnsi="Times New Roman"/>
          <w:i/>
          <w:iCs/>
          <w:noProof/>
        </w:rPr>
        <w:t>55</w:t>
      </w:r>
      <w:r w:rsidRPr="00B50B63">
        <w:rPr>
          <w:rFonts w:ascii="Times New Roman" w:eastAsia="Calibri" w:hAnsi="Times New Roman"/>
          <w:noProof/>
        </w:rPr>
        <w:t>(4), 1059–1070. https://doi.org/10.1007/s11255-022-03390-3</w:t>
      </w:r>
    </w:p>
    <w:p w14:paraId="79766F4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Y., Chen, S., Yuan, M., Xu, Y., &amp; Xu, H. (2022). Gout and Diet: A Comprehensive Review of Mechanisms and Management.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(17), 1–22. https://doi.org/10.3390/nu14173525</w:t>
      </w:r>
    </w:p>
    <w:p w14:paraId="4F97F8DE" w14:textId="77777777" w:rsidR="00B50B63" w:rsidRPr="00B50B63" w:rsidRDefault="00B50B63" w:rsidP="00B50B63">
      <w:pPr>
        <w:spacing w:line="480" w:lineRule="auto"/>
        <w:jc w:val="both"/>
        <w:rPr>
          <w:rFonts w:ascii="Calibri" w:eastAsia="Calibri" w:hAnsi="Calibri"/>
          <w:sz w:val="22"/>
          <w:szCs w:val="22"/>
        </w:rPr>
      </w:pPr>
      <w:r w:rsidRPr="00B50B63">
        <w:rPr>
          <w:rFonts w:ascii="Times New Roman" w:eastAsia="Calibri" w:hAnsi="Times New Roman"/>
          <w:b/>
          <w:sz w:val="24"/>
          <w:szCs w:val="24"/>
          <w:u w:val="single"/>
        </w:rPr>
        <w:fldChar w:fldCharType="end"/>
      </w:r>
      <w:r w:rsidRPr="00B50B63">
        <w:rPr>
          <w:rFonts w:ascii="Calibri" w:eastAsia="Calibri" w:hAnsi="Calibri"/>
          <w:sz w:val="22"/>
          <w:szCs w:val="22"/>
        </w:rPr>
        <w:t xml:space="preserve"> </w:t>
      </w:r>
    </w:p>
    <w:p w14:paraId="18514415" w14:textId="77777777" w:rsidR="00B50B63" w:rsidRPr="00B50B63" w:rsidRDefault="00B50B63" w:rsidP="00B50B63">
      <w:pPr>
        <w:spacing w:after="160" w:line="480" w:lineRule="auto"/>
        <w:rPr>
          <w:rFonts w:ascii="Times New Roman" w:eastAsia="Calibri" w:hAnsi="Times New Roman"/>
          <w:b/>
          <w:sz w:val="24"/>
          <w:szCs w:val="24"/>
          <w:u w:val="single"/>
        </w:rPr>
        <w:sectPr w:rsidR="00B50B63" w:rsidRPr="00B50B63" w:rsidSect="003B650A">
          <w:headerReference w:type="even" r:id="rId24"/>
          <w:headerReference w:type="default" r:id="rId25"/>
          <w:footerReference w:type="default" r:id="rId26"/>
          <w:headerReference w:type="first" r:id="rId27"/>
          <w:type w:val="continuous"/>
          <w:pgSz w:w="12240" w:h="15840"/>
          <w:pgMar w:top="1440" w:right="2016" w:bottom="2016" w:left="2016" w:header="709" w:footer="709" w:gutter="0"/>
          <w:cols w:space="708"/>
          <w:docGrid w:linePitch="360"/>
        </w:sectPr>
      </w:pPr>
    </w:p>
    <w:p w14:paraId="00ADA90F" w14:textId="77777777" w:rsidR="00B50B63" w:rsidRPr="00B50B63" w:rsidRDefault="00B50B63" w:rsidP="00B50B63">
      <w:pPr>
        <w:spacing w:line="480" w:lineRule="auto"/>
        <w:jc w:val="both"/>
        <w:rPr>
          <w:rFonts w:ascii="Times New Roman" w:eastAsia="Calibri" w:hAnsi="Times New Roman"/>
          <w:b/>
          <w:bCs/>
          <w:sz w:val="24"/>
          <w:szCs w:val="24"/>
        </w:rPr>
      </w:pPr>
      <w:r w:rsidRPr="00B50B63">
        <w:rPr>
          <w:rFonts w:ascii="Arial" w:eastAsia="Calibri" w:hAnsi="Arial" w:cs="Arial"/>
          <w:b/>
          <w:bCs/>
          <w:sz w:val="22"/>
          <w:szCs w:val="22"/>
        </w:rPr>
        <w:lastRenderedPageBreak/>
        <w:t>APPENDIX</w:t>
      </w:r>
    </w:p>
    <w:p w14:paraId="213B463E" w14:textId="77777777" w:rsidR="00B50B63" w:rsidRPr="00B50B63" w:rsidRDefault="00B50B63" w:rsidP="00B50B63">
      <w:pPr>
        <w:spacing w:line="480" w:lineRule="auto"/>
        <w:jc w:val="both"/>
        <w:rPr>
          <w:rFonts w:ascii="Arial" w:eastAsia="Calibri" w:hAnsi="Arial" w:cs="Arial"/>
          <w:b/>
          <w:bCs/>
        </w:rPr>
      </w:pPr>
      <w:r w:rsidRPr="00B50B63">
        <w:rPr>
          <w:rFonts w:ascii="Arial" w:eastAsia="Calibri" w:hAnsi="Arial" w:cs="Arial"/>
          <w:b/>
          <w:bCs/>
        </w:rPr>
        <w:t>APPENDIX-1: Seven-day diet plan for overweight diabetic</w:t>
      </w:r>
    </w:p>
    <w:tbl>
      <w:tblPr>
        <w:tblStyle w:val="TableGrid1"/>
        <w:tblpPr w:leftFromText="180" w:rightFromText="180" w:vertAnchor="page" w:horzAnchor="margin" w:tblpY="2266"/>
        <w:tblW w:w="5000" w:type="pct"/>
        <w:tblLook w:val="04A0" w:firstRow="1" w:lastRow="0" w:firstColumn="1" w:lastColumn="0" w:noHBand="0" w:noVBand="1"/>
      </w:tblPr>
      <w:tblGrid>
        <w:gridCol w:w="1228"/>
        <w:gridCol w:w="2745"/>
        <w:gridCol w:w="3488"/>
        <w:gridCol w:w="1620"/>
        <w:gridCol w:w="2717"/>
      </w:tblGrid>
      <w:tr w:rsidR="00B50B63" w:rsidRPr="00B50B63" w14:paraId="7372A561" w14:textId="77777777" w:rsidTr="0008278F">
        <w:tc>
          <w:tcPr>
            <w:tcW w:w="474" w:type="pct"/>
          </w:tcPr>
          <w:p w14:paraId="7A028F4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75" w:type="pct"/>
          </w:tcPr>
          <w:p w14:paraId="4F3FFC43"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490" w:type="pct"/>
          </w:tcPr>
          <w:p w14:paraId="64BD67A3"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698" w:type="pct"/>
          </w:tcPr>
          <w:p w14:paraId="513DB52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164" w:type="pct"/>
          </w:tcPr>
          <w:p w14:paraId="475A6F75"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50AA97E9" w14:textId="77777777" w:rsidTr="0008278F">
        <w:tc>
          <w:tcPr>
            <w:tcW w:w="474" w:type="pct"/>
          </w:tcPr>
          <w:p w14:paraId="103F7E3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75" w:type="pct"/>
          </w:tcPr>
          <w:p w14:paraId="6ED8CC54" w14:textId="77777777" w:rsidR="00B50B63" w:rsidRPr="00B50B63" w:rsidRDefault="00B50B63" w:rsidP="00B50B63">
            <w:pPr>
              <w:contextualSpacing/>
              <w:jc w:val="both"/>
              <w:rPr>
                <w:rFonts w:ascii="Arial" w:hAnsi="Arial" w:cs="Arial"/>
                <w:sz w:val="20"/>
              </w:rPr>
            </w:pPr>
            <w:r w:rsidRPr="00B50B63">
              <w:rPr>
                <w:rFonts w:ascii="Arial" w:hAnsi="Arial" w:cs="Arial"/>
                <w:sz w:val="20"/>
              </w:rPr>
              <w:t>1 glass of Skimmed milk + ½ whole meal bread + 1 egg + spice + 2 glasses of water</w:t>
            </w:r>
          </w:p>
        </w:tc>
        <w:tc>
          <w:tcPr>
            <w:tcW w:w="1490" w:type="pct"/>
          </w:tcPr>
          <w:p w14:paraId="0E23AB01" w14:textId="77777777" w:rsidR="00B50B63" w:rsidRPr="00B50B63" w:rsidRDefault="00B50B63" w:rsidP="00B50B63">
            <w:pPr>
              <w:jc w:val="both"/>
              <w:rPr>
                <w:rFonts w:ascii="Arial" w:hAnsi="Arial" w:cs="Arial"/>
                <w:sz w:val="20"/>
              </w:rPr>
            </w:pPr>
            <w:r w:rsidRPr="00B50B63">
              <w:rPr>
                <w:rFonts w:ascii="Arial" w:hAnsi="Arial" w:cs="Arial"/>
                <w:sz w:val="20"/>
              </w:rPr>
              <w:t>Vegetable stir-fry (spinach) with carrots + Fresh fish + 8   tbsp of Rice + a glass of orange juice + 2-3 glasses of water</w:t>
            </w:r>
          </w:p>
        </w:tc>
        <w:tc>
          <w:tcPr>
            <w:tcW w:w="698" w:type="pct"/>
          </w:tcPr>
          <w:p w14:paraId="0963FBD7"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5BC11C9A" w14:textId="77777777" w:rsidR="00B50B63" w:rsidRPr="00B50B63" w:rsidRDefault="00B50B63" w:rsidP="00B50B63">
            <w:pPr>
              <w:jc w:val="both"/>
              <w:rPr>
                <w:rFonts w:ascii="Arial" w:hAnsi="Arial" w:cs="Arial"/>
                <w:sz w:val="20"/>
              </w:rPr>
            </w:pPr>
            <w:r w:rsidRPr="00B50B63">
              <w:rPr>
                <w:rFonts w:ascii="Arial" w:hAnsi="Arial" w:cs="Arial"/>
                <w:sz w:val="20"/>
              </w:rPr>
              <w:t>Raw vegetables</w:t>
            </w:r>
          </w:p>
        </w:tc>
        <w:tc>
          <w:tcPr>
            <w:tcW w:w="1164" w:type="pct"/>
          </w:tcPr>
          <w:p w14:paraId="1A733450" w14:textId="77777777" w:rsidR="00B50B63" w:rsidRPr="00B50B63" w:rsidRDefault="00B50B63" w:rsidP="00B50B63">
            <w:pPr>
              <w:jc w:val="both"/>
              <w:rPr>
                <w:rFonts w:ascii="Arial" w:hAnsi="Arial" w:cs="Arial"/>
                <w:sz w:val="20"/>
              </w:rPr>
            </w:pPr>
            <w:r w:rsidRPr="00B50B63">
              <w:rPr>
                <w:rFonts w:ascii="Arial" w:hAnsi="Arial" w:cs="Arial"/>
                <w:sz w:val="20"/>
              </w:rPr>
              <w:t>Vegetable stir-fry + carrots + ½ whole meal bread + Fish + 2 glasses of water + 1 apple</w:t>
            </w:r>
          </w:p>
        </w:tc>
      </w:tr>
      <w:tr w:rsidR="00B50B63" w:rsidRPr="00B50B63" w14:paraId="609E484A" w14:textId="77777777" w:rsidTr="0008278F">
        <w:tc>
          <w:tcPr>
            <w:tcW w:w="474" w:type="pct"/>
          </w:tcPr>
          <w:p w14:paraId="3B929DFC"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75" w:type="pct"/>
          </w:tcPr>
          <w:p w14:paraId="02C3AC4F" w14:textId="77777777" w:rsidR="00B50B63" w:rsidRPr="00B50B63" w:rsidRDefault="00B50B63" w:rsidP="00B50B63">
            <w:pPr>
              <w:jc w:val="both"/>
              <w:rPr>
                <w:rFonts w:ascii="Arial" w:hAnsi="Arial" w:cs="Arial"/>
                <w:sz w:val="20"/>
              </w:rPr>
            </w:pPr>
            <w:r w:rsidRPr="00B50B63">
              <w:rPr>
                <w:rFonts w:ascii="Arial" w:hAnsi="Arial" w:cs="Arial"/>
                <w:sz w:val="20"/>
              </w:rPr>
              <w:t>. 1 cup of Tea + 2 tsp honey</w:t>
            </w:r>
          </w:p>
          <w:p w14:paraId="27B60B6C"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DE0F4F9" w14:textId="77777777" w:rsidR="00B50B63" w:rsidRPr="00B50B63" w:rsidRDefault="00B50B63" w:rsidP="00B50B63">
            <w:pPr>
              <w:jc w:val="both"/>
              <w:rPr>
                <w:rFonts w:ascii="Arial" w:hAnsi="Arial" w:cs="Arial"/>
                <w:sz w:val="20"/>
              </w:rPr>
            </w:pPr>
            <w:r w:rsidRPr="00B50B63">
              <w:rPr>
                <w:rFonts w:ascii="Arial" w:hAnsi="Arial" w:cs="Arial"/>
                <w:sz w:val="20"/>
              </w:rPr>
              <w:t>. 3 tbsp olive oil</w:t>
            </w:r>
          </w:p>
          <w:p w14:paraId="0A22AA8F"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1490" w:type="pct"/>
          </w:tcPr>
          <w:p w14:paraId="6EF5E8F8" w14:textId="77777777" w:rsidR="00B50B63" w:rsidRPr="00B50B63" w:rsidRDefault="00B50B63" w:rsidP="00B50B63">
            <w:pPr>
              <w:jc w:val="both"/>
              <w:rPr>
                <w:rFonts w:ascii="Arial" w:hAnsi="Arial" w:cs="Arial"/>
                <w:sz w:val="20"/>
              </w:rPr>
            </w:pPr>
            <w:r w:rsidRPr="00B50B63">
              <w:rPr>
                <w:rFonts w:ascii="Arial" w:hAnsi="Arial" w:cs="Arial"/>
                <w:sz w:val="20"/>
              </w:rPr>
              <w:t>. 1 sardine</w:t>
            </w:r>
          </w:p>
          <w:p w14:paraId="6AF754B2" w14:textId="77777777" w:rsidR="00B50B63" w:rsidRPr="00B50B63" w:rsidRDefault="00B50B63" w:rsidP="00B50B63">
            <w:pPr>
              <w:jc w:val="both"/>
              <w:rPr>
                <w:rFonts w:ascii="Arial" w:hAnsi="Arial" w:cs="Arial"/>
                <w:sz w:val="20"/>
              </w:rPr>
            </w:pPr>
            <w:r w:rsidRPr="00B50B63">
              <w:rPr>
                <w:rFonts w:ascii="Arial" w:hAnsi="Arial" w:cs="Arial"/>
                <w:sz w:val="20"/>
              </w:rPr>
              <w:t>. Macaroni</w:t>
            </w:r>
          </w:p>
          <w:p w14:paraId="2D79325E" w14:textId="77777777" w:rsidR="00B50B63" w:rsidRPr="00B50B63" w:rsidRDefault="00B50B63" w:rsidP="00B50B63">
            <w:pPr>
              <w:jc w:val="both"/>
              <w:rPr>
                <w:rFonts w:ascii="Arial" w:hAnsi="Arial" w:cs="Arial"/>
                <w:sz w:val="20"/>
              </w:rPr>
            </w:pPr>
            <w:r w:rsidRPr="00B50B63">
              <w:rPr>
                <w:rFonts w:ascii="Arial" w:hAnsi="Arial" w:cs="Arial"/>
                <w:sz w:val="20"/>
              </w:rPr>
              <w:t xml:space="preserve">. 1 glass of skimmed milk. </w:t>
            </w:r>
          </w:p>
          <w:p w14:paraId="1D8E03D0" w14:textId="77777777" w:rsidR="00B50B63" w:rsidRPr="00B50B63" w:rsidRDefault="00B50B63" w:rsidP="00B50B63">
            <w:pPr>
              <w:jc w:val="both"/>
              <w:rPr>
                <w:rFonts w:ascii="Arial" w:hAnsi="Arial" w:cs="Arial"/>
                <w:sz w:val="20"/>
              </w:rPr>
            </w:pPr>
            <w:r w:rsidRPr="00B50B63">
              <w:rPr>
                <w:rFonts w:ascii="Arial" w:hAnsi="Arial" w:cs="Arial"/>
                <w:sz w:val="20"/>
              </w:rPr>
              <w:t>. 1 apple (green)</w:t>
            </w:r>
          </w:p>
        </w:tc>
        <w:tc>
          <w:tcPr>
            <w:tcW w:w="698" w:type="pct"/>
          </w:tcPr>
          <w:p w14:paraId="6C34F6DC"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6EF4DE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164" w:type="pct"/>
          </w:tcPr>
          <w:p w14:paraId="658BA99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39F62BE6"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3FEDDD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p w14:paraId="5390446F"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6B15FAC4" w14:textId="77777777" w:rsidTr="0008278F">
        <w:tc>
          <w:tcPr>
            <w:tcW w:w="474" w:type="pct"/>
          </w:tcPr>
          <w:p w14:paraId="334823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75" w:type="pct"/>
          </w:tcPr>
          <w:p w14:paraId="717E90A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1F7FDDB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7696BF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1490" w:type="pct"/>
          </w:tcPr>
          <w:p w14:paraId="725F4B80" w14:textId="77777777" w:rsidR="00B50B63" w:rsidRPr="00B50B63" w:rsidRDefault="00B50B63" w:rsidP="00B50B63">
            <w:pPr>
              <w:jc w:val="both"/>
              <w:rPr>
                <w:rFonts w:ascii="Arial" w:hAnsi="Arial" w:cs="Arial"/>
                <w:sz w:val="20"/>
              </w:rPr>
            </w:pPr>
            <w:r w:rsidRPr="00B50B63">
              <w:rPr>
                <w:rFonts w:ascii="Arial" w:hAnsi="Arial" w:cs="Arial"/>
                <w:sz w:val="20"/>
              </w:rPr>
              <w:t>. dried fish + fresh okra</w:t>
            </w:r>
          </w:p>
          <w:p w14:paraId="4CE061DD"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7173892" w14:textId="77777777" w:rsidR="00B50B63" w:rsidRPr="00B50B63" w:rsidRDefault="00B50B63" w:rsidP="00B50B63">
            <w:pPr>
              <w:jc w:val="both"/>
              <w:rPr>
                <w:rFonts w:ascii="Arial" w:hAnsi="Arial" w:cs="Arial"/>
                <w:sz w:val="20"/>
              </w:rPr>
            </w:pPr>
            <w:r w:rsidRPr="00B50B63">
              <w:rPr>
                <w:rFonts w:ascii="Arial" w:hAnsi="Arial" w:cs="Arial"/>
                <w:sz w:val="20"/>
              </w:rPr>
              <w:t>. Grapefruit</w:t>
            </w:r>
          </w:p>
          <w:p w14:paraId="30E21859" w14:textId="77777777" w:rsidR="00B50B63" w:rsidRPr="00B50B63" w:rsidRDefault="00B50B63" w:rsidP="00B50B63">
            <w:pPr>
              <w:jc w:val="both"/>
              <w:rPr>
                <w:rFonts w:ascii="Arial" w:hAnsi="Arial" w:cs="Arial"/>
                <w:sz w:val="20"/>
              </w:rPr>
            </w:pPr>
            <w:r w:rsidRPr="00B50B63">
              <w:rPr>
                <w:rFonts w:ascii="Arial" w:hAnsi="Arial" w:cs="Arial"/>
                <w:sz w:val="20"/>
              </w:rPr>
              <w:t>. 2-3 Glasses of water</w:t>
            </w:r>
          </w:p>
        </w:tc>
        <w:tc>
          <w:tcPr>
            <w:tcW w:w="698" w:type="pct"/>
          </w:tcPr>
          <w:p w14:paraId="6CCCE9F8" w14:textId="77777777" w:rsidR="00B50B63" w:rsidRPr="00B50B63" w:rsidRDefault="00B50B63" w:rsidP="00B50B63">
            <w:pPr>
              <w:jc w:val="both"/>
              <w:rPr>
                <w:rFonts w:ascii="Arial" w:hAnsi="Arial" w:cs="Arial"/>
                <w:sz w:val="20"/>
              </w:rPr>
            </w:pPr>
            <w:r w:rsidRPr="00B50B63">
              <w:rPr>
                <w:rFonts w:ascii="Arial" w:hAnsi="Arial" w:cs="Arial"/>
                <w:sz w:val="20"/>
              </w:rPr>
              <w:t>. 1 green tea + 2 tsp honey</w:t>
            </w:r>
          </w:p>
          <w:p w14:paraId="0C38AE8E" w14:textId="77777777" w:rsidR="00B50B63" w:rsidRPr="00B50B63" w:rsidRDefault="00B50B63" w:rsidP="00B50B63">
            <w:pPr>
              <w:jc w:val="both"/>
              <w:rPr>
                <w:rFonts w:ascii="Arial" w:hAnsi="Arial" w:cs="Arial"/>
                <w:sz w:val="20"/>
              </w:rPr>
            </w:pPr>
            <w:r w:rsidRPr="00B50B63">
              <w:rPr>
                <w:rFonts w:ascii="Arial" w:hAnsi="Arial" w:cs="Arial"/>
                <w:sz w:val="20"/>
              </w:rPr>
              <w:t>. Lemon</w:t>
            </w:r>
          </w:p>
          <w:p w14:paraId="758D40F2" w14:textId="77777777" w:rsidR="00B50B63" w:rsidRPr="00B50B63" w:rsidRDefault="00B50B63" w:rsidP="00B50B63">
            <w:pPr>
              <w:jc w:val="both"/>
              <w:rPr>
                <w:rFonts w:ascii="Arial" w:hAnsi="Arial" w:cs="Arial"/>
                <w:sz w:val="20"/>
              </w:rPr>
            </w:pPr>
            <w:r w:rsidRPr="00B50B63">
              <w:rPr>
                <w:rFonts w:ascii="Arial" w:hAnsi="Arial" w:cs="Arial"/>
                <w:sz w:val="20"/>
              </w:rPr>
              <w:t>. 1 yogurt</w:t>
            </w:r>
          </w:p>
        </w:tc>
        <w:tc>
          <w:tcPr>
            <w:tcW w:w="1164" w:type="pct"/>
          </w:tcPr>
          <w:p w14:paraId="47016911" w14:textId="77777777" w:rsidR="00B50B63" w:rsidRPr="00B50B63" w:rsidRDefault="00B50B63" w:rsidP="00B50B63">
            <w:pPr>
              <w:jc w:val="both"/>
              <w:rPr>
                <w:rFonts w:ascii="Arial" w:hAnsi="Arial" w:cs="Arial"/>
                <w:sz w:val="20"/>
              </w:rPr>
            </w:pPr>
            <w:r w:rsidRPr="00B50B63">
              <w:rPr>
                <w:rFonts w:ascii="Arial" w:hAnsi="Arial" w:cs="Arial"/>
                <w:sz w:val="20"/>
              </w:rPr>
              <w:t>. meat soup+1/2 Whole wheat bread</w:t>
            </w:r>
          </w:p>
          <w:p w14:paraId="1C289369" w14:textId="77777777" w:rsidR="00B50B63" w:rsidRPr="00B50B63" w:rsidRDefault="00B50B63" w:rsidP="00B50B63">
            <w:pPr>
              <w:jc w:val="both"/>
              <w:rPr>
                <w:rFonts w:ascii="Arial" w:hAnsi="Arial" w:cs="Arial"/>
                <w:sz w:val="20"/>
              </w:rPr>
            </w:pPr>
            <w:r w:rsidRPr="00B50B63">
              <w:rPr>
                <w:rFonts w:ascii="Arial" w:hAnsi="Arial" w:cs="Arial"/>
                <w:sz w:val="20"/>
              </w:rPr>
              <w:t>. 2 Oranges</w:t>
            </w:r>
          </w:p>
          <w:p w14:paraId="5BABDBA4"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7F9A9E5C" w14:textId="77777777" w:rsidTr="0008278F">
        <w:tc>
          <w:tcPr>
            <w:tcW w:w="474" w:type="pct"/>
          </w:tcPr>
          <w:p w14:paraId="4542296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75" w:type="pct"/>
          </w:tcPr>
          <w:p w14:paraId="163AA24B" w14:textId="77777777" w:rsidR="00B50B63" w:rsidRPr="00B50B63" w:rsidRDefault="00B50B63" w:rsidP="00B50B63">
            <w:pPr>
              <w:jc w:val="both"/>
              <w:rPr>
                <w:rFonts w:ascii="Arial" w:hAnsi="Arial" w:cs="Arial"/>
                <w:sz w:val="20"/>
              </w:rPr>
            </w:pPr>
            <w:r w:rsidRPr="00B50B63">
              <w:rPr>
                <w:rFonts w:ascii="Arial" w:hAnsi="Arial" w:cs="Arial"/>
                <w:sz w:val="20"/>
              </w:rPr>
              <w:t>-1 cup of Tea + 2 tsp honey</w:t>
            </w:r>
          </w:p>
          <w:p w14:paraId="6270DD3A"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1EE3ECF0" w14:textId="77777777" w:rsidR="00B50B63" w:rsidRPr="00B50B63" w:rsidRDefault="00B50B63" w:rsidP="00B50B63">
            <w:pPr>
              <w:jc w:val="both"/>
              <w:rPr>
                <w:rFonts w:ascii="Arial" w:hAnsi="Arial" w:cs="Arial"/>
                <w:sz w:val="20"/>
              </w:rPr>
            </w:pPr>
            <w:r w:rsidRPr="00B50B63">
              <w:rPr>
                <w:rFonts w:ascii="Arial" w:hAnsi="Arial" w:cs="Arial"/>
                <w:sz w:val="20"/>
              </w:rPr>
              <w:t>. 1 boiled egg)</w:t>
            </w:r>
          </w:p>
          <w:p w14:paraId="29057820" w14:textId="77777777" w:rsidR="00B50B63" w:rsidRPr="00B50B63" w:rsidRDefault="00B50B63" w:rsidP="00B50B63">
            <w:pPr>
              <w:jc w:val="both"/>
              <w:rPr>
                <w:rFonts w:ascii="Arial" w:hAnsi="Arial" w:cs="Arial"/>
                <w:sz w:val="20"/>
              </w:rPr>
            </w:pPr>
            <w:r w:rsidRPr="00B50B63">
              <w:rPr>
                <w:rFonts w:ascii="Arial" w:hAnsi="Arial" w:cs="Arial"/>
                <w:sz w:val="20"/>
              </w:rPr>
              <w:t>. 1 Little ripe mango</w:t>
            </w:r>
          </w:p>
        </w:tc>
        <w:tc>
          <w:tcPr>
            <w:tcW w:w="1490" w:type="pct"/>
          </w:tcPr>
          <w:p w14:paraId="51DE1B4C" w14:textId="77777777" w:rsidR="00B50B63" w:rsidRPr="00B50B63" w:rsidRDefault="00B50B63" w:rsidP="00B50B63">
            <w:pPr>
              <w:jc w:val="both"/>
              <w:rPr>
                <w:rFonts w:ascii="Arial" w:hAnsi="Arial" w:cs="Arial"/>
                <w:sz w:val="20"/>
              </w:rPr>
            </w:pPr>
            <w:r w:rsidRPr="00B50B63">
              <w:rPr>
                <w:rFonts w:ascii="Arial" w:hAnsi="Arial" w:cs="Arial"/>
                <w:sz w:val="20"/>
              </w:rPr>
              <w:t>. skinless chicken + spices</w:t>
            </w:r>
          </w:p>
          <w:p w14:paraId="50CA0AE0" w14:textId="77777777" w:rsidR="00B50B63" w:rsidRPr="00B50B63" w:rsidRDefault="00B50B63" w:rsidP="00B50B63">
            <w:pPr>
              <w:jc w:val="both"/>
              <w:rPr>
                <w:rFonts w:ascii="Arial" w:hAnsi="Arial" w:cs="Arial"/>
                <w:sz w:val="20"/>
              </w:rPr>
            </w:pPr>
            <w:r w:rsidRPr="00B50B63">
              <w:rPr>
                <w:rFonts w:ascii="Arial" w:hAnsi="Arial" w:cs="Arial"/>
                <w:sz w:val="20"/>
              </w:rPr>
              <w:t>. Sorghum ball</w:t>
            </w:r>
          </w:p>
          <w:p w14:paraId="72100C2A" w14:textId="77777777" w:rsidR="00B50B63" w:rsidRPr="00B50B63" w:rsidRDefault="00B50B63" w:rsidP="00B50B63">
            <w:pPr>
              <w:jc w:val="both"/>
              <w:rPr>
                <w:rFonts w:ascii="Arial" w:hAnsi="Arial" w:cs="Arial"/>
                <w:sz w:val="20"/>
              </w:rPr>
            </w:pPr>
            <w:r w:rsidRPr="00B50B63">
              <w:rPr>
                <w:rFonts w:ascii="Arial" w:hAnsi="Arial" w:cs="Arial"/>
                <w:sz w:val="20"/>
              </w:rPr>
              <w:t>. 3Guava</w:t>
            </w:r>
          </w:p>
          <w:p w14:paraId="6CAF8A76" w14:textId="77777777" w:rsidR="00B50B63" w:rsidRPr="00B50B63" w:rsidRDefault="00B50B63" w:rsidP="00B50B63">
            <w:pPr>
              <w:jc w:val="both"/>
              <w:rPr>
                <w:rFonts w:ascii="Arial" w:hAnsi="Arial" w:cs="Arial"/>
                <w:sz w:val="20"/>
              </w:rPr>
            </w:pPr>
            <w:r w:rsidRPr="00B50B63">
              <w:rPr>
                <w:rFonts w:ascii="Arial" w:hAnsi="Arial" w:cs="Arial"/>
                <w:sz w:val="20"/>
              </w:rPr>
              <w:t>.2-3Glasses of water</w:t>
            </w:r>
          </w:p>
        </w:tc>
        <w:tc>
          <w:tcPr>
            <w:tcW w:w="698" w:type="pct"/>
          </w:tcPr>
          <w:p w14:paraId="255FBD97" w14:textId="77777777" w:rsidR="00B50B63" w:rsidRPr="00B50B63" w:rsidRDefault="00B50B63" w:rsidP="00B50B63">
            <w:pPr>
              <w:jc w:val="both"/>
              <w:rPr>
                <w:rFonts w:ascii="Arial" w:hAnsi="Arial" w:cs="Arial"/>
                <w:sz w:val="20"/>
              </w:rPr>
            </w:pPr>
            <w:r w:rsidRPr="00B50B63">
              <w:rPr>
                <w:rFonts w:ascii="Arial" w:hAnsi="Arial" w:cs="Arial"/>
                <w:sz w:val="20"/>
              </w:rPr>
              <w:t>. 1Cheese</w:t>
            </w:r>
          </w:p>
          <w:p w14:paraId="64F912E9" w14:textId="77777777" w:rsidR="00B50B63" w:rsidRPr="00B50B63" w:rsidRDefault="00B50B63" w:rsidP="00B50B63">
            <w:pPr>
              <w:jc w:val="both"/>
              <w:rPr>
                <w:rFonts w:ascii="Arial" w:hAnsi="Arial" w:cs="Arial"/>
                <w:sz w:val="20"/>
              </w:rPr>
            </w:pPr>
            <w:r w:rsidRPr="00B50B63">
              <w:rPr>
                <w:rFonts w:ascii="Arial" w:hAnsi="Arial" w:cs="Arial"/>
                <w:sz w:val="20"/>
              </w:rPr>
              <w:t>.1banana</w:t>
            </w:r>
          </w:p>
        </w:tc>
        <w:tc>
          <w:tcPr>
            <w:tcW w:w="1164" w:type="pct"/>
          </w:tcPr>
          <w:p w14:paraId="4257524E" w14:textId="77777777" w:rsidR="00B50B63" w:rsidRPr="00B50B63" w:rsidRDefault="00B50B63" w:rsidP="00B50B63">
            <w:pPr>
              <w:jc w:val="both"/>
              <w:rPr>
                <w:rFonts w:ascii="Arial" w:hAnsi="Arial" w:cs="Arial"/>
                <w:sz w:val="20"/>
              </w:rPr>
            </w:pPr>
            <w:r w:rsidRPr="00B50B63">
              <w:rPr>
                <w:rFonts w:ascii="Arial" w:hAnsi="Arial" w:cs="Arial"/>
                <w:sz w:val="20"/>
              </w:rPr>
              <w:t>. Mackerel + 8 tbsp of rice</w:t>
            </w:r>
          </w:p>
          <w:p w14:paraId="2AFD5620" w14:textId="77777777" w:rsidR="00B50B63" w:rsidRPr="00B50B63" w:rsidRDefault="00B50B63" w:rsidP="00B50B63">
            <w:pPr>
              <w:jc w:val="both"/>
              <w:rPr>
                <w:rFonts w:ascii="Arial" w:hAnsi="Arial" w:cs="Arial"/>
                <w:sz w:val="20"/>
              </w:rPr>
            </w:pPr>
            <w:r w:rsidRPr="00B50B63">
              <w:rPr>
                <w:rFonts w:ascii="Arial" w:hAnsi="Arial" w:cs="Arial"/>
                <w:sz w:val="20"/>
              </w:rPr>
              <w:t>. 1 avocado</w:t>
            </w:r>
          </w:p>
          <w:p w14:paraId="53DDD0A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324731D9" w14:textId="77777777" w:rsidTr="0008278F">
        <w:tc>
          <w:tcPr>
            <w:tcW w:w="474" w:type="pct"/>
          </w:tcPr>
          <w:p w14:paraId="69BA2DC0"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75" w:type="pct"/>
          </w:tcPr>
          <w:p w14:paraId="267A022F"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31B279FA" w14:textId="77777777" w:rsidR="00B50B63" w:rsidRPr="00B50B63" w:rsidRDefault="00B50B63" w:rsidP="00B50B63">
            <w:pPr>
              <w:jc w:val="both"/>
              <w:rPr>
                <w:rFonts w:ascii="Arial" w:hAnsi="Arial" w:cs="Arial"/>
                <w:sz w:val="20"/>
              </w:rPr>
            </w:pPr>
            <w:r w:rsidRPr="00B50B63">
              <w:rPr>
                <w:rFonts w:ascii="Arial" w:hAnsi="Arial" w:cs="Arial"/>
                <w:sz w:val="20"/>
              </w:rPr>
              <w:t>. Fish soup+1/2 Whole meal bread</w:t>
            </w:r>
          </w:p>
          <w:p w14:paraId="26FE287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c>
          <w:tcPr>
            <w:tcW w:w="1490" w:type="pct"/>
          </w:tcPr>
          <w:p w14:paraId="7F622880" w14:textId="77777777" w:rsidR="00B50B63" w:rsidRPr="00B50B63" w:rsidRDefault="00B50B63" w:rsidP="00B50B63">
            <w:pPr>
              <w:jc w:val="both"/>
              <w:rPr>
                <w:rFonts w:ascii="Arial" w:hAnsi="Arial" w:cs="Arial"/>
                <w:sz w:val="20"/>
              </w:rPr>
            </w:pPr>
            <w:r w:rsidRPr="00B50B63">
              <w:rPr>
                <w:rFonts w:ascii="Arial" w:hAnsi="Arial" w:cs="Arial"/>
                <w:sz w:val="20"/>
              </w:rPr>
              <w:t>. Tomato sauce+ 8 tbsp rice</w:t>
            </w:r>
          </w:p>
          <w:p w14:paraId="73B8B234"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F9970E6"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0C8CF2B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1647EAB7"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w:t>
            </w:r>
          </w:p>
        </w:tc>
        <w:tc>
          <w:tcPr>
            <w:tcW w:w="1164" w:type="pct"/>
          </w:tcPr>
          <w:p w14:paraId="6004239A" w14:textId="77777777" w:rsidR="00B50B63" w:rsidRPr="00B50B63" w:rsidRDefault="00B50B63" w:rsidP="00B50B63">
            <w:pPr>
              <w:jc w:val="both"/>
              <w:rPr>
                <w:rFonts w:ascii="Arial" w:hAnsi="Arial" w:cs="Arial"/>
                <w:sz w:val="20"/>
              </w:rPr>
            </w:pPr>
            <w:r w:rsidRPr="00B50B63">
              <w:rPr>
                <w:rFonts w:ascii="Arial" w:hAnsi="Arial" w:cs="Arial"/>
                <w:sz w:val="20"/>
              </w:rPr>
              <w:t>. Dried fish + Eggplant + 8 tablespoons of</w:t>
            </w:r>
          </w:p>
          <w:p w14:paraId="19D6C2D5" w14:textId="77777777" w:rsidR="00B50B63" w:rsidRPr="00B50B63" w:rsidRDefault="00B50B63" w:rsidP="00B50B63">
            <w:pPr>
              <w:jc w:val="both"/>
              <w:rPr>
                <w:rFonts w:ascii="Arial" w:hAnsi="Arial" w:cs="Arial"/>
                <w:sz w:val="20"/>
              </w:rPr>
            </w:pPr>
            <w:r w:rsidRPr="00B50B63">
              <w:rPr>
                <w:rFonts w:ascii="Arial" w:hAnsi="Arial" w:cs="Arial"/>
                <w:sz w:val="20"/>
              </w:rPr>
              <w:t>Complete rice</w:t>
            </w:r>
          </w:p>
          <w:p w14:paraId="5EFD30D5" w14:textId="77777777" w:rsidR="00B50B63" w:rsidRPr="00B50B63" w:rsidRDefault="00B50B63" w:rsidP="00B50B63">
            <w:pPr>
              <w:jc w:val="both"/>
              <w:rPr>
                <w:rFonts w:ascii="Arial" w:hAnsi="Arial" w:cs="Arial"/>
                <w:sz w:val="20"/>
              </w:rPr>
            </w:pPr>
            <w:r w:rsidRPr="00B50B63">
              <w:rPr>
                <w:rFonts w:ascii="Arial" w:hAnsi="Arial" w:cs="Arial"/>
                <w:sz w:val="20"/>
              </w:rPr>
              <w:t>. piece of pineapple</w:t>
            </w:r>
          </w:p>
        </w:tc>
      </w:tr>
      <w:tr w:rsidR="00B50B63" w:rsidRPr="00B50B63" w14:paraId="3DCDC264" w14:textId="77777777" w:rsidTr="0008278F">
        <w:tc>
          <w:tcPr>
            <w:tcW w:w="474" w:type="pct"/>
          </w:tcPr>
          <w:p w14:paraId="70501CD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75" w:type="pct"/>
          </w:tcPr>
          <w:p w14:paraId="4C6F10C3"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 + 1/2 whole meal bread</w:t>
            </w:r>
          </w:p>
          <w:p w14:paraId="5BE2EC91"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B9A6DD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490" w:type="pct"/>
          </w:tcPr>
          <w:p w14:paraId="5E73970F"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1376F3C4"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55726D75" w14:textId="77777777" w:rsidR="00B50B63" w:rsidRPr="00B50B63" w:rsidRDefault="00B50B63" w:rsidP="00B50B63">
            <w:pPr>
              <w:jc w:val="both"/>
              <w:rPr>
                <w:rFonts w:ascii="Arial" w:hAnsi="Arial" w:cs="Arial"/>
                <w:sz w:val="20"/>
              </w:rPr>
            </w:pPr>
            <w:r w:rsidRPr="00B50B63">
              <w:rPr>
                <w:rFonts w:ascii="Arial" w:hAnsi="Arial" w:cs="Arial"/>
                <w:sz w:val="20"/>
              </w:rPr>
              <w:t>. unsweetened yogurt</w:t>
            </w:r>
          </w:p>
        </w:tc>
        <w:tc>
          <w:tcPr>
            <w:tcW w:w="698" w:type="pct"/>
          </w:tcPr>
          <w:p w14:paraId="21DE17BE" w14:textId="77777777" w:rsidR="00B50B63" w:rsidRPr="00B50B63" w:rsidRDefault="00B50B63" w:rsidP="00B50B63">
            <w:pPr>
              <w:jc w:val="both"/>
              <w:rPr>
                <w:rFonts w:ascii="Arial" w:hAnsi="Arial" w:cs="Arial"/>
                <w:sz w:val="20"/>
              </w:rPr>
            </w:pPr>
            <w:r w:rsidRPr="00B50B63">
              <w:rPr>
                <w:rFonts w:ascii="Arial" w:hAnsi="Arial" w:cs="Arial"/>
                <w:sz w:val="20"/>
              </w:rPr>
              <w:t>Salad</w:t>
            </w:r>
          </w:p>
        </w:tc>
        <w:tc>
          <w:tcPr>
            <w:tcW w:w="1164" w:type="pct"/>
          </w:tcPr>
          <w:p w14:paraId="60419FA0" w14:textId="77777777" w:rsidR="00B50B63" w:rsidRPr="00B50B63" w:rsidRDefault="00B50B63" w:rsidP="00B50B63">
            <w:pPr>
              <w:jc w:val="both"/>
              <w:rPr>
                <w:rFonts w:ascii="Arial" w:hAnsi="Arial" w:cs="Arial"/>
                <w:sz w:val="20"/>
              </w:rPr>
            </w:pPr>
            <w:r w:rsidRPr="00B50B63">
              <w:rPr>
                <w:rFonts w:ascii="Arial" w:hAnsi="Arial" w:cs="Arial"/>
                <w:sz w:val="20"/>
              </w:rPr>
              <w:t>. Meat + cassava ball</w:t>
            </w:r>
          </w:p>
          <w:p w14:paraId="5095A1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762A12C"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76E78FA1" w14:textId="77777777" w:rsidTr="0008278F">
        <w:tc>
          <w:tcPr>
            <w:tcW w:w="474" w:type="pct"/>
          </w:tcPr>
          <w:p w14:paraId="19A7530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75" w:type="pct"/>
          </w:tcPr>
          <w:p w14:paraId="43288E61" w14:textId="77777777" w:rsidR="00B50B63" w:rsidRPr="00B50B63" w:rsidRDefault="00B50B63" w:rsidP="00B50B63">
            <w:pPr>
              <w:jc w:val="both"/>
              <w:rPr>
                <w:rFonts w:ascii="Arial" w:hAnsi="Arial" w:cs="Arial"/>
                <w:sz w:val="20"/>
              </w:rPr>
            </w:pPr>
            <w:r w:rsidRPr="00B50B63">
              <w:rPr>
                <w:rFonts w:ascii="Arial" w:hAnsi="Arial" w:cs="Arial"/>
                <w:sz w:val="20"/>
              </w:rPr>
              <w:t>1 cup of Tea +2 tsp honey. Spaghetti + sardine. Cucumber</w:t>
            </w:r>
          </w:p>
        </w:tc>
        <w:tc>
          <w:tcPr>
            <w:tcW w:w="1490" w:type="pct"/>
          </w:tcPr>
          <w:p w14:paraId="05EAF57C"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21D84C26" w14:textId="77777777" w:rsidR="00B50B63" w:rsidRPr="00B50B63" w:rsidRDefault="00B50B63" w:rsidP="00B50B63">
            <w:pPr>
              <w:jc w:val="both"/>
              <w:rPr>
                <w:rFonts w:ascii="Arial" w:hAnsi="Arial" w:cs="Arial"/>
                <w:sz w:val="20"/>
              </w:rPr>
            </w:pPr>
            <w:r w:rsidRPr="00B50B63">
              <w:rPr>
                <w:rFonts w:ascii="Arial" w:hAnsi="Arial" w:cs="Arial"/>
                <w:sz w:val="20"/>
              </w:rPr>
              <w:t xml:space="preserve">. </w:t>
            </w:r>
            <w:proofErr w:type="spellStart"/>
            <w:r w:rsidRPr="00B50B63">
              <w:rPr>
                <w:rFonts w:ascii="Arial" w:hAnsi="Arial" w:cs="Arial"/>
                <w:sz w:val="20"/>
              </w:rPr>
              <w:t>Penicella</w:t>
            </w:r>
            <w:proofErr w:type="spellEnd"/>
            <w:r w:rsidRPr="00B50B63">
              <w:rPr>
                <w:rFonts w:ascii="Arial" w:hAnsi="Arial" w:cs="Arial"/>
                <w:sz w:val="20"/>
              </w:rPr>
              <w:t xml:space="preserve"> ball</w:t>
            </w:r>
          </w:p>
          <w:p w14:paraId="01EE06D4"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2388AF4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4DB85251"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333AC804" w14:textId="77777777" w:rsidR="00B50B63" w:rsidRPr="00B50B63" w:rsidRDefault="00B50B63" w:rsidP="00B50B63">
            <w:pPr>
              <w:jc w:val="both"/>
              <w:rPr>
                <w:rFonts w:ascii="Arial" w:hAnsi="Arial" w:cs="Arial"/>
                <w:sz w:val="20"/>
              </w:rPr>
            </w:pPr>
          </w:p>
          <w:p w14:paraId="71180C1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164" w:type="pct"/>
          </w:tcPr>
          <w:p w14:paraId="4294582C"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0762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648A2C6" w14:textId="77777777" w:rsidR="00B50B63" w:rsidRPr="00B50B63" w:rsidRDefault="00B50B63" w:rsidP="00B50B63">
            <w:pPr>
              <w:jc w:val="both"/>
              <w:rPr>
                <w:rFonts w:ascii="Arial" w:hAnsi="Arial" w:cs="Arial"/>
                <w:sz w:val="20"/>
              </w:rPr>
            </w:pPr>
            <w:r w:rsidRPr="00B50B63">
              <w:rPr>
                <w:rFonts w:ascii="Arial" w:hAnsi="Arial" w:cs="Arial"/>
                <w:sz w:val="20"/>
              </w:rPr>
              <w:t>. carrots + tomatoes</w:t>
            </w:r>
          </w:p>
          <w:p w14:paraId="6B9965E9" w14:textId="77777777" w:rsidR="00B50B63" w:rsidRPr="00B50B63" w:rsidRDefault="00B50B63" w:rsidP="00B50B63">
            <w:pPr>
              <w:jc w:val="both"/>
              <w:rPr>
                <w:rFonts w:ascii="Arial" w:hAnsi="Arial" w:cs="Arial"/>
                <w:sz w:val="20"/>
              </w:rPr>
            </w:pPr>
            <w:r w:rsidRPr="00B50B63">
              <w:rPr>
                <w:rFonts w:ascii="Arial" w:hAnsi="Arial" w:cs="Arial"/>
                <w:sz w:val="20"/>
              </w:rPr>
              <w:t>. apple</w:t>
            </w:r>
          </w:p>
        </w:tc>
      </w:tr>
    </w:tbl>
    <w:p w14:paraId="2C7E1A96"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7CCEB325" w14:textId="77777777" w:rsidR="00B50B63" w:rsidRPr="00B50B63" w:rsidRDefault="00B50B63" w:rsidP="00B50B63">
      <w:pPr>
        <w:spacing w:after="160" w:line="259" w:lineRule="auto"/>
        <w:jc w:val="both"/>
        <w:rPr>
          <w:rFonts w:ascii="Arial" w:eastAsia="Calibri" w:hAnsi="Arial" w:cs="Arial"/>
        </w:rPr>
      </w:pPr>
    </w:p>
    <w:p w14:paraId="78EE0F17" w14:textId="77777777" w:rsidR="00B50B63" w:rsidRPr="00B50B63" w:rsidRDefault="00B50B63" w:rsidP="00B50B63">
      <w:pPr>
        <w:spacing w:after="160"/>
        <w:jc w:val="both"/>
        <w:rPr>
          <w:rFonts w:ascii="Times New Roman" w:eastAsia="Calibri" w:hAnsi="Times New Roman"/>
          <w:sz w:val="24"/>
          <w:szCs w:val="24"/>
        </w:rPr>
      </w:pPr>
      <w:r w:rsidRPr="00B50B63">
        <w:rPr>
          <w:rFonts w:ascii="Arial" w:eastAsia="Calibri" w:hAnsi="Arial" w:cs="Arial"/>
          <w:b/>
          <w:bCs/>
        </w:rPr>
        <w:lastRenderedPageBreak/>
        <w:t>APPENDIX-2: Seven-day diet plan for Hypertensive diabetic: low-sodium diet (Less than 5g of cooking salt/DASH diet), Physical activity at least 30 minutes regular (every day)</w:t>
      </w:r>
    </w:p>
    <w:tbl>
      <w:tblPr>
        <w:tblStyle w:val="TableGrid1"/>
        <w:tblW w:w="5000" w:type="pct"/>
        <w:tblLook w:val="04A0" w:firstRow="1" w:lastRow="0" w:firstColumn="1" w:lastColumn="0" w:noHBand="0" w:noVBand="1"/>
      </w:tblPr>
      <w:tblGrid>
        <w:gridCol w:w="1228"/>
        <w:gridCol w:w="2796"/>
        <w:gridCol w:w="2459"/>
        <w:gridCol w:w="2801"/>
        <w:gridCol w:w="2514"/>
      </w:tblGrid>
      <w:tr w:rsidR="00B50B63" w:rsidRPr="00B50B63" w14:paraId="58325BB0" w14:textId="77777777" w:rsidTr="0008278F">
        <w:tc>
          <w:tcPr>
            <w:tcW w:w="473" w:type="pct"/>
          </w:tcPr>
          <w:p w14:paraId="5FC5E269"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97" w:type="pct"/>
          </w:tcPr>
          <w:p w14:paraId="458BB62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54" w:type="pct"/>
          </w:tcPr>
          <w:p w14:paraId="1BD6DD9E"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99" w:type="pct"/>
          </w:tcPr>
          <w:p w14:paraId="1D00B0C5"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77" w:type="pct"/>
          </w:tcPr>
          <w:p w14:paraId="3E8A3C26"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012C064A" w14:textId="77777777" w:rsidTr="0008278F">
        <w:tc>
          <w:tcPr>
            <w:tcW w:w="473" w:type="pct"/>
          </w:tcPr>
          <w:p w14:paraId="1EF45FA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97" w:type="pct"/>
          </w:tcPr>
          <w:p w14:paraId="2005848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0EB9C4C7"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07BEAD56" w14:textId="77777777" w:rsidR="00B50B63" w:rsidRPr="00B50B63" w:rsidRDefault="00B50B63" w:rsidP="00B50B63">
            <w:pPr>
              <w:jc w:val="both"/>
              <w:rPr>
                <w:rFonts w:ascii="Arial" w:hAnsi="Arial" w:cs="Arial"/>
                <w:sz w:val="20"/>
              </w:rPr>
            </w:pPr>
            <w:r w:rsidRPr="00B50B63">
              <w:rPr>
                <w:rFonts w:ascii="Arial" w:hAnsi="Arial" w:cs="Arial"/>
                <w:sz w:val="20"/>
              </w:rPr>
              <w:t>. Hard egg</w:t>
            </w:r>
          </w:p>
          <w:p w14:paraId="390C61B5"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2B0D2FB3"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54" w:type="pct"/>
          </w:tcPr>
          <w:p w14:paraId="33EBC2CA" w14:textId="77777777" w:rsidR="00B50B63" w:rsidRPr="00B50B63" w:rsidRDefault="00B50B63" w:rsidP="00B50B63">
            <w:pPr>
              <w:jc w:val="both"/>
              <w:rPr>
                <w:rFonts w:ascii="Arial" w:hAnsi="Arial" w:cs="Arial"/>
                <w:sz w:val="20"/>
              </w:rPr>
            </w:pPr>
            <w:r w:rsidRPr="00B50B63">
              <w:rPr>
                <w:rFonts w:ascii="Arial" w:hAnsi="Arial" w:cs="Arial"/>
                <w:sz w:val="20"/>
              </w:rPr>
              <w:t>. Tomato sauce + carrot</w:t>
            </w:r>
          </w:p>
          <w:p w14:paraId="769C9446" w14:textId="77777777" w:rsidR="00B50B63" w:rsidRPr="00B50B63" w:rsidRDefault="00B50B63" w:rsidP="00B50B63">
            <w:pPr>
              <w:jc w:val="both"/>
              <w:rPr>
                <w:rFonts w:ascii="Arial" w:hAnsi="Arial" w:cs="Arial"/>
                <w:sz w:val="20"/>
              </w:rPr>
            </w:pPr>
            <w:r w:rsidRPr="00B50B63">
              <w:rPr>
                <w:rFonts w:ascii="Arial" w:hAnsi="Arial" w:cs="Arial"/>
                <w:sz w:val="20"/>
              </w:rPr>
              <w:t>. fresh meat</w:t>
            </w:r>
          </w:p>
          <w:p w14:paraId="6FF139E9"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1447A2D9"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1B3F1469"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99" w:type="pct"/>
          </w:tcPr>
          <w:p w14:paraId="5DFEAEC0"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0E82D4D8"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77" w:type="pct"/>
          </w:tcPr>
          <w:p w14:paraId="4C2C14D2"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52279886"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4133D85"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CF4171B" w14:textId="77777777" w:rsidTr="0008278F">
        <w:tc>
          <w:tcPr>
            <w:tcW w:w="473" w:type="pct"/>
          </w:tcPr>
          <w:p w14:paraId="10F9F8BD"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97" w:type="pct"/>
          </w:tcPr>
          <w:p w14:paraId="60C81272" w14:textId="77777777" w:rsidR="00B50B63" w:rsidRPr="00B50B63" w:rsidRDefault="00B50B63" w:rsidP="00B50B63">
            <w:pPr>
              <w:jc w:val="both"/>
              <w:rPr>
                <w:rFonts w:ascii="Arial" w:hAnsi="Arial" w:cs="Arial"/>
                <w:sz w:val="20"/>
              </w:rPr>
            </w:pPr>
            <w:r w:rsidRPr="00B50B63">
              <w:rPr>
                <w:rFonts w:ascii="Arial" w:hAnsi="Arial" w:cs="Arial"/>
                <w:sz w:val="20"/>
              </w:rPr>
              <w:t>.;1 cup of Tea/coffee</w:t>
            </w:r>
          </w:p>
          <w:p w14:paraId="7678960F"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B21C28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293058EF"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54" w:type="pct"/>
          </w:tcPr>
          <w:p w14:paraId="3ED0A2E3" w14:textId="77777777" w:rsidR="00B50B63" w:rsidRPr="00B50B63" w:rsidRDefault="00B50B63" w:rsidP="00B50B63">
            <w:pPr>
              <w:jc w:val="both"/>
              <w:rPr>
                <w:rFonts w:ascii="Arial" w:hAnsi="Arial" w:cs="Arial"/>
                <w:sz w:val="20"/>
              </w:rPr>
            </w:pPr>
            <w:r w:rsidRPr="00B50B63">
              <w:rPr>
                <w:rFonts w:ascii="Arial" w:hAnsi="Arial" w:cs="Arial"/>
                <w:sz w:val="20"/>
              </w:rPr>
              <w:t>Meat</w:t>
            </w:r>
          </w:p>
          <w:p w14:paraId="6505C50A"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2965040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3582988"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99" w:type="pct"/>
          </w:tcPr>
          <w:p w14:paraId="083E0799"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EB62D1B"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77" w:type="pct"/>
          </w:tcPr>
          <w:p w14:paraId="3DED4B50"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36F021F"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4B132BB"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6ACA0476" w14:textId="77777777" w:rsidTr="0008278F">
        <w:tc>
          <w:tcPr>
            <w:tcW w:w="473" w:type="pct"/>
          </w:tcPr>
          <w:p w14:paraId="3B276B95"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97" w:type="pct"/>
          </w:tcPr>
          <w:p w14:paraId="725707D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FD5E090"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1B14B32E" w14:textId="77777777" w:rsidR="00B50B63" w:rsidRPr="00B50B63" w:rsidRDefault="00B50B63" w:rsidP="00B50B63">
            <w:pPr>
              <w:jc w:val="both"/>
              <w:rPr>
                <w:rFonts w:ascii="Arial" w:hAnsi="Arial" w:cs="Arial"/>
                <w:sz w:val="20"/>
              </w:rPr>
            </w:pPr>
            <w:r w:rsidRPr="00B50B63">
              <w:rPr>
                <w:rFonts w:ascii="Arial" w:hAnsi="Arial" w:cs="Arial"/>
                <w:sz w:val="20"/>
              </w:rPr>
              <w:t>. French apple</w:t>
            </w:r>
          </w:p>
        </w:tc>
        <w:tc>
          <w:tcPr>
            <w:tcW w:w="1054" w:type="pct"/>
          </w:tcPr>
          <w:p w14:paraId="042AAE67" w14:textId="77777777" w:rsidR="00B50B63" w:rsidRPr="00B50B63" w:rsidRDefault="00B50B63" w:rsidP="00B50B63">
            <w:pPr>
              <w:jc w:val="both"/>
              <w:rPr>
                <w:rFonts w:ascii="Arial" w:hAnsi="Arial" w:cs="Arial"/>
                <w:sz w:val="20"/>
              </w:rPr>
            </w:pPr>
            <w:r w:rsidRPr="00B50B63">
              <w:rPr>
                <w:rFonts w:ascii="Arial" w:hAnsi="Arial" w:cs="Arial"/>
                <w:sz w:val="20"/>
              </w:rPr>
              <w:t>fish with fresh okra</w:t>
            </w:r>
          </w:p>
          <w:p w14:paraId="74714BDA"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3977F15E"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99" w:type="pct"/>
          </w:tcPr>
          <w:p w14:paraId="497370B3" w14:textId="77777777" w:rsidR="00B50B63" w:rsidRPr="00B50B63" w:rsidRDefault="00B50B63" w:rsidP="00B50B63">
            <w:pPr>
              <w:jc w:val="both"/>
              <w:rPr>
                <w:rFonts w:ascii="Arial" w:hAnsi="Arial" w:cs="Arial"/>
                <w:sz w:val="20"/>
              </w:rPr>
            </w:pPr>
            <w:r w:rsidRPr="00B50B63">
              <w:rPr>
                <w:rFonts w:ascii="Arial" w:hAnsi="Arial" w:cs="Arial"/>
                <w:sz w:val="20"/>
              </w:rPr>
              <w:t>. 1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6CB75CCA"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77" w:type="pct"/>
          </w:tcPr>
          <w:p w14:paraId="516FA273" w14:textId="77777777" w:rsidR="00B50B63" w:rsidRPr="00B50B63" w:rsidRDefault="00B50B63" w:rsidP="00B50B63">
            <w:pPr>
              <w:jc w:val="both"/>
              <w:rPr>
                <w:rFonts w:ascii="Arial" w:hAnsi="Arial" w:cs="Arial"/>
                <w:sz w:val="20"/>
              </w:rPr>
            </w:pPr>
            <w:r w:rsidRPr="00B50B63">
              <w:rPr>
                <w:rFonts w:ascii="Arial" w:hAnsi="Arial" w:cs="Arial"/>
                <w:sz w:val="20"/>
              </w:rPr>
              <w:t>meat with green okra (</w:t>
            </w:r>
            <w:proofErr w:type="spellStart"/>
            <w:r w:rsidRPr="00B50B63">
              <w:rPr>
                <w:rFonts w:ascii="Arial" w:hAnsi="Arial" w:cs="Arial"/>
                <w:sz w:val="20"/>
              </w:rPr>
              <w:t>moulké</w:t>
            </w:r>
            <w:proofErr w:type="spellEnd"/>
            <w:r w:rsidRPr="00B50B63">
              <w:rPr>
                <w:rFonts w:ascii="Arial" w:hAnsi="Arial" w:cs="Arial"/>
                <w:sz w:val="20"/>
              </w:rPr>
              <w:t>)</w:t>
            </w:r>
          </w:p>
          <w:p w14:paraId="42B7F35D"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26000B9B"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1AEB9CFA" w14:textId="77777777" w:rsidTr="0008278F">
        <w:tc>
          <w:tcPr>
            <w:tcW w:w="473" w:type="pct"/>
          </w:tcPr>
          <w:p w14:paraId="631A03D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97" w:type="pct"/>
          </w:tcPr>
          <w:p w14:paraId="78119149"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54FFA35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E2A2A54"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62A6BDAB"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54" w:type="pct"/>
          </w:tcPr>
          <w:p w14:paraId="31C72B5A"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40D6FA8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256F1C8"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199" w:type="pct"/>
          </w:tcPr>
          <w:p w14:paraId="2C86311E" w14:textId="77777777" w:rsidR="00B50B63" w:rsidRPr="00B50B63" w:rsidRDefault="00B50B63" w:rsidP="00B50B63">
            <w:pPr>
              <w:jc w:val="both"/>
              <w:rPr>
                <w:rFonts w:ascii="Arial" w:hAnsi="Arial" w:cs="Arial"/>
                <w:sz w:val="20"/>
              </w:rPr>
            </w:pPr>
          </w:p>
        </w:tc>
        <w:tc>
          <w:tcPr>
            <w:tcW w:w="1077" w:type="pct"/>
          </w:tcPr>
          <w:p w14:paraId="33170CDD" w14:textId="77777777" w:rsidR="00B50B63" w:rsidRPr="00B50B63" w:rsidRDefault="00B50B63" w:rsidP="00B50B63">
            <w:pPr>
              <w:jc w:val="both"/>
              <w:rPr>
                <w:rFonts w:ascii="Arial" w:hAnsi="Arial" w:cs="Arial"/>
                <w:sz w:val="20"/>
              </w:rPr>
            </w:pPr>
            <w:r w:rsidRPr="00B50B63">
              <w:rPr>
                <w:rFonts w:ascii="Arial" w:hAnsi="Arial" w:cs="Arial"/>
                <w:sz w:val="20"/>
              </w:rPr>
              <w:t>. meat+ rice</w:t>
            </w:r>
          </w:p>
          <w:p w14:paraId="16554045"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F8F6391" w14:textId="77777777" w:rsidR="00B50B63" w:rsidRPr="00B50B63" w:rsidRDefault="00B50B63" w:rsidP="00B50B63">
            <w:pPr>
              <w:jc w:val="both"/>
              <w:rPr>
                <w:rFonts w:ascii="Arial" w:hAnsi="Arial" w:cs="Arial"/>
                <w:sz w:val="20"/>
              </w:rPr>
            </w:pPr>
          </w:p>
        </w:tc>
      </w:tr>
      <w:tr w:rsidR="00B50B63" w:rsidRPr="00B50B63" w14:paraId="60656EB9" w14:textId="77777777" w:rsidTr="0008278F">
        <w:tc>
          <w:tcPr>
            <w:tcW w:w="473" w:type="pct"/>
          </w:tcPr>
          <w:p w14:paraId="5BF1DA7E"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97" w:type="pct"/>
          </w:tcPr>
          <w:p w14:paraId="6857EC09"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1007146D" w14:textId="77777777" w:rsidR="00B50B63" w:rsidRPr="00B50B63" w:rsidRDefault="00B50B63" w:rsidP="00B50B63">
            <w:pPr>
              <w:jc w:val="both"/>
              <w:rPr>
                <w:rFonts w:ascii="Arial" w:hAnsi="Arial" w:cs="Arial"/>
                <w:sz w:val="20"/>
              </w:rPr>
            </w:pPr>
            <w:r w:rsidRPr="00B50B63">
              <w:rPr>
                <w:rFonts w:ascii="Arial" w:hAnsi="Arial" w:cs="Arial"/>
                <w:sz w:val="20"/>
              </w:rPr>
              <w:t>; Spaghetti + 2 eggs</w:t>
            </w:r>
          </w:p>
          <w:p w14:paraId="7AA75670"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54" w:type="pct"/>
          </w:tcPr>
          <w:p w14:paraId="00ABF36A"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5FA5CC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76979E30" w14:textId="77777777" w:rsidR="00B50B63" w:rsidRPr="00B50B63" w:rsidRDefault="00B50B63" w:rsidP="00B50B63">
            <w:pPr>
              <w:jc w:val="both"/>
              <w:rPr>
                <w:rFonts w:ascii="Arial" w:hAnsi="Arial" w:cs="Arial"/>
                <w:sz w:val="20"/>
              </w:rPr>
            </w:pPr>
            <w:r w:rsidRPr="00B50B63">
              <w:rPr>
                <w:rFonts w:ascii="Arial" w:hAnsi="Arial" w:cs="Arial"/>
                <w:sz w:val="20"/>
              </w:rPr>
              <w:t>. a portion of watermelon</w:t>
            </w:r>
          </w:p>
        </w:tc>
        <w:tc>
          <w:tcPr>
            <w:tcW w:w="1199" w:type="pct"/>
          </w:tcPr>
          <w:p w14:paraId="319C7EB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5BB50B7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77" w:type="pct"/>
          </w:tcPr>
          <w:p w14:paraId="4B85B2C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6328D210"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300F921F" w14:textId="77777777" w:rsidR="00B50B63" w:rsidRPr="00B50B63" w:rsidRDefault="00B50B63" w:rsidP="00B50B63">
            <w:pPr>
              <w:jc w:val="both"/>
              <w:rPr>
                <w:rFonts w:ascii="Arial" w:hAnsi="Arial" w:cs="Arial"/>
                <w:sz w:val="20"/>
              </w:rPr>
            </w:pPr>
            <w:r w:rsidRPr="00B50B63">
              <w:rPr>
                <w:rFonts w:ascii="Arial" w:hAnsi="Arial" w:cs="Arial"/>
                <w:sz w:val="20"/>
              </w:rPr>
              <w:t>. slightly ripe mango</w:t>
            </w:r>
          </w:p>
        </w:tc>
      </w:tr>
      <w:tr w:rsidR="00B50B63" w:rsidRPr="00B50B63" w14:paraId="2D0B9775" w14:textId="77777777" w:rsidTr="0008278F">
        <w:tc>
          <w:tcPr>
            <w:tcW w:w="473" w:type="pct"/>
          </w:tcPr>
          <w:p w14:paraId="2E55A9A4"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97" w:type="pct"/>
          </w:tcPr>
          <w:p w14:paraId="2759CAC7" w14:textId="77777777" w:rsidR="00B50B63" w:rsidRPr="00B50B63" w:rsidRDefault="00B50B63" w:rsidP="00B50B63">
            <w:pPr>
              <w:jc w:val="both"/>
              <w:rPr>
                <w:rFonts w:ascii="Arial" w:hAnsi="Arial" w:cs="Arial"/>
                <w:sz w:val="20"/>
              </w:rPr>
            </w:pPr>
            <w:r w:rsidRPr="00B50B63">
              <w:rPr>
                <w:rFonts w:ascii="Arial" w:hAnsi="Arial" w:cs="Arial"/>
                <w:sz w:val="20"/>
              </w:rPr>
              <w:t>. Unsweetened milk + ½ whole meal bread</w:t>
            </w:r>
          </w:p>
          <w:p w14:paraId="3AC4F1BC"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07A910A"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54" w:type="pct"/>
          </w:tcPr>
          <w:p w14:paraId="691AFB01"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B1C556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905AD9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199" w:type="pct"/>
          </w:tcPr>
          <w:p w14:paraId="09E1F4F2"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3C7E8F0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77" w:type="pct"/>
          </w:tcPr>
          <w:p w14:paraId="5E41D256"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1E2F226F"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148B31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D6218D5" w14:textId="77777777" w:rsidTr="0008278F">
        <w:tc>
          <w:tcPr>
            <w:tcW w:w="473" w:type="pct"/>
          </w:tcPr>
          <w:p w14:paraId="30BE2105"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97" w:type="pct"/>
          </w:tcPr>
          <w:p w14:paraId="09059B8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372C544C" w14:textId="77777777" w:rsidR="00B50B63" w:rsidRPr="00B50B63" w:rsidRDefault="00B50B63" w:rsidP="00B50B63">
            <w:pPr>
              <w:jc w:val="both"/>
              <w:rPr>
                <w:rFonts w:ascii="Arial" w:hAnsi="Arial" w:cs="Arial"/>
                <w:sz w:val="20"/>
              </w:rPr>
            </w:pPr>
            <w:r w:rsidRPr="00B50B63">
              <w:rPr>
                <w:rFonts w:ascii="Arial" w:hAnsi="Arial" w:cs="Arial"/>
                <w:sz w:val="20"/>
              </w:rPr>
              <w:t>. Spaghetti + fish. Cucumber. Carrot</w:t>
            </w:r>
          </w:p>
        </w:tc>
        <w:tc>
          <w:tcPr>
            <w:tcW w:w="1054" w:type="pct"/>
          </w:tcPr>
          <w:p w14:paraId="3AAAC1AD"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43D4CA10"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55894D6"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4252CB7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99" w:type="pct"/>
          </w:tcPr>
          <w:p w14:paraId="7D5408B0" w14:textId="77777777" w:rsidR="00B50B63" w:rsidRPr="00B50B63" w:rsidRDefault="00B50B63" w:rsidP="00B50B63">
            <w:pPr>
              <w:jc w:val="both"/>
              <w:rPr>
                <w:rFonts w:ascii="Arial" w:hAnsi="Arial" w:cs="Arial"/>
                <w:sz w:val="20"/>
              </w:rPr>
            </w:pPr>
            <w:r w:rsidRPr="00B50B63">
              <w:rPr>
                <w:rFonts w:ascii="Arial" w:hAnsi="Arial" w:cs="Arial"/>
                <w:sz w:val="20"/>
              </w:rPr>
              <w:t>. Yogurt</w:t>
            </w:r>
          </w:p>
          <w:p w14:paraId="1BDE4931" w14:textId="77777777" w:rsidR="00B50B63" w:rsidRPr="00B50B63" w:rsidRDefault="00B50B63" w:rsidP="00B50B63">
            <w:pPr>
              <w:jc w:val="both"/>
              <w:rPr>
                <w:rFonts w:ascii="Arial" w:hAnsi="Arial" w:cs="Arial"/>
                <w:sz w:val="20"/>
              </w:rPr>
            </w:pPr>
            <w:r w:rsidRPr="00B50B63">
              <w:rPr>
                <w:rFonts w:ascii="Arial" w:hAnsi="Arial" w:cs="Arial"/>
                <w:sz w:val="20"/>
              </w:rPr>
              <w:t>. 1 cucumber</w:t>
            </w:r>
          </w:p>
          <w:p w14:paraId="39AA9D0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77" w:type="pct"/>
          </w:tcPr>
          <w:p w14:paraId="61566F7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4BFF91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66BC776"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FCFAE6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r>
    </w:tbl>
    <w:p w14:paraId="275F6970"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25CC129" w14:textId="77777777" w:rsidR="00B50B63" w:rsidRPr="00B50B63" w:rsidRDefault="00B50B63" w:rsidP="00B50B63">
      <w:pPr>
        <w:spacing w:after="160" w:line="480" w:lineRule="auto"/>
        <w:jc w:val="both"/>
        <w:rPr>
          <w:rFonts w:ascii="Times New Roman" w:eastAsia="Calibri" w:hAnsi="Times New Roman"/>
          <w:b/>
          <w:sz w:val="24"/>
          <w:szCs w:val="24"/>
          <w:u w:val="single"/>
        </w:rPr>
        <w:sectPr w:rsidR="00B50B63" w:rsidRPr="00B50B63" w:rsidSect="003B650A">
          <w:pgSz w:w="15840" w:h="12240" w:orient="landscape"/>
          <w:pgMar w:top="1440" w:right="2016" w:bottom="2016" w:left="2016" w:header="709" w:footer="709" w:gutter="0"/>
          <w:cols w:space="708"/>
          <w:docGrid w:linePitch="360"/>
        </w:sectPr>
      </w:pPr>
    </w:p>
    <w:p w14:paraId="0B6B02B6"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APPENDIX-3: Seven-day diet plan for diabetic with Gout</w:t>
      </w:r>
    </w:p>
    <w:tbl>
      <w:tblPr>
        <w:tblStyle w:val="TableGrid1"/>
        <w:tblW w:w="5000" w:type="pct"/>
        <w:tblLook w:val="04A0" w:firstRow="1" w:lastRow="0" w:firstColumn="1" w:lastColumn="0" w:noHBand="0" w:noVBand="1"/>
      </w:tblPr>
      <w:tblGrid>
        <w:gridCol w:w="1228"/>
        <w:gridCol w:w="3058"/>
        <w:gridCol w:w="2353"/>
        <w:gridCol w:w="2709"/>
        <w:gridCol w:w="2450"/>
      </w:tblGrid>
      <w:tr w:rsidR="00B50B63" w:rsidRPr="00B50B63" w14:paraId="736ACA03" w14:textId="77777777" w:rsidTr="0008278F">
        <w:tc>
          <w:tcPr>
            <w:tcW w:w="473" w:type="pct"/>
          </w:tcPr>
          <w:p w14:paraId="2353B82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308" w:type="pct"/>
          </w:tcPr>
          <w:p w14:paraId="5DCCF800"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09" w:type="pct"/>
          </w:tcPr>
          <w:p w14:paraId="1B53028D"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60" w:type="pct"/>
          </w:tcPr>
          <w:p w14:paraId="5A9599F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50" w:type="pct"/>
          </w:tcPr>
          <w:p w14:paraId="383F674D"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544F299" w14:textId="77777777" w:rsidTr="0008278F">
        <w:tc>
          <w:tcPr>
            <w:tcW w:w="473" w:type="pct"/>
          </w:tcPr>
          <w:p w14:paraId="62D4DB8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308" w:type="pct"/>
          </w:tcPr>
          <w:p w14:paraId="1AF6055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6B37786D"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4A13D2AD"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75861208"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336EBF4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09" w:type="pct"/>
          </w:tcPr>
          <w:p w14:paraId="3AAD0918"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1B42B2B1"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8CDE306"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3D8B5C42" w14:textId="77777777" w:rsidR="00B50B63" w:rsidRPr="00B50B63" w:rsidRDefault="00B50B63" w:rsidP="00B50B63">
            <w:pPr>
              <w:jc w:val="both"/>
              <w:rPr>
                <w:rFonts w:ascii="Arial" w:hAnsi="Arial" w:cs="Arial"/>
                <w:sz w:val="20"/>
              </w:rPr>
            </w:pPr>
            <w:r w:rsidRPr="00B50B63">
              <w:rPr>
                <w:rFonts w:ascii="Arial" w:hAnsi="Arial" w:cs="Arial"/>
                <w:sz w:val="20"/>
              </w:rPr>
              <w:t>. 1 glass of orange juice</w:t>
            </w:r>
          </w:p>
          <w:p w14:paraId="265F2C37"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60" w:type="pct"/>
          </w:tcPr>
          <w:p w14:paraId="2C300476"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4927EB7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50" w:type="pct"/>
          </w:tcPr>
          <w:p w14:paraId="1B815B2C"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4C937522"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0018480"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8B0D2B9" w14:textId="77777777" w:rsidTr="0008278F">
        <w:tc>
          <w:tcPr>
            <w:tcW w:w="473" w:type="pct"/>
          </w:tcPr>
          <w:p w14:paraId="211BB818"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308" w:type="pct"/>
          </w:tcPr>
          <w:p w14:paraId="3F722266"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189E66F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FDFF4C2"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1DBD7BB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09" w:type="pct"/>
          </w:tcPr>
          <w:p w14:paraId="093FC8AA" w14:textId="77777777" w:rsidR="00B50B63" w:rsidRPr="00B50B63" w:rsidRDefault="00B50B63" w:rsidP="00B50B63">
            <w:pPr>
              <w:jc w:val="both"/>
              <w:rPr>
                <w:rFonts w:ascii="Arial" w:hAnsi="Arial" w:cs="Arial"/>
                <w:sz w:val="20"/>
              </w:rPr>
            </w:pPr>
            <w:r w:rsidRPr="00B50B63">
              <w:rPr>
                <w:rFonts w:ascii="Arial" w:hAnsi="Arial" w:cs="Arial"/>
                <w:sz w:val="20"/>
              </w:rPr>
              <w:t>. ¼ Chicken</w:t>
            </w:r>
          </w:p>
          <w:p w14:paraId="6F01E989" w14:textId="77777777" w:rsidR="00B50B63" w:rsidRPr="00B50B63" w:rsidRDefault="00B50B63" w:rsidP="00B50B63">
            <w:pPr>
              <w:jc w:val="both"/>
              <w:rPr>
                <w:rFonts w:ascii="Arial" w:hAnsi="Arial" w:cs="Arial"/>
                <w:sz w:val="20"/>
              </w:rPr>
            </w:pPr>
            <w:r w:rsidRPr="00B50B63">
              <w:rPr>
                <w:rFonts w:ascii="Arial" w:hAnsi="Arial" w:cs="Arial"/>
                <w:sz w:val="20"/>
              </w:rPr>
              <w:t>. whole grain millet couscous</w:t>
            </w:r>
          </w:p>
          <w:p w14:paraId="37692D6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59005D6D"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60" w:type="pct"/>
          </w:tcPr>
          <w:p w14:paraId="7E0D0C97"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55A8EF9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50" w:type="pct"/>
          </w:tcPr>
          <w:p w14:paraId="4CFB9179"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A08BC33"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C28EA49"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45C5F778" w14:textId="77777777" w:rsidTr="0008278F">
        <w:tc>
          <w:tcPr>
            <w:tcW w:w="473" w:type="pct"/>
          </w:tcPr>
          <w:p w14:paraId="32910C1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308" w:type="pct"/>
          </w:tcPr>
          <w:p w14:paraId="018A15E5"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9769A81"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46121610" w14:textId="77777777" w:rsidR="00B50B63" w:rsidRPr="00B50B63" w:rsidRDefault="00B50B63" w:rsidP="00B50B63">
            <w:pPr>
              <w:jc w:val="both"/>
              <w:rPr>
                <w:rFonts w:ascii="Arial" w:hAnsi="Arial" w:cs="Arial"/>
                <w:sz w:val="20"/>
              </w:rPr>
            </w:pPr>
            <w:r w:rsidRPr="00B50B63">
              <w:rPr>
                <w:rFonts w:ascii="Arial" w:hAnsi="Arial" w:cs="Arial"/>
                <w:sz w:val="20"/>
              </w:rPr>
              <w:t>.1 French apple</w:t>
            </w:r>
          </w:p>
        </w:tc>
        <w:tc>
          <w:tcPr>
            <w:tcW w:w="1009" w:type="pct"/>
          </w:tcPr>
          <w:p w14:paraId="3EE548EE"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D2B9DD6"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0D53109C"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60" w:type="pct"/>
          </w:tcPr>
          <w:p w14:paraId="46B0D982"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099529D8"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50" w:type="pct"/>
          </w:tcPr>
          <w:p w14:paraId="3A73003C" w14:textId="77777777" w:rsidR="00B50B63" w:rsidRPr="00B50B63" w:rsidRDefault="00B50B63" w:rsidP="00B50B63">
            <w:pPr>
              <w:tabs>
                <w:tab w:val="left" w:pos="151"/>
              </w:tabs>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moulké</w:t>
            </w:r>
            <w:proofErr w:type="spellEnd"/>
            <w:r w:rsidRPr="00B50B63">
              <w:rPr>
                <w:rFonts w:ascii="Arial" w:hAnsi="Arial" w:cs="Arial"/>
                <w:sz w:val="20"/>
              </w:rPr>
              <w:t>)</w:t>
            </w:r>
          </w:p>
          <w:p w14:paraId="68DCE38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7D12655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85E661A" w14:textId="77777777" w:rsidTr="0008278F">
        <w:tc>
          <w:tcPr>
            <w:tcW w:w="473" w:type="pct"/>
          </w:tcPr>
          <w:p w14:paraId="56B39A0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308" w:type="pct"/>
          </w:tcPr>
          <w:p w14:paraId="4328B371"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0B78D909"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362ADFB9"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5D5918D"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09" w:type="pct"/>
          </w:tcPr>
          <w:p w14:paraId="0D3DA3CB"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10C166DC"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6693BDAB"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160" w:type="pct"/>
          </w:tcPr>
          <w:p w14:paraId="4CE0285B"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4E78FFBA"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c>
          <w:tcPr>
            <w:tcW w:w="1050" w:type="pct"/>
          </w:tcPr>
          <w:p w14:paraId="12F76627"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3816A901"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r>
      <w:tr w:rsidR="00B50B63" w:rsidRPr="00B50B63" w14:paraId="6C015CE3" w14:textId="77777777" w:rsidTr="0008278F">
        <w:tc>
          <w:tcPr>
            <w:tcW w:w="473" w:type="pct"/>
          </w:tcPr>
          <w:p w14:paraId="387FCC03"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308" w:type="pct"/>
          </w:tcPr>
          <w:p w14:paraId="19C25D64"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5085980C" w14:textId="77777777" w:rsidR="00B50B63" w:rsidRPr="00B50B63" w:rsidRDefault="00B50B63" w:rsidP="00B50B63">
            <w:pPr>
              <w:jc w:val="both"/>
              <w:rPr>
                <w:rFonts w:ascii="Arial" w:hAnsi="Arial" w:cs="Arial"/>
                <w:sz w:val="20"/>
              </w:rPr>
            </w:pPr>
            <w:r w:rsidRPr="00B50B63">
              <w:rPr>
                <w:rFonts w:ascii="Arial" w:hAnsi="Arial" w:cs="Arial"/>
                <w:sz w:val="20"/>
              </w:rPr>
              <w:t>+ 1 eggs</w:t>
            </w:r>
          </w:p>
          <w:p w14:paraId="3026F295"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09" w:type="pct"/>
          </w:tcPr>
          <w:p w14:paraId="6134F905"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422C2D"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DA5A1C0"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160" w:type="pct"/>
          </w:tcPr>
          <w:p w14:paraId="463B0FB4"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2D634C5"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050" w:type="pct"/>
          </w:tcPr>
          <w:p w14:paraId="4EB3553D"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50D9DFAC"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166B382"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r>
      <w:tr w:rsidR="00B50B63" w:rsidRPr="00B50B63" w14:paraId="2DD24573" w14:textId="77777777" w:rsidTr="0008278F">
        <w:tc>
          <w:tcPr>
            <w:tcW w:w="473" w:type="pct"/>
          </w:tcPr>
          <w:p w14:paraId="0B55686E"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308" w:type="pct"/>
          </w:tcPr>
          <w:p w14:paraId="6693F01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whole meal bread</w:t>
            </w:r>
          </w:p>
          <w:p w14:paraId="546EA208"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34AFA87"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09" w:type="pct"/>
          </w:tcPr>
          <w:p w14:paraId="5E79DCEA"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041CEEF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6508AAD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yogurt</w:t>
            </w:r>
          </w:p>
        </w:tc>
        <w:tc>
          <w:tcPr>
            <w:tcW w:w="1160" w:type="pct"/>
          </w:tcPr>
          <w:p w14:paraId="188FA30D"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96ED721" w14:textId="77777777" w:rsidR="00B50B63" w:rsidRPr="00B50B63" w:rsidRDefault="00B50B63" w:rsidP="00B50B63">
            <w:pPr>
              <w:jc w:val="both"/>
              <w:rPr>
                <w:rFonts w:ascii="Arial" w:hAnsi="Arial" w:cs="Arial"/>
                <w:sz w:val="20"/>
              </w:rPr>
            </w:pPr>
            <w:r w:rsidRPr="00B50B63">
              <w:rPr>
                <w:rFonts w:ascii="Arial" w:hAnsi="Arial" w:cs="Arial"/>
                <w:sz w:val="20"/>
              </w:rPr>
              <w:t xml:space="preserve">.1/2 </w:t>
            </w:r>
            <w:proofErr w:type="spellStart"/>
            <w:r w:rsidRPr="00B50B63">
              <w:rPr>
                <w:rFonts w:ascii="Arial" w:hAnsi="Arial" w:cs="Arial"/>
                <w:sz w:val="20"/>
              </w:rPr>
              <w:t>wholemeal</w:t>
            </w:r>
            <w:proofErr w:type="spellEnd"/>
            <w:r w:rsidRPr="00B50B63">
              <w:rPr>
                <w:rFonts w:ascii="Arial" w:hAnsi="Arial" w:cs="Arial"/>
                <w:sz w:val="20"/>
              </w:rPr>
              <w:t xml:space="preserve"> bread</w:t>
            </w:r>
          </w:p>
        </w:tc>
        <w:tc>
          <w:tcPr>
            <w:tcW w:w="1050" w:type="pct"/>
          </w:tcPr>
          <w:p w14:paraId="0C3FE9AE"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0AF45FC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5C0B052C"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561E5B4" w14:textId="77777777" w:rsidTr="0008278F">
        <w:tc>
          <w:tcPr>
            <w:tcW w:w="473" w:type="pct"/>
          </w:tcPr>
          <w:p w14:paraId="76BF05CB"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308" w:type="pct"/>
          </w:tcPr>
          <w:p w14:paraId="194E45B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6AD558D1" w14:textId="77777777" w:rsidR="00B50B63" w:rsidRPr="00B50B63" w:rsidRDefault="00B50B63" w:rsidP="00B50B63">
            <w:pPr>
              <w:jc w:val="both"/>
              <w:rPr>
                <w:rFonts w:ascii="Arial" w:hAnsi="Arial" w:cs="Arial"/>
                <w:sz w:val="20"/>
              </w:rPr>
            </w:pPr>
            <w:r w:rsidRPr="00B50B63">
              <w:rPr>
                <w:rFonts w:ascii="Arial" w:hAnsi="Arial" w:cs="Arial"/>
                <w:sz w:val="20"/>
              </w:rPr>
              <w:t>. Spaghetti + poison</w:t>
            </w:r>
          </w:p>
          <w:p w14:paraId="15BD33E1"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67BEC39"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1009" w:type="pct"/>
          </w:tcPr>
          <w:p w14:paraId="2B220400" w14:textId="77777777" w:rsidR="00B50B63" w:rsidRPr="00B50B63" w:rsidRDefault="00B50B63" w:rsidP="00B50B63">
            <w:pPr>
              <w:jc w:val="both"/>
              <w:rPr>
                <w:rFonts w:ascii="Arial" w:hAnsi="Arial" w:cs="Arial"/>
                <w:sz w:val="20"/>
              </w:rPr>
            </w:pPr>
            <w:r w:rsidRPr="00B50B63">
              <w:rPr>
                <w:rFonts w:ascii="Arial" w:hAnsi="Arial" w:cs="Arial"/>
                <w:sz w:val="20"/>
              </w:rPr>
              <w:t>Smoked fish</w:t>
            </w:r>
          </w:p>
          <w:p w14:paraId="53003DC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4FDE74"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5215E11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60" w:type="pct"/>
          </w:tcPr>
          <w:p w14:paraId="2C68AD69"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46D15343"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6773FB11"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50" w:type="pct"/>
          </w:tcPr>
          <w:p w14:paraId="6773B130"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5C615B7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E0007E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23C10EC"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27B61E89"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0BE26B8" w14:textId="77777777" w:rsidR="00B50B63" w:rsidRPr="00B50B63" w:rsidRDefault="00B50B63" w:rsidP="00B50B63">
      <w:pPr>
        <w:spacing w:after="160" w:line="480" w:lineRule="auto"/>
        <w:jc w:val="both"/>
        <w:rPr>
          <w:rFonts w:ascii="Times New Roman" w:eastAsia="Calibri" w:hAnsi="Times New Roman"/>
          <w:sz w:val="24"/>
          <w:szCs w:val="24"/>
        </w:rPr>
      </w:pPr>
    </w:p>
    <w:p w14:paraId="69E0161E"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54BD5C5B"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APPENDIX-4: Seven-day diet plan for diabetic with kidney failure</w:t>
      </w:r>
    </w:p>
    <w:tbl>
      <w:tblPr>
        <w:tblStyle w:val="TableGrid1"/>
        <w:tblW w:w="5000" w:type="pct"/>
        <w:tblLook w:val="04A0" w:firstRow="1" w:lastRow="0" w:firstColumn="1" w:lastColumn="0" w:noHBand="0" w:noVBand="1"/>
      </w:tblPr>
      <w:tblGrid>
        <w:gridCol w:w="1228"/>
        <w:gridCol w:w="2863"/>
        <w:gridCol w:w="2369"/>
        <w:gridCol w:w="2477"/>
        <w:gridCol w:w="2861"/>
      </w:tblGrid>
      <w:tr w:rsidR="00B50B63" w:rsidRPr="00B50B63" w14:paraId="040F5C4A" w14:textId="77777777" w:rsidTr="0008278F">
        <w:tc>
          <w:tcPr>
            <w:tcW w:w="473" w:type="pct"/>
          </w:tcPr>
          <w:p w14:paraId="7F8CF8A1"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25" w:type="pct"/>
          </w:tcPr>
          <w:p w14:paraId="5E2B361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16" w:type="pct"/>
          </w:tcPr>
          <w:p w14:paraId="3AC61480"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061" w:type="pct"/>
          </w:tcPr>
          <w:p w14:paraId="5C0D42AC"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224" w:type="pct"/>
          </w:tcPr>
          <w:p w14:paraId="03C3A7F7"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312197F8" w14:textId="77777777" w:rsidTr="0008278F">
        <w:tc>
          <w:tcPr>
            <w:tcW w:w="473" w:type="pct"/>
          </w:tcPr>
          <w:p w14:paraId="5C544724"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25" w:type="pct"/>
          </w:tcPr>
          <w:p w14:paraId="283A1C20"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5855CE9E"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6EE458D0"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49302676"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5740634B"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16" w:type="pct"/>
          </w:tcPr>
          <w:p w14:paraId="5C2E19B3" w14:textId="77777777" w:rsidR="00B50B63" w:rsidRPr="00B50B63" w:rsidRDefault="00B50B63" w:rsidP="00B50B63">
            <w:pPr>
              <w:jc w:val="both"/>
              <w:rPr>
                <w:rFonts w:ascii="Arial" w:hAnsi="Arial" w:cs="Arial"/>
                <w:sz w:val="20"/>
              </w:rPr>
            </w:pPr>
            <w:r w:rsidRPr="00B50B63">
              <w:rPr>
                <w:rFonts w:ascii="Arial" w:hAnsi="Arial" w:cs="Arial"/>
                <w:sz w:val="20"/>
              </w:rPr>
              <w:t>. Vegetable stir-fry (spinach) with carrots</w:t>
            </w:r>
          </w:p>
          <w:p w14:paraId="6F9CBF9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B6FF7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16B4175" w14:textId="77777777" w:rsidR="00B50B63" w:rsidRPr="00B50B63" w:rsidRDefault="00B50B63" w:rsidP="00B50B63">
            <w:pPr>
              <w:jc w:val="both"/>
              <w:rPr>
                <w:rFonts w:ascii="Arial" w:hAnsi="Arial" w:cs="Arial"/>
                <w:sz w:val="20"/>
              </w:rPr>
            </w:pPr>
            <w:r w:rsidRPr="00B50B63">
              <w:rPr>
                <w:rFonts w:ascii="Arial" w:hAnsi="Arial" w:cs="Arial"/>
                <w:sz w:val="20"/>
              </w:rPr>
              <w:t>.1 glass of orange juice</w:t>
            </w:r>
          </w:p>
          <w:p w14:paraId="4ABB0EED"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061" w:type="pct"/>
          </w:tcPr>
          <w:p w14:paraId="053889BF"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65090A3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224" w:type="pct"/>
          </w:tcPr>
          <w:p w14:paraId="26DA227F" w14:textId="77777777" w:rsidR="00B50B63" w:rsidRPr="00B50B63" w:rsidRDefault="00B50B63" w:rsidP="00B50B63">
            <w:pPr>
              <w:jc w:val="both"/>
              <w:rPr>
                <w:rFonts w:ascii="Arial" w:hAnsi="Arial" w:cs="Arial"/>
                <w:sz w:val="20"/>
              </w:rPr>
            </w:pPr>
            <w:r w:rsidRPr="00B50B63">
              <w:rPr>
                <w:rFonts w:ascii="Arial" w:hAnsi="Arial" w:cs="Arial"/>
                <w:sz w:val="20"/>
              </w:rPr>
              <w:t>. Stir-fried vegetables + carrots + ½ whole meal bread</w:t>
            </w:r>
          </w:p>
          <w:p w14:paraId="196A2A4C"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18E55604"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F074042" w14:textId="77777777" w:rsidTr="0008278F">
        <w:tc>
          <w:tcPr>
            <w:tcW w:w="473" w:type="pct"/>
          </w:tcPr>
          <w:p w14:paraId="70CFC7A1"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25" w:type="pct"/>
          </w:tcPr>
          <w:p w14:paraId="6E2A50B7"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6867659A"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1B1BF2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7AFF1ED2"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16" w:type="pct"/>
          </w:tcPr>
          <w:p w14:paraId="284E4E75"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F24B532"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1E481F1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4FDCE28F"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061" w:type="pct"/>
          </w:tcPr>
          <w:p w14:paraId="67EC6CCD"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7416E10A"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224" w:type="pct"/>
          </w:tcPr>
          <w:p w14:paraId="2CC4446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0081025B"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704415DA"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74009A2" w14:textId="77777777" w:rsidTr="0008278F">
        <w:tc>
          <w:tcPr>
            <w:tcW w:w="473" w:type="pct"/>
          </w:tcPr>
          <w:p w14:paraId="543917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25" w:type="pct"/>
          </w:tcPr>
          <w:p w14:paraId="2D3F60B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736DA5AA"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796783"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c>
          <w:tcPr>
            <w:tcW w:w="1016" w:type="pct"/>
          </w:tcPr>
          <w:p w14:paraId="5C84F710"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406FEEB"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6E82F8"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061" w:type="pct"/>
          </w:tcPr>
          <w:p w14:paraId="69A338D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35C8544B"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224" w:type="pct"/>
          </w:tcPr>
          <w:p w14:paraId="61567FF6" w14:textId="77777777" w:rsidR="00B50B63" w:rsidRPr="00B50B63" w:rsidRDefault="00B50B63" w:rsidP="00B50B63">
            <w:pPr>
              <w:jc w:val="both"/>
              <w:rPr>
                <w:rFonts w:ascii="Arial" w:hAnsi="Arial" w:cs="Arial"/>
                <w:sz w:val="20"/>
              </w:rPr>
            </w:pPr>
            <w:r w:rsidRPr="00B50B63">
              <w:rPr>
                <w:rFonts w:ascii="Arial" w:hAnsi="Arial" w:cs="Arial"/>
                <w:sz w:val="20"/>
              </w:rPr>
              <w:t>.1 piece of meat with green okra (</w:t>
            </w:r>
            <w:proofErr w:type="spellStart"/>
            <w:r w:rsidRPr="00B50B63">
              <w:rPr>
                <w:rFonts w:ascii="Arial" w:hAnsi="Arial" w:cs="Arial"/>
                <w:sz w:val="20"/>
              </w:rPr>
              <w:t>molké</w:t>
            </w:r>
            <w:proofErr w:type="spellEnd"/>
            <w:r w:rsidRPr="00B50B63">
              <w:rPr>
                <w:rFonts w:ascii="Arial" w:hAnsi="Arial" w:cs="Arial"/>
                <w:sz w:val="20"/>
              </w:rPr>
              <w:t>)</w:t>
            </w:r>
          </w:p>
          <w:p w14:paraId="4E77DB7B"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672BD2B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729EFA6F" w14:textId="77777777" w:rsidTr="0008278F">
        <w:tc>
          <w:tcPr>
            <w:tcW w:w="473" w:type="pct"/>
          </w:tcPr>
          <w:p w14:paraId="0EBE3A1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25" w:type="pct"/>
          </w:tcPr>
          <w:p w14:paraId="32C7143E"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A60557C" w14:textId="77777777" w:rsidR="00B50B63" w:rsidRPr="00B50B63" w:rsidRDefault="00B50B63" w:rsidP="00B50B63">
            <w:pPr>
              <w:jc w:val="both"/>
              <w:rPr>
                <w:rFonts w:ascii="Arial" w:hAnsi="Arial" w:cs="Arial"/>
                <w:sz w:val="20"/>
              </w:rPr>
            </w:pPr>
            <w:r w:rsidRPr="00B50B63">
              <w:rPr>
                <w:rFonts w:ascii="Arial" w:hAnsi="Arial" w:cs="Arial"/>
                <w:sz w:val="20"/>
              </w:rPr>
              <w:t>. Whole wheat bread</w:t>
            </w:r>
          </w:p>
          <w:p w14:paraId="7CBC2A0B"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59A5EA72"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16" w:type="pct"/>
          </w:tcPr>
          <w:p w14:paraId="4D1FFA65" w14:textId="77777777" w:rsidR="00B50B63" w:rsidRPr="00B50B63" w:rsidRDefault="00B50B63" w:rsidP="00B50B63">
            <w:pPr>
              <w:jc w:val="both"/>
              <w:rPr>
                <w:rFonts w:ascii="Arial" w:hAnsi="Arial" w:cs="Arial"/>
                <w:sz w:val="20"/>
              </w:rPr>
            </w:pPr>
            <w:r w:rsidRPr="00B50B63">
              <w:rPr>
                <w:rFonts w:ascii="Arial" w:hAnsi="Arial" w:cs="Arial"/>
                <w:sz w:val="20"/>
              </w:rPr>
              <w:t>. 1 piece of Meat (</w:t>
            </w:r>
            <w:proofErr w:type="spellStart"/>
            <w:r w:rsidRPr="00B50B63">
              <w:rPr>
                <w:rFonts w:ascii="Arial" w:hAnsi="Arial" w:cs="Arial"/>
                <w:sz w:val="20"/>
              </w:rPr>
              <w:t>Charmoute</w:t>
            </w:r>
            <w:proofErr w:type="spellEnd"/>
            <w:r w:rsidRPr="00B50B63">
              <w:rPr>
                <w:rFonts w:ascii="Arial" w:hAnsi="Arial" w:cs="Arial"/>
                <w:sz w:val="20"/>
              </w:rPr>
              <w:t>) + dry okra</w:t>
            </w:r>
          </w:p>
          <w:p w14:paraId="5ED5CC81"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136C92"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061" w:type="pct"/>
          </w:tcPr>
          <w:p w14:paraId="4338F29B" w14:textId="77777777" w:rsidR="00B50B63" w:rsidRPr="00B50B63" w:rsidRDefault="00B50B63" w:rsidP="00B50B63">
            <w:pPr>
              <w:jc w:val="both"/>
              <w:rPr>
                <w:rFonts w:ascii="Arial" w:hAnsi="Arial" w:cs="Arial"/>
                <w:sz w:val="20"/>
              </w:rPr>
            </w:pPr>
          </w:p>
        </w:tc>
        <w:tc>
          <w:tcPr>
            <w:tcW w:w="1224" w:type="pct"/>
          </w:tcPr>
          <w:p w14:paraId="7AC00EC7"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3503ECC4" w14:textId="77777777" w:rsidR="00B50B63" w:rsidRPr="00B50B63" w:rsidRDefault="00B50B63" w:rsidP="00B50B63">
            <w:pPr>
              <w:jc w:val="both"/>
              <w:rPr>
                <w:rFonts w:ascii="Arial" w:hAnsi="Arial" w:cs="Arial"/>
                <w:sz w:val="20"/>
              </w:rPr>
            </w:pPr>
            <w:r w:rsidRPr="00B50B63">
              <w:rPr>
                <w:rFonts w:ascii="Arial" w:hAnsi="Arial" w:cs="Arial"/>
                <w:sz w:val="20"/>
              </w:rPr>
              <w:t>. ½ avocado</w:t>
            </w:r>
          </w:p>
        </w:tc>
      </w:tr>
      <w:tr w:rsidR="00B50B63" w:rsidRPr="00B50B63" w14:paraId="241A8FD5" w14:textId="77777777" w:rsidTr="0008278F">
        <w:tc>
          <w:tcPr>
            <w:tcW w:w="473" w:type="pct"/>
          </w:tcPr>
          <w:p w14:paraId="57FA6F5B"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25" w:type="pct"/>
          </w:tcPr>
          <w:p w14:paraId="3D8ED9CA"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2C45EB28"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115B3008"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16" w:type="pct"/>
          </w:tcPr>
          <w:p w14:paraId="724E55DB"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240A02E"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44DD4A9"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061" w:type="pct"/>
          </w:tcPr>
          <w:p w14:paraId="78E429F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42AC90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224" w:type="pct"/>
          </w:tcPr>
          <w:p w14:paraId="586E61A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1DA58DF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734473C7"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0387513A" w14:textId="77777777" w:rsidTr="0008278F">
        <w:tc>
          <w:tcPr>
            <w:tcW w:w="473" w:type="pct"/>
          </w:tcPr>
          <w:p w14:paraId="2A0C9FA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25" w:type="pct"/>
          </w:tcPr>
          <w:p w14:paraId="4155386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7D62DCB4"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54B9D23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16" w:type="pct"/>
          </w:tcPr>
          <w:p w14:paraId="77C14B62"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D75E789"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3F405334"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061" w:type="pct"/>
          </w:tcPr>
          <w:p w14:paraId="21C4C2F7"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147845BD"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224" w:type="pct"/>
          </w:tcPr>
          <w:p w14:paraId="65182C7D"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6B6FA6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54713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C16313F" w14:textId="77777777" w:rsidTr="0008278F">
        <w:tc>
          <w:tcPr>
            <w:tcW w:w="473" w:type="pct"/>
          </w:tcPr>
          <w:p w14:paraId="7943CB2D"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25" w:type="pct"/>
          </w:tcPr>
          <w:p w14:paraId="38D66486" w14:textId="77777777" w:rsidR="00B50B63" w:rsidRPr="00B50B63" w:rsidRDefault="00B50B63" w:rsidP="00B50B63">
            <w:pPr>
              <w:jc w:val="both"/>
              <w:rPr>
                <w:rFonts w:ascii="Arial" w:hAnsi="Arial" w:cs="Arial"/>
                <w:sz w:val="20"/>
              </w:rPr>
            </w:pPr>
            <w:r w:rsidRPr="00B50B63">
              <w:rPr>
                <w:rFonts w:ascii="Arial" w:hAnsi="Arial" w:cs="Arial"/>
                <w:sz w:val="20"/>
              </w:rPr>
              <w:t>.1 cup of tea. Spaghetti + fish. Cucumber. Carrot</w:t>
            </w:r>
          </w:p>
        </w:tc>
        <w:tc>
          <w:tcPr>
            <w:tcW w:w="1016" w:type="pct"/>
          </w:tcPr>
          <w:p w14:paraId="13DB472B" w14:textId="77777777" w:rsidR="00B50B63" w:rsidRPr="00B50B63" w:rsidRDefault="00B50B63" w:rsidP="00B50B63">
            <w:pPr>
              <w:jc w:val="both"/>
              <w:rPr>
                <w:rFonts w:ascii="Arial" w:hAnsi="Arial" w:cs="Arial"/>
                <w:sz w:val="20"/>
              </w:rPr>
            </w:pPr>
            <w:r w:rsidRPr="00B50B63">
              <w:rPr>
                <w:rFonts w:ascii="Arial" w:hAnsi="Arial" w:cs="Arial"/>
                <w:sz w:val="20"/>
              </w:rPr>
              <w:t>. Smoked fish</w:t>
            </w:r>
          </w:p>
          <w:p w14:paraId="5E45F1F8"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3C609D85" w14:textId="77777777" w:rsidR="00B50B63" w:rsidRPr="00B50B63" w:rsidRDefault="00B50B63" w:rsidP="00B50B63">
            <w:pPr>
              <w:jc w:val="both"/>
              <w:rPr>
                <w:rFonts w:ascii="Arial" w:hAnsi="Arial" w:cs="Arial"/>
                <w:sz w:val="20"/>
              </w:rPr>
            </w:pPr>
            <w:r w:rsidRPr="00B50B63">
              <w:rPr>
                <w:rFonts w:ascii="Arial" w:hAnsi="Arial" w:cs="Arial"/>
                <w:sz w:val="20"/>
              </w:rPr>
              <w:t>.1/2 avocado</w:t>
            </w:r>
          </w:p>
          <w:p w14:paraId="6187DCC5"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061" w:type="pct"/>
          </w:tcPr>
          <w:p w14:paraId="342D4929" w14:textId="77777777" w:rsidR="00B50B63" w:rsidRPr="00B50B63" w:rsidRDefault="00B50B63" w:rsidP="00B50B63">
            <w:pPr>
              <w:jc w:val="both"/>
              <w:rPr>
                <w:rFonts w:ascii="Arial" w:hAnsi="Arial" w:cs="Arial"/>
                <w:sz w:val="20"/>
              </w:rPr>
            </w:pPr>
            <w:r w:rsidRPr="00B50B63">
              <w:rPr>
                <w:rFonts w:ascii="Arial" w:hAnsi="Arial" w:cs="Arial"/>
                <w:sz w:val="20"/>
              </w:rPr>
              <w:t>. 1 Pot of unsweetened yogurt</w:t>
            </w:r>
          </w:p>
          <w:p w14:paraId="485C6A5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C6820D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224" w:type="pct"/>
          </w:tcPr>
          <w:p w14:paraId="61BF8E8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0CCC798A"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B5F4D1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321D60C5"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6A6C02E5"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4CB7F032"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4786824F"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APPENDIX-5: Seven-day diet plan for diabetic with stroke and heart failure</w:t>
      </w:r>
    </w:p>
    <w:tbl>
      <w:tblPr>
        <w:tblStyle w:val="TableGrid1"/>
        <w:tblW w:w="5000" w:type="pct"/>
        <w:tblLook w:val="04A0" w:firstRow="1" w:lastRow="0" w:firstColumn="1" w:lastColumn="0" w:noHBand="0" w:noVBand="1"/>
      </w:tblPr>
      <w:tblGrid>
        <w:gridCol w:w="1228"/>
        <w:gridCol w:w="3012"/>
        <w:gridCol w:w="2092"/>
        <w:gridCol w:w="2918"/>
        <w:gridCol w:w="2548"/>
      </w:tblGrid>
      <w:tr w:rsidR="00B50B63" w:rsidRPr="00B50B63" w14:paraId="60D322FD" w14:textId="77777777" w:rsidTr="0008278F">
        <w:tc>
          <w:tcPr>
            <w:tcW w:w="503" w:type="pct"/>
          </w:tcPr>
          <w:p w14:paraId="0E41E9DE"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81" w:type="pct"/>
          </w:tcPr>
          <w:p w14:paraId="11B5A2F9"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891" w:type="pct"/>
          </w:tcPr>
          <w:p w14:paraId="0039DC37"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241" w:type="pct"/>
          </w:tcPr>
          <w:p w14:paraId="46C1CE78"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84" w:type="pct"/>
          </w:tcPr>
          <w:p w14:paraId="141ABD0C"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F41CB53" w14:textId="77777777" w:rsidTr="0008278F">
        <w:tc>
          <w:tcPr>
            <w:tcW w:w="503" w:type="pct"/>
          </w:tcPr>
          <w:p w14:paraId="1EF2358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81" w:type="pct"/>
          </w:tcPr>
          <w:p w14:paraId="4CFB576D"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6155C7F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2E520A1"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1B21886C"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707B591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891" w:type="pct"/>
          </w:tcPr>
          <w:p w14:paraId="4715E0F5"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2D63FEE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7037C7D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6F9E1EA"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5B5C960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241" w:type="pct"/>
          </w:tcPr>
          <w:p w14:paraId="09F3E049"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6BF01946"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84" w:type="pct"/>
          </w:tcPr>
          <w:p w14:paraId="75067A94"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14996C31"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CD840FB"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571BB308" w14:textId="77777777" w:rsidTr="0008278F">
        <w:tc>
          <w:tcPr>
            <w:tcW w:w="503" w:type="pct"/>
          </w:tcPr>
          <w:p w14:paraId="4A222FCE"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81" w:type="pct"/>
          </w:tcPr>
          <w:p w14:paraId="1C90C708" w14:textId="77777777" w:rsidR="00B50B63" w:rsidRPr="00B50B63" w:rsidRDefault="00B50B63" w:rsidP="00B50B63">
            <w:pPr>
              <w:jc w:val="both"/>
              <w:rPr>
                <w:rFonts w:ascii="Arial" w:hAnsi="Arial" w:cs="Arial"/>
                <w:sz w:val="20"/>
              </w:rPr>
            </w:pPr>
            <w:r w:rsidRPr="00B50B63">
              <w:rPr>
                <w:rFonts w:ascii="Arial" w:hAnsi="Arial" w:cs="Arial"/>
                <w:sz w:val="20"/>
              </w:rPr>
              <w:t>. Tea/coffee</w:t>
            </w:r>
          </w:p>
          <w:p w14:paraId="7930458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4BE88B7C" w14:textId="77777777" w:rsidR="00B50B63" w:rsidRPr="00B50B63" w:rsidRDefault="00B50B63" w:rsidP="00B50B63">
            <w:pPr>
              <w:jc w:val="both"/>
              <w:rPr>
                <w:rFonts w:ascii="Arial" w:hAnsi="Arial" w:cs="Arial"/>
                <w:sz w:val="20"/>
              </w:rPr>
            </w:pPr>
            <w:r w:rsidRPr="00B50B63">
              <w:rPr>
                <w:rFonts w:ascii="Arial" w:hAnsi="Arial" w:cs="Arial"/>
                <w:sz w:val="20"/>
              </w:rPr>
              <w:t>.1 teaspoon of Mayonnaise</w:t>
            </w:r>
          </w:p>
          <w:p w14:paraId="333BF17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891" w:type="pct"/>
          </w:tcPr>
          <w:p w14:paraId="1DABE8EE"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713C5DB"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7C9A42C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p w14:paraId="45003BBC"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241" w:type="pct"/>
          </w:tcPr>
          <w:p w14:paraId="35006FBE" w14:textId="77777777" w:rsidR="00B50B63" w:rsidRPr="00B50B63" w:rsidRDefault="00B50B63" w:rsidP="00B50B63">
            <w:pPr>
              <w:jc w:val="both"/>
              <w:rPr>
                <w:rFonts w:ascii="Arial" w:hAnsi="Arial" w:cs="Arial"/>
                <w:sz w:val="20"/>
              </w:rPr>
            </w:pPr>
            <w:r w:rsidRPr="00B50B63">
              <w:rPr>
                <w:rFonts w:ascii="Arial" w:hAnsi="Arial" w:cs="Arial"/>
                <w:sz w:val="20"/>
              </w:rPr>
              <w:t>. Orange</w:t>
            </w:r>
          </w:p>
          <w:p w14:paraId="6CCB9AB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84" w:type="pct"/>
          </w:tcPr>
          <w:p w14:paraId="59FA943A"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7D154EC2"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57B5293"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CB42851" w14:textId="77777777" w:rsidTr="0008278F">
        <w:tc>
          <w:tcPr>
            <w:tcW w:w="503" w:type="pct"/>
          </w:tcPr>
          <w:p w14:paraId="5CB02DBE"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81" w:type="pct"/>
          </w:tcPr>
          <w:p w14:paraId="6DD7CB2E"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A9A98E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7E88CB0"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891" w:type="pct"/>
          </w:tcPr>
          <w:p w14:paraId="5F6A33AC"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084D315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46B9B7F"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241" w:type="pct"/>
          </w:tcPr>
          <w:p w14:paraId="7F39216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4DC2D364"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84" w:type="pct"/>
          </w:tcPr>
          <w:p w14:paraId="46348A0E" w14:textId="77777777" w:rsidR="00B50B63" w:rsidRPr="00B50B63" w:rsidRDefault="00B50B63" w:rsidP="00B50B63">
            <w:pPr>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molké</w:t>
            </w:r>
            <w:proofErr w:type="spellEnd"/>
            <w:r w:rsidRPr="00B50B63">
              <w:rPr>
                <w:rFonts w:ascii="Arial" w:hAnsi="Arial" w:cs="Arial"/>
                <w:sz w:val="20"/>
              </w:rPr>
              <w:t>)</w:t>
            </w:r>
          </w:p>
          <w:p w14:paraId="68A1160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06D7B7D5"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6EBBFE9C" w14:textId="77777777" w:rsidTr="0008278F">
        <w:tc>
          <w:tcPr>
            <w:tcW w:w="503" w:type="pct"/>
          </w:tcPr>
          <w:p w14:paraId="467B7F45"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81" w:type="pct"/>
          </w:tcPr>
          <w:p w14:paraId="0ACE5DB9" w14:textId="77777777" w:rsidR="00B50B63" w:rsidRPr="00B50B63" w:rsidRDefault="00B50B63" w:rsidP="00B50B63">
            <w:pPr>
              <w:jc w:val="both"/>
              <w:rPr>
                <w:rFonts w:ascii="Arial" w:hAnsi="Arial" w:cs="Arial"/>
                <w:sz w:val="20"/>
              </w:rPr>
            </w:pPr>
            <w:r w:rsidRPr="00B50B63">
              <w:rPr>
                <w:rFonts w:ascii="Arial" w:hAnsi="Arial" w:cs="Arial"/>
                <w:sz w:val="20"/>
              </w:rPr>
              <w:t>. Tea</w:t>
            </w:r>
          </w:p>
          <w:p w14:paraId="29EE4C03"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5E6E5B5"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760729B1"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891" w:type="pct"/>
          </w:tcPr>
          <w:p w14:paraId="0BD75C72" w14:textId="77777777" w:rsidR="00B50B63" w:rsidRPr="00B50B63" w:rsidRDefault="00B50B63" w:rsidP="00B50B63">
            <w:pPr>
              <w:jc w:val="both"/>
              <w:rPr>
                <w:rFonts w:ascii="Arial" w:hAnsi="Arial" w:cs="Arial"/>
                <w:sz w:val="20"/>
              </w:rPr>
            </w:pPr>
            <w:r w:rsidRPr="00B50B63">
              <w:rPr>
                <w:rFonts w:ascii="Arial" w:hAnsi="Arial" w:cs="Arial"/>
                <w:sz w:val="20"/>
              </w:rPr>
              <w:t>. Meat (</w:t>
            </w:r>
            <w:proofErr w:type="spellStart"/>
            <w:r w:rsidRPr="00B50B63">
              <w:rPr>
                <w:rFonts w:ascii="Arial" w:hAnsi="Arial" w:cs="Arial"/>
                <w:sz w:val="20"/>
              </w:rPr>
              <w:t>Charmoute</w:t>
            </w:r>
            <w:proofErr w:type="spellEnd"/>
            <w:r w:rsidRPr="00B50B63">
              <w:rPr>
                <w:rFonts w:ascii="Arial" w:hAnsi="Arial" w:cs="Arial"/>
                <w:sz w:val="20"/>
              </w:rPr>
              <w:t>) + dry okra</w:t>
            </w:r>
          </w:p>
          <w:p w14:paraId="60023FA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151CDE0"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241" w:type="pct"/>
          </w:tcPr>
          <w:p w14:paraId="4A53F825" w14:textId="77777777" w:rsidR="00B50B63" w:rsidRPr="00B50B63" w:rsidRDefault="00B50B63" w:rsidP="00B50B63">
            <w:pPr>
              <w:jc w:val="both"/>
              <w:rPr>
                <w:rFonts w:ascii="Arial" w:hAnsi="Arial" w:cs="Arial"/>
                <w:sz w:val="20"/>
              </w:rPr>
            </w:pPr>
          </w:p>
        </w:tc>
        <w:tc>
          <w:tcPr>
            <w:tcW w:w="1084" w:type="pct"/>
          </w:tcPr>
          <w:p w14:paraId="12638141"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0E625DFA" w14:textId="77777777" w:rsidR="00B50B63" w:rsidRPr="00B50B63" w:rsidRDefault="00B50B63" w:rsidP="00B50B63">
            <w:pPr>
              <w:jc w:val="both"/>
              <w:rPr>
                <w:rFonts w:ascii="Arial" w:hAnsi="Arial" w:cs="Arial"/>
                <w:sz w:val="20"/>
              </w:rPr>
            </w:pPr>
            <w:r w:rsidRPr="00B50B63">
              <w:rPr>
                <w:rFonts w:ascii="Arial" w:hAnsi="Arial" w:cs="Arial"/>
                <w:sz w:val="20"/>
              </w:rPr>
              <w:t>.1/2 avocado</w:t>
            </w:r>
          </w:p>
        </w:tc>
      </w:tr>
      <w:tr w:rsidR="00B50B63" w:rsidRPr="00B50B63" w14:paraId="001C582F" w14:textId="77777777" w:rsidTr="0008278F">
        <w:tc>
          <w:tcPr>
            <w:tcW w:w="503" w:type="pct"/>
          </w:tcPr>
          <w:p w14:paraId="3D2388C1"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81" w:type="pct"/>
          </w:tcPr>
          <w:p w14:paraId="1742251D" w14:textId="77777777" w:rsidR="00B50B63" w:rsidRPr="00B50B63" w:rsidRDefault="00B50B63" w:rsidP="00B50B63">
            <w:pPr>
              <w:jc w:val="both"/>
              <w:rPr>
                <w:rFonts w:ascii="Arial" w:hAnsi="Arial" w:cs="Arial"/>
                <w:sz w:val="20"/>
              </w:rPr>
            </w:pPr>
            <w:r w:rsidRPr="00B50B63">
              <w:rPr>
                <w:rFonts w:ascii="Arial" w:hAnsi="Arial" w:cs="Arial"/>
                <w:sz w:val="20"/>
              </w:rPr>
              <w:t>. 1 cup coffee</w:t>
            </w:r>
          </w:p>
          <w:p w14:paraId="5F968A92"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2D4EF65B" w14:textId="77777777" w:rsidR="00B50B63" w:rsidRPr="00B50B63" w:rsidRDefault="00B50B63" w:rsidP="00B50B63">
            <w:pPr>
              <w:jc w:val="both"/>
              <w:rPr>
                <w:rFonts w:ascii="Arial" w:hAnsi="Arial" w:cs="Arial"/>
                <w:sz w:val="20"/>
              </w:rPr>
            </w:pPr>
            <w:r w:rsidRPr="00B50B63">
              <w:rPr>
                <w:rFonts w:ascii="Arial" w:hAnsi="Arial" w:cs="Arial"/>
                <w:sz w:val="20"/>
              </w:rPr>
              <w:t xml:space="preserve"> . 1 French apple</w:t>
            </w:r>
          </w:p>
        </w:tc>
        <w:tc>
          <w:tcPr>
            <w:tcW w:w="891" w:type="pct"/>
          </w:tcPr>
          <w:p w14:paraId="494DC970"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35B95C"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5014D8EF"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241" w:type="pct"/>
          </w:tcPr>
          <w:p w14:paraId="4AD332D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2352897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84" w:type="pct"/>
          </w:tcPr>
          <w:p w14:paraId="30719EBC" w14:textId="77777777" w:rsidR="00B50B63" w:rsidRPr="00B50B63" w:rsidRDefault="00B50B63" w:rsidP="00B50B63">
            <w:pPr>
              <w:jc w:val="both"/>
              <w:rPr>
                <w:rFonts w:ascii="Arial" w:hAnsi="Arial" w:cs="Arial"/>
                <w:sz w:val="20"/>
              </w:rPr>
            </w:pPr>
            <w:r w:rsidRPr="00B50B63">
              <w:rPr>
                <w:rFonts w:ascii="Arial" w:hAnsi="Arial" w:cs="Arial"/>
                <w:sz w:val="20"/>
              </w:rPr>
              <w:t>. Poison + Eggplant</w:t>
            </w:r>
          </w:p>
          <w:p w14:paraId="11E364B9"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B9BB930"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6D907C61" w14:textId="77777777" w:rsidTr="0008278F">
        <w:tc>
          <w:tcPr>
            <w:tcW w:w="503" w:type="pct"/>
          </w:tcPr>
          <w:p w14:paraId="5A6FAC3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81" w:type="pct"/>
          </w:tcPr>
          <w:p w14:paraId="092E62B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538EF40E"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E359F8B"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891" w:type="pct"/>
          </w:tcPr>
          <w:p w14:paraId="5A3664E5"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73C99761"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7C15D8D"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241" w:type="pct"/>
          </w:tcPr>
          <w:p w14:paraId="702EA0B1"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7D7A88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84" w:type="pct"/>
          </w:tcPr>
          <w:p w14:paraId="37691132"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54C56FF3"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648D6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443DA0D6" w14:textId="77777777" w:rsidTr="0008278F">
        <w:tc>
          <w:tcPr>
            <w:tcW w:w="503" w:type="pct"/>
          </w:tcPr>
          <w:p w14:paraId="5B0093A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81" w:type="pct"/>
          </w:tcPr>
          <w:p w14:paraId="402CE4E7"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5564218" w14:textId="77777777" w:rsidR="00B50B63" w:rsidRPr="00B50B63" w:rsidRDefault="00B50B63" w:rsidP="00B50B63">
            <w:pPr>
              <w:jc w:val="both"/>
              <w:rPr>
                <w:rFonts w:ascii="Arial" w:hAnsi="Arial" w:cs="Arial"/>
                <w:sz w:val="20"/>
              </w:rPr>
            </w:pPr>
            <w:r w:rsidRPr="00B50B63">
              <w:rPr>
                <w:rFonts w:ascii="Arial" w:hAnsi="Arial" w:cs="Arial"/>
                <w:sz w:val="20"/>
              </w:rPr>
              <w:t xml:space="preserve"> . Spaghetti + fish</w:t>
            </w:r>
          </w:p>
          <w:p w14:paraId="293253D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AC6E64D"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891" w:type="pct"/>
          </w:tcPr>
          <w:p w14:paraId="0B7DDC3C" w14:textId="77777777" w:rsidR="00B50B63" w:rsidRPr="00B50B63" w:rsidRDefault="00B50B63" w:rsidP="00B50B63">
            <w:pPr>
              <w:jc w:val="both"/>
              <w:rPr>
                <w:rFonts w:ascii="Arial" w:hAnsi="Arial" w:cs="Arial"/>
                <w:sz w:val="20"/>
              </w:rPr>
            </w:pPr>
            <w:r w:rsidRPr="00B50B63">
              <w:rPr>
                <w:rFonts w:ascii="Arial" w:hAnsi="Arial" w:cs="Arial"/>
                <w:sz w:val="20"/>
              </w:rPr>
              <w:t xml:space="preserve">. Smoked fish. </w:t>
            </w:r>
          </w:p>
          <w:p w14:paraId="7676AF7A"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4236D8AD"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D233A57"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241" w:type="pct"/>
          </w:tcPr>
          <w:p w14:paraId="5B81FF1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2524B768"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C9CC948"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84" w:type="pct"/>
          </w:tcPr>
          <w:p w14:paraId="75E280FB"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D7B155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5EF9E79"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149F744E"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0B501D0B"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B76E6AC" w14:textId="77777777" w:rsidR="00B50B63" w:rsidRPr="00B50B63" w:rsidRDefault="00B50B63" w:rsidP="00B50B63">
      <w:pPr>
        <w:spacing w:after="160" w:line="480" w:lineRule="auto"/>
        <w:jc w:val="both"/>
        <w:rPr>
          <w:rFonts w:ascii="Times New Roman" w:eastAsia="Calibri" w:hAnsi="Times New Roman"/>
          <w:b/>
          <w:sz w:val="24"/>
          <w:szCs w:val="24"/>
        </w:rPr>
        <w:sectPr w:rsidR="00B50B63" w:rsidRPr="00B50B63" w:rsidSect="003B650A">
          <w:pgSz w:w="15840" w:h="12240" w:orient="landscape"/>
          <w:pgMar w:top="1440" w:right="2016" w:bottom="2016" w:left="2016" w:header="709" w:footer="709" w:gutter="0"/>
          <w:cols w:space="708"/>
          <w:docGrid w:linePitch="360"/>
        </w:sectPr>
      </w:pPr>
    </w:p>
    <w:p w14:paraId="3B7C0663" w14:textId="77777777" w:rsidR="00B50B63" w:rsidRPr="00B50B63" w:rsidRDefault="00B50B63" w:rsidP="00494D97">
      <w:pPr>
        <w:spacing w:after="120"/>
        <w:jc w:val="both"/>
        <w:rPr>
          <w:rFonts w:ascii="Times New Roman" w:eastAsia="Calibri" w:hAnsi="Times New Roman"/>
          <w:sz w:val="24"/>
          <w:szCs w:val="24"/>
        </w:rPr>
      </w:pPr>
      <w:r w:rsidRPr="00B50B63">
        <w:rPr>
          <w:rFonts w:ascii="Arial" w:eastAsia="Calibri" w:hAnsi="Arial" w:cs="Arial"/>
          <w:b/>
          <w:bCs/>
        </w:rPr>
        <w:lastRenderedPageBreak/>
        <w:t>APPENDIX-6</w:t>
      </w:r>
      <w:r w:rsidRPr="00B50B63">
        <w:rPr>
          <w:rFonts w:ascii="Times New Roman" w:eastAsia="Calibri" w:hAnsi="Times New Roman"/>
          <w:sz w:val="24"/>
          <w:szCs w:val="24"/>
        </w:rPr>
        <w:t xml:space="preserve">: </w:t>
      </w:r>
      <w:r w:rsidRPr="00B50B63">
        <w:rPr>
          <w:rFonts w:ascii="Arial" w:eastAsia="Calibri" w:hAnsi="Arial" w:cs="Arial"/>
          <w:b/>
          <w:bCs/>
        </w:rPr>
        <w:t xml:space="preserve">Definitions and classification of blood pressure levels (mmHg) </w:t>
      </w:r>
      <w:r w:rsidRPr="00B50B63">
        <w:rPr>
          <w:rFonts w:ascii="Arial" w:eastAsia="Calibri" w:hAnsi="Arial" w:cs="Arial"/>
          <w:b/>
          <w:bCs/>
        </w:rPr>
        <w:fldChar w:fldCharType="begin" w:fldLock="1"/>
      </w:r>
      <w:r w:rsidRPr="00B50B63">
        <w:rPr>
          <w:rFonts w:ascii="Arial" w:eastAsia="Calibri" w:hAnsi="Arial" w:cs="Arial"/>
          <w:b/>
          <w:bCs/>
        </w:rPr>
        <w:instrText>ADDIN CSL_CITATION {"citationItems":[{"id":"ITEM-1","itemData":{"DOI":"10.3109/10641969909061028","ISSN":"10641963","PMID":"10423121","abstract":"The present Guidelines were prepared by the Guidelines Sub-Committee of the World Health Organization-International Society of Hypertension (WHO- ISH) Mild Hypertension Liaison Committee, the members of which are listed at the end of the text. These guidelines represent the fourth revision of the WHO-ISH Guidelines and were finalised after presentation and discussion at the 7th WHO-ISH Meeting on Hypertension, Fukuoka, Japan, 29th Sept - 1st Oct, 1998. Previous versions of the Guidelines were published in Bull WHO 1993,71:503-517 and J Hypertens 1993,11:905-918.","author":[{"dropping-particle":"","family":"Chalmers","given":"J.","non-dropping-particle":"","parse-names":false,"suffix":""}],"container-title":"Clinical and Experimental Hypertension","id":"ITEM-1","issue":"5-6","issued":{"date-parts":[["1999"]]},"page":"1009-1060","title":"1999 World Health Organization-International Society of Hypertension guidelines for the management of hypertension","type":"article-journal","volume":"21"},"uris":["http://www.mendeley.com/documents/?uuid=541e7b79-72df-49d8-b525-b821d90631e6"]}],"mendeley":{"formattedCitation":"(Chalmers, 1999)","plainTextFormattedCitation":"(Chalmers, 1999)","previouslyFormattedCitation":"(Chalmers, 1999)"},"properties":{"noteIndex":0},"schema":"https://github.com/citation-style-language/schema/raw/master/csl-citation.json"}</w:instrText>
      </w:r>
      <w:r w:rsidRPr="00B50B63">
        <w:rPr>
          <w:rFonts w:ascii="Arial" w:eastAsia="Calibri" w:hAnsi="Arial" w:cs="Arial"/>
          <w:b/>
          <w:bCs/>
        </w:rPr>
        <w:fldChar w:fldCharType="separate"/>
      </w:r>
      <w:r w:rsidRPr="00B50B63">
        <w:rPr>
          <w:rFonts w:ascii="Arial" w:eastAsia="Calibri" w:hAnsi="Arial" w:cs="Arial"/>
          <w:b/>
          <w:bCs/>
        </w:rPr>
        <w:t>(Chalmers, 1999)</w:t>
      </w:r>
      <w:r w:rsidRPr="00B50B63">
        <w:rPr>
          <w:rFonts w:ascii="Arial" w:eastAsia="Calibri" w:hAnsi="Arial" w:cs="Arial"/>
          <w:b/>
          <w:bCs/>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2125"/>
        <w:gridCol w:w="2205"/>
      </w:tblGrid>
      <w:tr w:rsidR="00494D97" w:rsidRPr="00B50B63" w14:paraId="16591DCA" w14:textId="77777777" w:rsidTr="00494D97">
        <w:trPr>
          <w:trHeight w:val="70"/>
        </w:trPr>
        <w:tc>
          <w:tcPr>
            <w:tcW w:w="2362" w:type="pct"/>
            <w:tcBorders>
              <w:top w:val="single" w:sz="4" w:space="0" w:color="auto"/>
              <w:bottom w:val="single" w:sz="4" w:space="0" w:color="auto"/>
            </w:tcBorders>
            <w:hideMark/>
          </w:tcPr>
          <w:p w14:paraId="200DDCC2" w14:textId="77777777" w:rsidR="00B50B63" w:rsidRPr="00B50B63" w:rsidRDefault="00B50B63" w:rsidP="00B50B63">
            <w:pPr>
              <w:jc w:val="both"/>
              <w:rPr>
                <w:rFonts w:ascii="Arial" w:hAnsi="Arial" w:cs="Arial"/>
                <w:sz w:val="20"/>
              </w:rPr>
            </w:pPr>
            <w:r w:rsidRPr="00B50B63">
              <w:rPr>
                <w:rFonts w:ascii="Arial" w:hAnsi="Arial" w:cs="Arial"/>
                <w:sz w:val="20"/>
              </w:rPr>
              <w:t>Category</w:t>
            </w:r>
          </w:p>
        </w:tc>
        <w:tc>
          <w:tcPr>
            <w:tcW w:w="1294" w:type="pct"/>
            <w:tcBorders>
              <w:top w:val="single" w:sz="4" w:space="0" w:color="auto"/>
              <w:bottom w:val="single" w:sz="4" w:space="0" w:color="auto"/>
            </w:tcBorders>
            <w:hideMark/>
          </w:tcPr>
          <w:p w14:paraId="4EDABB51" w14:textId="77777777" w:rsidR="00B50B63" w:rsidRPr="00B50B63" w:rsidRDefault="00B50B63" w:rsidP="00B50B63">
            <w:pPr>
              <w:jc w:val="both"/>
              <w:rPr>
                <w:rFonts w:ascii="Arial" w:hAnsi="Arial" w:cs="Arial"/>
                <w:sz w:val="20"/>
              </w:rPr>
            </w:pPr>
            <w:r w:rsidRPr="00B50B63">
              <w:rPr>
                <w:rFonts w:ascii="Arial" w:hAnsi="Arial" w:cs="Arial"/>
                <w:sz w:val="20"/>
              </w:rPr>
              <w:t xml:space="preserve">Systolic (mm Hg)  </w:t>
            </w:r>
          </w:p>
        </w:tc>
        <w:tc>
          <w:tcPr>
            <w:tcW w:w="1343" w:type="pct"/>
            <w:tcBorders>
              <w:top w:val="single" w:sz="4" w:space="0" w:color="auto"/>
              <w:bottom w:val="single" w:sz="4" w:space="0" w:color="auto"/>
            </w:tcBorders>
            <w:hideMark/>
          </w:tcPr>
          <w:p w14:paraId="3850FF26" w14:textId="77777777" w:rsidR="00B50B63" w:rsidRPr="00B50B63" w:rsidRDefault="00B50B63" w:rsidP="00B50B63">
            <w:pPr>
              <w:jc w:val="both"/>
              <w:rPr>
                <w:rFonts w:ascii="Arial" w:hAnsi="Arial" w:cs="Arial"/>
                <w:sz w:val="20"/>
              </w:rPr>
            </w:pPr>
            <w:r w:rsidRPr="00B50B63">
              <w:rPr>
                <w:rFonts w:ascii="Arial" w:hAnsi="Arial" w:cs="Arial"/>
                <w:sz w:val="20"/>
              </w:rPr>
              <w:t xml:space="preserve">Diastolic (mm Hg)  </w:t>
            </w:r>
          </w:p>
        </w:tc>
      </w:tr>
      <w:tr w:rsidR="00494D97" w:rsidRPr="00B50B63" w14:paraId="0CAA7C62" w14:textId="77777777" w:rsidTr="00494D97">
        <w:trPr>
          <w:trHeight w:val="70"/>
        </w:trPr>
        <w:tc>
          <w:tcPr>
            <w:tcW w:w="2362" w:type="pct"/>
            <w:tcBorders>
              <w:top w:val="single" w:sz="4" w:space="0" w:color="auto"/>
            </w:tcBorders>
            <w:hideMark/>
          </w:tcPr>
          <w:p w14:paraId="73D87EB5" w14:textId="77777777" w:rsidR="00B50B63" w:rsidRPr="00B50B63" w:rsidRDefault="00B50B63" w:rsidP="00B50B63">
            <w:pPr>
              <w:jc w:val="both"/>
              <w:rPr>
                <w:rFonts w:ascii="Arial" w:hAnsi="Arial" w:cs="Arial"/>
                <w:sz w:val="20"/>
              </w:rPr>
            </w:pPr>
            <w:r w:rsidRPr="00B50B63">
              <w:rPr>
                <w:rFonts w:ascii="Arial" w:hAnsi="Arial" w:cs="Arial"/>
                <w:sz w:val="20"/>
              </w:rPr>
              <w:t xml:space="preserve">Optimal  </w:t>
            </w:r>
          </w:p>
        </w:tc>
        <w:tc>
          <w:tcPr>
            <w:tcW w:w="1294" w:type="pct"/>
            <w:tcBorders>
              <w:top w:val="single" w:sz="4" w:space="0" w:color="auto"/>
            </w:tcBorders>
            <w:hideMark/>
          </w:tcPr>
          <w:p w14:paraId="5381EC06" w14:textId="77777777" w:rsidR="00B50B63" w:rsidRPr="00B50B63" w:rsidRDefault="00B50B63" w:rsidP="00B50B63">
            <w:pPr>
              <w:jc w:val="both"/>
              <w:rPr>
                <w:rFonts w:ascii="Arial" w:hAnsi="Arial" w:cs="Arial"/>
                <w:sz w:val="20"/>
              </w:rPr>
            </w:pPr>
            <w:r w:rsidRPr="00B50B63">
              <w:rPr>
                <w:rFonts w:ascii="Arial" w:hAnsi="Arial" w:cs="Arial"/>
                <w:sz w:val="20"/>
              </w:rPr>
              <w:t xml:space="preserve">&lt; 120 </w:t>
            </w:r>
          </w:p>
        </w:tc>
        <w:tc>
          <w:tcPr>
            <w:tcW w:w="1343" w:type="pct"/>
            <w:tcBorders>
              <w:top w:val="single" w:sz="4" w:space="0" w:color="auto"/>
            </w:tcBorders>
            <w:hideMark/>
          </w:tcPr>
          <w:p w14:paraId="3A488F33" w14:textId="77777777" w:rsidR="00B50B63" w:rsidRPr="00B50B63" w:rsidRDefault="00B50B63" w:rsidP="00B50B63">
            <w:pPr>
              <w:jc w:val="both"/>
              <w:rPr>
                <w:rFonts w:ascii="Arial" w:hAnsi="Arial" w:cs="Arial"/>
                <w:sz w:val="20"/>
              </w:rPr>
            </w:pPr>
            <w:r w:rsidRPr="00B50B63">
              <w:rPr>
                <w:rFonts w:ascii="Arial" w:hAnsi="Arial" w:cs="Arial"/>
                <w:sz w:val="20"/>
              </w:rPr>
              <w:t xml:space="preserve">&lt; 80  </w:t>
            </w:r>
          </w:p>
        </w:tc>
      </w:tr>
      <w:tr w:rsidR="00494D97" w:rsidRPr="00B50B63" w14:paraId="043359B0" w14:textId="77777777" w:rsidTr="00494D97">
        <w:trPr>
          <w:trHeight w:val="70"/>
        </w:trPr>
        <w:tc>
          <w:tcPr>
            <w:tcW w:w="2362" w:type="pct"/>
            <w:hideMark/>
          </w:tcPr>
          <w:p w14:paraId="037281D0" w14:textId="77777777" w:rsidR="00B50B63" w:rsidRPr="00B50B63" w:rsidRDefault="00B50B63" w:rsidP="00B50B63">
            <w:pPr>
              <w:jc w:val="both"/>
              <w:rPr>
                <w:rFonts w:ascii="Arial" w:hAnsi="Arial" w:cs="Arial"/>
                <w:sz w:val="20"/>
              </w:rPr>
            </w:pPr>
            <w:r w:rsidRPr="00B50B63">
              <w:rPr>
                <w:rFonts w:ascii="Arial" w:hAnsi="Arial" w:cs="Arial"/>
                <w:sz w:val="20"/>
              </w:rPr>
              <w:t xml:space="preserve">Normal  </w:t>
            </w:r>
          </w:p>
        </w:tc>
        <w:tc>
          <w:tcPr>
            <w:tcW w:w="1294" w:type="pct"/>
            <w:hideMark/>
          </w:tcPr>
          <w:p w14:paraId="5AEAC39B" w14:textId="77777777" w:rsidR="00B50B63" w:rsidRPr="00B50B63" w:rsidRDefault="00B50B63" w:rsidP="00B50B63">
            <w:pPr>
              <w:jc w:val="both"/>
              <w:rPr>
                <w:rFonts w:ascii="Arial" w:hAnsi="Arial" w:cs="Arial"/>
                <w:sz w:val="20"/>
              </w:rPr>
            </w:pPr>
            <w:r w:rsidRPr="00B50B63">
              <w:rPr>
                <w:rFonts w:ascii="Arial" w:hAnsi="Arial" w:cs="Arial"/>
                <w:sz w:val="20"/>
              </w:rPr>
              <w:t>&lt; 130</w:t>
            </w:r>
          </w:p>
        </w:tc>
        <w:tc>
          <w:tcPr>
            <w:tcW w:w="1343" w:type="pct"/>
            <w:hideMark/>
          </w:tcPr>
          <w:p w14:paraId="7B5EF03D" w14:textId="77777777" w:rsidR="00B50B63" w:rsidRPr="00B50B63" w:rsidRDefault="00B50B63" w:rsidP="00B50B63">
            <w:pPr>
              <w:jc w:val="both"/>
              <w:rPr>
                <w:rFonts w:ascii="Arial" w:hAnsi="Arial" w:cs="Arial"/>
                <w:sz w:val="20"/>
              </w:rPr>
            </w:pPr>
            <w:r w:rsidRPr="00B50B63">
              <w:rPr>
                <w:rFonts w:ascii="Arial" w:hAnsi="Arial" w:cs="Arial"/>
                <w:sz w:val="20"/>
              </w:rPr>
              <w:t>&lt; 85</w:t>
            </w:r>
          </w:p>
        </w:tc>
      </w:tr>
      <w:tr w:rsidR="00494D97" w:rsidRPr="00B50B63" w14:paraId="0481F53B" w14:textId="77777777" w:rsidTr="00494D97">
        <w:trPr>
          <w:trHeight w:val="70"/>
        </w:trPr>
        <w:tc>
          <w:tcPr>
            <w:tcW w:w="2362" w:type="pct"/>
            <w:hideMark/>
          </w:tcPr>
          <w:p w14:paraId="41045C6D" w14:textId="77777777" w:rsidR="00B50B63" w:rsidRPr="00B50B63" w:rsidRDefault="00B50B63" w:rsidP="00B50B63">
            <w:pPr>
              <w:jc w:val="both"/>
              <w:rPr>
                <w:rFonts w:ascii="Arial" w:hAnsi="Arial" w:cs="Arial"/>
                <w:sz w:val="20"/>
              </w:rPr>
            </w:pPr>
            <w:r w:rsidRPr="00B50B63">
              <w:rPr>
                <w:rFonts w:ascii="Arial" w:hAnsi="Arial" w:cs="Arial"/>
                <w:sz w:val="20"/>
              </w:rPr>
              <w:t>High-normal</w:t>
            </w:r>
          </w:p>
        </w:tc>
        <w:tc>
          <w:tcPr>
            <w:tcW w:w="1294" w:type="pct"/>
            <w:hideMark/>
          </w:tcPr>
          <w:p w14:paraId="5F5A90DF" w14:textId="77777777" w:rsidR="00B50B63" w:rsidRPr="00B50B63" w:rsidRDefault="00B50B63" w:rsidP="00B50B63">
            <w:pPr>
              <w:jc w:val="both"/>
              <w:rPr>
                <w:rFonts w:ascii="Arial" w:hAnsi="Arial" w:cs="Arial"/>
                <w:sz w:val="20"/>
              </w:rPr>
            </w:pPr>
            <w:r w:rsidRPr="00B50B63">
              <w:rPr>
                <w:rFonts w:ascii="Arial" w:hAnsi="Arial" w:cs="Arial"/>
                <w:sz w:val="20"/>
              </w:rPr>
              <w:t xml:space="preserve">130-139  </w:t>
            </w:r>
          </w:p>
        </w:tc>
        <w:tc>
          <w:tcPr>
            <w:tcW w:w="1343" w:type="pct"/>
            <w:hideMark/>
          </w:tcPr>
          <w:p w14:paraId="30749B98" w14:textId="77777777" w:rsidR="00B50B63" w:rsidRPr="00B50B63" w:rsidRDefault="00B50B63" w:rsidP="00B50B63">
            <w:pPr>
              <w:jc w:val="both"/>
              <w:rPr>
                <w:rFonts w:ascii="Arial" w:hAnsi="Arial" w:cs="Arial"/>
                <w:sz w:val="20"/>
              </w:rPr>
            </w:pPr>
            <w:r w:rsidRPr="00B50B63">
              <w:rPr>
                <w:rFonts w:ascii="Arial" w:hAnsi="Arial" w:cs="Arial"/>
                <w:sz w:val="20"/>
              </w:rPr>
              <w:t xml:space="preserve">85-89  </w:t>
            </w:r>
          </w:p>
        </w:tc>
      </w:tr>
      <w:tr w:rsidR="00494D97" w:rsidRPr="00B50B63" w14:paraId="50B9607B" w14:textId="77777777" w:rsidTr="00494D97">
        <w:trPr>
          <w:trHeight w:val="143"/>
        </w:trPr>
        <w:tc>
          <w:tcPr>
            <w:tcW w:w="2362" w:type="pct"/>
            <w:hideMark/>
          </w:tcPr>
          <w:p w14:paraId="08A99834" w14:textId="77777777" w:rsidR="00B50B63" w:rsidRPr="00B50B63" w:rsidRDefault="00B50B63" w:rsidP="00B50B63">
            <w:pPr>
              <w:jc w:val="both"/>
              <w:rPr>
                <w:rFonts w:ascii="Arial" w:hAnsi="Arial" w:cs="Arial"/>
                <w:sz w:val="20"/>
              </w:rPr>
            </w:pPr>
            <w:r w:rsidRPr="00B50B63">
              <w:rPr>
                <w:rFonts w:ascii="Arial" w:hAnsi="Arial" w:cs="Arial"/>
                <w:sz w:val="20"/>
              </w:rPr>
              <w:t>Grade 1 hypertension (mild)</w:t>
            </w:r>
          </w:p>
        </w:tc>
        <w:tc>
          <w:tcPr>
            <w:tcW w:w="1294" w:type="pct"/>
            <w:hideMark/>
          </w:tcPr>
          <w:p w14:paraId="6D40A61B" w14:textId="77777777" w:rsidR="00B50B63" w:rsidRPr="00B50B63" w:rsidRDefault="00B50B63" w:rsidP="00B50B63">
            <w:pPr>
              <w:jc w:val="both"/>
              <w:rPr>
                <w:rFonts w:ascii="Arial" w:hAnsi="Arial" w:cs="Arial"/>
                <w:sz w:val="20"/>
              </w:rPr>
            </w:pPr>
            <w:r w:rsidRPr="00B50B63">
              <w:rPr>
                <w:rFonts w:ascii="Arial" w:hAnsi="Arial" w:cs="Arial"/>
                <w:sz w:val="20"/>
              </w:rPr>
              <w:t xml:space="preserve">140-159 </w:t>
            </w:r>
          </w:p>
        </w:tc>
        <w:tc>
          <w:tcPr>
            <w:tcW w:w="1343" w:type="pct"/>
            <w:hideMark/>
          </w:tcPr>
          <w:p w14:paraId="643141E2" w14:textId="77777777" w:rsidR="00B50B63" w:rsidRPr="00B50B63" w:rsidRDefault="00B50B63" w:rsidP="00B50B63">
            <w:pPr>
              <w:jc w:val="both"/>
              <w:rPr>
                <w:rFonts w:ascii="Arial" w:hAnsi="Arial" w:cs="Arial"/>
                <w:sz w:val="20"/>
              </w:rPr>
            </w:pPr>
            <w:r w:rsidRPr="00B50B63">
              <w:rPr>
                <w:rFonts w:ascii="Arial" w:hAnsi="Arial" w:cs="Arial"/>
                <w:sz w:val="20"/>
              </w:rPr>
              <w:t xml:space="preserve">90-99  </w:t>
            </w:r>
          </w:p>
        </w:tc>
      </w:tr>
      <w:tr w:rsidR="00494D97" w:rsidRPr="00B50B63" w14:paraId="44340D39" w14:textId="77777777" w:rsidTr="00494D97">
        <w:trPr>
          <w:trHeight w:val="170"/>
        </w:trPr>
        <w:tc>
          <w:tcPr>
            <w:tcW w:w="2362" w:type="pct"/>
            <w:hideMark/>
          </w:tcPr>
          <w:p w14:paraId="72B71F4E" w14:textId="77777777" w:rsidR="00B50B63" w:rsidRPr="00B50B63" w:rsidRDefault="00B50B63" w:rsidP="00B50B63">
            <w:pPr>
              <w:jc w:val="both"/>
              <w:rPr>
                <w:rFonts w:ascii="Arial" w:hAnsi="Arial" w:cs="Arial"/>
                <w:sz w:val="20"/>
              </w:rPr>
            </w:pPr>
            <w:r w:rsidRPr="00B50B63">
              <w:rPr>
                <w:rFonts w:ascii="Arial" w:hAnsi="Arial" w:cs="Arial"/>
                <w:sz w:val="20"/>
              </w:rPr>
              <w:t>Grade 2 hypertension (moderate)</w:t>
            </w:r>
          </w:p>
        </w:tc>
        <w:tc>
          <w:tcPr>
            <w:tcW w:w="1294" w:type="pct"/>
            <w:hideMark/>
          </w:tcPr>
          <w:p w14:paraId="7638DE41" w14:textId="77777777" w:rsidR="00B50B63" w:rsidRPr="00B50B63" w:rsidRDefault="00B50B63" w:rsidP="00B50B63">
            <w:pPr>
              <w:jc w:val="both"/>
              <w:rPr>
                <w:rFonts w:ascii="Arial" w:hAnsi="Arial" w:cs="Arial"/>
                <w:sz w:val="20"/>
              </w:rPr>
            </w:pPr>
            <w:r w:rsidRPr="00B50B63">
              <w:rPr>
                <w:rFonts w:ascii="Arial" w:hAnsi="Arial" w:cs="Arial"/>
                <w:sz w:val="20"/>
              </w:rPr>
              <w:t xml:space="preserve">160-179  </w:t>
            </w:r>
          </w:p>
        </w:tc>
        <w:tc>
          <w:tcPr>
            <w:tcW w:w="1343" w:type="pct"/>
            <w:hideMark/>
          </w:tcPr>
          <w:p w14:paraId="7EB36B9B" w14:textId="77777777" w:rsidR="00B50B63" w:rsidRPr="00B50B63" w:rsidRDefault="00B50B63" w:rsidP="00B50B63">
            <w:pPr>
              <w:jc w:val="both"/>
              <w:rPr>
                <w:rFonts w:ascii="Arial" w:hAnsi="Arial" w:cs="Arial"/>
                <w:sz w:val="20"/>
              </w:rPr>
            </w:pPr>
            <w:r w:rsidRPr="00B50B63">
              <w:rPr>
                <w:rFonts w:ascii="Arial" w:hAnsi="Arial" w:cs="Arial"/>
                <w:sz w:val="20"/>
              </w:rPr>
              <w:t xml:space="preserve">100-109  </w:t>
            </w:r>
          </w:p>
        </w:tc>
      </w:tr>
      <w:tr w:rsidR="00494D97" w:rsidRPr="00B50B63" w14:paraId="43432F56" w14:textId="77777777" w:rsidTr="00494D97">
        <w:trPr>
          <w:trHeight w:val="70"/>
        </w:trPr>
        <w:tc>
          <w:tcPr>
            <w:tcW w:w="2362" w:type="pct"/>
            <w:hideMark/>
          </w:tcPr>
          <w:p w14:paraId="1BEC1D8C" w14:textId="77777777" w:rsidR="00B50B63" w:rsidRPr="00B50B63" w:rsidRDefault="00B50B63" w:rsidP="00B50B63">
            <w:pPr>
              <w:jc w:val="both"/>
              <w:rPr>
                <w:rFonts w:ascii="Arial" w:hAnsi="Arial" w:cs="Arial"/>
                <w:sz w:val="20"/>
              </w:rPr>
            </w:pPr>
            <w:r w:rsidRPr="00B50B63">
              <w:rPr>
                <w:rFonts w:ascii="Arial" w:hAnsi="Arial" w:cs="Arial"/>
                <w:sz w:val="20"/>
              </w:rPr>
              <w:t>Grade 3 hypertension (severe)</w:t>
            </w:r>
          </w:p>
        </w:tc>
        <w:tc>
          <w:tcPr>
            <w:tcW w:w="1294" w:type="pct"/>
            <w:hideMark/>
          </w:tcPr>
          <w:p w14:paraId="4C365588" w14:textId="77777777" w:rsidR="00B50B63" w:rsidRPr="00B50B63" w:rsidRDefault="00B50B63" w:rsidP="00B50B63">
            <w:pPr>
              <w:jc w:val="both"/>
              <w:rPr>
                <w:rFonts w:ascii="Arial" w:hAnsi="Arial" w:cs="Arial"/>
                <w:sz w:val="20"/>
              </w:rPr>
            </w:pPr>
            <w:r w:rsidRPr="00B50B63">
              <w:rPr>
                <w:rFonts w:ascii="Arial" w:hAnsi="Arial" w:cs="Arial"/>
                <w:sz w:val="20"/>
              </w:rPr>
              <w:t xml:space="preserve">≥ 180   </w:t>
            </w:r>
          </w:p>
        </w:tc>
        <w:tc>
          <w:tcPr>
            <w:tcW w:w="1343" w:type="pct"/>
            <w:hideMark/>
          </w:tcPr>
          <w:p w14:paraId="5B7C1BCB" w14:textId="77777777" w:rsidR="00B50B63" w:rsidRPr="00B50B63" w:rsidRDefault="00B50B63" w:rsidP="00B50B63">
            <w:pPr>
              <w:jc w:val="both"/>
              <w:rPr>
                <w:rFonts w:ascii="Arial" w:hAnsi="Arial" w:cs="Arial"/>
                <w:sz w:val="20"/>
              </w:rPr>
            </w:pPr>
            <w:r w:rsidRPr="00B50B63">
              <w:rPr>
                <w:rFonts w:ascii="Arial" w:hAnsi="Arial" w:cs="Arial"/>
                <w:sz w:val="20"/>
              </w:rPr>
              <w:t xml:space="preserve">≥ 110  </w:t>
            </w:r>
          </w:p>
        </w:tc>
      </w:tr>
      <w:tr w:rsidR="00494D97" w:rsidRPr="00B50B63" w14:paraId="336CCDE4" w14:textId="77777777" w:rsidTr="00494D97">
        <w:trPr>
          <w:trHeight w:val="107"/>
        </w:trPr>
        <w:tc>
          <w:tcPr>
            <w:tcW w:w="2362" w:type="pct"/>
            <w:tcBorders>
              <w:bottom w:val="single" w:sz="4" w:space="0" w:color="auto"/>
            </w:tcBorders>
            <w:hideMark/>
          </w:tcPr>
          <w:p w14:paraId="037BC200" w14:textId="77777777" w:rsidR="00B50B63" w:rsidRPr="00B50B63" w:rsidRDefault="00B50B63" w:rsidP="00B50B63">
            <w:pPr>
              <w:jc w:val="both"/>
              <w:rPr>
                <w:rFonts w:ascii="Arial" w:hAnsi="Arial" w:cs="Arial"/>
                <w:sz w:val="20"/>
              </w:rPr>
            </w:pPr>
            <w:r w:rsidRPr="00B50B63">
              <w:rPr>
                <w:rFonts w:ascii="Arial" w:hAnsi="Arial" w:cs="Arial"/>
                <w:sz w:val="20"/>
              </w:rPr>
              <w:t>Isolated systolic hypertension</w:t>
            </w:r>
          </w:p>
        </w:tc>
        <w:tc>
          <w:tcPr>
            <w:tcW w:w="1294" w:type="pct"/>
            <w:tcBorders>
              <w:bottom w:val="single" w:sz="4" w:space="0" w:color="auto"/>
            </w:tcBorders>
            <w:hideMark/>
          </w:tcPr>
          <w:p w14:paraId="3DCE1F9D" w14:textId="77777777" w:rsidR="00B50B63" w:rsidRPr="00B50B63" w:rsidRDefault="00B50B63" w:rsidP="00B50B63">
            <w:pPr>
              <w:jc w:val="both"/>
              <w:rPr>
                <w:rFonts w:ascii="Arial" w:hAnsi="Arial" w:cs="Arial"/>
                <w:sz w:val="20"/>
              </w:rPr>
            </w:pPr>
            <w:r w:rsidRPr="00B50B63">
              <w:rPr>
                <w:rFonts w:ascii="Arial" w:hAnsi="Arial" w:cs="Arial"/>
                <w:sz w:val="20"/>
              </w:rPr>
              <w:t xml:space="preserve">≥ 140 </w:t>
            </w:r>
          </w:p>
        </w:tc>
        <w:tc>
          <w:tcPr>
            <w:tcW w:w="1343" w:type="pct"/>
            <w:tcBorders>
              <w:bottom w:val="single" w:sz="4" w:space="0" w:color="auto"/>
            </w:tcBorders>
            <w:hideMark/>
          </w:tcPr>
          <w:p w14:paraId="279FAAEB" w14:textId="77777777" w:rsidR="00B50B63" w:rsidRPr="00B50B63" w:rsidRDefault="00B50B63" w:rsidP="00B50B63">
            <w:pPr>
              <w:jc w:val="both"/>
              <w:rPr>
                <w:rFonts w:ascii="Arial" w:hAnsi="Arial" w:cs="Arial"/>
                <w:sz w:val="20"/>
              </w:rPr>
            </w:pPr>
            <w:r w:rsidRPr="00B50B63">
              <w:rPr>
                <w:rFonts w:ascii="Arial" w:hAnsi="Arial" w:cs="Arial"/>
                <w:sz w:val="20"/>
              </w:rPr>
              <w:t xml:space="preserve">&lt; 90  </w:t>
            </w:r>
          </w:p>
        </w:tc>
      </w:tr>
    </w:tbl>
    <w:p w14:paraId="55D599C9" w14:textId="77777777" w:rsidR="00F26FFA" w:rsidRPr="00FB3A86" w:rsidRDefault="00F26FFA" w:rsidP="00441B6F">
      <w:pPr>
        <w:pStyle w:val="AbstHead"/>
        <w:spacing w:after="0"/>
        <w:jc w:val="both"/>
        <w:rPr>
          <w:rFonts w:ascii="Arial" w:hAnsi="Arial" w:cs="Arial"/>
        </w:rPr>
      </w:pPr>
    </w:p>
    <w:sectPr w:rsidR="00F26FFA" w:rsidRPr="00FB3A86" w:rsidSect="003B650A">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C0AE7" w14:textId="77777777" w:rsidR="00DD2A1A" w:rsidRDefault="00DD2A1A" w:rsidP="00C37E61">
      <w:r>
        <w:separator/>
      </w:r>
    </w:p>
  </w:endnote>
  <w:endnote w:type="continuationSeparator" w:id="0">
    <w:p w14:paraId="0F20CEAD" w14:textId="77777777" w:rsidR="00DD2A1A" w:rsidRDefault="00DD2A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2181" w14:textId="77777777" w:rsidR="0008278F" w:rsidRDefault="00082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61BB" w14:textId="77777777" w:rsidR="0008278F" w:rsidRDefault="000827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A7B72" w14:textId="4AFAC782" w:rsidR="0008278F" w:rsidRPr="007079B8" w:rsidRDefault="0008278F" w:rsidP="007079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059701"/>
      <w:docPartObj>
        <w:docPartGallery w:val="Page Numbers (Bottom of Page)"/>
        <w:docPartUnique/>
      </w:docPartObj>
    </w:sdtPr>
    <w:sdtEndPr/>
    <w:sdtContent>
      <w:p w14:paraId="193ACD54" w14:textId="060F16D7" w:rsidR="0008278F" w:rsidRDefault="0008278F">
        <w:pPr>
          <w:pStyle w:val="Footer"/>
          <w:jc w:val="center"/>
        </w:pPr>
        <w:r>
          <w:fldChar w:fldCharType="begin"/>
        </w:r>
        <w:r>
          <w:instrText>PAGE   \* MERGEFORMAT</w:instrText>
        </w:r>
        <w:r>
          <w:fldChar w:fldCharType="separate"/>
        </w:r>
        <w:r w:rsidR="00372FF2" w:rsidRPr="00372FF2">
          <w:rPr>
            <w:noProof/>
            <w:lang w:val="fr-FR"/>
          </w:rPr>
          <w:t>25</w:t>
        </w:r>
        <w:r>
          <w:fldChar w:fldCharType="end"/>
        </w:r>
      </w:p>
    </w:sdtContent>
  </w:sdt>
  <w:p w14:paraId="7FE3C336" w14:textId="77777777" w:rsidR="0008278F" w:rsidRDefault="0008278F">
    <w:pPr>
      <w:pStyle w:val="Footer"/>
    </w:pPr>
  </w:p>
  <w:p w14:paraId="5FC4FB8E" w14:textId="77777777" w:rsidR="0008278F" w:rsidRDefault="000827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E93DA" w14:textId="77777777" w:rsidR="00DD2A1A" w:rsidRDefault="00DD2A1A" w:rsidP="00C37E61">
      <w:r>
        <w:separator/>
      </w:r>
    </w:p>
  </w:footnote>
  <w:footnote w:type="continuationSeparator" w:id="0">
    <w:p w14:paraId="760B7D5F" w14:textId="77777777" w:rsidR="00DD2A1A" w:rsidRDefault="00DD2A1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08AC0" w14:textId="19B5F325" w:rsidR="0008278F" w:rsidRDefault="00DD2A1A">
    <w:pPr>
      <w:pStyle w:val="Header"/>
    </w:pPr>
    <w:r>
      <w:rPr>
        <w:noProof/>
      </w:rPr>
      <w:pict w14:anchorId="6EC1B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332B" w14:textId="4695B5B6" w:rsidR="0008278F" w:rsidRDefault="00DD2A1A">
    <w:pPr>
      <w:pStyle w:val="Header"/>
    </w:pPr>
    <w:r>
      <w:rPr>
        <w:noProof/>
      </w:rPr>
      <w:pict w14:anchorId="601FF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05A2" w14:textId="0FC46092" w:rsidR="0008278F" w:rsidRPr="00296529" w:rsidRDefault="00DD2A1A" w:rsidP="00296529">
    <w:pPr>
      <w:ind w:left="2160"/>
      <w:jc w:val="center"/>
      <w:rPr>
        <w:rFonts w:ascii="Times New Roman" w:eastAsia="Calibri" w:hAnsi="Times New Roman"/>
        <w:i/>
        <w:sz w:val="18"/>
        <w:szCs w:val="22"/>
      </w:rPr>
    </w:pPr>
    <w:r>
      <w:rPr>
        <w:noProof/>
      </w:rPr>
      <w:pict w14:anchorId="0A26D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3F2C975" w14:textId="77777777" w:rsidR="0008278F" w:rsidRPr="00296529" w:rsidRDefault="0008278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4274A6D" w14:textId="77777777" w:rsidR="0008278F" w:rsidRPr="00296529" w:rsidRDefault="0008278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5EDE8F" w14:textId="77777777" w:rsidR="0008278F" w:rsidRPr="00296529" w:rsidRDefault="0008278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8CFF2C" w14:textId="77777777" w:rsidR="0008278F" w:rsidRDefault="0008278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261221" w14:textId="77777777" w:rsidR="0008278F" w:rsidRDefault="0008278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79238FB" w14:textId="77777777" w:rsidR="0008278F" w:rsidRDefault="0008278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EFC5" w14:textId="76887955" w:rsidR="0008278F" w:rsidRDefault="00DD2A1A">
    <w:pPr>
      <w:pStyle w:val="Header"/>
    </w:pPr>
    <w:r>
      <w:rPr>
        <w:noProof/>
      </w:rPr>
      <w:pict w14:anchorId="78F1F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7E16" w14:textId="1A41021D" w:rsidR="0008278F" w:rsidRDefault="00DD2A1A">
    <w:pPr>
      <w:pStyle w:val="Header"/>
    </w:pPr>
    <w:r>
      <w:rPr>
        <w:noProof/>
      </w:rPr>
      <w:pict w14:anchorId="7921A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555A" w14:textId="09194597" w:rsidR="0008278F" w:rsidRDefault="00DD2A1A">
    <w:pPr>
      <w:pStyle w:val="Header"/>
    </w:pPr>
    <w:r>
      <w:rPr>
        <w:noProof/>
      </w:rPr>
      <w:pict w14:anchorId="659E6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B1258"/>
    <w:multiLevelType w:val="hybridMultilevel"/>
    <w:tmpl w:val="50CC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53B13"/>
    <w:multiLevelType w:val="hybridMultilevel"/>
    <w:tmpl w:val="F540288A"/>
    <w:lvl w:ilvl="0" w:tplc="0F3E35A8">
      <w:start w:val="35"/>
      <w:numFmt w:val="bullet"/>
      <w:lvlText w:val=""/>
      <w:lvlJc w:val="left"/>
      <w:pPr>
        <w:ind w:left="720" w:hanging="360"/>
      </w:pPr>
      <w:rPr>
        <w:rFonts w:ascii="Wingdings" w:eastAsiaTheme="minorHAnsi" w:hAnsi="Wingdings"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266ADF"/>
    <w:multiLevelType w:val="multilevel"/>
    <w:tmpl w:val="99362272"/>
    <w:lvl w:ilvl="0">
      <w:start w:val="1"/>
      <w:numFmt w:val="decimal"/>
      <w:lvlText w:val="%1."/>
      <w:lvlJc w:val="left"/>
      <w:pPr>
        <w:ind w:left="720" w:hanging="360"/>
      </w:pPr>
      <w:rPr>
        <w:rFonts w:ascii="Arial" w:hAnsi="Arial" w:cs="Arial" w:hint="default"/>
        <w:b/>
        <w:bCs/>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430037"/>
    <w:multiLevelType w:val="hybridMultilevel"/>
    <w:tmpl w:val="B92E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3559D8"/>
    <w:multiLevelType w:val="hybridMultilevel"/>
    <w:tmpl w:val="12885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403D7"/>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94A33"/>
    <w:multiLevelType w:val="hybridMultilevel"/>
    <w:tmpl w:val="3F44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04BE8"/>
    <w:multiLevelType w:val="hybridMultilevel"/>
    <w:tmpl w:val="A280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F6604"/>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E657FD"/>
    <w:multiLevelType w:val="multilevel"/>
    <w:tmpl w:val="DD2A10F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D0392"/>
    <w:multiLevelType w:val="hybridMultilevel"/>
    <w:tmpl w:val="F6EE8FD8"/>
    <w:lvl w:ilvl="0" w:tplc="CE042C4E">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8"/>
  </w:num>
  <w:num w:numId="9">
    <w:abstractNumId w:val="35"/>
  </w:num>
  <w:num w:numId="10">
    <w:abstractNumId w:val="2"/>
  </w:num>
  <w:num w:numId="11">
    <w:abstractNumId w:val="28"/>
  </w:num>
  <w:num w:numId="12">
    <w:abstractNumId w:val="3"/>
  </w:num>
  <w:num w:numId="13">
    <w:abstractNumId w:val="27"/>
  </w:num>
  <w:num w:numId="14">
    <w:abstractNumId w:val="12"/>
  </w:num>
  <w:num w:numId="15">
    <w:abstractNumId w:val="31"/>
  </w:num>
  <w:num w:numId="16">
    <w:abstractNumId w:val="5"/>
  </w:num>
  <w:num w:numId="17">
    <w:abstractNumId w:val="32"/>
  </w:num>
  <w:num w:numId="18">
    <w:abstractNumId w:val="20"/>
  </w:num>
  <w:num w:numId="19">
    <w:abstractNumId w:val="39"/>
  </w:num>
  <w:num w:numId="20">
    <w:abstractNumId w:val="15"/>
  </w:num>
  <w:num w:numId="21">
    <w:abstractNumId w:val="13"/>
  </w:num>
  <w:num w:numId="22">
    <w:abstractNumId w:val="19"/>
  </w:num>
  <w:num w:numId="23">
    <w:abstractNumId w:val="29"/>
  </w:num>
  <w:num w:numId="24">
    <w:abstractNumId w:val="36"/>
  </w:num>
  <w:num w:numId="25">
    <w:abstractNumId w:val="4"/>
  </w:num>
  <w:num w:numId="26">
    <w:abstractNumId w:val="24"/>
  </w:num>
  <w:num w:numId="27">
    <w:abstractNumId w:val="30"/>
  </w:num>
  <w:num w:numId="28">
    <w:abstractNumId w:val="37"/>
  </w:num>
  <w:num w:numId="29">
    <w:abstractNumId w:val="34"/>
  </w:num>
  <w:num w:numId="30">
    <w:abstractNumId w:val="14"/>
  </w:num>
  <w:num w:numId="31">
    <w:abstractNumId w:val="38"/>
  </w:num>
  <w:num w:numId="32">
    <w:abstractNumId w:val="22"/>
  </w:num>
  <w:num w:numId="33">
    <w:abstractNumId w:val="11"/>
  </w:num>
  <w:num w:numId="34">
    <w:abstractNumId w:val="21"/>
  </w:num>
  <w:num w:numId="35">
    <w:abstractNumId w:val="16"/>
  </w:num>
  <w:num w:numId="36">
    <w:abstractNumId w:val="7"/>
  </w:num>
  <w:num w:numId="37">
    <w:abstractNumId w:val="26"/>
  </w:num>
  <w:num w:numId="38">
    <w:abstractNumId w:val="17"/>
  </w:num>
  <w:num w:numId="39">
    <w:abstractNumId w:val="10"/>
  </w:num>
  <w:num w:numId="40">
    <w:abstractNumId w:val="2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32FB4"/>
    <w:rsid w:val="0004579C"/>
    <w:rsid w:val="0008278F"/>
    <w:rsid w:val="00095318"/>
    <w:rsid w:val="000A47FA"/>
    <w:rsid w:val="000A65D3"/>
    <w:rsid w:val="000B1E33"/>
    <w:rsid w:val="000D55C4"/>
    <w:rsid w:val="000D689F"/>
    <w:rsid w:val="000E7B7B"/>
    <w:rsid w:val="000E7D62"/>
    <w:rsid w:val="000F0B40"/>
    <w:rsid w:val="000F1FA5"/>
    <w:rsid w:val="00103357"/>
    <w:rsid w:val="00110BF5"/>
    <w:rsid w:val="0011516B"/>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7EC1"/>
    <w:rsid w:val="00231920"/>
    <w:rsid w:val="0023195C"/>
    <w:rsid w:val="0024282C"/>
    <w:rsid w:val="002460DC"/>
    <w:rsid w:val="00250985"/>
    <w:rsid w:val="002556F6"/>
    <w:rsid w:val="00257D87"/>
    <w:rsid w:val="00277351"/>
    <w:rsid w:val="00281328"/>
    <w:rsid w:val="00283105"/>
    <w:rsid w:val="00284C4C"/>
    <w:rsid w:val="00287269"/>
    <w:rsid w:val="00287E68"/>
    <w:rsid w:val="00296529"/>
    <w:rsid w:val="002B27FB"/>
    <w:rsid w:val="002B4081"/>
    <w:rsid w:val="002B685A"/>
    <w:rsid w:val="002C57D2"/>
    <w:rsid w:val="002E0D56"/>
    <w:rsid w:val="002E3260"/>
    <w:rsid w:val="00315186"/>
    <w:rsid w:val="0033343E"/>
    <w:rsid w:val="003512C2"/>
    <w:rsid w:val="00371FB6"/>
    <w:rsid w:val="00372FF2"/>
    <w:rsid w:val="003763C1"/>
    <w:rsid w:val="00376BBE"/>
    <w:rsid w:val="0039224F"/>
    <w:rsid w:val="003A43A4"/>
    <w:rsid w:val="003A7E18"/>
    <w:rsid w:val="003B650A"/>
    <w:rsid w:val="003C4C86"/>
    <w:rsid w:val="003C6258"/>
    <w:rsid w:val="003E2904"/>
    <w:rsid w:val="00401927"/>
    <w:rsid w:val="0040597A"/>
    <w:rsid w:val="0041027F"/>
    <w:rsid w:val="00412475"/>
    <w:rsid w:val="00423789"/>
    <w:rsid w:val="004275E5"/>
    <w:rsid w:val="00440F43"/>
    <w:rsid w:val="00441B6F"/>
    <w:rsid w:val="00446221"/>
    <w:rsid w:val="00450E62"/>
    <w:rsid w:val="004539DB"/>
    <w:rsid w:val="00470C9E"/>
    <w:rsid w:val="00471A80"/>
    <w:rsid w:val="00494D97"/>
    <w:rsid w:val="004D305E"/>
    <w:rsid w:val="004D4277"/>
    <w:rsid w:val="0050051F"/>
    <w:rsid w:val="00502516"/>
    <w:rsid w:val="00505F06"/>
    <w:rsid w:val="00506828"/>
    <w:rsid w:val="0053056E"/>
    <w:rsid w:val="00533DA5"/>
    <w:rsid w:val="00554FDA"/>
    <w:rsid w:val="00556DCF"/>
    <w:rsid w:val="005650D0"/>
    <w:rsid w:val="005677D6"/>
    <w:rsid w:val="005A75CD"/>
    <w:rsid w:val="005C2752"/>
    <w:rsid w:val="005C784C"/>
    <w:rsid w:val="005D17F6"/>
    <w:rsid w:val="005E388C"/>
    <w:rsid w:val="005E5539"/>
    <w:rsid w:val="00601813"/>
    <w:rsid w:val="00602BF5"/>
    <w:rsid w:val="006076D7"/>
    <w:rsid w:val="00617FDD"/>
    <w:rsid w:val="00633614"/>
    <w:rsid w:val="00633F68"/>
    <w:rsid w:val="00636EB2"/>
    <w:rsid w:val="006375B8"/>
    <w:rsid w:val="0066510A"/>
    <w:rsid w:val="00673F9F"/>
    <w:rsid w:val="00686953"/>
    <w:rsid w:val="00687DEA"/>
    <w:rsid w:val="00687E67"/>
    <w:rsid w:val="006967F7"/>
    <w:rsid w:val="006A250C"/>
    <w:rsid w:val="006B0D9F"/>
    <w:rsid w:val="006B21D3"/>
    <w:rsid w:val="006B57D0"/>
    <w:rsid w:val="006D00FD"/>
    <w:rsid w:val="006D30FF"/>
    <w:rsid w:val="006D6940"/>
    <w:rsid w:val="006F11EC"/>
    <w:rsid w:val="006F4EF2"/>
    <w:rsid w:val="0070082C"/>
    <w:rsid w:val="007079B8"/>
    <w:rsid w:val="007201EE"/>
    <w:rsid w:val="007369E6"/>
    <w:rsid w:val="00746E59"/>
    <w:rsid w:val="00754C9A"/>
    <w:rsid w:val="0075599A"/>
    <w:rsid w:val="00761D52"/>
    <w:rsid w:val="0077749E"/>
    <w:rsid w:val="00790ADA"/>
    <w:rsid w:val="00791D57"/>
    <w:rsid w:val="00794D23"/>
    <w:rsid w:val="007D2288"/>
    <w:rsid w:val="007E088F"/>
    <w:rsid w:val="007F7B32"/>
    <w:rsid w:val="00804BC2"/>
    <w:rsid w:val="0081431A"/>
    <w:rsid w:val="0083216F"/>
    <w:rsid w:val="00860000"/>
    <w:rsid w:val="00860323"/>
    <w:rsid w:val="00863BD3"/>
    <w:rsid w:val="008641ED"/>
    <w:rsid w:val="00866D66"/>
    <w:rsid w:val="008671C6"/>
    <w:rsid w:val="00875803"/>
    <w:rsid w:val="008A19AE"/>
    <w:rsid w:val="008B459E"/>
    <w:rsid w:val="008B5014"/>
    <w:rsid w:val="008E13AE"/>
    <w:rsid w:val="008E1506"/>
    <w:rsid w:val="008E710C"/>
    <w:rsid w:val="008F69D6"/>
    <w:rsid w:val="00902823"/>
    <w:rsid w:val="00915CA6"/>
    <w:rsid w:val="00927834"/>
    <w:rsid w:val="009500A6"/>
    <w:rsid w:val="009511A4"/>
    <w:rsid w:val="00957C18"/>
    <w:rsid w:val="009659BA"/>
    <w:rsid w:val="009811E3"/>
    <w:rsid w:val="00983040"/>
    <w:rsid w:val="009B3FB9"/>
    <w:rsid w:val="009C23D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AD3"/>
    <w:rsid w:val="00A539AD"/>
    <w:rsid w:val="00A648D6"/>
    <w:rsid w:val="00A73E26"/>
    <w:rsid w:val="00A94063"/>
    <w:rsid w:val="00AA6219"/>
    <w:rsid w:val="00AA74E0"/>
    <w:rsid w:val="00AB703F"/>
    <w:rsid w:val="00AC20B8"/>
    <w:rsid w:val="00AC6BB8"/>
    <w:rsid w:val="00AE008F"/>
    <w:rsid w:val="00B01FCD"/>
    <w:rsid w:val="00B13088"/>
    <w:rsid w:val="00B1776C"/>
    <w:rsid w:val="00B50B63"/>
    <w:rsid w:val="00B52583"/>
    <w:rsid w:val="00B52896"/>
    <w:rsid w:val="00B609F5"/>
    <w:rsid w:val="00B65249"/>
    <w:rsid w:val="00B70A5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AF0"/>
    <w:rsid w:val="00CD6755"/>
    <w:rsid w:val="00CD6856"/>
    <w:rsid w:val="00CE0089"/>
    <w:rsid w:val="00CE6035"/>
    <w:rsid w:val="00CE793C"/>
    <w:rsid w:val="00CF193C"/>
    <w:rsid w:val="00D173F1"/>
    <w:rsid w:val="00D37111"/>
    <w:rsid w:val="00D622D2"/>
    <w:rsid w:val="00D74CB0"/>
    <w:rsid w:val="00D8295D"/>
    <w:rsid w:val="00DB6D8D"/>
    <w:rsid w:val="00DC0816"/>
    <w:rsid w:val="00DC2A65"/>
    <w:rsid w:val="00DD2A1A"/>
    <w:rsid w:val="00DE15F0"/>
    <w:rsid w:val="00DE5663"/>
    <w:rsid w:val="00DE78AA"/>
    <w:rsid w:val="00E053D0"/>
    <w:rsid w:val="00E15994"/>
    <w:rsid w:val="00E3114E"/>
    <w:rsid w:val="00E31A70"/>
    <w:rsid w:val="00E35B02"/>
    <w:rsid w:val="00E55652"/>
    <w:rsid w:val="00E66496"/>
    <w:rsid w:val="00E66B35"/>
    <w:rsid w:val="00E66E10"/>
    <w:rsid w:val="00E769F6"/>
    <w:rsid w:val="00E8407C"/>
    <w:rsid w:val="00E84F3C"/>
    <w:rsid w:val="00EA012C"/>
    <w:rsid w:val="00EA344E"/>
    <w:rsid w:val="00EA47E3"/>
    <w:rsid w:val="00EC6A55"/>
    <w:rsid w:val="00ED0288"/>
    <w:rsid w:val="00EE52CB"/>
    <w:rsid w:val="00EF581D"/>
    <w:rsid w:val="00EF7FD8"/>
    <w:rsid w:val="00F06F59"/>
    <w:rsid w:val="00F17988"/>
    <w:rsid w:val="00F26FFA"/>
    <w:rsid w:val="00F27D39"/>
    <w:rsid w:val="00F27FDA"/>
    <w:rsid w:val="00F469F0"/>
    <w:rsid w:val="00F52060"/>
    <w:rsid w:val="00F53273"/>
    <w:rsid w:val="00F755E4"/>
    <w:rsid w:val="00F77D02"/>
    <w:rsid w:val="00FB3A86"/>
    <w:rsid w:val="00FD36C8"/>
    <w:rsid w:val="00FF2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FB8F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50B63"/>
    <w:pPr>
      <w:keepNext/>
      <w:keepLines/>
      <w:spacing w:before="40"/>
      <w:outlineLvl w:val="1"/>
    </w:pPr>
    <w:rPr>
      <w:rFonts w:ascii="Times New Roman" w:hAnsi="Times New Roman"/>
      <w:b/>
      <w:sz w:val="24"/>
      <w:szCs w:val="26"/>
      <w:lang w:val="fr-FR" w:eastAsia="fr-FR"/>
    </w:rPr>
  </w:style>
  <w:style w:type="paragraph" w:styleId="Heading3">
    <w:name w:val="heading 3"/>
    <w:basedOn w:val="Normal"/>
    <w:next w:val="Normal"/>
    <w:link w:val="Heading3Char"/>
    <w:uiPriority w:val="9"/>
    <w:semiHidden/>
    <w:unhideWhenUsed/>
    <w:qFormat/>
    <w:rsid w:val="00B50B63"/>
    <w:pPr>
      <w:keepNext/>
      <w:keepLines/>
      <w:spacing w:before="40"/>
      <w:outlineLvl w:val="2"/>
    </w:pPr>
    <w:rPr>
      <w:rFonts w:ascii="Calibri Light" w:hAnsi="Calibri Light"/>
      <w:color w:val="1F4D78"/>
      <w:sz w:val="24"/>
      <w:szCs w:val="24"/>
    </w:rPr>
  </w:style>
  <w:style w:type="paragraph" w:styleId="Heading4">
    <w:name w:val="heading 4"/>
    <w:basedOn w:val="Normal"/>
    <w:next w:val="Normal"/>
    <w:link w:val="Heading4Char"/>
    <w:uiPriority w:val="9"/>
    <w:semiHidden/>
    <w:unhideWhenUsed/>
    <w:qFormat/>
    <w:rsid w:val="00B50B63"/>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B50B63"/>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Heading21">
    <w:name w:val="Heading 21"/>
    <w:basedOn w:val="Normal"/>
    <w:next w:val="Normal"/>
    <w:uiPriority w:val="9"/>
    <w:unhideWhenUsed/>
    <w:qFormat/>
    <w:rsid w:val="00B50B63"/>
    <w:pPr>
      <w:keepNext/>
      <w:keepLines/>
      <w:spacing w:before="120" w:line="350" w:lineRule="auto"/>
      <w:ind w:left="470" w:right="-11" w:hanging="11"/>
      <w:jc w:val="both"/>
      <w:outlineLvl w:val="1"/>
    </w:pPr>
    <w:rPr>
      <w:rFonts w:ascii="Times New Roman" w:hAnsi="Times New Roman"/>
      <w:b/>
      <w:sz w:val="24"/>
      <w:szCs w:val="26"/>
      <w:lang w:val="fr-FR" w:eastAsia="fr-FR"/>
    </w:rPr>
  </w:style>
  <w:style w:type="paragraph" w:customStyle="1" w:styleId="Heading31">
    <w:name w:val="Heading 31"/>
    <w:basedOn w:val="Normal"/>
    <w:next w:val="Normal"/>
    <w:uiPriority w:val="9"/>
    <w:semiHidden/>
    <w:unhideWhenUsed/>
    <w:qFormat/>
    <w:rsid w:val="00B50B63"/>
    <w:pPr>
      <w:keepNext/>
      <w:keepLines/>
      <w:spacing w:before="40" w:line="259" w:lineRule="auto"/>
      <w:outlineLvl w:val="2"/>
    </w:pPr>
    <w:rPr>
      <w:rFonts w:ascii="Calibri Light" w:hAnsi="Calibri Light"/>
      <w:color w:val="1F4D78"/>
      <w:sz w:val="24"/>
      <w:szCs w:val="24"/>
    </w:rPr>
  </w:style>
  <w:style w:type="paragraph" w:customStyle="1" w:styleId="Heading41">
    <w:name w:val="Heading 41"/>
    <w:basedOn w:val="Normal"/>
    <w:next w:val="Normal"/>
    <w:uiPriority w:val="9"/>
    <w:semiHidden/>
    <w:unhideWhenUsed/>
    <w:qFormat/>
    <w:rsid w:val="00B50B63"/>
    <w:pPr>
      <w:keepNext/>
      <w:keepLines/>
      <w:spacing w:before="40" w:line="259" w:lineRule="auto"/>
      <w:outlineLvl w:val="3"/>
    </w:pPr>
    <w:rPr>
      <w:rFonts w:ascii="Calibri Light" w:hAnsi="Calibri Light"/>
      <w:i/>
      <w:iCs/>
      <w:color w:val="2E74B5"/>
      <w:sz w:val="22"/>
      <w:szCs w:val="22"/>
    </w:rPr>
  </w:style>
  <w:style w:type="paragraph" w:customStyle="1" w:styleId="Heading51">
    <w:name w:val="Heading 51"/>
    <w:basedOn w:val="Normal"/>
    <w:next w:val="Normal"/>
    <w:uiPriority w:val="9"/>
    <w:semiHidden/>
    <w:unhideWhenUsed/>
    <w:qFormat/>
    <w:rsid w:val="00B50B63"/>
    <w:pPr>
      <w:keepNext/>
      <w:keepLines/>
      <w:spacing w:before="40" w:line="259" w:lineRule="auto"/>
      <w:outlineLvl w:val="4"/>
    </w:pPr>
    <w:rPr>
      <w:rFonts w:ascii="Calibri Light" w:hAnsi="Calibri Light"/>
      <w:color w:val="2E74B5"/>
      <w:sz w:val="22"/>
      <w:szCs w:val="22"/>
    </w:rPr>
  </w:style>
  <w:style w:type="numbering" w:customStyle="1" w:styleId="NoList1">
    <w:name w:val="No List1"/>
    <w:next w:val="NoList"/>
    <w:uiPriority w:val="99"/>
    <w:semiHidden/>
    <w:unhideWhenUsed/>
    <w:rsid w:val="00B50B63"/>
  </w:style>
  <w:style w:type="table" w:customStyle="1" w:styleId="TableGrid1">
    <w:name w:val="Table Grid1"/>
    <w:basedOn w:val="TableNormal"/>
    <w:next w:val="TableGrid"/>
    <w:uiPriority w:val="39"/>
    <w:rsid w:val="00B50B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0B63"/>
    <w:pPr>
      <w:spacing w:after="160" w:line="259"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B50B63"/>
    <w:rPr>
      <w:rFonts w:ascii="Helvetica" w:hAnsi="Helvetica"/>
    </w:rPr>
  </w:style>
  <w:style w:type="character" w:customStyle="1" w:styleId="FooterChar">
    <w:name w:val="Footer Char"/>
    <w:basedOn w:val="DefaultParagraphFont"/>
    <w:link w:val="Footer"/>
    <w:uiPriority w:val="99"/>
    <w:rsid w:val="00B50B63"/>
    <w:rPr>
      <w:rFonts w:ascii="Helvetica" w:hAnsi="Helvetica"/>
    </w:rPr>
  </w:style>
  <w:style w:type="table" w:customStyle="1" w:styleId="PlainTable11">
    <w:name w:val="Plain Table 11"/>
    <w:basedOn w:val="TableNormal"/>
    <w:next w:val="PlainTable1"/>
    <w:uiPriority w:val="41"/>
    <w:rsid w:val="00B50B63"/>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
    <w:name w:val="TableGrid1"/>
    <w:rsid w:val="00B50B63"/>
    <w:rPr>
      <w:rFonts w:ascii="Calibri" w:hAnsi="Calibri"/>
      <w:sz w:val="22"/>
      <w:szCs w:val="22"/>
      <w:lang w:val="fr-FR" w:eastAsia="fr-F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50B63"/>
    <w:rPr>
      <w:rFonts w:ascii="Times New Roman" w:eastAsia="Times New Roman" w:hAnsi="Times New Roman" w:cs="Times New Roman"/>
      <w:b/>
      <w:sz w:val="24"/>
      <w:szCs w:val="26"/>
      <w:lang w:val="fr-FR" w:eastAsia="fr-FR"/>
    </w:rPr>
  </w:style>
  <w:style w:type="table" w:customStyle="1" w:styleId="TableauListe1Clair-Accentuation31">
    <w:name w:val="Tableau Liste 1 Clair - Accentuation 31"/>
    <w:basedOn w:val="TableNormal"/>
    <w:next w:val="ListTable1Light-Accent3"/>
    <w:uiPriority w:val="46"/>
    <w:rsid w:val="00B50B63"/>
    <w:rPr>
      <w:rFonts w:ascii="Calibri" w:eastAsia="Calibri" w:hAnsi="Calibri"/>
      <w:sz w:val="22"/>
      <w:szCs w:val="22"/>
      <w:lang w:val="fr-CM"/>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31">
    <w:name w:val="List Table 1 Light - Accent 31"/>
    <w:basedOn w:val="TableNormal"/>
    <w:next w:val="ListTable1Light-Accent3"/>
    <w:uiPriority w:val="46"/>
    <w:rsid w:val="00B50B63"/>
    <w:rPr>
      <w:rFonts w:ascii="Calibri" w:eastAsia="Calibri" w:hAnsi="Calibr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TMLPreformatted">
    <w:name w:val="HTML Preformatted"/>
    <w:basedOn w:val="Normal"/>
    <w:link w:val="HTMLPreformattedChar"/>
    <w:uiPriority w:val="99"/>
    <w:unhideWhenUsed/>
    <w:rsid w:val="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50B63"/>
    <w:rPr>
      <w:rFonts w:ascii="Courier New" w:hAnsi="Courier New" w:cs="Courier New"/>
    </w:rPr>
  </w:style>
  <w:style w:type="character" w:customStyle="1" w:styleId="y2iqfc">
    <w:name w:val="y2iqfc"/>
    <w:basedOn w:val="DefaultParagraphFont"/>
    <w:rsid w:val="00B50B63"/>
  </w:style>
  <w:style w:type="paragraph" w:styleId="Caption">
    <w:name w:val="caption"/>
    <w:basedOn w:val="Normal"/>
    <w:next w:val="Normal"/>
    <w:uiPriority w:val="35"/>
    <w:unhideWhenUsed/>
    <w:qFormat/>
    <w:rsid w:val="00B50B63"/>
    <w:pPr>
      <w:spacing w:after="200"/>
      <w:jc w:val="center"/>
    </w:pPr>
    <w:rPr>
      <w:rFonts w:ascii="Times New Roman" w:hAnsi="Times New Roman" w:cs="Arial"/>
      <w:b/>
      <w:bCs/>
      <w:sz w:val="24"/>
      <w:szCs w:val="18"/>
      <w:lang w:val="fr-FR"/>
    </w:rPr>
  </w:style>
  <w:style w:type="table" w:customStyle="1" w:styleId="GridTable1Light1">
    <w:name w:val="Grid Table 1 Light1"/>
    <w:basedOn w:val="TableNormal"/>
    <w:next w:val="GridTable1Light"/>
    <w:uiPriority w:val="46"/>
    <w:rsid w:val="00B50B63"/>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50B63"/>
    <w:pPr>
      <w:spacing w:after="16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B50B63"/>
    <w:rPr>
      <w:rFonts w:ascii="Calibri" w:eastAsia="Calibri" w:hAnsi="Calibri"/>
      <w:b/>
      <w:bCs/>
      <w:lang w:val="nb-NO" w:eastAsia="nb-NO"/>
    </w:rPr>
  </w:style>
  <w:style w:type="paragraph" w:styleId="Revision">
    <w:name w:val="Revision"/>
    <w:hidden/>
    <w:uiPriority w:val="99"/>
    <w:semiHidden/>
    <w:rsid w:val="00B50B63"/>
    <w:rPr>
      <w:rFonts w:ascii="Calibri" w:eastAsia="Calibri" w:hAnsi="Calibri"/>
      <w:sz w:val="22"/>
      <w:szCs w:val="22"/>
    </w:rPr>
  </w:style>
  <w:style w:type="character" w:customStyle="1" w:styleId="Heading5Char">
    <w:name w:val="Heading 5 Char"/>
    <w:basedOn w:val="DefaultParagraphFont"/>
    <w:link w:val="Heading5"/>
    <w:uiPriority w:val="9"/>
    <w:semiHidden/>
    <w:rsid w:val="00B50B63"/>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B50B63"/>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B50B63"/>
    <w:rPr>
      <w:rFonts w:ascii="Calibri Light" w:eastAsia="Times New Roman" w:hAnsi="Calibri Light" w:cs="Times New Roman"/>
      <w:i/>
      <w:iCs/>
      <w:color w:val="2E74B5"/>
    </w:rPr>
  </w:style>
  <w:style w:type="table" w:customStyle="1" w:styleId="TableGridLight1">
    <w:name w:val="Table Grid Light1"/>
    <w:basedOn w:val="TableNormal"/>
    <w:next w:val="TableGridLight"/>
    <w:uiPriority w:val="40"/>
    <w:rsid w:val="00B50B63"/>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B50B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1">
    <w:name w:val="Heading 2 Char1"/>
    <w:basedOn w:val="DefaultParagraphFont"/>
    <w:semiHidden/>
    <w:rsid w:val="00B50B63"/>
    <w:rPr>
      <w:rFonts w:asciiTheme="majorHAnsi" w:eastAsiaTheme="majorEastAsia" w:hAnsiTheme="majorHAnsi" w:cstheme="majorBidi"/>
      <w:color w:val="365F91" w:themeColor="accent1" w:themeShade="BF"/>
      <w:sz w:val="26"/>
      <w:szCs w:val="26"/>
    </w:rPr>
  </w:style>
  <w:style w:type="table" w:styleId="ListTable1Light-Accent3">
    <w:name w:val="List Table 1 Light Accent 3"/>
    <w:basedOn w:val="TableNormal"/>
    <w:uiPriority w:val="46"/>
    <w:rsid w:val="00B50B6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
    <w:name w:val="Grid Table 1 Light"/>
    <w:basedOn w:val="TableNormal"/>
    <w:uiPriority w:val="46"/>
    <w:rsid w:val="00B50B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1">
    <w:name w:val="Heading 5 Char1"/>
    <w:basedOn w:val="DefaultParagraphFont"/>
    <w:semiHidden/>
    <w:rsid w:val="00B50B63"/>
    <w:rPr>
      <w:rFonts w:asciiTheme="majorHAnsi" w:eastAsiaTheme="majorEastAsia" w:hAnsiTheme="majorHAnsi" w:cstheme="majorBidi"/>
      <w:color w:val="365F91" w:themeColor="accent1" w:themeShade="BF"/>
    </w:rPr>
  </w:style>
  <w:style w:type="character" w:customStyle="1" w:styleId="Heading3Char1">
    <w:name w:val="Heading 3 Char1"/>
    <w:basedOn w:val="DefaultParagraphFont"/>
    <w:semiHidden/>
    <w:rsid w:val="00B50B63"/>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semiHidden/>
    <w:rsid w:val="00B50B63"/>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B50B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tif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40.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0.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50.tif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0.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tiff"/><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A8EAA-EFD4-4C9B-B8A9-7F81FD8A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27</Pages>
  <Words>32003</Words>
  <Characters>182421</Characters>
  <Application>Microsoft Office Word</Application>
  <DocSecurity>0</DocSecurity>
  <Lines>1520</Lines>
  <Paragraphs>427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213997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4</cp:revision>
  <cp:lastPrinted>1999-07-06T11:00:00Z</cp:lastPrinted>
  <dcterms:created xsi:type="dcterms:W3CDTF">2025-10-27T15:57:00Z</dcterms:created>
  <dcterms:modified xsi:type="dcterms:W3CDTF">2025-10-28T08:02:00Z</dcterms:modified>
</cp:coreProperties>
</file>