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8BDE" w14:textId="77777777" w:rsidR="00EC6D03" w:rsidRPr="00EC6D03" w:rsidRDefault="00EC6D03" w:rsidP="00EC6D03">
      <w:pPr>
        <w:pStyle w:val="Title"/>
        <w:jc w:val="both"/>
        <w:rPr>
          <w:rFonts w:ascii="Arial" w:hAnsi="Arial" w:cs="Arial"/>
          <w:bCs/>
          <w:i/>
          <w:iCs/>
          <w:u w:val="single"/>
        </w:rPr>
      </w:pPr>
      <w:r w:rsidRPr="00EC6D03">
        <w:rPr>
          <w:rFonts w:ascii="Arial" w:hAnsi="Arial" w:cs="Arial"/>
          <w:bCs/>
          <w:i/>
          <w:iCs/>
          <w:u w:val="single"/>
        </w:rPr>
        <w:t>Original Research Article</w:t>
      </w:r>
    </w:p>
    <w:p w14:paraId="0FF76641" w14:textId="77777777" w:rsidR="00754C9A" w:rsidRDefault="00754C9A" w:rsidP="00441B6F">
      <w:pPr>
        <w:pStyle w:val="Title"/>
        <w:spacing w:after="0"/>
        <w:jc w:val="both"/>
        <w:rPr>
          <w:rFonts w:ascii="Arial" w:hAnsi="Arial" w:cs="Arial"/>
        </w:rPr>
      </w:pPr>
    </w:p>
    <w:p w14:paraId="211A75CD" w14:textId="21BBD1B0" w:rsidR="00163BC4" w:rsidRPr="00163BC4" w:rsidRDefault="008E74DF" w:rsidP="00441B6F">
      <w:pPr>
        <w:pStyle w:val="Author"/>
        <w:spacing w:line="240" w:lineRule="auto"/>
        <w:rPr>
          <w:rFonts w:ascii="Arial" w:hAnsi="Arial" w:cs="Arial"/>
          <w:bCs/>
          <w:iCs/>
          <w:kern w:val="28"/>
          <w:sz w:val="36"/>
        </w:rPr>
      </w:pPr>
      <w:r>
        <w:rPr>
          <w:rFonts w:ascii="Arial" w:hAnsi="Arial" w:cs="Arial"/>
          <w:bCs/>
          <w:iCs/>
          <w:kern w:val="28"/>
          <w:sz w:val="36"/>
        </w:rPr>
        <w:t>Effect of Foxtail Millet, Rock Salt, and Black cumin on the Sensory Attributes of Functional Buttermilk</w:t>
      </w:r>
      <w:r w:rsidR="00231920">
        <w:rPr>
          <w:rFonts w:ascii="Arial" w:hAnsi="Arial" w:cs="Arial"/>
          <w:bCs/>
          <w:iCs/>
          <w:kern w:val="28"/>
          <w:sz w:val="36"/>
        </w:rPr>
        <w:t xml:space="preserve"> </w:t>
      </w:r>
    </w:p>
    <w:p w14:paraId="1B49FFF5" w14:textId="0D9D8658" w:rsidR="00B01FCD" w:rsidRPr="00FB3A86" w:rsidRDefault="00040468" w:rsidP="00441B6F">
      <w:pPr>
        <w:pStyle w:val="Copyright"/>
        <w:spacing w:after="0" w:line="240" w:lineRule="auto"/>
        <w:jc w:val="both"/>
        <w:rPr>
          <w:rFonts w:ascii="Arial" w:hAnsi="Arial" w:cs="Arial"/>
        </w:rPr>
        <w:sectPr w:rsidR="00B01FCD" w:rsidRPr="00FB3A86" w:rsidSect="005122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AA9991" wp14:editId="5F2E486E">
                <wp:extent cx="5303520" cy="635"/>
                <wp:effectExtent l="13335" t="11430" r="17145" b="17145"/>
                <wp:docPr id="2042972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3AE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ED2383" w14:textId="74DFD3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7813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F81242" w14:textId="77777777" w:rsidTr="001E44FE">
        <w:tc>
          <w:tcPr>
            <w:tcW w:w="9576" w:type="dxa"/>
            <w:shd w:val="clear" w:color="auto" w:fill="F2F2F2"/>
          </w:tcPr>
          <w:p w14:paraId="69A02D0C" w14:textId="3F3DD35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203A7" w:rsidRPr="00C203A7">
              <w:rPr>
                <w:rFonts w:ascii="Arial" w:eastAsia="Calibri" w:hAnsi="Arial" w:cs="Arial"/>
                <w:szCs w:val="22"/>
              </w:rPr>
              <w:t xml:space="preserve">To design and evaluate a nutritious </w:t>
            </w:r>
            <w:r w:rsidR="00C203A7">
              <w:rPr>
                <w:rFonts w:ascii="Arial" w:eastAsia="Calibri" w:hAnsi="Arial" w:cs="Arial"/>
                <w:szCs w:val="22"/>
              </w:rPr>
              <w:t>functional buttermilk</w:t>
            </w:r>
            <w:r w:rsidR="00C203A7" w:rsidRPr="00C203A7">
              <w:rPr>
                <w:rFonts w:ascii="Arial" w:eastAsia="Calibri" w:hAnsi="Arial" w:cs="Arial"/>
                <w:szCs w:val="22"/>
              </w:rPr>
              <w:t xml:space="preserve">, exploring optimal combinations of </w:t>
            </w:r>
            <w:r w:rsidR="00C203A7">
              <w:rPr>
                <w:rFonts w:ascii="Arial" w:eastAsia="Calibri" w:hAnsi="Arial" w:cs="Arial"/>
                <w:szCs w:val="22"/>
              </w:rPr>
              <w:t xml:space="preserve">foxtail millet, rock salt and black cumin </w:t>
            </w:r>
            <w:r w:rsidR="00C203A7" w:rsidRPr="00C203A7">
              <w:rPr>
                <w:rFonts w:ascii="Arial" w:eastAsia="Calibri" w:hAnsi="Arial" w:cs="Arial"/>
                <w:szCs w:val="22"/>
              </w:rPr>
              <w:t>to elevate sensory satisfaction</w:t>
            </w:r>
          </w:p>
          <w:p w14:paraId="6F4C8ABD" w14:textId="57BBF834" w:rsidR="0043353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33531" w:rsidRPr="00433531">
              <w:rPr>
                <w:rFonts w:ascii="Arial" w:eastAsia="Calibri" w:hAnsi="Arial" w:cs="Arial"/>
                <w:szCs w:val="22"/>
              </w:rPr>
              <w:t xml:space="preserve">Development of functional buttermilk by incorporating </w:t>
            </w:r>
            <w:r w:rsidR="007B587C">
              <w:rPr>
                <w:rFonts w:ascii="Arial" w:eastAsia="Calibri" w:hAnsi="Arial" w:cs="Arial"/>
                <w:szCs w:val="22"/>
              </w:rPr>
              <w:t>functional ingredients</w:t>
            </w:r>
            <w:r w:rsidR="00433531" w:rsidRPr="00433531">
              <w:rPr>
                <w:rFonts w:ascii="Arial" w:eastAsia="Calibri" w:hAnsi="Arial" w:cs="Arial"/>
                <w:szCs w:val="22"/>
              </w:rPr>
              <w:t xml:space="preserve"> at varying levels to evaluate their effect </w:t>
            </w:r>
            <w:r w:rsidR="00433531">
              <w:rPr>
                <w:rFonts w:ascii="Arial" w:eastAsia="Calibri" w:hAnsi="Arial" w:cs="Arial"/>
                <w:szCs w:val="22"/>
              </w:rPr>
              <w:t xml:space="preserve">on </w:t>
            </w:r>
            <w:r w:rsidR="00433531" w:rsidRPr="00433531">
              <w:rPr>
                <w:rFonts w:ascii="Arial" w:eastAsia="Calibri" w:hAnsi="Arial" w:cs="Arial"/>
                <w:szCs w:val="22"/>
              </w:rPr>
              <w:t>sensory properties of the product.</w:t>
            </w:r>
          </w:p>
          <w:p w14:paraId="625FB2A9" w14:textId="7A75640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33531" w:rsidRPr="00433531">
              <w:rPr>
                <w:rFonts w:ascii="Arial" w:eastAsia="Calibri" w:hAnsi="Arial" w:cs="Arial"/>
                <w:szCs w:val="22"/>
              </w:rPr>
              <w:t xml:space="preserve">The study was carried out at the Department of Dairy Technology, Dairy Science College, Bengaluru, Karnataka, India, during the period from </w:t>
            </w:r>
            <w:r w:rsidR="00433531">
              <w:rPr>
                <w:rFonts w:ascii="Arial" w:eastAsia="Calibri" w:hAnsi="Arial" w:cs="Arial"/>
                <w:szCs w:val="22"/>
              </w:rPr>
              <w:t>December</w:t>
            </w:r>
            <w:r w:rsidR="00433531" w:rsidRPr="00433531">
              <w:rPr>
                <w:rFonts w:ascii="Arial" w:eastAsia="Calibri" w:hAnsi="Arial" w:cs="Arial"/>
                <w:szCs w:val="22"/>
              </w:rPr>
              <w:t xml:space="preserve"> 2024 to </w:t>
            </w:r>
            <w:r w:rsidR="00433531">
              <w:rPr>
                <w:rFonts w:ascii="Arial" w:eastAsia="Calibri" w:hAnsi="Arial" w:cs="Arial"/>
                <w:szCs w:val="22"/>
              </w:rPr>
              <w:t>September</w:t>
            </w:r>
            <w:r w:rsidR="00433531" w:rsidRPr="00433531">
              <w:rPr>
                <w:rFonts w:ascii="Arial" w:eastAsia="Calibri" w:hAnsi="Arial" w:cs="Arial"/>
                <w:szCs w:val="22"/>
              </w:rPr>
              <w:t xml:space="preserve"> 202</w:t>
            </w:r>
            <w:r w:rsidR="00433531">
              <w:rPr>
                <w:rFonts w:ascii="Arial" w:eastAsia="Calibri" w:hAnsi="Arial" w:cs="Arial"/>
                <w:szCs w:val="22"/>
              </w:rPr>
              <w:t>5</w:t>
            </w:r>
            <w:r w:rsidR="00433531" w:rsidRPr="00433531">
              <w:rPr>
                <w:rFonts w:ascii="Arial" w:eastAsia="Calibri" w:hAnsi="Arial" w:cs="Arial"/>
                <w:szCs w:val="22"/>
              </w:rPr>
              <w:t>.</w:t>
            </w:r>
          </w:p>
          <w:p w14:paraId="0C55D657" w14:textId="3C5A10A2" w:rsidR="00BA1B01" w:rsidRPr="00433531" w:rsidRDefault="00BA1B01" w:rsidP="00441B6F">
            <w:pPr>
              <w:pStyle w:val="Body"/>
              <w:spacing w:after="0"/>
              <w:rPr>
                <w:rFonts w:ascii="Arial" w:eastAsia="Calibri"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AF30AA" w:rsidRPr="00AF30AA">
              <w:rPr>
                <w:rFonts w:ascii="Arial" w:hAnsi="Arial" w:cs="Arial"/>
              </w:rPr>
              <w:t xml:space="preserve">Cow milk (fat 3.5%, SNF 8.5%) was </w:t>
            </w:r>
            <w:proofErr w:type="spellStart"/>
            <w:r w:rsidR="00AF30AA">
              <w:rPr>
                <w:rFonts w:ascii="Arial" w:hAnsi="Arial" w:cs="Arial"/>
              </w:rPr>
              <w:t>inorporated</w:t>
            </w:r>
            <w:proofErr w:type="spellEnd"/>
            <w:r w:rsidR="00AF30AA" w:rsidRPr="00AF30AA">
              <w:rPr>
                <w:rFonts w:ascii="Arial" w:hAnsi="Arial" w:cs="Arial"/>
              </w:rPr>
              <w:t xml:space="preserve"> with foxtail millet flour at varying levels of 5%, 7.5%, and 10%</w:t>
            </w:r>
            <w:r w:rsidR="00AF30AA">
              <w:rPr>
                <w:rFonts w:ascii="Arial" w:hAnsi="Arial" w:cs="Arial"/>
              </w:rPr>
              <w:t>. Then</w:t>
            </w:r>
            <w:r w:rsidR="00AF30AA" w:rsidRPr="00AF30AA">
              <w:rPr>
                <w:rFonts w:ascii="Arial" w:hAnsi="Arial" w:cs="Arial"/>
              </w:rPr>
              <w:t xml:space="preserve"> subjected to heat treatment at 90 °C for 5 minutes, followed by cooling to 37 °C. The milk was then inoculated with 2% </w:t>
            </w:r>
            <w:proofErr w:type="spellStart"/>
            <w:r w:rsidR="00AF30AA" w:rsidRPr="00AF30AA">
              <w:rPr>
                <w:rFonts w:ascii="Arial" w:hAnsi="Arial" w:cs="Arial"/>
                <w:i/>
                <w:iCs/>
              </w:rPr>
              <w:t>Lactococci</w:t>
            </w:r>
            <w:proofErr w:type="spellEnd"/>
            <w:r w:rsidR="00AF30AA" w:rsidRPr="00AF30AA">
              <w:rPr>
                <w:rFonts w:ascii="Arial" w:hAnsi="Arial" w:cs="Arial"/>
              </w:rPr>
              <w:t xml:space="preserve"> culture and incubated at 37 °C for 4–5 hours to allow the setting of</w:t>
            </w:r>
            <w:r w:rsidR="00AF30AA">
              <w:rPr>
                <w:rFonts w:ascii="Arial" w:hAnsi="Arial" w:cs="Arial"/>
              </w:rPr>
              <w:t xml:space="preserve"> millet enriched</w:t>
            </w:r>
            <w:r w:rsidR="00AF30AA" w:rsidRPr="00AF30AA">
              <w:rPr>
                <w:rFonts w:ascii="Arial" w:hAnsi="Arial" w:cs="Arial"/>
              </w:rPr>
              <w:t xml:space="preserve"> </w:t>
            </w:r>
            <w:r w:rsidR="007B587C">
              <w:rPr>
                <w:rFonts w:ascii="Arial" w:hAnsi="Arial" w:cs="Arial"/>
              </w:rPr>
              <w:t>curd</w:t>
            </w:r>
            <w:r w:rsidR="00AF30AA" w:rsidRPr="00AF30AA">
              <w:rPr>
                <w:rFonts w:ascii="Arial" w:hAnsi="Arial" w:cs="Arial"/>
              </w:rPr>
              <w:t xml:space="preserve">. The set </w:t>
            </w:r>
            <w:r w:rsidR="007B587C">
              <w:rPr>
                <w:rFonts w:ascii="Arial" w:hAnsi="Arial" w:cs="Arial"/>
              </w:rPr>
              <w:t>curd</w:t>
            </w:r>
            <w:r w:rsidR="00AF30AA" w:rsidRPr="00AF30AA">
              <w:rPr>
                <w:rFonts w:ascii="Arial" w:hAnsi="Arial" w:cs="Arial"/>
              </w:rPr>
              <w:t xml:space="preserve"> was broken using agitators, and water was added in a 1:1.5 ratio. </w:t>
            </w:r>
            <w:r w:rsidR="00AF30AA">
              <w:rPr>
                <w:rFonts w:ascii="Arial" w:hAnsi="Arial" w:cs="Arial"/>
              </w:rPr>
              <w:t>Followed by</w:t>
            </w:r>
            <w:r w:rsidR="00AF30AA" w:rsidRPr="00AF30AA">
              <w:rPr>
                <w:rFonts w:ascii="Arial" w:hAnsi="Arial" w:cs="Arial"/>
              </w:rPr>
              <w:t>, rock salt was incorporated at 0.5%, 1.0%, and 1.5%, along with black cumin seed powder at 1.0%, 1.5%, and 2.0%. Sensory evaluations were performed using a 9-point hedonic scale by trained panelists. Statistical analysis of data, including ANOVA and critical difference (CD), was carried out using R software (version 4.1.</w:t>
            </w:r>
            <w:r w:rsidR="00AF30AA">
              <w:rPr>
                <w:rFonts w:ascii="Arial" w:hAnsi="Arial" w:cs="Arial"/>
              </w:rPr>
              <w:t>3</w:t>
            </w:r>
            <w:r w:rsidR="00AF30AA" w:rsidRPr="00AF30AA">
              <w:rPr>
                <w:rFonts w:ascii="Arial" w:hAnsi="Arial" w:cs="Arial"/>
              </w:rPr>
              <w:t>).</w:t>
            </w:r>
          </w:p>
          <w:p w14:paraId="56E11682" w14:textId="77777777" w:rsidR="00AF30AA" w:rsidRDefault="00BA1B01" w:rsidP="00441B6F">
            <w:pPr>
              <w:pStyle w:val="Body"/>
              <w:spacing w:after="0"/>
              <w:rPr>
                <w:rFonts w:ascii="Arial" w:eastAsia="Calibri" w:hAnsi="Arial" w:cs="Arial"/>
              </w:rPr>
            </w:pPr>
            <w:r w:rsidRPr="00433531">
              <w:rPr>
                <w:rFonts w:ascii="Arial" w:eastAsia="Calibri" w:hAnsi="Arial" w:cs="Arial"/>
                <w:b/>
                <w:bCs/>
              </w:rPr>
              <w:t>Results:</w:t>
            </w:r>
            <w:r w:rsidRPr="00433531">
              <w:rPr>
                <w:rFonts w:ascii="Arial" w:eastAsia="Calibri" w:hAnsi="Arial" w:cs="Arial"/>
              </w:rPr>
              <w:t xml:space="preserve"> </w:t>
            </w:r>
          </w:p>
          <w:p w14:paraId="3F669323" w14:textId="50F40DB1" w:rsidR="00F06839" w:rsidRDefault="00F06839" w:rsidP="00441B6F">
            <w:pPr>
              <w:pStyle w:val="Body"/>
              <w:spacing w:after="0"/>
              <w:rPr>
                <w:rFonts w:ascii="Arial" w:eastAsia="Calibri" w:hAnsi="Arial" w:cs="Arial"/>
              </w:rPr>
            </w:pPr>
            <w:r>
              <w:rPr>
                <w:rFonts w:ascii="Arial" w:eastAsia="Calibri" w:hAnsi="Arial" w:cs="Arial"/>
              </w:rPr>
              <w:t xml:space="preserve">The </w:t>
            </w:r>
            <w:r w:rsidR="00AF5ABC">
              <w:rPr>
                <w:rFonts w:ascii="Arial" w:eastAsia="Calibri" w:hAnsi="Arial" w:cs="Arial"/>
              </w:rPr>
              <w:t xml:space="preserve">sensory score for </w:t>
            </w:r>
            <w:r>
              <w:rPr>
                <w:rFonts w:ascii="Arial" w:eastAsia="Calibri" w:hAnsi="Arial" w:cs="Arial"/>
              </w:rPr>
              <w:t>optimized functional buttermilk with</w:t>
            </w:r>
            <w:r w:rsidR="00AF5ABC">
              <w:rPr>
                <w:rFonts w:ascii="Arial" w:eastAsia="Calibri" w:hAnsi="Arial" w:cs="Arial"/>
              </w:rPr>
              <w:t xml:space="preserve"> incorporation of</w:t>
            </w:r>
            <w:r>
              <w:rPr>
                <w:rFonts w:ascii="Arial" w:eastAsia="Calibri" w:hAnsi="Arial" w:cs="Arial"/>
              </w:rPr>
              <w:t xml:space="preserve"> 5</w:t>
            </w:r>
            <w:r w:rsidRPr="00AF30AA">
              <w:rPr>
                <w:rFonts w:ascii="Arial" w:eastAsia="Calibri" w:hAnsi="Arial" w:cs="Arial"/>
              </w:rPr>
              <w:t xml:space="preserve">% </w:t>
            </w:r>
            <w:r>
              <w:rPr>
                <w:rFonts w:ascii="Arial" w:eastAsia="Calibri" w:hAnsi="Arial" w:cs="Arial"/>
              </w:rPr>
              <w:t xml:space="preserve">foxtail millet </w:t>
            </w:r>
            <w:r w:rsidR="00AF5ABC">
              <w:rPr>
                <w:rFonts w:ascii="Arial" w:eastAsia="Calibri" w:hAnsi="Arial" w:cs="Arial"/>
              </w:rPr>
              <w:t>got</w:t>
            </w:r>
            <w:r>
              <w:rPr>
                <w:rFonts w:ascii="Arial" w:eastAsia="Calibri" w:hAnsi="Arial" w:cs="Arial"/>
              </w:rPr>
              <w:t xml:space="preserve"> overall acceptability</w:t>
            </w:r>
            <w:r w:rsidR="00AF5ABC">
              <w:rPr>
                <w:rFonts w:ascii="Arial" w:eastAsia="Calibri" w:hAnsi="Arial" w:cs="Arial"/>
              </w:rPr>
              <w:t xml:space="preserve"> score</w:t>
            </w:r>
            <w:r>
              <w:rPr>
                <w:rFonts w:ascii="Arial" w:eastAsia="Calibri" w:hAnsi="Arial" w:cs="Arial"/>
              </w:rPr>
              <w:t xml:space="preserve"> of (8.25),</w:t>
            </w:r>
            <w:r w:rsidR="00AF5ABC">
              <w:rPr>
                <w:rFonts w:ascii="Arial" w:eastAsia="Calibri" w:hAnsi="Arial" w:cs="Arial"/>
              </w:rPr>
              <w:t xml:space="preserve"> While</w:t>
            </w:r>
            <w:r w:rsidR="00FA3D05">
              <w:rPr>
                <w:rFonts w:ascii="Arial" w:eastAsia="Calibri" w:hAnsi="Arial" w:cs="Arial"/>
              </w:rPr>
              <w:t xml:space="preserve"> with 5% foxtail millet and</w:t>
            </w:r>
            <w:r>
              <w:rPr>
                <w:rFonts w:ascii="Arial" w:eastAsia="Calibri" w:hAnsi="Arial" w:cs="Arial"/>
              </w:rPr>
              <w:t xml:space="preserve"> 1</w:t>
            </w:r>
            <w:r w:rsidRPr="00AF30AA">
              <w:rPr>
                <w:rFonts w:ascii="Arial" w:eastAsia="Calibri" w:hAnsi="Arial" w:cs="Arial"/>
              </w:rPr>
              <w:t>%</w:t>
            </w:r>
            <w:r>
              <w:rPr>
                <w:rFonts w:ascii="Arial" w:eastAsia="Calibri" w:hAnsi="Arial" w:cs="Arial"/>
              </w:rPr>
              <w:t xml:space="preserve"> rock salt</w:t>
            </w:r>
            <w:r w:rsidR="007B587C">
              <w:rPr>
                <w:rFonts w:ascii="Arial" w:eastAsia="Calibri" w:hAnsi="Arial" w:cs="Arial"/>
              </w:rPr>
              <w:t xml:space="preserve"> </w:t>
            </w:r>
            <w:r w:rsidR="00AF5ABC">
              <w:rPr>
                <w:rFonts w:ascii="Arial" w:eastAsia="Calibri" w:hAnsi="Arial" w:cs="Arial"/>
              </w:rPr>
              <w:t>got</w:t>
            </w:r>
            <w:r>
              <w:rPr>
                <w:rFonts w:ascii="Arial" w:eastAsia="Calibri" w:hAnsi="Arial" w:cs="Arial"/>
              </w:rPr>
              <w:t xml:space="preserve"> overall acceptability</w:t>
            </w:r>
            <w:r w:rsidR="00AF5ABC">
              <w:rPr>
                <w:rFonts w:ascii="Arial" w:eastAsia="Calibri" w:hAnsi="Arial" w:cs="Arial"/>
              </w:rPr>
              <w:t xml:space="preserve"> score</w:t>
            </w:r>
            <w:r>
              <w:rPr>
                <w:rFonts w:ascii="Arial" w:eastAsia="Calibri" w:hAnsi="Arial" w:cs="Arial"/>
              </w:rPr>
              <w:t xml:space="preserve"> of (8.24) and </w:t>
            </w:r>
            <w:r w:rsidR="00AF5ABC">
              <w:rPr>
                <w:rFonts w:ascii="Arial" w:eastAsia="Calibri" w:hAnsi="Arial" w:cs="Arial"/>
              </w:rPr>
              <w:t xml:space="preserve">the formulation of functional </w:t>
            </w:r>
            <w:r w:rsidR="00FA3D05">
              <w:rPr>
                <w:rFonts w:ascii="Arial" w:eastAsia="Calibri" w:hAnsi="Arial" w:cs="Arial"/>
              </w:rPr>
              <w:t>buttermilk</w:t>
            </w:r>
            <w:r w:rsidR="00AF5ABC">
              <w:rPr>
                <w:rFonts w:ascii="Arial" w:eastAsia="Calibri" w:hAnsi="Arial" w:cs="Arial"/>
              </w:rPr>
              <w:t xml:space="preserve"> with</w:t>
            </w:r>
            <w:r w:rsidR="00FA3D05">
              <w:rPr>
                <w:rFonts w:ascii="Arial" w:eastAsia="Calibri" w:hAnsi="Arial" w:cs="Arial"/>
              </w:rPr>
              <w:t xml:space="preserve"> incorporation of </w:t>
            </w:r>
            <w:r w:rsidR="00FA3D05">
              <w:rPr>
                <w:rFonts w:ascii="Arial" w:eastAsia="Calibri" w:hAnsi="Arial" w:cs="Arial"/>
              </w:rPr>
              <w:t>5% foxtail millet</w:t>
            </w:r>
            <w:r w:rsidR="00FA3D05">
              <w:rPr>
                <w:rFonts w:ascii="Arial" w:eastAsia="Calibri" w:hAnsi="Arial" w:cs="Arial"/>
              </w:rPr>
              <w:t>,</w:t>
            </w:r>
            <w:r w:rsidR="00FA3D05">
              <w:rPr>
                <w:rFonts w:ascii="Arial" w:eastAsia="Calibri" w:hAnsi="Arial" w:cs="Arial"/>
              </w:rPr>
              <w:t xml:space="preserve"> 1</w:t>
            </w:r>
            <w:r w:rsidR="00FA3D05" w:rsidRPr="00AF30AA">
              <w:rPr>
                <w:rFonts w:ascii="Arial" w:eastAsia="Calibri" w:hAnsi="Arial" w:cs="Arial"/>
              </w:rPr>
              <w:t>%</w:t>
            </w:r>
            <w:r w:rsidR="00FA3D05">
              <w:rPr>
                <w:rFonts w:ascii="Arial" w:eastAsia="Calibri" w:hAnsi="Arial" w:cs="Arial"/>
              </w:rPr>
              <w:t xml:space="preserve"> rock </w:t>
            </w:r>
            <w:proofErr w:type="gramStart"/>
            <w:r w:rsidR="00FA3D05">
              <w:rPr>
                <w:rFonts w:ascii="Arial" w:eastAsia="Calibri" w:hAnsi="Arial" w:cs="Arial"/>
              </w:rPr>
              <w:t>salt</w:t>
            </w:r>
            <w:r w:rsidR="00FA3D05">
              <w:rPr>
                <w:rFonts w:ascii="Arial" w:eastAsia="Calibri" w:hAnsi="Arial" w:cs="Arial"/>
              </w:rPr>
              <w:t xml:space="preserve">  and</w:t>
            </w:r>
            <w:proofErr w:type="gramEnd"/>
            <w:r w:rsidR="00FA3D05">
              <w:rPr>
                <w:rFonts w:ascii="Arial" w:eastAsia="Calibri" w:hAnsi="Arial" w:cs="Arial"/>
              </w:rPr>
              <w:t xml:space="preserve"> </w:t>
            </w:r>
            <w:r>
              <w:rPr>
                <w:rFonts w:ascii="Arial" w:eastAsia="Calibri" w:hAnsi="Arial" w:cs="Arial"/>
              </w:rPr>
              <w:t xml:space="preserve">1% black cumin seed powder </w:t>
            </w:r>
            <w:r w:rsidR="00AF5ABC">
              <w:rPr>
                <w:rFonts w:ascii="Arial" w:eastAsia="Calibri" w:hAnsi="Arial" w:cs="Arial"/>
              </w:rPr>
              <w:t>got</w:t>
            </w:r>
            <w:r w:rsidR="007B587C">
              <w:rPr>
                <w:rFonts w:ascii="Arial" w:eastAsia="Calibri" w:hAnsi="Arial" w:cs="Arial"/>
              </w:rPr>
              <w:t xml:space="preserve"> </w:t>
            </w:r>
            <w:r>
              <w:rPr>
                <w:rFonts w:ascii="Arial" w:eastAsia="Calibri" w:hAnsi="Arial" w:cs="Arial"/>
              </w:rPr>
              <w:t>overall acceptability</w:t>
            </w:r>
            <w:r w:rsidR="00AF5ABC">
              <w:rPr>
                <w:rFonts w:ascii="Arial" w:eastAsia="Calibri" w:hAnsi="Arial" w:cs="Arial"/>
              </w:rPr>
              <w:t xml:space="preserve"> score</w:t>
            </w:r>
            <w:r>
              <w:rPr>
                <w:rFonts w:ascii="Arial" w:eastAsia="Calibri" w:hAnsi="Arial" w:cs="Arial"/>
              </w:rPr>
              <w:t xml:space="preserve"> of (8.50) </w:t>
            </w:r>
            <w:r w:rsidRPr="00F06839">
              <w:rPr>
                <w:rFonts w:ascii="Arial" w:eastAsia="Calibri" w:hAnsi="Arial" w:cs="Arial"/>
              </w:rPr>
              <w:t>achieving the highest scores for all attributes</w:t>
            </w:r>
            <w:r>
              <w:rPr>
                <w:rFonts w:ascii="Arial" w:eastAsia="Calibri" w:hAnsi="Arial" w:cs="Arial"/>
              </w:rPr>
              <w:t xml:space="preserve">. </w:t>
            </w:r>
          </w:p>
          <w:p w14:paraId="32E18D57" w14:textId="6BA2E88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B587C" w:rsidRPr="007B587C">
              <w:rPr>
                <w:rFonts w:ascii="Arial" w:eastAsia="Calibri" w:hAnsi="Arial" w:cs="Arial"/>
                <w:szCs w:val="22"/>
              </w:rPr>
              <w:t>The study revealed that 5% foxtail millet, 1% rock salt, and 1% black cumin seed powder significantly enhanced the sensory attributes of functional buttermilk, improving color, texture, flavor, and overall acceptability, with no risk to human consumption.</w:t>
            </w:r>
          </w:p>
        </w:tc>
      </w:tr>
    </w:tbl>
    <w:p w14:paraId="74E124AC" w14:textId="77777777" w:rsidR="00636EB2" w:rsidRDefault="00636EB2" w:rsidP="00441B6F">
      <w:pPr>
        <w:pStyle w:val="Body"/>
        <w:spacing w:after="0"/>
        <w:rPr>
          <w:rFonts w:ascii="Arial" w:hAnsi="Arial" w:cs="Arial"/>
          <w:i/>
        </w:rPr>
      </w:pPr>
    </w:p>
    <w:p w14:paraId="7C48CB40" w14:textId="4A692DCB" w:rsidR="00A24E7E" w:rsidRDefault="00A24E7E" w:rsidP="00441B6F">
      <w:pPr>
        <w:pStyle w:val="Body"/>
        <w:spacing w:after="0"/>
        <w:rPr>
          <w:rFonts w:ascii="Arial" w:hAnsi="Arial" w:cs="Arial"/>
          <w:i/>
        </w:rPr>
      </w:pPr>
      <w:r>
        <w:rPr>
          <w:rFonts w:ascii="Arial" w:hAnsi="Arial" w:cs="Arial"/>
          <w:i/>
        </w:rPr>
        <w:t>Keywords:</w:t>
      </w:r>
      <w:r w:rsidR="007B587C">
        <w:rPr>
          <w:rFonts w:ascii="Arial" w:hAnsi="Arial" w:cs="Arial"/>
          <w:i/>
        </w:rPr>
        <w:t xml:space="preserve"> Curd, functional buttermilk, foxtail millet, rock salt, black cumin seed powder,</w:t>
      </w:r>
    </w:p>
    <w:p w14:paraId="2671B86B" w14:textId="77777777" w:rsidR="00AF3F12" w:rsidRDefault="00AF3F12" w:rsidP="00441B6F">
      <w:pPr>
        <w:pStyle w:val="AbstHead"/>
        <w:spacing w:after="0"/>
        <w:jc w:val="both"/>
        <w:rPr>
          <w:rFonts w:ascii="Arial" w:hAnsi="Arial" w:cs="Arial"/>
        </w:rPr>
      </w:pPr>
    </w:p>
    <w:p w14:paraId="5A8AB4A2" w14:textId="4BEB8C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40A00B" w14:textId="77777777" w:rsidR="00790ADA" w:rsidRPr="00FB3A86" w:rsidRDefault="00790ADA" w:rsidP="00441B6F">
      <w:pPr>
        <w:pStyle w:val="AbstHead"/>
        <w:spacing w:after="0"/>
        <w:jc w:val="both"/>
        <w:rPr>
          <w:rFonts w:ascii="Arial" w:hAnsi="Arial" w:cs="Arial"/>
        </w:rPr>
      </w:pPr>
    </w:p>
    <w:p w14:paraId="13C13722" w14:textId="77777777" w:rsidR="00E43F45" w:rsidRPr="00E43F45" w:rsidRDefault="00E43F45" w:rsidP="00E43F45">
      <w:pPr>
        <w:pStyle w:val="Body"/>
        <w:rPr>
          <w:rFonts w:ascii="Arial" w:hAnsi="Arial" w:cs="Arial"/>
        </w:rPr>
      </w:pPr>
      <w:r w:rsidRPr="00E43F45">
        <w:rPr>
          <w:rFonts w:ascii="Arial" w:hAnsi="Arial" w:cs="Arial"/>
        </w:rPr>
        <w:t xml:space="preserve">India ranks first globally in milk production, with a total of 239.30 million metric tons (MMT) during 2023-2024, with a per-capita availability of 471 grams per day (BAHS, 2023). About 50% of the total milk produced in India is converted into a variety of traditional dairy products such as ghee or </w:t>
      </w:r>
      <w:proofErr w:type="spellStart"/>
      <w:r w:rsidRPr="00E43F45">
        <w:rPr>
          <w:rFonts w:ascii="Arial" w:hAnsi="Arial" w:cs="Arial"/>
        </w:rPr>
        <w:t>makkhan</w:t>
      </w:r>
      <w:proofErr w:type="spellEnd"/>
      <w:r w:rsidRPr="00E43F45">
        <w:rPr>
          <w:rFonts w:ascii="Arial" w:hAnsi="Arial" w:cs="Arial"/>
        </w:rPr>
        <w:t xml:space="preserve"> (33%), fermented milk products (7%), khoa (7%) and chhana/paneer (3%) using processes such as coagulation, desiccation and fermentation (Pugazhenthi et al.,2020).</w:t>
      </w:r>
    </w:p>
    <w:p w14:paraId="766CDCDA" w14:textId="77777777" w:rsidR="00E43F45" w:rsidRPr="00E43F45" w:rsidRDefault="00E43F45" w:rsidP="00E43F45">
      <w:pPr>
        <w:pStyle w:val="Body"/>
        <w:rPr>
          <w:rFonts w:ascii="Arial" w:hAnsi="Arial" w:cs="Arial"/>
        </w:rPr>
      </w:pPr>
      <w:r w:rsidRPr="00E43F45">
        <w:rPr>
          <w:rFonts w:ascii="Arial" w:hAnsi="Arial" w:cs="Arial"/>
        </w:rPr>
        <w:lastRenderedPageBreak/>
        <w:t xml:space="preserve">The India dairy market size reached INR 18,975 billion in 2024. It expected the market to reach INR 57,001.8 billion by 2033, exhibiting a growth rate (CAGR) of 12.35% during 2025-2033 (IMARC, 2024). </w:t>
      </w:r>
    </w:p>
    <w:p w14:paraId="49619EAA" w14:textId="055F7BFB" w:rsidR="00E43F45" w:rsidRPr="00E43F45" w:rsidRDefault="00E43F45" w:rsidP="00E43F45">
      <w:pPr>
        <w:pStyle w:val="Body"/>
        <w:rPr>
          <w:rFonts w:ascii="Arial" w:hAnsi="Arial" w:cs="Arial"/>
        </w:rPr>
      </w:pPr>
      <w:r w:rsidRPr="00E43F45">
        <w:rPr>
          <w:rFonts w:ascii="Arial" w:hAnsi="Arial" w:cs="Arial"/>
        </w:rPr>
        <w:t xml:space="preserve">The </w:t>
      </w:r>
      <w:r w:rsidR="007B587C">
        <w:rPr>
          <w:rFonts w:ascii="Arial" w:hAnsi="Arial" w:cs="Arial"/>
        </w:rPr>
        <w:t>curd</w:t>
      </w:r>
      <w:r w:rsidRPr="00E43F45">
        <w:rPr>
          <w:rFonts w:ascii="Arial" w:hAnsi="Arial" w:cs="Arial"/>
        </w:rPr>
        <w:t xml:space="preserve"> market size in India reached INR 1778.87 billion in 2024 and it is expected to reach INR 5421.90 billion by 2033, the exhibiting a growth rate that is CAGR of 12.52% during 2025-2033. The By-product is the buttermilk having the market size in India reached INR 193.33 billion in 2024 and it is estimated to grow INR 933.53 billion by 2033, exhibiting the CAGR of 18.16% during 2025-2033 (IMARC, 2024).</w:t>
      </w:r>
    </w:p>
    <w:p w14:paraId="4110C92F" w14:textId="77777777" w:rsidR="00E43F45" w:rsidRPr="00E43F45" w:rsidRDefault="00E43F45" w:rsidP="00E43F45">
      <w:pPr>
        <w:pStyle w:val="Body"/>
        <w:rPr>
          <w:rFonts w:ascii="Arial" w:hAnsi="Arial" w:cs="Arial"/>
        </w:rPr>
      </w:pPr>
      <w:r w:rsidRPr="00E43F45">
        <w:rPr>
          <w:rFonts w:ascii="Arial" w:hAnsi="Arial" w:cs="Arial"/>
        </w:rPr>
        <w:t>Fermentation is a process which preserves the milk from the spoilage because milk is a perishable product and fermentation is also increases the nutritional and sensory attributes of the milk. The fermentation process is used as a method of value addition and conversion of raw materials by microorganisms and enzymes into various types of products with distinct nutritional and sensory properties (Hati et al., 2012).</w:t>
      </w:r>
    </w:p>
    <w:p w14:paraId="3C02D95B" w14:textId="6D02DFDC" w:rsidR="00E43F45" w:rsidRPr="00E43F45" w:rsidRDefault="00E43F45" w:rsidP="00E43F45">
      <w:pPr>
        <w:pStyle w:val="Body"/>
        <w:rPr>
          <w:rFonts w:ascii="Arial" w:hAnsi="Arial" w:cs="Arial"/>
        </w:rPr>
      </w:pPr>
      <w:r w:rsidRPr="00E43F45">
        <w:rPr>
          <w:rFonts w:ascii="Arial" w:hAnsi="Arial" w:cs="Arial"/>
        </w:rPr>
        <w:t xml:space="preserve">Fermented milks like </w:t>
      </w:r>
      <w:r w:rsidR="007B587C">
        <w:rPr>
          <w:rFonts w:ascii="Arial" w:hAnsi="Arial" w:cs="Arial"/>
        </w:rPr>
        <w:t>curd</w:t>
      </w:r>
      <w:r w:rsidRPr="00E43F45">
        <w:rPr>
          <w:rFonts w:ascii="Arial" w:hAnsi="Arial" w:cs="Arial"/>
        </w:rPr>
        <w:t>, buttermilk (</w:t>
      </w:r>
      <w:proofErr w:type="spellStart"/>
      <w:r w:rsidRPr="00E43F45">
        <w:rPr>
          <w:rFonts w:ascii="Arial" w:hAnsi="Arial" w:cs="Arial"/>
        </w:rPr>
        <w:t>chhach</w:t>
      </w:r>
      <w:proofErr w:type="spellEnd"/>
      <w:r w:rsidRPr="00E43F45">
        <w:rPr>
          <w:rFonts w:ascii="Arial" w:hAnsi="Arial" w:cs="Arial"/>
        </w:rPr>
        <w:t xml:space="preserve">), lassi are popular all over the country. Culture buttermilk is an important fermented milk in the world. Buttermilk is a great summertime beverage to satisfy thirst, </w:t>
      </w:r>
      <w:proofErr w:type="gramStart"/>
      <w:r w:rsidRPr="00E43F45">
        <w:rPr>
          <w:rFonts w:ascii="Arial" w:hAnsi="Arial" w:cs="Arial"/>
        </w:rPr>
        <w:t>As</w:t>
      </w:r>
      <w:proofErr w:type="gramEnd"/>
      <w:r w:rsidRPr="00E43F45">
        <w:rPr>
          <w:rFonts w:ascii="Arial" w:hAnsi="Arial" w:cs="Arial"/>
        </w:rPr>
        <w:t xml:space="preserve"> it contains vitamins, potassium, calcium, and traces of phosphorus. Additional health benefits are provided by the milk fat globule membrane, which is rich in phospholipids, including phosphatidylcholine (lecithin), phosphatidylethanolamine, and sphingomyelin (Gandhi et al.,2018). Butter milk is also known as Mattha, </w:t>
      </w:r>
      <w:proofErr w:type="spellStart"/>
      <w:r w:rsidRPr="00E43F45">
        <w:rPr>
          <w:rFonts w:ascii="Arial" w:hAnsi="Arial" w:cs="Arial"/>
        </w:rPr>
        <w:t>Chhachh</w:t>
      </w:r>
      <w:proofErr w:type="spellEnd"/>
      <w:r w:rsidRPr="00E43F45">
        <w:rPr>
          <w:rFonts w:ascii="Arial" w:hAnsi="Arial" w:cs="Arial"/>
        </w:rPr>
        <w:t xml:space="preserve"> or Chas in northern part of India. In south India it is called as </w:t>
      </w:r>
      <w:proofErr w:type="spellStart"/>
      <w:r w:rsidRPr="00E43F45">
        <w:rPr>
          <w:rFonts w:ascii="Arial" w:hAnsi="Arial" w:cs="Arial"/>
        </w:rPr>
        <w:t>Majjige</w:t>
      </w:r>
      <w:proofErr w:type="spellEnd"/>
      <w:r w:rsidRPr="00E43F45">
        <w:rPr>
          <w:rFonts w:ascii="Arial" w:hAnsi="Arial" w:cs="Arial"/>
        </w:rPr>
        <w:t xml:space="preserve"> or </w:t>
      </w:r>
      <w:proofErr w:type="spellStart"/>
      <w:r w:rsidRPr="00E43F45">
        <w:rPr>
          <w:rFonts w:ascii="Arial" w:hAnsi="Arial" w:cs="Arial"/>
        </w:rPr>
        <w:t>Majjika</w:t>
      </w:r>
      <w:proofErr w:type="spellEnd"/>
      <w:r w:rsidRPr="00E43F45">
        <w:rPr>
          <w:rFonts w:ascii="Arial" w:hAnsi="Arial" w:cs="Arial"/>
        </w:rPr>
        <w:t xml:space="preserve">. </w:t>
      </w:r>
    </w:p>
    <w:p w14:paraId="54594442" w14:textId="77777777" w:rsidR="00E43F45" w:rsidRPr="00E43F45" w:rsidRDefault="00E43F45" w:rsidP="00E43F45">
      <w:pPr>
        <w:pStyle w:val="Body"/>
        <w:rPr>
          <w:rFonts w:ascii="Arial" w:hAnsi="Arial" w:cs="Arial"/>
        </w:rPr>
      </w:pPr>
      <w:r w:rsidRPr="00E43F45">
        <w:rPr>
          <w:rFonts w:ascii="Arial" w:hAnsi="Arial" w:cs="Arial"/>
        </w:rPr>
        <w:t>Foxtail millet (</w:t>
      </w:r>
      <w:proofErr w:type="spellStart"/>
      <w:r w:rsidRPr="007B587C">
        <w:rPr>
          <w:rFonts w:ascii="Arial" w:hAnsi="Arial" w:cs="Arial"/>
          <w:i/>
          <w:iCs/>
        </w:rPr>
        <w:t>Setaria</w:t>
      </w:r>
      <w:proofErr w:type="spellEnd"/>
      <w:r w:rsidRPr="007B587C">
        <w:rPr>
          <w:rFonts w:ascii="Arial" w:hAnsi="Arial" w:cs="Arial"/>
          <w:i/>
          <w:iCs/>
        </w:rPr>
        <w:t xml:space="preserve"> italica</w:t>
      </w:r>
      <w:r w:rsidRPr="00E43F45">
        <w:rPr>
          <w:rFonts w:ascii="Arial" w:hAnsi="Arial" w:cs="Arial"/>
        </w:rPr>
        <w:t xml:space="preserve">) has been identified as a major millet in terms of worldwide production, as it is the second highest yielding grain. It is one of the easily cultivated cereal grains belonging to the </w:t>
      </w:r>
      <w:proofErr w:type="spellStart"/>
      <w:r w:rsidRPr="00E43F45">
        <w:rPr>
          <w:rFonts w:ascii="Arial" w:hAnsi="Arial" w:cs="Arial"/>
        </w:rPr>
        <w:t>Setaria</w:t>
      </w:r>
      <w:proofErr w:type="spellEnd"/>
      <w:r w:rsidRPr="00E43F45">
        <w:rPr>
          <w:rFonts w:ascii="Arial" w:hAnsi="Arial" w:cs="Arial"/>
        </w:rPr>
        <w:t xml:space="preserve"> genus of </w:t>
      </w:r>
      <w:proofErr w:type="spellStart"/>
      <w:r w:rsidRPr="00E43F45">
        <w:rPr>
          <w:rFonts w:ascii="Arial" w:hAnsi="Arial" w:cs="Arial"/>
        </w:rPr>
        <w:t>Poaceae</w:t>
      </w:r>
      <w:proofErr w:type="spellEnd"/>
      <w:r w:rsidRPr="00E43F45">
        <w:rPr>
          <w:rFonts w:ascii="Arial" w:hAnsi="Arial" w:cs="Arial"/>
        </w:rPr>
        <w:t xml:space="preserve"> family and subfamily </w:t>
      </w:r>
      <w:proofErr w:type="spellStart"/>
      <w:r w:rsidRPr="00E43F45">
        <w:rPr>
          <w:rFonts w:ascii="Arial" w:hAnsi="Arial" w:cs="Arial"/>
        </w:rPr>
        <w:t>Panicoideae</w:t>
      </w:r>
      <w:proofErr w:type="spellEnd"/>
      <w:r w:rsidRPr="00E43F45">
        <w:rPr>
          <w:rFonts w:ascii="Arial" w:hAnsi="Arial" w:cs="Arial"/>
        </w:rPr>
        <w:t xml:space="preserve">. In foxtail millet, fatty acids and minerals are present in good amount. Linoleic, oleic and linolenic acids are the main unsaturated fatty acids present while palmitic and stearic acids are the main saturated fatty acids present in it. It is considered to be one of the most digestible and </w:t>
      </w:r>
      <w:proofErr w:type="spellStart"/>
      <w:r w:rsidRPr="00E43F45">
        <w:rPr>
          <w:rFonts w:ascii="Arial" w:hAnsi="Arial" w:cs="Arial"/>
        </w:rPr>
        <w:t>non allergenic</w:t>
      </w:r>
      <w:proofErr w:type="spellEnd"/>
      <w:r w:rsidRPr="00E43F45">
        <w:rPr>
          <w:rFonts w:ascii="Arial" w:hAnsi="Arial" w:cs="Arial"/>
        </w:rPr>
        <w:t xml:space="preserve"> grains available and has significant importance for human health (Verma et al., 2020). </w:t>
      </w:r>
    </w:p>
    <w:p w14:paraId="7F9C8DC3" w14:textId="77777777" w:rsidR="00E43F45" w:rsidRPr="00E43F45" w:rsidRDefault="00E43F45" w:rsidP="00E43F45">
      <w:pPr>
        <w:pStyle w:val="Body"/>
        <w:rPr>
          <w:rFonts w:ascii="Arial" w:hAnsi="Arial" w:cs="Arial"/>
        </w:rPr>
      </w:pPr>
      <w:r w:rsidRPr="00E43F45">
        <w:rPr>
          <w:rFonts w:ascii="Arial" w:hAnsi="Arial" w:cs="Arial"/>
        </w:rPr>
        <w:t xml:space="preserve">Rock salt is known as Saindhava </w:t>
      </w:r>
      <w:proofErr w:type="spellStart"/>
      <w:r w:rsidRPr="00E43F45">
        <w:rPr>
          <w:rFonts w:ascii="Arial" w:hAnsi="Arial" w:cs="Arial"/>
        </w:rPr>
        <w:t>lavana</w:t>
      </w:r>
      <w:proofErr w:type="spellEnd"/>
      <w:r w:rsidRPr="00E43F45">
        <w:rPr>
          <w:rFonts w:ascii="Arial" w:hAnsi="Arial" w:cs="Arial"/>
        </w:rPr>
        <w:t xml:space="preserve">. Salt is also used extensively in cooking as a </w:t>
      </w:r>
      <w:proofErr w:type="spellStart"/>
      <w:r w:rsidRPr="00E43F45">
        <w:rPr>
          <w:rFonts w:ascii="Arial" w:hAnsi="Arial" w:cs="Arial"/>
        </w:rPr>
        <w:t>flavour</w:t>
      </w:r>
      <w:proofErr w:type="spellEnd"/>
      <w:r w:rsidRPr="00E43F45">
        <w:rPr>
          <w:rFonts w:ascii="Arial" w:hAnsi="Arial" w:cs="Arial"/>
        </w:rPr>
        <w:t xml:space="preserve"> enhancer and it consists of 95-98% sodium chloride, 2-4 % </w:t>
      </w:r>
      <w:proofErr w:type="spellStart"/>
      <w:r w:rsidRPr="00E43F45">
        <w:rPr>
          <w:rFonts w:ascii="Arial" w:hAnsi="Arial" w:cs="Arial"/>
        </w:rPr>
        <w:t>polyhalite</w:t>
      </w:r>
      <w:proofErr w:type="spellEnd"/>
      <w:r w:rsidRPr="00E43F45">
        <w:rPr>
          <w:rFonts w:ascii="Arial" w:hAnsi="Arial" w:cs="Arial"/>
        </w:rPr>
        <w:t xml:space="preserve"> (potassium, calcium, magnesium, </w:t>
      </w:r>
      <w:proofErr w:type="spellStart"/>
      <w:r w:rsidRPr="00E43F45">
        <w:rPr>
          <w:rFonts w:ascii="Arial" w:hAnsi="Arial" w:cs="Arial"/>
        </w:rPr>
        <w:t>sulphur</w:t>
      </w:r>
      <w:proofErr w:type="spellEnd"/>
      <w:r w:rsidRPr="00E43F45">
        <w:rPr>
          <w:rFonts w:ascii="Arial" w:hAnsi="Arial" w:cs="Arial"/>
        </w:rPr>
        <w:t xml:space="preserve">, oxygen, hydrogen), 0.01% fluoride, 0.01% iodine and small amounts of numerous trace minerals. Crystallized rock salt contains 84 of the 92 trace elements (Sarker, 2016). </w:t>
      </w:r>
    </w:p>
    <w:p w14:paraId="2FE1671B" w14:textId="331B3F3C" w:rsidR="00AF5ABC" w:rsidRDefault="00E43F45" w:rsidP="00AF5ABC">
      <w:pPr>
        <w:pStyle w:val="Body"/>
        <w:rPr>
          <w:rFonts w:ascii="Arial" w:hAnsi="Arial" w:cs="Arial"/>
        </w:rPr>
      </w:pPr>
      <w:r w:rsidRPr="00E43F45">
        <w:rPr>
          <w:rFonts w:ascii="Arial" w:hAnsi="Arial" w:cs="Arial"/>
        </w:rPr>
        <w:t>Black cumin (</w:t>
      </w:r>
      <w:r w:rsidRPr="007B587C">
        <w:rPr>
          <w:rFonts w:ascii="Arial" w:hAnsi="Arial" w:cs="Arial"/>
          <w:i/>
          <w:iCs/>
        </w:rPr>
        <w:t>Nigella sativa</w:t>
      </w:r>
      <w:r w:rsidRPr="00E43F45">
        <w:rPr>
          <w:rFonts w:ascii="Arial" w:hAnsi="Arial" w:cs="Arial"/>
        </w:rPr>
        <w:t>) belonging to the Ranunculaceae family recognized for its active components which are mainly concentrated in the essential oil of the seeds (Tanwar and Goyal, 2021). It is an aromatic and medicinal plant with a rich historical and religious background, being used for decades for both culinary and medicinal purposes. Essential oils, which are secondary metabolite products of aromatic plants, are strong odorous and contains the major bioactive compounds thymoquinone, hydro-thymoquinone, thymol, carvacrol and p-cymene (</w:t>
      </w:r>
      <w:proofErr w:type="spellStart"/>
      <w:r w:rsidRPr="00E43F45">
        <w:rPr>
          <w:rFonts w:ascii="Arial" w:hAnsi="Arial" w:cs="Arial"/>
        </w:rPr>
        <w:t>Voșgan</w:t>
      </w:r>
      <w:proofErr w:type="spellEnd"/>
      <w:r w:rsidRPr="00E43F45">
        <w:rPr>
          <w:rFonts w:ascii="Arial" w:hAnsi="Arial" w:cs="Arial"/>
        </w:rPr>
        <w:t xml:space="preserve"> et al., 2024). The seeds of black cumin have been utilized like a natural medicine for various illnesses, such as antioxidant, diabetes, inflammation, gastrointestinal problems, hypercholesterolemia, </w:t>
      </w:r>
      <w:proofErr w:type="spellStart"/>
      <w:r w:rsidRPr="00E43F45">
        <w:rPr>
          <w:rFonts w:ascii="Arial" w:hAnsi="Arial" w:cs="Arial"/>
        </w:rPr>
        <w:t>tumour</w:t>
      </w:r>
      <w:proofErr w:type="spellEnd"/>
      <w:r w:rsidRPr="00E43F45">
        <w:rPr>
          <w:rFonts w:ascii="Arial" w:hAnsi="Arial" w:cs="Arial"/>
        </w:rPr>
        <w:t>, and hypertension (Safi et al., 2021).</w:t>
      </w:r>
    </w:p>
    <w:p w14:paraId="6DBEF0A8" w14:textId="7A7E0351" w:rsidR="00AF5ABC" w:rsidRDefault="00AF5ABC" w:rsidP="00AF5ABC">
      <w:pPr>
        <w:pStyle w:val="Body"/>
        <w:spacing w:after="0"/>
        <w:rPr>
          <w:rFonts w:ascii="Arial" w:hAnsi="Arial" w:cs="Arial"/>
        </w:rPr>
      </w:pPr>
      <w:r w:rsidRPr="001D5163">
        <w:rPr>
          <w:rFonts w:ascii="Arial" w:hAnsi="Arial" w:cs="Arial"/>
          <w:lang w:val="en-IN"/>
        </w:rPr>
        <w:t>Th</w:t>
      </w:r>
      <w:r w:rsidR="001D5163" w:rsidRPr="001D5163">
        <w:rPr>
          <w:rFonts w:ascii="Arial" w:hAnsi="Arial" w:cs="Arial"/>
          <w:lang w:val="en-IN"/>
        </w:rPr>
        <w:t xml:space="preserve">is </w:t>
      </w:r>
      <w:r w:rsidR="001D5163" w:rsidRPr="001D5163">
        <w:rPr>
          <w:rFonts w:ascii="Arial" w:hAnsi="Arial" w:cs="Arial"/>
        </w:rPr>
        <w:t>study aimed to</w:t>
      </w:r>
      <w:r w:rsidRPr="001D5163">
        <w:rPr>
          <w:rFonts w:ascii="Arial" w:hAnsi="Arial" w:cs="Arial"/>
          <w:lang w:val="en-IN"/>
        </w:rPr>
        <w:t xml:space="preserve"> </w:t>
      </w:r>
      <w:r w:rsidRPr="00AF5ABC">
        <w:rPr>
          <w:rFonts w:ascii="Arial" w:hAnsi="Arial" w:cs="Arial"/>
          <w:lang w:val="en-IN"/>
        </w:rPr>
        <w:t xml:space="preserve">design and evaluate a nutritious functional buttermilk by incorporating foxtail millet, rock salt, and black cumin seed powder at varying levels, and to determine the optimal combination of these ingredients that enhances the sensory attributes—such as </w:t>
      </w:r>
      <w:proofErr w:type="spellStart"/>
      <w:r w:rsidRPr="00AF5ABC">
        <w:rPr>
          <w:rFonts w:ascii="Arial" w:hAnsi="Arial" w:cs="Arial"/>
          <w:lang w:val="en-IN"/>
        </w:rPr>
        <w:t>color</w:t>
      </w:r>
      <w:proofErr w:type="spellEnd"/>
      <w:r w:rsidRPr="00AF5ABC">
        <w:rPr>
          <w:rFonts w:ascii="Arial" w:hAnsi="Arial" w:cs="Arial"/>
          <w:lang w:val="en-IN"/>
        </w:rPr>
        <w:t xml:space="preserve"> and appearance, body and texture, </w:t>
      </w:r>
      <w:proofErr w:type="spellStart"/>
      <w:r w:rsidRPr="00AF5ABC">
        <w:rPr>
          <w:rFonts w:ascii="Arial" w:hAnsi="Arial" w:cs="Arial"/>
          <w:lang w:val="en-IN"/>
        </w:rPr>
        <w:t>flavor</w:t>
      </w:r>
      <w:proofErr w:type="spellEnd"/>
      <w:r w:rsidRPr="00AF5ABC">
        <w:rPr>
          <w:rFonts w:ascii="Arial" w:hAnsi="Arial" w:cs="Arial"/>
          <w:lang w:val="en-IN"/>
        </w:rPr>
        <w:t>, and overall acceptability—of the product.</w:t>
      </w:r>
      <w:r w:rsidRPr="001D5163">
        <w:rPr>
          <w:rFonts w:ascii="Arial" w:hAnsi="Arial" w:cs="Arial"/>
          <w:lang w:val="en-IN"/>
        </w:rPr>
        <w:t xml:space="preserve"> </w:t>
      </w:r>
      <w:r w:rsidRPr="00AF5ABC">
        <w:rPr>
          <w:rFonts w:ascii="Arial" w:hAnsi="Arial" w:cs="Arial"/>
          <w:lang w:val="en-IN"/>
        </w:rPr>
        <w:t xml:space="preserve">Since milk </w:t>
      </w:r>
      <w:r w:rsidRPr="00AF5ABC">
        <w:rPr>
          <w:rFonts w:ascii="Arial" w:hAnsi="Arial" w:cs="Arial"/>
          <w:lang w:val="en-IN"/>
        </w:rPr>
        <w:lastRenderedPageBreak/>
        <w:t xml:space="preserve">is naturally low in dietary </w:t>
      </w:r>
      <w:proofErr w:type="spellStart"/>
      <w:r w:rsidRPr="00AF5ABC">
        <w:rPr>
          <w:rFonts w:ascii="Arial" w:hAnsi="Arial" w:cs="Arial"/>
          <w:lang w:val="en-IN"/>
        </w:rPr>
        <w:t>fiber</w:t>
      </w:r>
      <w:proofErr w:type="spellEnd"/>
      <w:r w:rsidRPr="00AF5ABC">
        <w:rPr>
          <w:rFonts w:ascii="Arial" w:hAnsi="Arial" w:cs="Arial"/>
          <w:lang w:val="en-IN"/>
        </w:rPr>
        <w:t xml:space="preserve">, the </w:t>
      </w:r>
      <w:r w:rsidRPr="001D5163">
        <w:rPr>
          <w:rFonts w:ascii="Arial" w:hAnsi="Arial" w:cs="Arial"/>
          <w:lang w:val="en-IN"/>
        </w:rPr>
        <w:t>incorporation</w:t>
      </w:r>
      <w:r w:rsidRPr="00AF5ABC">
        <w:rPr>
          <w:rFonts w:ascii="Arial" w:hAnsi="Arial" w:cs="Arial"/>
          <w:lang w:val="en-IN"/>
        </w:rPr>
        <w:t xml:space="preserve"> of foxtail millet and black cumin was intended to improve the </w:t>
      </w:r>
      <w:proofErr w:type="spellStart"/>
      <w:r w:rsidRPr="00AF5ABC">
        <w:rPr>
          <w:rFonts w:ascii="Arial" w:hAnsi="Arial" w:cs="Arial"/>
          <w:lang w:val="en-IN"/>
        </w:rPr>
        <w:t>fiber</w:t>
      </w:r>
      <w:proofErr w:type="spellEnd"/>
      <w:r w:rsidRPr="00AF5ABC">
        <w:rPr>
          <w:rFonts w:ascii="Arial" w:hAnsi="Arial" w:cs="Arial"/>
          <w:lang w:val="en-IN"/>
        </w:rPr>
        <w:t xml:space="preserve"> content and nutritional balance of the buttermilk, thereby making it a more complete and health-promoting functional food.</w:t>
      </w:r>
    </w:p>
    <w:p w14:paraId="578BE173" w14:textId="77777777" w:rsidR="00AF5ABC" w:rsidRPr="00AF5ABC" w:rsidRDefault="00AF5ABC" w:rsidP="00E43F45">
      <w:pPr>
        <w:pStyle w:val="Body"/>
        <w:spacing w:after="0"/>
        <w:rPr>
          <w:rFonts w:ascii="Arial" w:hAnsi="Arial" w:cs="Arial"/>
          <w:b/>
          <w:bCs/>
        </w:rPr>
      </w:pPr>
    </w:p>
    <w:p w14:paraId="33A42DB8" w14:textId="603465B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C7AC5E8" w14:textId="77777777" w:rsidR="00790ADA" w:rsidRPr="00FB3A86" w:rsidRDefault="00790ADA" w:rsidP="00441B6F">
      <w:pPr>
        <w:pStyle w:val="AbstHead"/>
        <w:spacing w:after="0"/>
        <w:jc w:val="both"/>
        <w:rPr>
          <w:rFonts w:ascii="Arial" w:hAnsi="Arial" w:cs="Arial"/>
        </w:rPr>
      </w:pPr>
    </w:p>
    <w:p w14:paraId="60F68503"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2.1 Materials</w:t>
      </w:r>
    </w:p>
    <w:p w14:paraId="6C59A2B9" w14:textId="77777777" w:rsidR="000B65CE" w:rsidRPr="000B65CE" w:rsidRDefault="000B65CE" w:rsidP="000B65CE">
      <w:pPr>
        <w:pStyle w:val="Body"/>
        <w:rPr>
          <w:rFonts w:ascii="Arial" w:hAnsi="Arial" w:cs="Arial"/>
        </w:rPr>
      </w:pPr>
      <w:r w:rsidRPr="000B65CE">
        <w:rPr>
          <w:rFonts w:ascii="Arial" w:hAnsi="Arial" w:cs="Arial"/>
        </w:rPr>
        <w:t>Fresh cow milk was procured from the Students Experimental Dairy Plant (SEDP) of Dairy Science College, Hebbal, Bengaluru. The standard lactic culture (</w:t>
      </w:r>
      <w:proofErr w:type="spellStart"/>
      <w:r w:rsidRPr="007B587C">
        <w:rPr>
          <w:rFonts w:ascii="Arial" w:hAnsi="Arial" w:cs="Arial"/>
          <w:i/>
          <w:iCs/>
        </w:rPr>
        <w:t>Lactococci</w:t>
      </w:r>
      <w:proofErr w:type="spellEnd"/>
      <w:r w:rsidRPr="000B65CE">
        <w:rPr>
          <w:rFonts w:ascii="Arial" w:hAnsi="Arial" w:cs="Arial"/>
        </w:rPr>
        <w:t xml:space="preserve">) was obtained from the Department of Dairy Microbiology, Dairy Science College, KVAFSU, Hebbal, Bengaluru. Foxtail millet was procured from MILLE, manufactured by Functional &amp; Innovative Foods Pvt. Ltd., </w:t>
      </w:r>
      <w:proofErr w:type="spellStart"/>
      <w:r w:rsidRPr="000B65CE">
        <w:rPr>
          <w:rFonts w:ascii="Arial" w:hAnsi="Arial" w:cs="Arial"/>
        </w:rPr>
        <w:t>Andipalayam</w:t>
      </w:r>
      <w:proofErr w:type="spellEnd"/>
      <w:r w:rsidRPr="000B65CE">
        <w:rPr>
          <w:rFonts w:ascii="Arial" w:hAnsi="Arial" w:cs="Arial"/>
        </w:rPr>
        <w:t xml:space="preserve"> Village, Namakkal, Tamil Nadu. Rock salt was procured from NATURAL TATTVA, manufactured by Mehrotra Consumer Products Pvt. Ltd., Gautam Buddha Nagar, Uttar Pradesh. Black cumin seeds were obtained from NATURE YARD, manufactured and marketed by AVMK Enterprises, New Govind Pura, Krishna Nagar, Delhi.</w:t>
      </w:r>
    </w:p>
    <w:p w14:paraId="45C47CDB"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2.2 Methods</w:t>
      </w:r>
    </w:p>
    <w:p w14:paraId="1DF6BBE5" w14:textId="20141392" w:rsidR="000B65CE" w:rsidRDefault="000B65CE" w:rsidP="000B65CE">
      <w:pPr>
        <w:pStyle w:val="Body"/>
        <w:rPr>
          <w:rFonts w:ascii="Arial" w:hAnsi="Arial" w:cs="Arial"/>
        </w:rPr>
      </w:pPr>
      <w:r w:rsidRPr="000B65CE">
        <w:rPr>
          <w:rFonts w:ascii="Arial" w:hAnsi="Arial" w:cs="Arial"/>
        </w:rPr>
        <w:t xml:space="preserve">The buttermilk is prepared as described by Gandhi et al. 2018 with slight modification. Cow milk (Fat 3.5%, SNF 8.5%) first subjected to heat treatment at 90 °C for 5 min and subsequently cooled to 42 °C. This was followed by inoculation with 2% of active starter culture and incubation at 37 °C for 4 – 5 h for setting of </w:t>
      </w:r>
      <w:r w:rsidR="007B587C">
        <w:rPr>
          <w:rFonts w:ascii="Arial" w:hAnsi="Arial" w:cs="Arial"/>
        </w:rPr>
        <w:t>Curd</w:t>
      </w:r>
      <w:r w:rsidRPr="000B65CE">
        <w:rPr>
          <w:rFonts w:ascii="Arial" w:hAnsi="Arial" w:cs="Arial"/>
        </w:rPr>
        <w:t xml:space="preserve">. Then breaking the </w:t>
      </w:r>
      <w:r w:rsidR="007B587C">
        <w:rPr>
          <w:rFonts w:ascii="Arial" w:hAnsi="Arial" w:cs="Arial"/>
        </w:rPr>
        <w:t>Curd</w:t>
      </w:r>
      <w:r w:rsidRPr="000B65CE">
        <w:rPr>
          <w:rFonts w:ascii="Arial" w:hAnsi="Arial" w:cs="Arial"/>
        </w:rPr>
        <w:t xml:space="preserve"> with agitators and addition of water in the ratio 1:1.5. Therefore, Buttermilk is packed in pouches and stored at refrigerated condition.</w:t>
      </w:r>
    </w:p>
    <w:p w14:paraId="5527D7BE" w14:textId="6EC830AE" w:rsidR="00D528AE" w:rsidRPr="000B65CE" w:rsidRDefault="00D528AE" w:rsidP="00AB7A57">
      <w:pPr>
        <w:pStyle w:val="Body"/>
        <w:rPr>
          <w:rFonts w:ascii="Arial" w:hAnsi="Arial" w:cs="Arial"/>
        </w:rPr>
      </w:pPr>
      <w:r w:rsidRPr="00D528AE">
        <w:rPr>
          <w:rFonts w:ascii="Arial" w:hAnsi="Arial" w:cs="Arial"/>
        </w:rPr>
        <w:t xml:space="preserve">The study was </w:t>
      </w:r>
      <w:r w:rsidR="00AB7A57">
        <w:rPr>
          <w:rFonts w:ascii="Arial" w:hAnsi="Arial" w:cs="Arial"/>
        </w:rPr>
        <w:t>designed to</w:t>
      </w:r>
      <w:r w:rsidRPr="00D528AE">
        <w:rPr>
          <w:rFonts w:ascii="Arial" w:hAnsi="Arial" w:cs="Arial"/>
        </w:rPr>
        <w:t xml:space="preserve"> develo</w:t>
      </w:r>
      <w:r w:rsidR="00AB7A57">
        <w:rPr>
          <w:rFonts w:ascii="Arial" w:hAnsi="Arial" w:cs="Arial"/>
        </w:rPr>
        <w:t>p</w:t>
      </w:r>
      <w:r w:rsidRPr="00D528AE">
        <w:rPr>
          <w:rFonts w:ascii="Arial" w:hAnsi="Arial" w:cs="Arial"/>
        </w:rPr>
        <w:t xml:space="preserve"> a functional buttermilk enriched with foxtail millet, rock salt, and black cumin seed powder. The experiment involved incorporating these functional ingredients at varying concentrations to determine their combined effect on the sensory attributes of buttermilk. Initially, foxtail millet was added at levels of 5%, 7.5%, and 10% to identify the most acceptable concentration based on sensory evaluation. The optimized level of foxtail millet was then used for further trials, where rock salt was added at 0.5%, 1.0%, and 1.5%, followed by the incorporation of black cumin seed powder at 1.0%, 1.5%, and 2.0% to develop the final product. </w:t>
      </w:r>
      <w:r w:rsidR="00AB7A57">
        <w:rPr>
          <w:rFonts w:ascii="Arial" w:hAnsi="Arial" w:cs="Arial"/>
        </w:rPr>
        <w:t xml:space="preserve">And all the ingredients used in this experiment are food grade and </w:t>
      </w:r>
      <w:r w:rsidR="00AB7A57" w:rsidRPr="00AB7A57">
        <w:rPr>
          <w:rFonts w:ascii="Arial" w:hAnsi="Arial" w:cs="Arial"/>
        </w:rPr>
        <w:t>Generally Recognized as Safe</w:t>
      </w:r>
      <w:r w:rsidR="00AB7A57">
        <w:rPr>
          <w:rFonts w:ascii="Arial" w:hAnsi="Arial" w:cs="Arial"/>
        </w:rPr>
        <w:t xml:space="preserve">. </w:t>
      </w:r>
      <w:r w:rsidRPr="00D528AE">
        <w:rPr>
          <w:rFonts w:ascii="Arial" w:hAnsi="Arial" w:cs="Arial"/>
        </w:rPr>
        <w:t>The sensory properties of each formulation were evaluated by trained panelists using a 9-point hedonic scale, and statistical analysis was conducted using ANOVA and Critical Difference (CD) tests to identify significant variations among treatments. The study was carried out at the Department of Dairy Technology, Dairy Science College, Bengaluru, Karnataka, from December 2024 to September 2025.</w:t>
      </w:r>
    </w:p>
    <w:p w14:paraId="1D930DF8" w14:textId="77777777" w:rsidR="000B65CE" w:rsidRPr="000B65CE" w:rsidRDefault="000B65CE" w:rsidP="000B65CE">
      <w:pPr>
        <w:pStyle w:val="Body"/>
        <w:rPr>
          <w:rFonts w:ascii="Arial" w:hAnsi="Arial" w:cs="Arial"/>
          <w:b/>
          <w:bCs/>
          <w:u w:val="single"/>
        </w:rPr>
      </w:pPr>
      <w:r w:rsidRPr="000B65CE">
        <w:rPr>
          <w:rFonts w:ascii="Arial" w:hAnsi="Arial" w:cs="Arial"/>
          <w:b/>
          <w:bCs/>
          <w:u w:val="single"/>
        </w:rPr>
        <w:t>2.2.1 Optimization of foxtail millet for development of buttermilk</w:t>
      </w:r>
    </w:p>
    <w:p w14:paraId="2D8BAB67" w14:textId="68106697" w:rsidR="000B65CE" w:rsidRPr="000B65CE" w:rsidRDefault="000B65CE" w:rsidP="000B65CE">
      <w:pPr>
        <w:pStyle w:val="Body"/>
        <w:rPr>
          <w:rFonts w:ascii="Arial" w:hAnsi="Arial" w:cs="Arial"/>
        </w:rPr>
      </w:pPr>
      <w:r w:rsidRPr="000B65CE">
        <w:rPr>
          <w:rFonts w:ascii="Arial" w:hAnsi="Arial" w:cs="Arial"/>
        </w:rPr>
        <w:t xml:space="preserve">To enhance the </w:t>
      </w:r>
      <w:r w:rsidR="003B5D8E" w:rsidRPr="000B65CE">
        <w:rPr>
          <w:rFonts w:ascii="Arial" w:hAnsi="Arial" w:cs="Arial"/>
        </w:rPr>
        <w:t>Flavor</w:t>
      </w:r>
      <w:r w:rsidRPr="000B65CE">
        <w:rPr>
          <w:rFonts w:ascii="Arial" w:hAnsi="Arial" w:cs="Arial"/>
        </w:rPr>
        <w:t>, taste of buttermilk, added with 5, 7.5 and 10% of Foxtail millet flour to the milk and heat treated with milk at 90 °C for 5 min and subsequently cooled to 37 °C</w:t>
      </w:r>
      <w:r w:rsidR="00300C71">
        <w:rPr>
          <w:rFonts w:ascii="Arial" w:hAnsi="Arial" w:cs="Arial"/>
        </w:rPr>
        <w:t>.</w:t>
      </w:r>
      <w:r w:rsidR="00300C71" w:rsidRPr="00300C71">
        <w:rPr>
          <w:rFonts w:ascii="Arial" w:hAnsi="Arial" w:cs="Arial"/>
        </w:rPr>
        <w:t xml:space="preserve"> </w:t>
      </w:r>
      <w:r w:rsidR="00300C71" w:rsidRPr="000B65CE">
        <w:rPr>
          <w:rFonts w:ascii="Arial" w:hAnsi="Arial" w:cs="Arial"/>
        </w:rPr>
        <w:t>followed by inoculation with 2% of</w:t>
      </w:r>
      <w:r w:rsidR="00300C71">
        <w:rPr>
          <w:rFonts w:ascii="Arial" w:hAnsi="Arial" w:cs="Arial"/>
        </w:rPr>
        <w:t xml:space="preserve"> </w:t>
      </w:r>
      <w:proofErr w:type="spellStart"/>
      <w:r w:rsidR="00300C71" w:rsidRPr="00300C71">
        <w:rPr>
          <w:rFonts w:ascii="Arial" w:hAnsi="Arial" w:cs="Arial"/>
          <w:i/>
          <w:iCs/>
        </w:rPr>
        <w:t>Lactococci</w:t>
      </w:r>
      <w:proofErr w:type="spellEnd"/>
      <w:r w:rsidR="00300C71">
        <w:rPr>
          <w:rFonts w:ascii="Arial" w:hAnsi="Arial" w:cs="Arial"/>
        </w:rPr>
        <w:t xml:space="preserve"> </w:t>
      </w:r>
      <w:r w:rsidR="00300C71" w:rsidRPr="000B65CE">
        <w:rPr>
          <w:rFonts w:ascii="Arial" w:hAnsi="Arial" w:cs="Arial"/>
        </w:rPr>
        <w:t>active starter culture and incubation at 37 °C</w:t>
      </w:r>
      <w:r w:rsidR="00300C71">
        <w:rPr>
          <w:rFonts w:ascii="Arial" w:hAnsi="Arial" w:cs="Arial"/>
        </w:rPr>
        <w:t>/6</w:t>
      </w:r>
      <w:r w:rsidR="00300C71" w:rsidRPr="000B65CE">
        <w:rPr>
          <w:rFonts w:ascii="Arial" w:hAnsi="Arial" w:cs="Arial"/>
        </w:rPr>
        <w:t xml:space="preserve">h for setting of </w:t>
      </w:r>
      <w:r w:rsidR="00300C71">
        <w:rPr>
          <w:rFonts w:ascii="Arial" w:hAnsi="Arial" w:cs="Arial"/>
        </w:rPr>
        <w:t>Curd</w:t>
      </w:r>
      <w:r w:rsidRPr="000B65CE">
        <w:rPr>
          <w:rFonts w:ascii="Arial" w:hAnsi="Arial" w:cs="Arial"/>
        </w:rPr>
        <w:t xml:space="preserve">. The foxtail millet enriched </w:t>
      </w:r>
      <w:r w:rsidR="007B587C">
        <w:rPr>
          <w:rFonts w:ascii="Arial" w:hAnsi="Arial" w:cs="Arial"/>
        </w:rPr>
        <w:t>curd</w:t>
      </w:r>
      <w:r w:rsidRPr="000B65CE">
        <w:rPr>
          <w:rFonts w:ascii="Arial" w:hAnsi="Arial" w:cs="Arial"/>
        </w:rPr>
        <w:t xml:space="preserve"> is breaking with agitators and addition of water in the ratio 1:1.5. Therefore, the foxtail millet is optimized based on sensory evaluation evaluated by the </w:t>
      </w:r>
      <w:r w:rsidR="003B5D8E" w:rsidRPr="000B65CE">
        <w:rPr>
          <w:rFonts w:ascii="Arial" w:hAnsi="Arial" w:cs="Arial"/>
        </w:rPr>
        <w:t>panelists</w:t>
      </w:r>
      <w:r w:rsidRPr="000B65CE">
        <w:rPr>
          <w:rFonts w:ascii="Arial" w:hAnsi="Arial" w:cs="Arial"/>
        </w:rPr>
        <w:t>.</w:t>
      </w:r>
    </w:p>
    <w:p w14:paraId="623B4CC2" w14:textId="77777777" w:rsidR="000B65CE" w:rsidRPr="000B65CE" w:rsidRDefault="000B65CE" w:rsidP="000B65CE">
      <w:pPr>
        <w:pStyle w:val="Body"/>
        <w:rPr>
          <w:rFonts w:ascii="Arial" w:hAnsi="Arial" w:cs="Arial"/>
          <w:b/>
          <w:bCs/>
          <w:u w:val="single"/>
        </w:rPr>
      </w:pPr>
      <w:r w:rsidRPr="000B65CE">
        <w:rPr>
          <w:rFonts w:ascii="Arial" w:hAnsi="Arial" w:cs="Arial"/>
          <w:b/>
          <w:bCs/>
          <w:u w:val="single"/>
        </w:rPr>
        <w:t>2.2.2 Optimization of functional ingredients for development of functional buttermilk</w:t>
      </w:r>
    </w:p>
    <w:p w14:paraId="17FC8D1D" w14:textId="27A1285B" w:rsidR="000B65CE" w:rsidRPr="000B65CE" w:rsidRDefault="000B65CE" w:rsidP="003B5D8E">
      <w:pPr>
        <w:pStyle w:val="Body"/>
        <w:rPr>
          <w:rFonts w:ascii="Arial" w:hAnsi="Arial" w:cs="Arial"/>
        </w:rPr>
      </w:pPr>
      <w:r w:rsidRPr="000B65CE">
        <w:rPr>
          <w:rFonts w:ascii="Arial" w:hAnsi="Arial" w:cs="Arial"/>
        </w:rPr>
        <w:t xml:space="preserve">To enhance the </w:t>
      </w:r>
      <w:r w:rsidR="003B5D8E" w:rsidRPr="000B65CE">
        <w:rPr>
          <w:rFonts w:ascii="Arial" w:hAnsi="Arial" w:cs="Arial"/>
        </w:rPr>
        <w:t>Flavor</w:t>
      </w:r>
      <w:r w:rsidRPr="000B65CE">
        <w:rPr>
          <w:rFonts w:ascii="Arial" w:hAnsi="Arial" w:cs="Arial"/>
        </w:rPr>
        <w:t xml:space="preserve"> and functionality of </w:t>
      </w:r>
      <w:r w:rsidR="00300C71">
        <w:rPr>
          <w:rFonts w:ascii="Arial" w:hAnsi="Arial" w:cs="Arial"/>
        </w:rPr>
        <w:t xml:space="preserve">optimized </w:t>
      </w:r>
      <w:r w:rsidR="003B5D8E">
        <w:rPr>
          <w:rFonts w:ascii="Arial" w:hAnsi="Arial" w:cs="Arial"/>
        </w:rPr>
        <w:t>f</w:t>
      </w:r>
      <w:r w:rsidR="003B5D8E" w:rsidRPr="003B5D8E">
        <w:rPr>
          <w:rFonts w:ascii="Arial" w:hAnsi="Arial" w:cs="Arial"/>
        </w:rPr>
        <w:t>oxtail millet flour blended buttermilk</w:t>
      </w:r>
      <w:r w:rsidR="003B5D8E">
        <w:rPr>
          <w:rFonts w:ascii="Arial" w:hAnsi="Arial" w:cs="Arial"/>
        </w:rPr>
        <w:t xml:space="preserve"> incorporated with</w:t>
      </w:r>
      <w:r w:rsidRPr="000B65CE">
        <w:rPr>
          <w:rFonts w:ascii="Arial" w:hAnsi="Arial" w:cs="Arial"/>
        </w:rPr>
        <w:t xml:space="preserve"> rock salt at 0.5, 1.0 and 1.5% for the preparation of functional buttermilk. </w:t>
      </w:r>
      <w:r w:rsidRPr="000B65CE">
        <w:rPr>
          <w:rFonts w:ascii="Arial" w:hAnsi="Arial" w:cs="Arial"/>
        </w:rPr>
        <w:lastRenderedPageBreak/>
        <w:t>Rock salt optimiz</w:t>
      </w:r>
      <w:r w:rsidR="003B5D8E">
        <w:rPr>
          <w:rFonts w:ascii="Arial" w:hAnsi="Arial" w:cs="Arial"/>
        </w:rPr>
        <w:t>ation</w:t>
      </w:r>
      <w:r w:rsidRPr="000B65CE">
        <w:rPr>
          <w:rFonts w:ascii="Arial" w:hAnsi="Arial" w:cs="Arial"/>
        </w:rPr>
        <w:t xml:space="preserve"> based on the sensory evaluation evaluated by the judges.</w:t>
      </w:r>
      <w:r w:rsidR="003B5D8E">
        <w:rPr>
          <w:rFonts w:ascii="Arial" w:hAnsi="Arial" w:cs="Arial"/>
        </w:rPr>
        <w:t xml:space="preserve"> </w:t>
      </w:r>
      <w:r w:rsidR="00300C71" w:rsidRPr="00300C71">
        <w:rPr>
          <w:rFonts w:ascii="Arial" w:hAnsi="Arial" w:cs="Arial"/>
        </w:rPr>
        <w:t xml:space="preserve">The best judged </w:t>
      </w:r>
      <w:r w:rsidR="003B5D8E">
        <w:rPr>
          <w:rFonts w:ascii="Arial" w:hAnsi="Arial" w:cs="Arial"/>
        </w:rPr>
        <w:t>f</w:t>
      </w:r>
      <w:r w:rsidR="00300C71" w:rsidRPr="00300C71">
        <w:rPr>
          <w:rFonts w:ascii="Arial" w:hAnsi="Arial" w:cs="Arial"/>
        </w:rPr>
        <w:t xml:space="preserve">unctional buttermilk prepared from </w:t>
      </w:r>
      <w:r w:rsidR="003B5D8E" w:rsidRPr="00300C71">
        <w:rPr>
          <w:rFonts w:ascii="Arial" w:hAnsi="Arial" w:cs="Arial"/>
        </w:rPr>
        <w:t>optimized</w:t>
      </w:r>
      <w:r w:rsidR="00300C71" w:rsidRPr="00300C71">
        <w:rPr>
          <w:rFonts w:ascii="Arial" w:hAnsi="Arial" w:cs="Arial"/>
        </w:rPr>
        <w:t xml:space="preserve"> level of </w:t>
      </w:r>
      <w:r w:rsidR="003B5D8E">
        <w:rPr>
          <w:rFonts w:ascii="Arial" w:hAnsi="Arial" w:cs="Arial"/>
        </w:rPr>
        <w:t>f</w:t>
      </w:r>
      <w:r w:rsidR="00300C71" w:rsidRPr="00300C71">
        <w:rPr>
          <w:rFonts w:ascii="Arial" w:hAnsi="Arial" w:cs="Arial"/>
        </w:rPr>
        <w:t xml:space="preserve">oxtail millet and rock salt will be incorporated with </w:t>
      </w:r>
      <w:r w:rsidR="003B5D8E">
        <w:rPr>
          <w:rFonts w:ascii="Arial" w:hAnsi="Arial" w:cs="Arial"/>
        </w:rPr>
        <w:t>b</w:t>
      </w:r>
      <w:r w:rsidR="00300C71" w:rsidRPr="00300C71">
        <w:rPr>
          <w:rFonts w:ascii="Arial" w:hAnsi="Arial" w:cs="Arial"/>
        </w:rPr>
        <w:t xml:space="preserve">lack </w:t>
      </w:r>
      <w:r w:rsidR="003B5D8E">
        <w:rPr>
          <w:rFonts w:ascii="Arial" w:hAnsi="Arial" w:cs="Arial"/>
        </w:rPr>
        <w:t>c</w:t>
      </w:r>
      <w:r w:rsidR="00300C71" w:rsidRPr="00300C71">
        <w:rPr>
          <w:rFonts w:ascii="Arial" w:hAnsi="Arial" w:cs="Arial"/>
        </w:rPr>
        <w:t xml:space="preserve">umin </w:t>
      </w:r>
      <w:r w:rsidR="003B5D8E">
        <w:rPr>
          <w:rFonts w:ascii="Arial" w:hAnsi="Arial" w:cs="Arial"/>
        </w:rPr>
        <w:t>s</w:t>
      </w:r>
      <w:r w:rsidR="00300C71" w:rsidRPr="00300C71">
        <w:rPr>
          <w:rFonts w:ascii="Arial" w:hAnsi="Arial" w:cs="Arial"/>
        </w:rPr>
        <w:t xml:space="preserve">eeds </w:t>
      </w:r>
      <w:r w:rsidR="003B5D8E">
        <w:rPr>
          <w:rFonts w:ascii="Arial" w:hAnsi="Arial" w:cs="Arial"/>
        </w:rPr>
        <w:t>p</w:t>
      </w:r>
      <w:r w:rsidR="00300C71" w:rsidRPr="00300C71">
        <w:rPr>
          <w:rFonts w:ascii="Arial" w:hAnsi="Arial" w:cs="Arial"/>
        </w:rPr>
        <w:t xml:space="preserve">owder at different levels </w:t>
      </w:r>
      <w:r w:rsidR="003B5D8E">
        <w:rPr>
          <w:rFonts w:ascii="Arial" w:hAnsi="Arial" w:cs="Arial"/>
        </w:rPr>
        <w:t>1.0, 1.5 and 2.0%</w:t>
      </w:r>
      <w:r w:rsidR="00300C71" w:rsidRPr="00300C71">
        <w:rPr>
          <w:rFonts w:ascii="Arial" w:hAnsi="Arial" w:cs="Arial"/>
        </w:rPr>
        <w:t>.</w:t>
      </w:r>
      <w:r w:rsidR="003B5D8E">
        <w:rPr>
          <w:rFonts w:ascii="Arial" w:hAnsi="Arial" w:cs="Arial"/>
        </w:rPr>
        <w:t xml:space="preserve"> </w:t>
      </w:r>
      <w:r w:rsidR="003B5D8E" w:rsidRPr="000B65CE">
        <w:rPr>
          <w:rFonts w:ascii="Arial" w:hAnsi="Arial" w:cs="Arial"/>
        </w:rPr>
        <w:t>Therefore, the optimiz</w:t>
      </w:r>
      <w:r w:rsidR="003B5D8E">
        <w:rPr>
          <w:rFonts w:ascii="Arial" w:hAnsi="Arial" w:cs="Arial"/>
        </w:rPr>
        <w:t>ation</w:t>
      </w:r>
      <w:r w:rsidR="003B5D8E" w:rsidRPr="000B65CE">
        <w:rPr>
          <w:rFonts w:ascii="Arial" w:hAnsi="Arial" w:cs="Arial"/>
        </w:rPr>
        <w:t xml:space="preserve"> based on sensory </w:t>
      </w:r>
      <w:r w:rsidR="003B5D8E" w:rsidRPr="000B65CE">
        <w:rPr>
          <w:rFonts w:ascii="Arial" w:hAnsi="Arial" w:cs="Arial"/>
        </w:rPr>
        <w:t>evaluation</w:t>
      </w:r>
      <w:r w:rsidR="003B5D8E">
        <w:rPr>
          <w:rFonts w:ascii="Arial" w:hAnsi="Arial" w:cs="Arial"/>
        </w:rPr>
        <w:t xml:space="preserve"> (9-point hedonic scale)</w:t>
      </w:r>
      <w:r w:rsidR="003B5D8E" w:rsidRPr="000B65CE">
        <w:rPr>
          <w:rFonts w:ascii="Arial" w:hAnsi="Arial" w:cs="Arial"/>
        </w:rPr>
        <w:t xml:space="preserve"> evaluated by the </w:t>
      </w:r>
      <w:r w:rsidR="003B5D8E" w:rsidRPr="000B65CE">
        <w:rPr>
          <w:rFonts w:ascii="Arial" w:hAnsi="Arial" w:cs="Arial"/>
        </w:rPr>
        <w:t>panelists</w:t>
      </w:r>
      <w:r w:rsidR="003B5D8E" w:rsidRPr="000B65CE">
        <w:rPr>
          <w:rFonts w:ascii="Arial" w:hAnsi="Arial" w:cs="Arial"/>
        </w:rPr>
        <w:t>.</w:t>
      </w:r>
    </w:p>
    <w:p w14:paraId="4EBE54D2"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 xml:space="preserve">2.3 Sensory Evaluation </w:t>
      </w:r>
    </w:p>
    <w:p w14:paraId="76C8DA79" w14:textId="7A295C10" w:rsidR="000B65CE" w:rsidRDefault="000B65CE" w:rsidP="000B65CE">
      <w:pPr>
        <w:pStyle w:val="Body"/>
        <w:rPr>
          <w:rFonts w:ascii="Arial" w:hAnsi="Arial" w:cs="Arial"/>
        </w:rPr>
      </w:pPr>
      <w:r w:rsidRPr="000B65CE">
        <w:rPr>
          <w:rFonts w:ascii="Arial" w:hAnsi="Arial" w:cs="Arial"/>
        </w:rPr>
        <w:t xml:space="preserve">The sensory characteristics of the developed functional buttermilk were assessed by six sensory panelists </w:t>
      </w:r>
      <w:r w:rsidR="00136907" w:rsidRPr="005E4533">
        <w:rPr>
          <w:rFonts w:ascii="Arial" w:hAnsi="Arial" w:cs="Arial"/>
        </w:rPr>
        <w:t>from Dairy Science</w:t>
      </w:r>
      <w:r w:rsidR="00136907">
        <w:rPr>
          <w:rFonts w:ascii="Arial" w:hAnsi="Arial" w:cs="Arial"/>
        </w:rPr>
        <w:t xml:space="preserve"> </w:t>
      </w:r>
      <w:proofErr w:type="spellStart"/>
      <w:proofErr w:type="gramStart"/>
      <w:r w:rsidR="00136907">
        <w:rPr>
          <w:rFonts w:ascii="Arial" w:hAnsi="Arial" w:cs="Arial"/>
        </w:rPr>
        <w:t>College,Bengaluru</w:t>
      </w:r>
      <w:proofErr w:type="spellEnd"/>
      <w:proofErr w:type="gramEnd"/>
      <w:r w:rsidR="00136907">
        <w:rPr>
          <w:rFonts w:ascii="Arial" w:hAnsi="Arial" w:cs="Arial"/>
        </w:rPr>
        <w:t>,</w:t>
      </w:r>
      <w:r w:rsidR="00136907" w:rsidRPr="005E4533">
        <w:rPr>
          <w:rFonts w:ascii="Arial" w:hAnsi="Arial" w:cs="Arial"/>
        </w:rPr>
        <w:t xml:space="preserve"> who are </w:t>
      </w:r>
      <w:r w:rsidR="00136907" w:rsidRPr="00136907">
        <w:rPr>
          <w:rFonts w:ascii="Arial" w:hAnsi="Arial" w:cs="Arial"/>
        </w:rPr>
        <w:t xml:space="preserve">experts in sensory evaluation of dairy </w:t>
      </w:r>
      <w:r w:rsidR="00136907" w:rsidRPr="00136907">
        <w:rPr>
          <w:rFonts w:ascii="Arial" w:hAnsi="Arial" w:cs="Arial"/>
        </w:rPr>
        <w:t>products</w:t>
      </w:r>
      <w:r w:rsidR="00136907">
        <w:rPr>
          <w:rFonts w:ascii="Arial" w:hAnsi="Arial" w:cs="Arial"/>
        </w:rPr>
        <w:t>,</w:t>
      </w:r>
      <w:r w:rsidR="00136907" w:rsidRPr="000B65CE">
        <w:rPr>
          <w:rFonts w:ascii="Arial" w:hAnsi="Arial" w:cs="Arial"/>
        </w:rPr>
        <w:t xml:space="preserve"> </w:t>
      </w:r>
      <w:r w:rsidR="00136907">
        <w:rPr>
          <w:rFonts w:ascii="Arial" w:hAnsi="Arial" w:cs="Arial"/>
        </w:rPr>
        <w:t>u</w:t>
      </w:r>
      <w:r w:rsidR="00136907" w:rsidRPr="000B65CE">
        <w:rPr>
          <w:rFonts w:ascii="Arial" w:hAnsi="Arial" w:cs="Arial"/>
        </w:rPr>
        <w:t>sing</w:t>
      </w:r>
      <w:r w:rsidRPr="000B65CE">
        <w:rPr>
          <w:rFonts w:ascii="Arial" w:hAnsi="Arial" w:cs="Arial"/>
        </w:rPr>
        <w:t xml:space="preserve"> a 9-point hedonic scale ranging from 1 (disliked extremely) to 9 (liked extremely). Each sample was coded with a random three-digit number to ensure blind testing, and a controlled environment was maintained to minimize external influences. The panelists assessed the functional buttermilk for its </w:t>
      </w:r>
      <w:proofErr w:type="spellStart"/>
      <w:r w:rsidRPr="000B65CE">
        <w:rPr>
          <w:rFonts w:ascii="Arial" w:hAnsi="Arial" w:cs="Arial"/>
        </w:rPr>
        <w:t>colour</w:t>
      </w:r>
      <w:proofErr w:type="spellEnd"/>
      <w:r w:rsidRPr="000B65CE">
        <w:rPr>
          <w:rFonts w:ascii="Arial" w:hAnsi="Arial" w:cs="Arial"/>
        </w:rPr>
        <w:t xml:space="preserve"> and appearance, </w:t>
      </w:r>
      <w:proofErr w:type="spellStart"/>
      <w:r w:rsidRPr="000B65CE">
        <w:rPr>
          <w:rFonts w:ascii="Arial" w:hAnsi="Arial" w:cs="Arial"/>
        </w:rPr>
        <w:t>flavour</w:t>
      </w:r>
      <w:proofErr w:type="spellEnd"/>
      <w:r w:rsidRPr="000B65CE">
        <w:rPr>
          <w:rFonts w:ascii="Arial" w:hAnsi="Arial" w:cs="Arial"/>
        </w:rPr>
        <w:t>, body and texture, and overall acceptability at refrigeration temperature (4±1°C).</w:t>
      </w:r>
    </w:p>
    <w:p w14:paraId="71744E97" w14:textId="054FF88D" w:rsidR="005E4533" w:rsidRPr="000B65CE" w:rsidRDefault="005E4533" w:rsidP="000B65CE">
      <w:pPr>
        <w:pStyle w:val="Body"/>
        <w:rPr>
          <w:rFonts w:ascii="Arial" w:hAnsi="Arial" w:cs="Arial"/>
        </w:rPr>
      </w:pPr>
      <w:r w:rsidRPr="005E4533">
        <w:rPr>
          <w:rFonts w:ascii="Arial" w:hAnsi="Arial" w:cs="Arial"/>
          <w:b/>
          <w:bCs/>
        </w:rPr>
        <w:t>faculty members</w:t>
      </w:r>
      <w:r w:rsidRPr="005E4533">
        <w:rPr>
          <w:rFonts w:ascii="Arial" w:hAnsi="Arial" w:cs="Arial"/>
        </w:rPr>
        <w:t xml:space="preserve"> from the Department of Dairy Science, who are </w:t>
      </w:r>
      <w:r w:rsidRPr="005E4533">
        <w:rPr>
          <w:rFonts w:ascii="Arial" w:hAnsi="Arial" w:cs="Arial"/>
          <w:b/>
          <w:bCs/>
        </w:rPr>
        <w:t>experts in sensory evaluation of dairy products</w:t>
      </w:r>
      <w:r w:rsidRPr="005E4533">
        <w:rPr>
          <w:rFonts w:ascii="Arial" w:hAnsi="Arial" w:cs="Arial"/>
        </w:rPr>
        <w:t>.</w:t>
      </w:r>
    </w:p>
    <w:p w14:paraId="12723A2A"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2.4 Statistical Analysis</w:t>
      </w:r>
    </w:p>
    <w:p w14:paraId="432E0771" w14:textId="77777777" w:rsidR="000B65CE" w:rsidRPr="000B65CE" w:rsidRDefault="000B65CE" w:rsidP="000B65CE">
      <w:pPr>
        <w:pStyle w:val="Body"/>
        <w:rPr>
          <w:rFonts w:ascii="Arial" w:hAnsi="Arial" w:cs="Arial"/>
        </w:rPr>
      </w:pPr>
      <w:r w:rsidRPr="000B65CE">
        <w:rPr>
          <w:rFonts w:ascii="Arial" w:hAnsi="Arial" w:cs="Arial"/>
        </w:rPr>
        <w:t xml:space="preserve">Statistical Analysis The data were analyzed using R software (version 4.1.3) for statistical computing, with the </w:t>
      </w:r>
      <w:proofErr w:type="spellStart"/>
      <w:r w:rsidRPr="000B65CE">
        <w:rPr>
          <w:rFonts w:ascii="Arial" w:hAnsi="Arial" w:cs="Arial"/>
        </w:rPr>
        <w:t>dplyr</w:t>
      </w:r>
      <w:proofErr w:type="spellEnd"/>
      <w:r w:rsidRPr="000B65CE">
        <w:rPr>
          <w:rFonts w:ascii="Arial" w:hAnsi="Arial" w:cs="Arial"/>
        </w:rPr>
        <w:t xml:space="preserve"> and </w:t>
      </w:r>
      <w:proofErr w:type="spellStart"/>
      <w:r w:rsidRPr="000B65CE">
        <w:rPr>
          <w:rFonts w:ascii="Arial" w:hAnsi="Arial" w:cs="Arial"/>
        </w:rPr>
        <w:t>agricolae</w:t>
      </w:r>
      <w:proofErr w:type="spellEnd"/>
      <w:r w:rsidRPr="000B65CE">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57E05E01" w14:textId="77777777" w:rsidR="000B65CE" w:rsidRPr="000B65CE" w:rsidRDefault="000B65CE" w:rsidP="000B65CE">
      <w:pPr>
        <w:pStyle w:val="Body"/>
        <w:rPr>
          <w:rFonts w:ascii="Arial" w:hAnsi="Arial" w:cs="Arial"/>
        </w:rPr>
      </w:pPr>
      <w:r w:rsidRPr="000B65CE">
        <w:rPr>
          <w:rFonts w:ascii="Arial" w:hAnsi="Arial" w:cs="Arial"/>
        </w:rPr>
        <w:t>C</w:t>
      </w:r>
      <w:r w:rsidRPr="000B65CE">
        <w:rPr>
          <w:rFonts w:ascii="Cambria Math" w:hAnsi="Cambria Math" w:cs="Cambria Math"/>
        </w:rPr>
        <w:t>𝑟𝑖𝑡𝑖𝑐𝑎𝑙</w:t>
      </w:r>
      <w:r w:rsidRPr="000B65CE">
        <w:rPr>
          <w:rFonts w:ascii="Arial" w:hAnsi="Arial" w:cs="Arial"/>
        </w:rPr>
        <w:t xml:space="preserve"> </w:t>
      </w:r>
      <w:r w:rsidRPr="000B65CE">
        <w:rPr>
          <w:rFonts w:ascii="Cambria Math" w:hAnsi="Cambria Math" w:cs="Cambria Math"/>
        </w:rPr>
        <w:t>𝑑𝑖𝑓𝑓𝑒𝑟𝑒𝑛𝑐𝑒</w:t>
      </w:r>
      <w:r w:rsidRPr="000B65CE">
        <w:rPr>
          <w:rFonts w:ascii="Arial" w:hAnsi="Arial" w:cs="Arial"/>
        </w:rPr>
        <w:t xml:space="preserve"> (</w:t>
      </w:r>
      <w:r w:rsidRPr="000B65CE">
        <w:rPr>
          <w:rFonts w:ascii="Cambria Math" w:hAnsi="Cambria Math" w:cs="Cambria Math"/>
        </w:rPr>
        <w:t>𝐶𝐷</w:t>
      </w:r>
      <w:r w:rsidRPr="000B65CE">
        <w:rPr>
          <w:rFonts w:ascii="Arial" w:hAnsi="Arial" w:cs="Arial"/>
        </w:rPr>
        <w:t xml:space="preserve">) = </w:t>
      </w:r>
      <w:proofErr w:type="gramStart"/>
      <w:r w:rsidRPr="000B65CE">
        <w:rPr>
          <w:rFonts w:ascii="Arial" w:hAnsi="Arial" w:cs="Arial"/>
        </w:rPr>
        <w:t>√(</w:t>
      </w:r>
      <w:proofErr w:type="gramEnd"/>
      <w:r w:rsidRPr="000B65CE">
        <w:rPr>
          <w:rFonts w:ascii="Arial" w:hAnsi="Arial" w:cs="Arial"/>
        </w:rPr>
        <w:t>2 X MSS(E)  X tα)/r</w:t>
      </w:r>
    </w:p>
    <w:p w14:paraId="5583320A" w14:textId="77777777" w:rsidR="000B65CE" w:rsidRPr="000B65CE" w:rsidRDefault="000B65CE" w:rsidP="000B65CE">
      <w:pPr>
        <w:pStyle w:val="Body"/>
        <w:spacing w:after="0"/>
        <w:rPr>
          <w:rFonts w:ascii="Arial" w:hAnsi="Arial" w:cs="Arial"/>
        </w:rPr>
      </w:pPr>
      <w:r w:rsidRPr="000B65CE">
        <w:rPr>
          <w:rFonts w:ascii="Arial" w:hAnsi="Arial" w:cs="Arial"/>
        </w:rPr>
        <w:t xml:space="preserve">Where, </w:t>
      </w:r>
    </w:p>
    <w:p w14:paraId="25239622" w14:textId="77777777" w:rsidR="000B65CE" w:rsidRPr="000B65CE" w:rsidRDefault="000B65CE" w:rsidP="000B65CE">
      <w:pPr>
        <w:pStyle w:val="Body"/>
        <w:spacing w:after="0"/>
        <w:rPr>
          <w:rFonts w:ascii="Arial" w:hAnsi="Arial" w:cs="Arial"/>
        </w:rPr>
      </w:pPr>
      <w:r w:rsidRPr="000B65CE">
        <w:rPr>
          <w:rFonts w:ascii="Arial" w:hAnsi="Arial" w:cs="Arial"/>
        </w:rPr>
        <w:t xml:space="preserve">MSS (E) = Mean Sum of squares of the error </w:t>
      </w:r>
    </w:p>
    <w:p w14:paraId="61434A6D" w14:textId="77777777" w:rsidR="000B65CE" w:rsidRPr="000B65CE" w:rsidRDefault="000B65CE" w:rsidP="000B65CE">
      <w:pPr>
        <w:pStyle w:val="Body"/>
        <w:spacing w:after="0"/>
        <w:rPr>
          <w:rFonts w:ascii="Arial" w:hAnsi="Arial" w:cs="Arial"/>
        </w:rPr>
      </w:pPr>
      <w:r w:rsidRPr="000B65CE">
        <w:rPr>
          <w:rFonts w:ascii="Arial" w:hAnsi="Arial" w:cs="Arial"/>
        </w:rPr>
        <w:t xml:space="preserve">r = number of replications </w:t>
      </w:r>
    </w:p>
    <w:p w14:paraId="299033F3" w14:textId="6D8B1AA7" w:rsidR="00790ADA" w:rsidRDefault="000B65CE" w:rsidP="000B65CE">
      <w:pPr>
        <w:pStyle w:val="Body"/>
        <w:spacing w:after="0"/>
        <w:rPr>
          <w:rFonts w:ascii="Arial" w:hAnsi="Arial" w:cs="Arial"/>
        </w:rPr>
      </w:pPr>
      <w:r w:rsidRPr="000B65CE">
        <w:rPr>
          <w:rFonts w:ascii="Arial" w:hAnsi="Arial" w:cs="Arial"/>
        </w:rPr>
        <w:t>tα = table t value of the α level of significance</w:t>
      </w:r>
    </w:p>
    <w:p w14:paraId="6F253B32" w14:textId="77777777" w:rsidR="006F49E2" w:rsidRDefault="006F49E2" w:rsidP="000B65CE">
      <w:pPr>
        <w:pStyle w:val="Body"/>
        <w:spacing w:after="0"/>
        <w:rPr>
          <w:rFonts w:ascii="Arial" w:hAnsi="Arial" w:cs="Arial"/>
        </w:rPr>
      </w:pPr>
    </w:p>
    <w:p w14:paraId="13C7F5AF" w14:textId="78F137F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4896" behindDoc="0" locked="0" layoutInCell="1" allowOverlap="1" wp14:anchorId="668CAFB8" wp14:editId="5157E235">
                <wp:simplePos x="0" y="0"/>
                <wp:positionH relativeFrom="column">
                  <wp:posOffset>2712085</wp:posOffset>
                </wp:positionH>
                <wp:positionV relativeFrom="paragraph">
                  <wp:posOffset>291465</wp:posOffset>
                </wp:positionV>
                <wp:extent cx="0" cy="182880"/>
                <wp:effectExtent l="76200" t="0" r="57150" b="64770"/>
                <wp:wrapNone/>
                <wp:docPr id="118627092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2C94B30B" id="_x0000_t32" coordsize="21600,21600" o:spt="32" o:oned="t" path="m,l21600,21600e" filled="f">
                <v:path arrowok="t" fillok="f" o:connecttype="none"/>
                <o:lock v:ext="edit" shapetype="t"/>
              </v:shapetype>
              <v:shape id="Straight Arrow Connector 15" o:spid="_x0000_s1026" type="#_x0000_t32" style="position:absolute;margin-left:213.55pt;margin-top:22.95pt;width:0;height:14.4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Cow Milk (Fat 3.5 %, SNF 8.5 %)</w:t>
      </w:r>
    </w:p>
    <w:p w14:paraId="7928EA27" w14:textId="189B9C1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5920" behindDoc="0" locked="0" layoutInCell="1" allowOverlap="1" wp14:anchorId="3E3E089A" wp14:editId="6461497C">
                <wp:simplePos x="0" y="0"/>
                <wp:positionH relativeFrom="column">
                  <wp:posOffset>2712085</wp:posOffset>
                </wp:positionH>
                <wp:positionV relativeFrom="paragraph">
                  <wp:posOffset>159385</wp:posOffset>
                </wp:positionV>
                <wp:extent cx="0" cy="182880"/>
                <wp:effectExtent l="76200" t="0" r="57150" b="64770"/>
                <wp:wrapNone/>
                <wp:docPr id="155284712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D9CE78" id="Straight Arrow Connector 14" o:spid="_x0000_s1026" type="#_x0000_t32" style="position:absolute;margin-left:213.55pt;margin-top:12.55pt;width:0;height:14.4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Filtration</w:t>
      </w:r>
    </w:p>
    <w:p w14:paraId="31ABC11F" w14:textId="11DB822A"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6944" behindDoc="0" locked="0" layoutInCell="1" allowOverlap="1" wp14:anchorId="6CDCBEDB" wp14:editId="3E374EF8">
                <wp:simplePos x="0" y="0"/>
                <wp:positionH relativeFrom="column">
                  <wp:posOffset>2718435</wp:posOffset>
                </wp:positionH>
                <wp:positionV relativeFrom="paragraph">
                  <wp:posOffset>179705</wp:posOffset>
                </wp:positionV>
                <wp:extent cx="0" cy="182880"/>
                <wp:effectExtent l="76200" t="0" r="57150" b="64770"/>
                <wp:wrapNone/>
                <wp:docPr id="21241073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2B7266E" id="Straight Arrow Connector 13" o:spid="_x0000_s1026" type="#_x0000_t32" style="position:absolute;margin-left:214.05pt;margin-top:14.15pt;width:0;height:14.4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Addition of 5, 7.5 </w:t>
      </w:r>
      <w:r>
        <w:rPr>
          <w:rFonts w:ascii="Arial" w:hAnsi="Arial" w:cs="Arial"/>
          <w:sz w:val="24"/>
          <w:szCs w:val="24"/>
        </w:rPr>
        <w:t xml:space="preserve">and </w:t>
      </w:r>
      <w:r w:rsidRPr="00AE6F0A">
        <w:rPr>
          <w:rFonts w:ascii="Arial" w:hAnsi="Arial" w:cs="Arial"/>
          <w:sz w:val="24"/>
          <w:szCs w:val="24"/>
        </w:rPr>
        <w:t>10% Foxtail millet flour based on milk</w:t>
      </w:r>
    </w:p>
    <w:p w14:paraId="251C8BEB" w14:textId="019CF48E"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8992" behindDoc="0" locked="0" layoutInCell="1" allowOverlap="1" wp14:anchorId="6B92B943" wp14:editId="46BC466D">
                <wp:simplePos x="0" y="0"/>
                <wp:positionH relativeFrom="column">
                  <wp:posOffset>2720340</wp:posOffset>
                </wp:positionH>
                <wp:positionV relativeFrom="paragraph">
                  <wp:posOffset>171450</wp:posOffset>
                </wp:positionV>
                <wp:extent cx="0" cy="182880"/>
                <wp:effectExtent l="76200" t="0" r="57150" b="64770"/>
                <wp:wrapNone/>
                <wp:docPr id="136257480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B9BB972" id="Straight Arrow Connector 12" o:spid="_x0000_s1026" type="#_x0000_t32" style="position:absolute;margin-left:214.2pt;margin-top:13.5pt;width:0;height:14.4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Hj0AlH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Heat treatment (90</w:t>
      </w:r>
      <w:r w:rsidRPr="00AE6F0A">
        <w:rPr>
          <w:rFonts w:ascii="Cambria Math" w:hAnsi="Cambria Math" w:cs="Cambria Math"/>
          <w:sz w:val="24"/>
          <w:szCs w:val="24"/>
        </w:rPr>
        <w:t>℃</w:t>
      </w:r>
      <w:r w:rsidRPr="00AE6F0A">
        <w:rPr>
          <w:rFonts w:ascii="Arial" w:hAnsi="Arial" w:cs="Arial"/>
          <w:sz w:val="24"/>
          <w:szCs w:val="24"/>
        </w:rPr>
        <w:t>/5min)</w:t>
      </w:r>
    </w:p>
    <w:p w14:paraId="53307F0D" w14:textId="79DA87F0"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0016" behindDoc="0" locked="0" layoutInCell="1" allowOverlap="1" wp14:anchorId="76DA3A25" wp14:editId="0B0ABC32">
                <wp:simplePos x="0" y="0"/>
                <wp:positionH relativeFrom="column">
                  <wp:posOffset>2722245</wp:posOffset>
                </wp:positionH>
                <wp:positionV relativeFrom="paragraph">
                  <wp:posOffset>172085</wp:posOffset>
                </wp:positionV>
                <wp:extent cx="0" cy="182880"/>
                <wp:effectExtent l="76200" t="0" r="57150" b="64770"/>
                <wp:wrapNone/>
                <wp:docPr id="112815929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45153D1" id="Straight Arrow Connector 11" o:spid="_x0000_s1026" type="#_x0000_t32" style="position:absolute;margin-left:214.35pt;margin-top:13.55pt;width:0;height:14.4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Cooling 37</w:t>
      </w:r>
      <w:r w:rsidRPr="00AE6F0A">
        <w:rPr>
          <w:rFonts w:ascii="Cambria Math" w:hAnsi="Cambria Math" w:cs="Cambria Math"/>
          <w:sz w:val="24"/>
          <w:szCs w:val="24"/>
        </w:rPr>
        <w:t>℃</w:t>
      </w:r>
    </w:p>
    <w:p w14:paraId="0686F6E9" w14:textId="795366BB"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7968" behindDoc="0" locked="0" layoutInCell="1" allowOverlap="1" wp14:anchorId="2CF5928E" wp14:editId="4AC1A7DB">
                <wp:simplePos x="0" y="0"/>
                <wp:positionH relativeFrom="column">
                  <wp:posOffset>2722245</wp:posOffset>
                </wp:positionH>
                <wp:positionV relativeFrom="paragraph">
                  <wp:posOffset>154305</wp:posOffset>
                </wp:positionV>
                <wp:extent cx="0" cy="182880"/>
                <wp:effectExtent l="76200" t="0" r="57150" b="64770"/>
                <wp:wrapNone/>
                <wp:docPr id="127190306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CA163D3" id="Straight Arrow Connector 10" o:spid="_x0000_s1026" type="#_x0000_t32" style="position:absolute;margin-left:214.35pt;margin-top:12.15pt;width:0;height:14.4pt;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Inoculation of </w:t>
      </w:r>
      <w:proofErr w:type="spellStart"/>
      <w:r w:rsidRPr="00AE6F0A">
        <w:rPr>
          <w:rFonts w:ascii="Arial" w:hAnsi="Arial" w:cs="Arial"/>
          <w:i/>
          <w:iCs/>
          <w:sz w:val="24"/>
          <w:szCs w:val="24"/>
        </w:rPr>
        <w:t>lactococci</w:t>
      </w:r>
      <w:proofErr w:type="spellEnd"/>
      <w:r w:rsidRPr="00AE6F0A">
        <w:rPr>
          <w:rFonts w:ascii="Arial" w:hAnsi="Arial" w:cs="Arial"/>
          <w:sz w:val="24"/>
          <w:szCs w:val="24"/>
        </w:rPr>
        <w:t xml:space="preserve"> </w:t>
      </w:r>
      <w:r w:rsidRPr="006F49E2">
        <w:rPr>
          <w:rFonts w:ascii="Arial" w:hAnsi="Arial" w:cs="Arial"/>
          <w:sz w:val="24"/>
          <w:szCs w:val="24"/>
        </w:rPr>
        <w:t>curd</w:t>
      </w:r>
      <w:r w:rsidRPr="00AE6F0A">
        <w:rPr>
          <w:rFonts w:ascii="Arial" w:hAnsi="Arial" w:cs="Arial"/>
          <w:sz w:val="24"/>
          <w:szCs w:val="24"/>
        </w:rPr>
        <w:t xml:space="preserve"> culture @ 2%, Incubation (37</w:t>
      </w:r>
      <w:r w:rsidRPr="00AE6F0A">
        <w:rPr>
          <w:rFonts w:ascii="Cambria Math" w:hAnsi="Cambria Math" w:cs="Cambria Math"/>
          <w:sz w:val="24"/>
          <w:szCs w:val="24"/>
        </w:rPr>
        <w:t>℃</w:t>
      </w:r>
      <w:r w:rsidRPr="00AE6F0A">
        <w:rPr>
          <w:rFonts w:ascii="Arial" w:hAnsi="Arial" w:cs="Arial"/>
          <w:sz w:val="24"/>
          <w:szCs w:val="24"/>
        </w:rPr>
        <w:t xml:space="preserve">/6hr) </w:t>
      </w:r>
    </w:p>
    <w:p w14:paraId="02BAEC51" w14:textId="6212940B"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1040" behindDoc="0" locked="0" layoutInCell="1" allowOverlap="1" wp14:anchorId="640427D4" wp14:editId="06E7C7A9">
                <wp:simplePos x="0" y="0"/>
                <wp:positionH relativeFrom="column">
                  <wp:posOffset>2722245</wp:posOffset>
                </wp:positionH>
                <wp:positionV relativeFrom="paragraph">
                  <wp:posOffset>144780</wp:posOffset>
                </wp:positionV>
                <wp:extent cx="0" cy="182880"/>
                <wp:effectExtent l="76200" t="0" r="57150" b="64770"/>
                <wp:wrapNone/>
                <wp:docPr id="47123361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4CABD26" id="Straight Arrow Connector 9" o:spid="_x0000_s1026" type="#_x0000_t32" style="position:absolute;margin-left:214.35pt;margin-top:11.4pt;width:0;height:14.4pt;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Fycfdj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Foxtail millet enriched </w:t>
      </w:r>
      <w:r w:rsidRPr="00AE6F0A">
        <w:rPr>
          <w:rFonts w:ascii="Arial" w:hAnsi="Arial" w:cs="Arial"/>
          <w:i/>
          <w:iCs/>
          <w:sz w:val="24"/>
          <w:szCs w:val="24"/>
        </w:rPr>
        <w:t>Dahi</w:t>
      </w:r>
      <w:r w:rsidRPr="00AE6F0A">
        <w:rPr>
          <w:rFonts w:ascii="Arial" w:hAnsi="Arial" w:cs="Arial"/>
          <w:sz w:val="24"/>
          <w:szCs w:val="24"/>
        </w:rPr>
        <w:t xml:space="preserve"> </w:t>
      </w:r>
    </w:p>
    <w:p w14:paraId="58087E38" w14:textId="1DB6EC60"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w:lastRenderedPageBreak/>
        <mc:AlternateContent>
          <mc:Choice Requires="wps">
            <w:drawing>
              <wp:anchor distT="0" distB="0" distL="114299" distR="114299" simplePos="0" relativeHeight="251672064" behindDoc="0" locked="0" layoutInCell="1" allowOverlap="1" wp14:anchorId="0E78CC7B" wp14:editId="1EAF0D5A">
                <wp:simplePos x="0" y="0"/>
                <wp:positionH relativeFrom="column">
                  <wp:posOffset>2722245</wp:posOffset>
                </wp:positionH>
                <wp:positionV relativeFrom="paragraph">
                  <wp:posOffset>160020</wp:posOffset>
                </wp:positionV>
                <wp:extent cx="0" cy="182880"/>
                <wp:effectExtent l="76200" t="0" r="57150" b="64770"/>
                <wp:wrapNone/>
                <wp:docPr id="112117156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3C36404" id="Straight Arrow Connector 8" o:spid="_x0000_s1026" type="#_x0000_t32" style="position:absolute;margin-left:214.35pt;margin-top:12.6pt;width:0;height:14.4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Breaking the </w:t>
      </w:r>
      <w:r w:rsidRPr="006F49E2">
        <w:rPr>
          <w:rFonts w:ascii="Arial" w:hAnsi="Arial" w:cs="Arial"/>
          <w:sz w:val="24"/>
          <w:szCs w:val="24"/>
        </w:rPr>
        <w:t>curd</w:t>
      </w:r>
      <w:r w:rsidRPr="00AE6F0A">
        <w:rPr>
          <w:rFonts w:ascii="Arial" w:hAnsi="Arial" w:cs="Arial"/>
          <w:sz w:val="24"/>
          <w:szCs w:val="24"/>
        </w:rPr>
        <w:t xml:space="preserve"> by agitation </w:t>
      </w:r>
    </w:p>
    <w:p w14:paraId="58DF1D49" w14:textId="1F540CAC"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3088" behindDoc="0" locked="0" layoutInCell="1" allowOverlap="1" wp14:anchorId="4B4943B4" wp14:editId="62D2884A">
                <wp:simplePos x="0" y="0"/>
                <wp:positionH relativeFrom="column">
                  <wp:posOffset>2720975</wp:posOffset>
                </wp:positionH>
                <wp:positionV relativeFrom="paragraph">
                  <wp:posOffset>152400</wp:posOffset>
                </wp:positionV>
                <wp:extent cx="0" cy="182880"/>
                <wp:effectExtent l="76200" t="0" r="57150" b="64770"/>
                <wp:wrapNone/>
                <wp:docPr id="81921174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6A93AD" id="Straight Arrow Connector 7" o:spid="_x0000_s1026" type="#_x0000_t32" style="position:absolute;margin-left:214.25pt;margin-top:12pt;width:0;height:14.4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pasteurized chilled water (1:1.5)</w:t>
      </w:r>
    </w:p>
    <w:p w14:paraId="02735C6E" w14:textId="71988809"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4112" behindDoc="0" locked="0" layoutInCell="1" allowOverlap="1" wp14:anchorId="54B732FF" wp14:editId="0131E039">
                <wp:simplePos x="0" y="0"/>
                <wp:positionH relativeFrom="column">
                  <wp:posOffset>2717165</wp:posOffset>
                </wp:positionH>
                <wp:positionV relativeFrom="paragraph">
                  <wp:posOffset>154305</wp:posOffset>
                </wp:positionV>
                <wp:extent cx="0" cy="182880"/>
                <wp:effectExtent l="76200" t="0" r="57150" b="64770"/>
                <wp:wrapNone/>
                <wp:docPr id="199731185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3DB5A7C" id="Straight Arrow Connector 6" o:spid="_x0000_s1026" type="#_x0000_t32" style="position:absolute;margin-left:213.95pt;margin-top:12.15pt;width:0;height:14.4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rock salt at 0.5,1.0 and 1.5%</w:t>
      </w:r>
    </w:p>
    <w:p w14:paraId="1EAD9273" w14:textId="57E9227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5136" behindDoc="0" locked="0" layoutInCell="1" allowOverlap="1" wp14:anchorId="132C3BFA" wp14:editId="7CAD758D">
                <wp:simplePos x="0" y="0"/>
                <wp:positionH relativeFrom="column">
                  <wp:posOffset>2720975</wp:posOffset>
                </wp:positionH>
                <wp:positionV relativeFrom="paragraph">
                  <wp:posOffset>182245</wp:posOffset>
                </wp:positionV>
                <wp:extent cx="0" cy="182880"/>
                <wp:effectExtent l="76200" t="0" r="57150" b="64770"/>
                <wp:wrapNone/>
                <wp:docPr id="3048928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B75FF6C" id="Straight Arrow Connector 5" o:spid="_x0000_s1026" type="#_x0000_t32" style="position:absolute;margin-left:214.25pt;margin-top:14.35pt;width:0;height:14.4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Black cumin seed powder at 1.0, 1.5 </w:t>
      </w:r>
      <w:r>
        <w:rPr>
          <w:rFonts w:ascii="Arial" w:hAnsi="Arial" w:cs="Arial"/>
          <w:sz w:val="24"/>
          <w:szCs w:val="24"/>
        </w:rPr>
        <w:t>and</w:t>
      </w:r>
      <w:r w:rsidRPr="00AE6F0A">
        <w:rPr>
          <w:rFonts w:ascii="Arial" w:hAnsi="Arial" w:cs="Arial"/>
          <w:sz w:val="24"/>
          <w:szCs w:val="24"/>
        </w:rPr>
        <w:t xml:space="preserve"> 2.0%</w:t>
      </w:r>
    </w:p>
    <w:p w14:paraId="03D7F8E3" w14:textId="57BB2AE8"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6160" behindDoc="0" locked="0" layoutInCell="1" allowOverlap="1" wp14:anchorId="2305A968" wp14:editId="47E3AB5C">
                <wp:simplePos x="0" y="0"/>
                <wp:positionH relativeFrom="column">
                  <wp:posOffset>2721610</wp:posOffset>
                </wp:positionH>
                <wp:positionV relativeFrom="paragraph">
                  <wp:posOffset>173990</wp:posOffset>
                </wp:positionV>
                <wp:extent cx="0" cy="182880"/>
                <wp:effectExtent l="76200" t="0" r="57150" b="64770"/>
                <wp:wrapNone/>
                <wp:docPr id="11660442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833A19B" id="Straight Arrow Connector 4" o:spid="_x0000_s1026" type="#_x0000_t32" style="position:absolute;margin-left:214.3pt;margin-top:13.7pt;width:0;height:14.4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Blending (under hygienic condition)</w:t>
      </w:r>
    </w:p>
    <w:p w14:paraId="0F73BBF0" w14:textId="79F40D67"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7184" behindDoc="0" locked="0" layoutInCell="1" allowOverlap="1" wp14:anchorId="2B40CE7A" wp14:editId="036F3C18">
                <wp:simplePos x="0" y="0"/>
                <wp:positionH relativeFrom="column">
                  <wp:posOffset>2719705</wp:posOffset>
                </wp:positionH>
                <wp:positionV relativeFrom="paragraph">
                  <wp:posOffset>165100</wp:posOffset>
                </wp:positionV>
                <wp:extent cx="0" cy="182880"/>
                <wp:effectExtent l="76200" t="0" r="57150" b="64770"/>
                <wp:wrapNone/>
                <wp:docPr id="15723555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4986A8E" id="Straight Arrow Connector 3" o:spid="_x0000_s1026" type="#_x0000_t32" style="position:absolute;margin-left:214.15pt;margin-top:13pt;width:0;height:14.4pt;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Ik3mLD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Functional Buttermilk enriched with Foxtail millet</w:t>
      </w:r>
    </w:p>
    <w:p w14:paraId="65FDA4C0" w14:textId="75C005D5"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8208" behindDoc="0" locked="0" layoutInCell="1" allowOverlap="1" wp14:anchorId="703DF409" wp14:editId="7120A560">
                <wp:simplePos x="0" y="0"/>
                <wp:positionH relativeFrom="column">
                  <wp:posOffset>2720975</wp:posOffset>
                </wp:positionH>
                <wp:positionV relativeFrom="paragraph">
                  <wp:posOffset>170180</wp:posOffset>
                </wp:positionV>
                <wp:extent cx="0" cy="182880"/>
                <wp:effectExtent l="76200" t="0" r="57150" b="64770"/>
                <wp:wrapNone/>
                <wp:docPr id="5916738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F149C57" id="Straight Arrow Connector 2" o:spid="_x0000_s1026" type="#_x0000_t32" style="position:absolute;margin-left:214.25pt;margin-top:13.4pt;width:0;height:14.4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Packaging (PET bottle,200ml) </w:t>
      </w:r>
    </w:p>
    <w:p w14:paraId="4EA64D4A" w14:textId="77777777" w:rsidR="006F49E2" w:rsidRPr="00AE6F0A" w:rsidRDefault="006F49E2" w:rsidP="006F49E2">
      <w:pPr>
        <w:spacing w:before="160" w:after="240"/>
        <w:ind w:left="360"/>
        <w:jc w:val="center"/>
        <w:rPr>
          <w:rFonts w:ascii="Arial" w:hAnsi="Arial" w:cs="Arial"/>
          <w:sz w:val="24"/>
          <w:szCs w:val="24"/>
        </w:rPr>
      </w:pPr>
      <w:r w:rsidRPr="00AE6F0A">
        <w:rPr>
          <w:rFonts w:ascii="Arial" w:hAnsi="Arial" w:cs="Arial"/>
          <w:sz w:val="24"/>
          <w:szCs w:val="24"/>
        </w:rPr>
        <w:t>Refrigerated condition (4±1°C)</w:t>
      </w:r>
    </w:p>
    <w:p w14:paraId="5CEFED2B" w14:textId="77777777" w:rsidR="006F49E2" w:rsidRPr="00AE6F0A" w:rsidRDefault="006F49E2" w:rsidP="006F49E2">
      <w:pPr>
        <w:spacing w:before="160"/>
        <w:ind w:left="360"/>
        <w:jc w:val="center"/>
        <w:rPr>
          <w:rFonts w:ascii="Arial" w:hAnsi="Arial" w:cs="Arial"/>
          <w:b/>
          <w:bCs/>
          <w:sz w:val="24"/>
          <w:szCs w:val="24"/>
        </w:rPr>
      </w:pPr>
      <w:r w:rsidRPr="00AE6F0A">
        <w:rPr>
          <w:rFonts w:ascii="Arial" w:hAnsi="Arial" w:cs="Arial"/>
          <w:b/>
          <w:bCs/>
          <w:sz w:val="24"/>
          <w:szCs w:val="24"/>
        </w:rPr>
        <w:t>Fig. 1. Process Flow Chart for Production of Functional Buttermilk enriched with Foxtail millet</w:t>
      </w:r>
    </w:p>
    <w:p w14:paraId="32D5383C" w14:textId="77777777" w:rsidR="006F49E2" w:rsidRDefault="006F49E2" w:rsidP="000B65CE">
      <w:pPr>
        <w:pStyle w:val="Body"/>
        <w:spacing w:after="0"/>
        <w:rPr>
          <w:rFonts w:ascii="Arial" w:hAnsi="Arial" w:cs="Arial"/>
        </w:rPr>
      </w:pPr>
    </w:p>
    <w:p w14:paraId="34E575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D6146F" w14:textId="77777777" w:rsidR="00790ADA" w:rsidRPr="00FB3A86" w:rsidRDefault="00790ADA" w:rsidP="00441B6F">
      <w:pPr>
        <w:pStyle w:val="Head1"/>
        <w:spacing w:after="0"/>
        <w:jc w:val="both"/>
        <w:rPr>
          <w:rFonts w:ascii="Arial" w:hAnsi="Arial" w:cs="Arial"/>
        </w:rPr>
      </w:pPr>
    </w:p>
    <w:p w14:paraId="1CF60254"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3.1 Effect of various levels of foxtail millet on the Sensory Attributes of buttermilk</w:t>
      </w:r>
    </w:p>
    <w:p w14:paraId="24C413BA" w14:textId="77777777" w:rsidR="000B65CE" w:rsidRPr="000B65CE" w:rsidRDefault="000B65CE" w:rsidP="000B65CE">
      <w:pPr>
        <w:pStyle w:val="Body"/>
        <w:rPr>
          <w:rFonts w:ascii="Arial" w:hAnsi="Arial" w:cs="Arial"/>
        </w:rPr>
      </w:pPr>
      <w:r w:rsidRPr="000B65CE">
        <w:rPr>
          <w:rFonts w:ascii="Arial" w:hAnsi="Arial" w:cs="Arial"/>
        </w:rPr>
        <w:t xml:space="preserve">In the sensory evaluation, control buttermilk received a score of 7.95 for color and appearance, while samples enriched with 5, 7.5, and 10 % foxtail millet flour scored 8.24, 7.94, and 7.40, respectively. For body and texture, the scores observed were 7.98 for control, 8.32 for 5 %, 7.91 for 7.5 %, and 7.50 for 10 % foxtail millet flour-enriched buttermilk. </w:t>
      </w:r>
      <w:proofErr w:type="spellStart"/>
      <w:r w:rsidRPr="000B65CE">
        <w:rPr>
          <w:rFonts w:ascii="Arial" w:hAnsi="Arial" w:cs="Arial"/>
        </w:rPr>
        <w:t>Flavour</w:t>
      </w:r>
      <w:proofErr w:type="spellEnd"/>
      <w:r w:rsidRPr="000B65CE">
        <w:rPr>
          <w:rFonts w:ascii="Arial" w:hAnsi="Arial" w:cs="Arial"/>
        </w:rPr>
        <w:t xml:space="preserve"> scores were 7.86 for control, 8.23 for 5%, 7.50 for 7.50%, and 7.20 for 10% foxtail millet flour, and overall acceptability scores were 7.95 for control, 8.25 for 5%, 7.95 for 7.5%, and 7.48 for 10%, respectively. These results indicate that buttermilk enriched with 5% foxtail millet flour received the highest overall acceptability due to minimal after taste bitterness, while higher enrichment levels (7.5 and 10%) resulted in reduced scores, likely due to a pronounced bitter after taste.</w:t>
      </w:r>
    </w:p>
    <w:p w14:paraId="11359DCA" w14:textId="40F89B58" w:rsidR="000B65CE" w:rsidRPr="000B65CE" w:rsidRDefault="000B65CE" w:rsidP="000B65CE">
      <w:pPr>
        <w:pStyle w:val="Body"/>
        <w:rPr>
          <w:rFonts w:ascii="Arial" w:hAnsi="Arial" w:cs="Arial"/>
        </w:rPr>
      </w:pPr>
      <w:r w:rsidRPr="000B65CE">
        <w:rPr>
          <w:rFonts w:ascii="Arial" w:hAnsi="Arial" w:cs="Arial"/>
        </w:rPr>
        <w:t>Syama</w:t>
      </w:r>
      <w:r w:rsidR="00AF3F12">
        <w:rPr>
          <w:rFonts w:ascii="Arial" w:hAnsi="Arial" w:cs="Arial"/>
        </w:rPr>
        <w:t>,</w:t>
      </w:r>
      <w:r w:rsidRPr="000B65CE">
        <w:rPr>
          <w:rFonts w:ascii="Arial" w:hAnsi="Arial" w:cs="Arial"/>
        </w:rPr>
        <w:t xml:space="preserve"> (2014) developed probiotic </w:t>
      </w:r>
      <w:r w:rsidR="007B587C">
        <w:rPr>
          <w:rFonts w:ascii="Arial" w:hAnsi="Arial" w:cs="Arial"/>
        </w:rPr>
        <w:t>curd</w:t>
      </w:r>
      <w:r w:rsidRPr="000B65CE">
        <w:rPr>
          <w:rFonts w:ascii="Arial" w:hAnsi="Arial" w:cs="Arial"/>
        </w:rPr>
        <w:t xml:space="preserve"> incorporated with roasted foxtail millet flour. Sensory evaluation showed that probiotic </w:t>
      </w:r>
      <w:r w:rsidR="007B587C">
        <w:rPr>
          <w:rFonts w:ascii="Arial" w:hAnsi="Arial" w:cs="Arial"/>
        </w:rPr>
        <w:t>curd</w:t>
      </w:r>
      <w:r w:rsidRPr="000B65CE">
        <w:rPr>
          <w:rFonts w:ascii="Arial" w:hAnsi="Arial" w:cs="Arial"/>
        </w:rPr>
        <w:t xml:space="preserve"> with 1% roasted foxtail millet flour received the highest sensory score (22.55), with attributes: </w:t>
      </w:r>
      <w:proofErr w:type="spellStart"/>
      <w:r w:rsidRPr="000B65CE">
        <w:rPr>
          <w:rFonts w:ascii="Arial" w:hAnsi="Arial" w:cs="Arial"/>
        </w:rPr>
        <w:t>Flavour</w:t>
      </w:r>
      <w:proofErr w:type="spellEnd"/>
      <w:r w:rsidRPr="000B65CE">
        <w:rPr>
          <w:rFonts w:ascii="Arial" w:hAnsi="Arial" w:cs="Arial"/>
        </w:rPr>
        <w:t xml:space="preserve"> – 9.10, Sourness – 1.450, Appearance – 4.455, Body and texture – 4.250, and Container – 3.0. In contrast, 2% and 3% incorporation levels resulted in lower sensory scores. </w:t>
      </w:r>
      <w:proofErr w:type="spellStart"/>
      <w:r w:rsidRPr="000B65CE">
        <w:rPr>
          <w:rFonts w:ascii="Arial" w:hAnsi="Arial" w:cs="Arial"/>
        </w:rPr>
        <w:t>Shingare</w:t>
      </w:r>
      <w:proofErr w:type="spellEnd"/>
      <w:r w:rsidRPr="000B65CE">
        <w:rPr>
          <w:rFonts w:ascii="Arial" w:hAnsi="Arial" w:cs="Arial"/>
        </w:rPr>
        <w:t xml:space="preserve"> et al. (2022) developed </w:t>
      </w:r>
      <w:proofErr w:type="spellStart"/>
      <w:r w:rsidRPr="000B65CE">
        <w:rPr>
          <w:rFonts w:ascii="Arial" w:hAnsi="Arial" w:cs="Arial"/>
        </w:rPr>
        <w:t>misti</w:t>
      </w:r>
      <w:proofErr w:type="spellEnd"/>
      <w:r w:rsidRPr="000B65CE">
        <w:rPr>
          <w:rFonts w:ascii="Arial" w:hAnsi="Arial" w:cs="Arial"/>
        </w:rPr>
        <w:t xml:space="preserve"> </w:t>
      </w:r>
      <w:r w:rsidR="007B587C">
        <w:rPr>
          <w:rFonts w:ascii="Arial" w:hAnsi="Arial" w:cs="Arial"/>
        </w:rPr>
        <w:t>curd</w:t>
      </w:r>
      <w:r w:rsidRPr="000B65CE">
        <w:rPr>
          <w:rFonts w:ascii="Arial" w:hAnsi="Arial" w:cs="Arial"/>
        </w:rPr>
        <w:t xml:space="preserve"> by blending foxtail millet flour. Sensory evaluation indicated that the sample with 4% foxtail millet flour achieved the highest scores, with </w:t>
      </w:r>
      <w:proofErr w:type="spellStart"/>
      <w:r w:rsidRPr="000B65CE">
        <w:rPr>
          <w:rFonts w:ascii="Arial" w:hAnsi="Arial" w:cs="Arial"/>
        </w:rPr>
        <w:t>Flavour</w:t>
      </w:r>
      <w:proofErr w:type="spellEnd"/>
      <w:r w:rsidRPr="000B65CE">
        <w:rPr>
          <w:rFonts w:ascii="Arial" w:hAnsi="Arial" w:cs="Arial"/>
        </w:rPr>
        <w:t xml:space="preserve"> – 7.72, </w:t>
      </w:r>
      <w:proofErr w:type="spellStart"/>
      <w:r w:rsidRPr="000B65CE">
        <w:rPr>
          <w:rFonts w:ascii="Arial" w:hAnsi="Arial" w:cs="Arial"/>
        </w:rPr>
        <w:t>Colour</w:t>
      </w:r>
      <w:proofErr w:type="spellEnd"/>
      <w:r w:rsidRPr="000B65CE">
        <w:rPr>
          <w:rFonts w:ascii="Arial" w:hAnsi="Arial" w:cs="Arial"/>
        </w:rPr>
        <w:t xml:space="preserve"> and appearance – 7.74, Taste – 7.90, Body and texture – 7.77, and Overall acceptability – 7.98. In comparison, the 2% and 6% incorporation levels had lower overall acceptability scores of 7.65 and 7.32, respectively, due to under- and over-concentration. </w:t>
      </w:r>
    </w:p>
    <w:p w14:paraId="50F31258" w14:textId="64ECAA7B" w:rsidR="000B65CE" w:rsidRPr="00AF3F12" w:rsidRDefault="000B65CE" w:rsidP="000B65CE">
      <w:pPr>
        <w:pStyle w:val="Body"/>
        <w:rPr>
          <w:rFonts w:ascii="Arial" w:hAnsi="Arial" w:cs="Arial"/>
          <w:b/>
          <w:bCs/>
        </w:rPr>
      </w:pPr>
      <w:r w:rsidRPr="00AF3F12">
        <w:rPr>
          <w:rFonts w:ascii="Arial" w:hAnsi="Arial" w:cs="Arial"/>
          <w:b/>
          <w:bCs/>
        </w:rPr>
        <w:t>Table 1: Effect of various levels of Foxtail Millet on the sensory characteristics of             Functional Buttermilk</w:t>
      </w:r>
    </w:p>
    <w:tbl>
      <w:tblPr>
        <w:tblW w:w="8640" w:type="dxa"/>
        <w:tblLook w:val="04A0" w:firstRow="1" w:lastRow="0" w:firstColumn="1" w:lastColumn="0" w:noHBand="0" w:noVBand="1"/>
      </w:tblPr>
      <w:tblGrid>
        <w:gridCol w:w="1728"/>
        <w:gridCol w:w="1728"/>
        <w:gridCol w:w="1728"/>
        <w:gridCol w:w="1728"/>
        <w:gridCol w:w="1728"/>
      </w:tblGrid>
      <w:tr w:rsidR="00E310C1" w:rsidRPr="00E310C1" w14:paraId="5661C8F7" w14:textId="77777777" w:rsidTr="00012014">
        <w:trPr>
          <w:trHeight w:val="288"/>
        </w:trPr>
        <w:tc>
          <w:tcPr>
            <w:tcW w:w="1728" w:type="dxa"/>
            <w:hideMark/>
          </w:tcPr>
          <w:p w14:paraId="4DB8B3BE"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rPr>
              <w:t>Foxtail Millet (%)</w:t>
            </w:r>
          </w:p>
        </w:tc>
        <w:tc>
          <w:tcPr>
            <w:tcW w:w="1728" w:type="dxa"/>
          </w:tcPr>
          <w:p w14:paraId="41D46E8B" w14:textId="77777777" w:rsidR="00E310C1" w:rsidRPr="00E310C1" w:rsidRDefault="00E310C1" w:rsidP="00012014">
            <w:pPr>
              <w:jc w:val="center"/>
              <w:rPr>
                <w:rFonts w:ascii="Arial" w:hAnsi="Arial" w:cs="Arial"/>
                <w:b/>
                <w:bCs/>
                <w:color w:val="000000"/>
                <w:lang w:eastAsia="en-IN" w:bidi="te-IN"/>
              </w:rPr>
            </w:pPr>
            <w:proofErr w:type="spellStart"/>
            <w:r w:rsidRPr="00E310C1">
              <w:rPr>
                <w:rFonts w:ascii="Arial" w:hAnsi="Arial" w:cs="Arial"/>
                <w:b/>
                <w:bCs/>
                <w:color w:val="000000"/>
                <w:lang w:eastAsia="en-IN" w:bidi="te-IN"/>
              </w:rPr>
              <w:t>Colour</w:t>
            </w:r>
            <w:proofErr w:type="spellEnd"/>
            <w:r w:rsidRPr="00E310C1">
              <w:rPr>
                <w:rFonts w:ascii="Arial" w:hAnsi="Arial" w:cs="Arial"/>
                <w:b/>
                <w:bCs/>
                <w:color w:val="000000"/>
                <w:lang w:eastAsia="en-IN" w:bidi="te-IN"/>
              </w:rPr>
              <w:t xml:space="preserve"> and Appearance</w:t>
            </w:r>
          </w:p>
        </w:tc>
        <w:tc>
          <w:tcPr>
            <w:tcW w:w="1728" w:type="dxa"/>
            <w:hideMark/>
          </w:tcPr>
          <w:p w14:paraId="0DA1A144"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Body and Texture</w:t>
            </w:r>
          </w:p>
        </w:tc>
        <w:tc>
          <w:tcPr>
            <w:tcW w:w="1728" w:type="dxa"/>
          </w:tcPr>
          <w:p w14:paraId="0CB46E38" w14:textId="77777777" w:rsidR="00E310C1" w:rsidRPr="00E310C1" w:rsidRDefault="00E310C1" w:rsidP="00012014">
            <w:pPr>
              <w:jc w:val="center"/>
              <w:rPr>
                <w:rFonts w:ascii="Arial" w:hAnsi="Arial" w:cs="Arial"/>
                <w:b/>
                <w:bCs/>
                <w:color w:val="000000"/>
                <w:lang w:eastAsia="en-IN" w:bidi="te-IN"/>
              </w:rPr>
            </w:pPr>
            <w:proofErr w:type="spellStart"/>
            <w:r w:rsidRPr="00E310C1">
              <w:rPr>
                <w:rFonts w:ascii="Arial" w:hAnsi="Arial" w:cs="Arial"/>
                <w:b/>
                <w:bCs/>
                <w:color w:val="000000"/>
                <w:lang w:eastAsia="en-IN" w:bidi="te-IN"/>
              </w:rPr>
              <w:t>Flavour</w:t>
            </w:r>
            <w:proofErr w:type="spellEnd"/>
          </w:p>
        </w:tc>
        <w:tc>
          <w:tcPr>
            <w:tcW w:w="1728" w:type="dxa"/>
            <w:hideMark/>
          </w:tcPr>
          <w:p w14:paraId="00F51CE2"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Overall Acceptability</w:t>
            </w:r>
          </w:p>
        </w:tc>
      </w:tr>
      <w:tr w:rsidR="00E310C1" w:rsidRPr="00E310C1" w14:paraId="328D05A4" w14:textId="77777777" w:rsidTr="00012014">
        <w:trPr>
          <w:trHeight w:val="288"/>
        </w:trPr>
        <w:tc>
          <w:tcPr>
            <w:tcW w:w="1728" w:type="dxa"/>
            <w:hideMark/>
          </w:tcPr>
          <w:p w14:paraId="006794C9"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lastRenderedPageBreak/>
              <w:t>C</w:t>
            </w:r>
          </w:p>
        </w:tc>
        <w:tc>
          <w:tcPr>
            <w:tcW w:w="1728" w:type="dxa"/>
          </w:tcPr>
          <w:p w14:paraId="20C394ED"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7.95</w:t>
            </w:r>
            <w:r w:rsidRPr="00E310C1">
              <w:rPr>
                <w:rFonts w:ascii="Arial" w:hAnsi="Arial" w:cs="Arial"/>
                <w:color w:val="000000"/>
                <w:vertAlign w:val="superscript"/>
                <w:lang w:eastAsia="en-IN" w:bidi="te-IN"/>
              </w:rPr>
              <w:t>b</w:t>
            </w:r>
          </w:p>
        </w:tc>
        <w:tc>
          <w:tcPr>
            <w:tcW w:w="1728" w:type="dxa"/>
            <w:hideMark/>
          </w:tcPr>
          <w:p w14:paraId="0A34FA88"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7.98ᵇ</w:t>
            </w:r>
          </w:p>
        </w:tc>
        <w:tc>
          <w:tcPr>
            <w:tcW w:w="1728" w:type="dxa"/>
          </w:tcPr>
          <w:p w14:paraId="2D7BD84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7.86ᵇ</w:t>
            </w:r>
          </w:p>
        </w:tc>
        <w:tc>
          <w:tcPr>
            <w:tcW w:w="1728" w:type="dxa"/>
            <w:hideMark/>
          </w:tcPr>
          <w:p w14:paraId="0324B6FF"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7.95ᵃᵇ</w:t>
            </w:r>
          </w:p>
        </w:tc>
      </w:tr>
      <w:tr w:rsidR="00E310C1" w:rsidRPr="00E310C1" w14:paraId="1A76E444" w14:textId="77777777" w:rsidTr="00012014">
        <w:trPr>
          <w:trHeight w:val="288"/>
        </w:trPr>
        <w:tc>
          <w:tcPr>
            <w:tcW w:w="1728" w:type="dxa"/>
            <w:hideMark/>
          </w:tcPr>
          <w:p w14:paraId="671E367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5</w:t>
            </w:r>
          </w:p>
        </w:tc>
        <w:tc>
          <w:tcPr>
            <w:tcW w:w="1728" w:type="dxa"/>
          </w:tcPr>
          <w:p w14:paraId="0D1CC542"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8.24ᵃ</w:t>
            </w:r>
          </w:p>
        </w:tc>
        <w:tc>
          <w:tcPr>
            <w:tcW w:w="1728" w:type="dxa"/>
            <w:hideMark/>
          </w:tcPr>
          <w:p w14:paraId="23C82DC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8.32ᵃ</w:t>
            </w:r>
          </w:p>
        </w:tc>
        <w:tc>
          <w:tcPr>
            <w:tcW w:w="1728" w:type="dxa"/>
          </w:tcPr>
          <w:p w14:paraId="5190D2A1"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8.23ᵃ</w:t>
            </w:r>
          </w:p>
        </w:tc>
        <w:tc>
          <w:tcPr>
            <w:tcW w:w="1728" w:type="dxa"/>
            <w:hideMark/>
          </w:tcPr>
          <w:p w14:paraId="3BED5231"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8.25ᵃ</w:t>
            </w:r>
          </w:p>
        </w:tc>
      </w:tr>
      <w:tr w:rsidR="00E310C1" w:rsidRPr="00E310C1" w14:paraId="5C43235E" w14:textId="77777777" w:rsidTr="00012014">
        <w:trPr>
          <w:trHeight w:val="288"/>
        </w:trPr>
        <w:tc>
          <w:tcPr>
            <w:tcW w:w="1728" w:type="dxa"/>
            <w:hideMark/>
          </w:tcPr>
          <w:p w14:paraId="5E1FBC99"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w:t>
            </w:r>
          </w:p>
        </w:tc>
        <w:tc>
          <w:tcPr>
            <w:tcW w:w="1728" w:type="dxa"/>
          </w:tcPr>
          <w:p w14:paraId="029326C2"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7.94ᵇ</w:t>
            </w:r>
          </w:p>
        </w:tc>
        <w:tc>
          <w:tcPr>
            <w:tcW w:w="1728" w:type="dxa"/>
            <w:hideMark/>
          </w:tcPr>
          <w:p w14:paraId="6242868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7.91</w:t>
            </w:r>
            <w:r w:rsidRPr="00E310C1">
              <w:rPr>
                <w:rFonts w:ascii="Arial" w:hAnsi="Arial" w:cs="Arial"/>
                <w:color w:val="000000"/>
                <w:vertAlign w:val="superscript"/>
                <w:lang w:eastAsia="en-IN" w:bidi="te-IN"/>
              </w:rPr>
              <w:t>b</w:t>
            </w:r>
          </w:p>
        </w:tc>
        <w:tc>
          <w:tcPr>
            <w:tcW w:w="1728" w:type="dxa"/>
          </w:tcPr>
          <w:p w14:paraId="2D304077"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7.50</w:t>
            </w:r>
            <w:r w:rsidRPr="00E310C1">
              <w:rPr>
                <w:rFonts w:ascii="Arial" w:hAnsi="Arial" w:cs="Arial"/>
                <w:color w:val="000000"/>
                <w:vertAlign w:val="superscript"/>
                <w:lang w:eastAsia="en-IN" w:bidi="te-IN"/>
              </w:rPr>
              <w:t>c</w:t>
            </w:r>
          </w:p>
        </w:tc>
        <w:tc>
          <w:tcPr>
            <w:tcW w:w="1728" w:type="dxa"/>
            <w:hideMark/>
          </w:tcPr>
          <w:p w14:paraId="2F25E807"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7.76ᵇ</w:t>
            </w:r>
          </w:p>
        </w:tc>
      </w:tr>
      <w:tr w:rsidR="00E310C1" w:rsidRPr="00E310C1" w14:paraId="4811D91C" w14:textId="77777777" w:rsidTr="00012014">
        <w:trPr>
          <w:trHeight w:val="288"/>
        </w:trPr>
        <w:tc>
          <w:tcPr>
            <w:tcW w:w="1728" w:type="dxa"/>
            <w:hideMark/>
          </w:tcPr>
          <w:p w14:paraId="16B0AA4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10</w:t>
            </w:r>
          </w:p>
        </w:tc>
        <w:tc>
          <w:tcPr>
            <w:tcW w:w="1728" w:type="dxa"/>
          </w:tcPr>
          <w:p w14:paraId="128183E5"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7.40</w:t>
            </w:r>
            <w:r w:rsidRPr="00E310C1">
              <w:rPr>
                <w:rFonts w:ascii="Arial" w:hAnsi="Arial" w:cs="Arial"/>
                <w:color w:val="000000"/>
                <w:vertAlign w:val="superscript"/>
                <w:lang w:eastAsia="en-IN" w:bidi="te-IN"/>
              </w:rPr>
              <w:t>c</w:t>
            </w:r>
          </w:p>
        </w:tc>
        <w:tc>
          <w:tcPr>
            <w:tcW w:w="1728" w:type="dxa"/>
            <w:hideMark/>
          </w:tcPr>
          <w:p w14:paraId="0DADA5B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7.50</w:t>
            </w:r>
            <w:r w:rsidRPr="00E310C1">
              <w:rPr>
                <w:rFonts w:ascii="Arial" w:hAnsi="Arial" w:cs="Arial"/>
                <w:color w:val="000000"/>
                <w:vertAlign w:val="superscript"/>
                <w:lang w:eastAsia="en-IN" w:bidi="te-IN"/>
              </w:rPr>
              <w:t>c</w:t>
            </w:r>
          </w:p>
        </w:tc>
        <w:tc>
          <w:tcPr>
            <w:tcW w:w="1728" w:type="dxa"/>
          </w:tcPr>
          <w:p w14:paraId="59BAEF7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7.20</w:t>
            </w:r>
            <w:r w:rsidRPr="00E310C1">
              <w:rPr>
                <w:rFonts w:ascii="Arial" w:hAnsi="Arial" w:cs="Arial"/>
                <w:color w:val="000000"/>
                <w:vertAlign w:val="superscript"/>
                <w:lang w:eastAsia="en-IN" w:bidi="te-IN"/>
              </w:rPr>
              <w:t>d</w:t>
            </w:r>
          </w:p>
        </w:tc>
        <w:tc>
          <w:tcPr>
            <w:tcW w:w="1728" w:type="dxa"/>
            <w:hideMark/>
          </w:tcPr>
          <w:p w14:paraId="7381727B"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7.48ᵇ</w:t>
            </w:r>
          </w:p>
        </w:tc>
      </w:tr>
      <w:tr w:rsidR="00E310C1" w:rsidRPr="00E310C1" w14:paraId="5061CCD6" w14:textId="77777777" w:rsidTr="00012014">
        <w:trPr>
          <w:trHeight w:val="288"/>
        </w:trPr>
        <w:tc>
          <w:tcPr>
            <w:tcW w:w="1728" w:type="dxa"/>
            <w:hideMark/>
          </w:tcPr>
          <w:p w14:paraId="6FC2EDE5"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CD(</w:t>
            </w:r>
            <w:r w:rsidRPr="00E310C1">
              <w:rPr>
                <w:rFonts w:ascii="Arial" w:hAnsi="Arial" w:cs="Arial"/>
                <w:b/>
                <w:bCs/>
                <w:i/>
                <w:iCs/>
                <w:color w:val="000000"/>
                <w:lang w:eastAsia="en-IN" w:bidi="te-IN"/>
              </w:rPr>
              <w:t>P=</w:t>
            </w:r>
            <w:r w:rsidRPr="00E310C1">
              <w:rPr>
                <w:rFonts w:ascii="Arial" w:hAnsi="Arial" w:cs="Arial"/>
                <w:b/>
                <w:bCs/>
                <w:color w:val="000000"/>
                <w:lang w:eastAsia="en-IN" w:bidi="te-IN"/>
              </w:rPr>
              <w:t>0.05)</w:t>
            </w:r>
          </w:p>
        </w:tc>
        <w:tc>
          <w:tcPr>
            <w:tcW w:w="1728" w:type="dxa"/>
          </w:tcPr>
          <w:p w14:paraId="242D6B85"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0.28</w:t>
            </w:r>
          </w:p>
        </w:tc>
        <w:tc>
          <w:tcPr>
            <w:tcW w:w="1728" w:type="dxa"/>
            <w:hideMark/>
          </w:tcPr>
          <w:p w14:paraId="7D829492"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0.32</w:t>
            </w:r>
          </w:p>
        </w:tc>
        <w:tc>
          <w:tcPr>
            <w:tcW w:w="1728" w:type="dxa"/>
          </w:tcPr>
          <w:p w14:paraId="158A9B47"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0.27</w:t>
            </w:r>
          </w:p>
        </w:tc>
        <w:tc>
          <w:tcPr>
            <w:tcW w:w="1728" w:type="dxa"/>
            <w:hideMark/>
          </w:tcPr>
          <w:p w14:paraId="0173BE8D"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0.34</w:t>
            </w:r>
          </w:p>
        </w:tc>
      </w:tr>
    </w:tbl>
    <w:p w14:paraId="15341D4D" w14:textId="2194C2C9" w:rsidR="000B65CE" w:rsidRPr="00E310C1" w:rsidRDefault="00E310C1" w:rsidP="00E310C1">
      <w:pPr>
        <w:pStyle w:val="Body"/>
        <w:jc w:val="center"/>
        <w:rPr>
          <w:rFonts w:ascii="Arial" w:hAnsi="Arial" w:cs="Arial"/>
          <w:i/>
          <w:iCs/>
        </w:rPr>
      </w:pPr>
      <w:r w:rsidRPr="00AE6F0A">
        <w:rPr>
          <w:rFonts w:ascii="Arial" w:hAnsi="Arial" w:cs="Arial"/>
          <w:noProof/>
          <w:sz w:val="24"/>
          <w:szCs w:val="24"/>
        </w:rPr>
        <w:drawing>
          <wp:anchor distT="0" distB="0" distL="114300" distR="114300" simplePos="0" relativeHeight="251654656" behindDoc="0" locked="0" layoutInCell="1" allowOverlap="1" wp14:anchorId="298A6E6D" wp14:editId="48873DA8">
            <wp:simplePos x="0" y="0"/>
            <wp:positionH relativeFrom="column">
              <wp:posOffset>95250</wp:posOffset>
            </wp:positionH>
            <wp:positionV relativeFrom="paragraph">
              <wp:posOffset>704215</wp:posOffset>
            </wp:positionV>
            <wp:extent cx="5010150" cy="3234690"/>
            <wp:effectExtent l="19050" t="19050" r="0" b="3810"/>
            <wp:wrapTopAndBottom/>
            <wp:docPr id="4040081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B65CE" w:rsidRPr="00E310C1">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18DA79B3" w14:textId="5317D66A" w:rsidR="000B65CE" w:rsidRPr="00E310C1" w:rsidRDefault="000B65CE" w:rsidP="00E310C1">
      <w:pPr>
        <w:pStyle w:val="Body"/>
        <w:rPr>
          <w:rFonts w:ascii="Arial" w:hAnsi="Arial" w:cs="Arial"/>
          <w:b/>
          <w:bCs/>
        </w:rPr>
      </w:pPr>
      <w:r w:rsidRPr="00E310C1">
        <w:rPr>
          <w:rFonts w:ascii="Arial" w:hAnsi="Arial" w:cs="Arial"/>
          <w:b/>
          <w:bCs/>
        </w:rPr>
        <w:t xml:space="preserve">Fig </w:t>
      </w:r>
      <w:r w:rsidR="00EC6D03">
        <w:rPr>
          <w:rFonts w:ascii="Arial" w:hAnsi="Arial" w:cs="Arial"/>
          <w:b/>
          <w:bCs/>
        </w:rPr>
        <w:t>2</w:t>
      </w:r>
      <w:r w:rsidRPr="00E310C1">
        <w:rPr>
          <w:rFonts w:ascii="Arial" w:hAnsi="Arial" w:cs="Arial"/>
          <w:b/>
          <w:bCs/>
        </w:rPr>
        <w:t>: Effect of various levels of Foxtail Millet on the sensory characteristics of Functional Buttermilk</w:t>
      </w:r>
    </w:p>
    <w:p w14:paraId="107B9103" w14:textId="73EC2129"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3.2 Effect of various levels of functional ingredients in the development of Functional Buttermilk enriched with Foxtail millet.</w:t>
      </w:r>
    </w:p>
    <w:p w14:paraId="6F76D06B" w14:textId="18AE8B71" w:rsidR="000B65CE" w:rsidRPr="000B65CE" w:rsidRDefault="000B65CE" w:rsidP="000B65CE">
      <w:pPr>
        <w:pStyle w:val="Body"/>
        <w:rPr>
          <w:rFonts w:ascii="Arial" w:hAnsi="Arial" w:cs="Arial"/>
          <w:b/>
          <w:bCs/>
          <w:u w:val="single"/>
        </w:rPr>
      </w:pPr>
      <w:r w:rsidRPr="000B65CE">
        <w:rPr>
          <w:rFonts w:ascii="Arial" w:hAnsi="Arial" w:cs="Arial"/>
          <w:b/>
          <w:bCs/>
          <w:u w:val="single"/>
        </w:rPr>
        <w:t>3.2.1 Effect of various levels of Rock Salt on the sensory characteristics of Functional Buttermilk</w:t>
      </w:r>
    </w:p>
    <w:p w14:paraId="3C2678C8" w14:textId="2316ADD4" w:rsidR="000B65CE" w:rsidRPr="000B65CE" w:rsidRDefault="000B65CE" w:rsidP="000B65CE">
      <w:pPr>
        <w:pStyle w:val="Body"/>
        <w:rPr>
          <w:rFonts w:ascii="Arial" w:hAnsi="Arial" w:cs="Arial"/>
        </w:rPr>
      </w:pPr>
      <w:r w:rsidRPr="000B65CE">
        <w:rPr>
          <w:rFonts w:ascii="Arial" w:hAnsi="Arial" w:cs="Arial"/>
        </w:rPr>
        <w:t>Comparative sensory evaluation showed that the control sample for color and appearance achieved an average score of 7.92, while buttermilk</w:t>
      </w:r>
      <w:r w:rsidR="00FA3D05">
        <w:rPr>
          <w:rFonts w:ascii="Arial" w:hAnsi="Arial" w:cs="Arial"/>
        </w:rPr>
        <w:t xml:space="preserve"> enriched with 5% foxtail millet</w:t>
      </w:r>
      <w:r w:rsidRPr="000B65CE">
        <w:rPr>
          <w:rFonts w:ascii="Arial" w:hAnsi="Arial" w:cs="Arial"/>
        </w:rPr>
        <w:t xml:space="preserve"> samples with added rock salt at 0.5%, 1.0%, and 1.5% levels received respective scores of 7.98, 8.21, and 7.74. The buttermilk with 1.0% rock salt attained the highest body and texture score at 8.36, whereas the sample with 1.5% rock salt had the lowest score at 7.51. Both the control and the sample with 0.5% rock salt secured body and texture scores of 8.01 and 7.92, respectively. For </w:t>
      </w:r>
      <w:proofErr w:type="spellStart"/>
      <w:r w:rsidRPr="000B65CE">
        <w:rPr>
          <w:rFonts w:ascii="Arial" w:hAnsi="Arial" w:cs="Arial"/>
        </w:rPr>
        <w:t>flavour</w:t>
      </w:r>
      <w:proofErr w:type="spellEnd"/>
      <w:r w:rsidRPr="000B65CE">
        <w:rPr>
          <w:rFonts w:ascii="Arial" w:hAnsi="Arial" w:cs="Arial"/>
        </w:rPr>
        <w:t>, the 1.0% rock salt sample led with a score of 8.27, in contrast to the control (7.95), 0.5% rock salt (7.65), and 1.5% rock salt (7.40) samples. The highest overall acceptability score of 8.24 was observed with 1.0% rock salt, whereas the sample with 1.5% rock salt received the lowest score of 7.32; the control and 0.5% rock salt samples had scores of 7.95 and 7.70, respectively.</w:t>
      </w:r>
    </w:p>
    <w:p w14:paraId="2AF45751" w14:textId="1F46B5B0" w:rsidR="000B65CE" w:rsidRDefault="000B65CE" w:rsidP="000B65CE">
      <w:pPr>
        <w:pStyle w:val="Body"/>
        <w:rPr>
          <w:rFonts w:ascii="Arial" w:hAnsi="Arial" w:cs="Arial"/>
        </w:rPr>
      </w:pPr>
      <w:r w:rsidRPr="000B65CE">
        <w:rPr>
          <w:rFonts w:ascii="Arial" w:hAnsi="Arial" w:cs="Arial"/>
        </w:rPr>
        <w:lastRenderedPageBreak/>
        <w:t>Nagesh</w:t>
      </w:r>
      <w:r w:rsidR="00AF3F12">
        <w:rPr>
          <w:rFonts w:ascii="Arial" w:hAnsi="Arial" w:cs="Arial"/>
        </w:rPr>
        <w:t xml:space="preserve"> et al.,</w:t>
      </w:r>
      <w:r w:rsidRPr="000B65CE">
        <w:rPr>
          <w:rFonts w:ascii="Arial" w:hAnsi="Arial" w:cs="Arial"/>
        </w:rPr>
        <w:t xml:space="preserve"> (2024) developed herbal spiced buttermilk incorporating 1.0% rock salt, which achieved the highest sensory scores: </w:t>
      </w:r>
      <w:proofErr w:type="spellStart"/>
      <w:r w:rsidRPr="000B65CE">
        <w:rPr>
          <w:rFonts w:ascii="Arial" w:hAnsi="Arial" w:cs="Arial"/>
        </w:rPr>
        <w:t>Colour</w:t>
      </w:r>
      <w:proofErr w:type="spellEnd"/>
      <w:r w:rsidRPr="000B65CE">
        <w:rPr>
          <w:rFonts w:ascii="Arial" w:hAnsi="Arial" w:cs="Arial"/>
        </w:rPr>
        <w:t xml:space="preserve"> and appearance – 8.66, Body and texture – 8.66, </w:t>
      </w:r>
      <w:proofErr w:type="spellStart"/>
      <w:r w:rsidRPr="000B65CE">
        <w:rPr>
          <w:rFonts w:ascii="Arial" w:hAnsi="Arial" w:cs="Arial"/>
        </w:rPr>
        <w:t>Flavour</w:t>
      </w:r>
      <w:proofErr w:type="spellEnd"/>
      <w:r w:rsidRPr="000B65CE">
        <w:rPr>
          <w:rFonts w:ascii="Arial" w:hAnsi="Arial" w:cs="Arial"/>
        </w:rPr>
        <w:t xml:space="preserve"> – 8.63, and Overall acceptability – 8.58. Higher additions of rock salt (1.25% and 1.5%) resulted in significantly lower scores, with overall acceptability declining to 7.91 and 7.33. Bari et al. (2020) prepared Borhani, a traditional spiced yoghurt drink, using whole milk curd with 0.7% rock salt and a spice mix. The sensory scores obtained for Borhani were </w:t>
      </w:r>
      <w:proofErr w:type="spellStart"/>
      <w:r w:rsidRPr="000B65CE">
        <w:rPr>
          <w:rFonts w:ascii="Arial" w:hAnsi="Arial" w:cs="Arial"/>
        </w:rPr>
        <w:t>Colour</w:t>
      </w:r>
      <w:proofErr w:type="spellEnd"/>
      <w:r w:rsidRPr="000B65CE">
        <w:rPr>
          <w:rFonts w:ascii="Arial" w:hAnsi="Arial" w:cs="Arial"/>
        </w:rPr>
        <w:t xml:space="preserve"> and appearance – 17.67, Smell and taste – 47.33, Body and consistency – 26.33, with a total score of 91.33 ± 0.88 out of 100.</w:t>
      </w:r>
    </w:p>
    <w:p w14:paraId="7AC67CEA" w14:textId="67813124" w:rsidR="000B65CE" w:rsidRDefault="000B65CE" w:rsidP="000B65CE">
      <w:pPr>
        <w:pStyle w:val="Body"/>
        <w:rPr>
          <w:rFonts w:ascii="Arial" w:hAnsi="Arial" w:cs="Arial"/>
          <w:b/>
          <w:bCs/>
        </w:rPr>
      </w:pPr>
      <w:r w:rsidRPr="00FA418B">
        <w:rPr>
          <w:rFonts w:ascii="Arial" w:hAnsi="Arial" w:cs="Arial"/>
          <w:b/>
          <w:bCs/>
        </w:rPr>
        <w:t>Table 2: Effect of various levels of Rock Salt on the sensory characteristics of Functional Buttermilk</w:t>
      </w:r>
    </w:p>
    <w:tbl>
      <w:tblPr>
        <w:tblStyle w:val="TableGridLight"/>
        <w:tblW w:w="8420" w:type="dxa"/>
        <w:tblLook w:val="04A0" w:firstRow="1" w:lastRow="0" w:firstColumn="1" w:lastColumn="0" w:noHBand="0" w:noVBand="1"/>
      </w:tblPr>
      <w:tblGrid>
        <w:gridCol w:w="1682"/>
        <w:gridCol w:w="1680"/>
        <w:gridCol w:w="1674"/>
        <w:gridCol w:w="1674"/>
        <w:gridCol w:w="1710"/>
      </w:tblGrid>
      <w:tr w:rsidR="00FA418B" w:rsidRPr="00FA418B" w14:paraId="166F21DA" w14:textId="77777777" w:rsidTr="00FA418B">
        <w:trPr>
          <w:trHeight w:val="288"/>
        </w:trPr>
        <w:tc>
          <w:tcPr>
            <w:tcW w:w="1682" w:type="dxa"/>
            <w:vAlign w:val="center"/>
            <w:hideMark/>
          </w:tcPr>
          <w:p w14:paraId="4DDADC99" w14:textId="0A3A22F1"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Rock Salt</w:t>
            </w:r>
            <w:r w:rsidRPr="00FA418B">
              <w:rPr>
                <w:rFonts w:ascii="Arial" w:hAnsi="Arial" w:cs="Arial"/>
                <w:b/>
                <w:bCs/>
              </w:rPr>
              <w:t xml:space="preserve"> (%)</w:t>
            </w:r>
          </w:p>
        </w:tc>
        <w:tc>
          <w:tcPr>
            <w:tcW w:w="1680" w:type="dxa"/>
            <w:vAlign w:val="center"/>
          </w:tcPr>
          <w:p w14:paraId="604DB8AA"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Colour</w:t>
            </w:r>
            <w:proofErr w:type="spellEnd"/>
            <w:r w:rsidRPr="00FA418B">
              <w:rPr>
                <w:rFonts w:ascii="Arial" w:hAnsi="Arial" w:cs="Arial"/>
                <w:b/>
                <w:bCs/>
                <w:color w:val="000000"/>
                <w:lang w:eastAsia="en-IN" w:bidi="te-IN"/>
              </w:rPr>
              <w:t xml:space="preserve"> and Appearance</w:t>
            </w:r>
          </w:p>
        </w:tc>
        <w:tc>
          <w:tcPr>
            <w:tcW w:w="1674" w:type="dxa"/>
            <w:vAlign w:val="center"/>
            <w:hideMark/>
          </w:tcPr>
          <w:p w14:paraId="20B23EDB"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Body and Texture</w:t>
            </w:r>
          </w:p>
        </w:tc>
        <w:tc>
          <w:tcPr>
            <w:tcW w:w="1674" w:type="dxa"/>
            <w:vAlign w:val="center"/>
          </w:tcPr>
          <w:p w14:paraId="71221D04"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Flavour</w:t>
            </w:r>
            <w:proofErr w:type="spellEnd"/>
          </w:p>
        </w:tc>
        <w:tc>
          <w:tcPr>
            <w:tcW w:w="1710" w:type="dxa"/>
            <w:vAlign w:val="center"/>
            <w:hideMark/>
          </w:tcPr>
          <w:p w14:paraId="44C00AE7"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Overall Acceptability</w:t>
            </w:r>
          </w:p>
        </w:tc>
      </w:tr>
      <w:tr w:rsidR="00FA418B" w:rsidRPr="00FA418B" w14:paraId="09DD0917" w14:textId="77777777" w:rsidTr="00FA418B">
        <w:trPr>
          <w:trHeight w:val="288"/>
        </w:trPr>
        <w:tc>
          <w:tcPr>
            <w:tcW w:w="1682" w:type="dxa"/>
            <w:vAlign w:val="center"/>
            <w:hideMark/>
          </w:tcPr>
          <w:p w14:paraId="40726B2E" w14:textId="777777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C</w:t>
            </w:r>
          </w:p>
        </w:tc>
        <w:tc>
          <w:tcPr>
            <w:tcW w:w="1680" w:type="dxa"/>
            <w:vAlign w:val="center"/>
          </w:tcPr>
          <w:p w14:paraId="0086AC64" w14:textId="2A2895F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7.92ᵃ</w:t>
            </w:r>
          </w:p>
        </w:tc>
        <w:tc>
          <w:tcPr>
            <w:tcW w:w="1674" w:type="dxa"/>
            <w:vAlign w:val="center"/>
            <w:hideMark/>
          </w:tcPr>
          <w:p w14:paraId="4990224A" w14:textId="709A82AB"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8.01ᵇ</w:t>
            </w:r>
          </w:p>
        </w:tc>
        <w:tc>
          <w:tcPr>
            <w:tcW w:w="1674" w:type="dxa"/>
            <w:vAlign w:val="center"/>
          </w:tcPr>
          <w:p w14:paraId="39803FEF" w14:textId="2A9091E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7.95ᵇ</w:t>
            </w:r>
          </w:p>
        </w:tc>
        <w:tc>
          <w:tcPr>
            <w:tcW w:w="1710" w:type="dxa"/>
            <w:vAlign w:val="center"/>
            <w:hideMark/>
          </w:tcPr>
          <w:p w14:paraId="08218AF8" w14:textId="5D2AF1F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7.95</w:t>
            </w:r>
            <w:r w:rsidRPr="00FA418B">
              <w:rPr>
                <w:rFonts w:ascii="Arial" w:hAnsi="Arial" w:cs="Arial"/>
                <w:color w:val="000000"/>
                <w:vertAlign w:val="superscript"/>
                <w:lang w:eastAsia="en-IN" w:bidi="te-IN"/>
              </w:rPr>
              <w:t>a</w:t>
            </w:r>
            <w:r w:rsidRPr="00FA418B">
              <w:rPr>
                <w:rFonts w:ascii="Arial" w:hAnsi="Arial" w:cs="Arial"/>
                <w:color w:val="000000"/>
                <w:lang w:eastAsia="en-IN" w:bidi="te-IN"/>
              </w:rPr>
              <w:t>ᵇ</w:t>
            </w:r>
          </w:p>
        </w:tc>
      </w:tr>
      <w:tr w:rsidR="00FA418B" w:rsidRPr="00FA418B" w14:paraId="4E7A5B02" w14:textId="77777777" w:rsidTr="00FA418B">
        <w:trPr>
          <w:trHeight w:val="288"/>
        </w:trPr>
        <w:tc>
          <w:tcPr>
            <w:tcW w:w="1682" w:type="dxa"/>
            <w:vAlign w:val="center"/>
            <w:hideMark/>
          </w:tcPr>
          <w:p w14:paraId="7FB26548" w14:textId="441AADE5"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0.</w:t>
            </w:r>
            <w:r w:rsidR="00FA418B" w:rsidRPr="00FA418B">
              <w:rPr>
                <w:rFonts w:ascii="Arial" w:hAnsi="Arial" w:cs="Arial"/>
                <w:color w:val="000000"/>
                <w:lang w:eastAsia="en-IN" w:bidi="te-IN"/>
              </w:rPr>
              <w:t>5</w:t>
            </w:r>
          </w:p>
        </w:tc>
        <w:tc>
          <w:tcPr>
            <w:tcW w:w="1680" w:type="dxa"/>
            <w:vAlign w:val="center"/>
          </w:tcPr>
          <w:p w14:paraId="79E4889E" w14:textId="693C8D1F"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7.98ᵃ</w:t>
            </w:r>
          </w:p>
        </w:tc>
        <w:tc>
          <w:tcPr>
            <w:tcW w:w="1674" w:type="dxa"/>
            <w:vAlign w:val="center"/>
            <w:hideMark/>
          </w:tcPr>
          <w:p w14:paraId="4F5A1334" w14:textId="1237001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7.92ᵇ</w:t>
            </w:r>
          </w:p>
        </w:tc>
        <w:tc>
          <w:tcPr>
            <w:tcW w:w="1674" w:type="dxa"/>
            <w:vAlign w:val="center"/>
          </w:tcPr>
          <w:p w14:paraId="4D9F8AD4" w14:textId="68FD7BA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7.65ᵇᶜ</w:t>
            </w:r>
          </w:p>
        </w:tc>
        <w:tc>
          <w:tcPr>
            <w:tcW w:w="1710" w:type="dxa"/>
            <w:vAlign w:val="center"/>
            <w:hideMark/>
          </w:tcPr>
          <w:p w14:paraId="7C9DD827" w14:textId="4C61CE39"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7.70ᵇ</w:t>
            </w:r>
          </w:p>
        </w:tc>
      </w:tr>
      <w:tr w:rsidR="00FA418B" w:rsidRPr="00FA418B" w14:paraId="3A55EA5D" w14:textId="77777777" w:rsidTr="00FA418B">
        <w:trPr>
          <w:trHeight w:val="288"/>
        </w:trPr>
        <w:tc>
          <w:tcPr>
            <w:tcW w:w="1682" w:type="dxa"/>
            <w:vAlign w:val="center"/>
            <w:hideMark/>
          </w:tcPr>
          <w:p w14:paraId="47024BE5" w14:textId="45B8B3C1"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1.0</w:t>
            </w:r>
          </w:p>
        </w:tc>
        <w:tc>
          <w:tcPr>
            <w:tcW w:w="1680" w:type="dxa"/>
            <w:vAlign w:val="center"/>
          </w:tcPr>
          <w:p w14:paraId="3E2666CF" w14:textId="7DBFA89D"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8.21ᵃ</w:t>
            </w:r>
          </w:p>
        </w:tc>
        <w:tc>
          <w:tcPr>
            <w:tcW w:w="1674" w:type="dxa"/>
            <w:vAlign w:val="center"/>
            <w:hideMark/>
          </w:tcPr>
          <w:p w14:paraId="6242EC23" w14:textId="7804509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8.36ᵃ</w:t>
            </w:r>
          </w:p>
        </w:tc>
        <w:tc>
          <w:tcPr>
            <w:tcW w:w="1674" w:type="dxa"/>
            <w:vAlign w:val="center"/>
          </w:tcPr>
          <w:p w14:paraId="3C69EBDB" w14:textId="5B33FFF3"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8.27ᵃ</w:t>
            </w:r>
          </w:p>
        </w:tc>
        <w:tc>
          <w:tcPr>
            <w:tcW w:w="1710" w:type="dxa"/>
            <w:vAlign w:val="center"/>
            <w:hideMark/>
          </w:tcPr>
          <w:p w14:paraId="468A150A" w14:textId="10722A0B"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8.24ᵃ</w:t>
            </w:r>
          </w:p>
        </w:tc>
      </w:tr>
      <w:tr w:rsidR="00FA418B" w:rsidRPr="00FA418B" w14:paraId="682A6CDA" w14:textId="77777777" w:rsidTr="00FA418B">
        <w:trPr>
          <w:trHeight w:val="288"/>
        </w:trPr>
        <w:tc>
          <w:tcPr>
            <w:tcW w:w="1682" w:type="dxa"/>
            <w:vAlign w:val="center"/>
            <w:hideMark/>
          </w:tcPr>
          <w:p w14:paraId="0D0CC170" w14:textId="4893AA6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1</w:t>
            </w:r>
            <w:r w:rsidR="00360069">
              <w:rPr>
                <w:rFonts w:ascii="Arial" w:hAnsi="Arial" w:cs="Arial"/>
                <w:color w:val="000000"/>
                <w:lang w:eastAsia="en-IN" w:bidi="te-IN"/>
              </w:rPr>
              <w:t>.5</w:t>
            </w:r>
          </w:p>
        </w:tc>
        <w:tc>
          <w:tcPr>
            <w:tcW w:w="1680" w:type="dxa"/>
            <w:vAlign w:val="center"/>
          </w:tcPr>
          <w:p w14:paraId="3D659C63" w14:textId="18500CB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7.74</w:t>
            </w:r>
            <w:r w:rsidRPr="00FA418B">
              <w:rPr>
                <w:rFonts w:ascii="Arial" w:hAnsi="Arial" w:cs="Arial"/>
                <w:color w:val="000000"/>
                <w:vertAlign w:val="superscript"/>
                <w:lang w:eastAsia="en-IN" w:bidi="te-IN"/>
              </w:rPr>
              <w:t>a</w:t>
            </w:r>
          </w:p>
        </w:tc>
        <w:tc>
          <w:tcPr>
            <w:tcW w:w="1674" w:type="dxa"/>
            <w:vAlign w:val="center"/>
            <w:hideMark/>
          </w:tcPr>
          <w:p w14:paraId="7E2D4C5D" w14:textId="18F05D26"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7.51ᶜ</w:t>
            </w:r>
          </w:p>
        </w:tc>
        <w:tc>
          <w:tcPr>
            <w:tcW w:w="1674" w:type="dxa"/>
            <w:vAlign w:val="center"/>
          </w:tcPr>
          <w:p w14:paraId="2AD79A27" w14:textId="1CB55D53"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7.40ᶜ</w:t>
            </w:r>
          </w:p>
        </w:tc>
        <w:tc>
          <w:tcPr>
            <w:tcW w:w="1710" w:type="dxa"/>
            <w:vAlign w:val="center"/>
            <w:hideMark/>
          </w:tcPr>
          <w:p w14:paraId="2C418224" w14:textId="03AF955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7.32</w:t>
            </w:r>
            <w:r w:rsidRPr="00FA418B">
              <w:rPr>
                <w:rFonts w:ascii="Arial" w:hAnsi="Arial" w:cs="Arial"/>
                <w:color w:val="000000"/>
                <w:vertAlign w:val="superscript"/>
                <w:lang w:eastAsia="en-IN" w:bidi="te-IN"/>
              </w:rPr>
              <w:t>bc</w:t>
            </w:r>
          </w:p>
        </w:tc>
      </w:tr>
      <w:tr w:rsidR="00FA418B" w:rsidRPr="00FA418B" w14:paraId="76885837" w14:textId="77777777" w:rsidTr="00FA418B">
        <w:trPr>
          <w:trHeight w:val="288"/>
        </w:trPr>
        <w:tc>
          <w:tcPr>
            <w:tcW w:w="1682" w:type="dxa"/>
            <w:vAlign w:val="center"/>
            <w:hideMark/>
          </w:tcPr>
          <w:p w14:paraId="3E9ED5DD"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CD(</w:t>
            </w:r>
            <w:r w:rsidRPr="00FA418B">
              <w:rPr>
                <w:rFonts w:ascii="Arial" w:hAnsi="Arial" w:cs="Arial"/>
                <w:b/>
                <w:bCs/>
                <w:i/>
                <w:iCs/>
                <w:color w:val="000000"/>
                <w:lang w:eastAsia="en-IN" w:bidi="te-IN"/>
              </w:rPr>
              <w:t>P=</w:t>
            </w:r>
            <w:r w:rsidRPr="00FA418B">
              <w:rPr>
                <w:rFonts w:ascii="Arial" w:hAnsi="Arial" w:cs="Arial"/>
                <w:b/>
                <w:bCs/>
                <w:color w:val="000000"/>
                <w:lang w:eastAsia="en-IN" w:bidi="te-IN"/>
              </w:rPr>
              <w:t>0.05)</w:t>
            </w:r>
          </w:p>
        </w:tc>
        <w:tc>
          <w:tcPr>
            <w:tcW w:w="1680" w:type="dxa"/>
            <w:vAlign w:val="center"/>
          </w:tcPr>
          <w:p w14:paraId="6E7F63FC" w14:textId="6CF1896A"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0.56</w:t>
            </w:r>
          </w:p>
        </w:tc>
        <w:tc>
          <w:tcPr>
            <w:tcW w:w="1674" w:type="dxa"/>
            <w:vAlign w:val="center"/>
            <w:hideMark/>
          </w:tcPr>
          <w:p w14:paraId="282BBF8C" w14:textId="4FCB2780"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0.36</w:t>
            </w:r>
          </w:p>
        </w:tc>
        <w:tc>
          <w:tcPr>
            <w:tcW w:w="1674" w:type="dxa"/>
            <w:vAlign w:val="center"/>
          </w:tcPr>
          <w:p w14:paraId="31602139" w14:textId="73057918"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0.40</w:t>
            </w:r>
          </w:p>
        </w:tc>
        <w:tc>
          <w:tcPr>
            <w:tcW w:w="1710" w:type="dxa"/>
            <w:vAlign w:val="center"/>
            <w:hideMark/>
          </w:tcPr>
          <w:p w14:paraId="4FE7467F" w14:textId="03BC72B3"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0.52</w:t>
            </w:r>
          </w:p>
        </w:tc>
      </w:tr>
    </w:tbl>
    <w:p w14:paraId="1FAF0324" w14:textId="31C505A7" w:rsidR="000B65CE" w:rsidRDefault="000B65CE" w:rsidP="00E310C1">
      <w:pPr>
        <w:pStyle w:val="Body"/>
        <w:jc w:val="center"/>
        <w:rPr>
          <w:rFonts w:ascii="Arial" w:hAnsi="Arial" w:cs="Arial"/>
          <w:i/>
          <w:iCs/>
        </w:rPr>
      </w:pPr>
      <w:r w:rsidRPr="00E310C1">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3C20DBAA" w14:textId="077436AE" w:rsidR="00E310C1" w:rsidRDefault="00E310C1" w:rsidP="00E310C1">
      <w:pPr>
        <w:pStyle w:val="Body"/>
        <w:jc w:val="center"/>
        <w:rPr>
          <w:rFonts w:ascii="Arial" w:hAnsi="Arial" w:cs="Arial"/>
          <w:i/>
          <w:iCs/>
        </w:rPr>
      </w:pPr>
    </w:p>
    <w:p w14:paraId="1818315B" w14:textId="73C7C0AC" w:rsidR="000B65CE" w:rsidRPr="00FA418B" w:rsidRDefault="00FA418B" w:rsidP="00AF3F12">
      <w:pPr>
        <w:pStyle w:val="Body"/>
        <w:jc w:val="center"/>
        <w:rPr>
          <w:rFonts w:ascii="Arial" w:hAnsi="Arial" w:cs="Arial"/>
          <w:b/>
          <w:bCs/>
        </w:rPr>
      </w:pPr>
      <w:r w:rsidRPr="00AE6F0A">
        <w:rPr>
          <w:rFonts w:ascii="Arial" w:hAnsi="Arial" w:cs="Arial"/>
          <w:noProof/>
        </w:rPr>
        <w:drawing>
          <wp:anchor distT="0" distB="0" distL="114300" distR="114300" simplePos="0" relativeHeight="251660800" behindDoc="0" locked="0" layoutInCell="1" allowOverlap="1" wp14:anchorId="7C49EB58" wp14:editId="1B2D166C">
            <wp:simplePos x="0" y="0"/>
            <wp:positionH relativeFrom="column">
              <wp:posOffset>396875</wp:posOffset>
            </wp:positionH>
            <wp:positionV relativeFrom="paragraph">
              <wp:posOffset>-195368</wp:posOffset>
            </wp:positionV>
            <wp:extent cx="4937760" cy="3291840"/>
            <wp:effectExtent l="19050" t="19050" r="0" b="3810"/>
            <wp:wrapTopAndBottom/>
            <wp:docPr id="12315897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B65CE" w:rsidRPr="00FA418B">
        <w:rPr>
          <w:rFonts w:ascii="Arial" w:hAnsi="Arial" w:cs="Arial"/>
          <w:b/>
          <w:bCs/>
        </w:rPr>
        <w:t xml:space="preserve">Fig </w:t>
      </w:r>
      <w:r w:rsidR="00EC6D03">
        <w:rPr>
          <w:rFonts w:ascii="Arial" w:hAnsi="Arial" w:cs="Arial"/>
          <w:b/>
          <w:bCs/>
        </w:rPr>
        <w:t>3</w:t>
      </w:r>
      <w:r w:rsidR="000B65CE" w:rsidRPr="00FA418B">
        <w:rPr>
          <w:rFonts w:ascii="Arial" w:hAnsi="Arial" w:cs="Arial"/>
          <w:b/>
          <w:bCs/>
        </w:rPr>
        <w:t>: Effect of various levels of Rock Salt on the sensory characteristics of Functional Buttermilk</w:t>
      </w:r>
    </w:p>
    <w:p w14:paraId="732A2927" w14:textId="0EFBFF99" w:rsidR="000B65CE" w:rsidRPr="000B65CE" w:rsidRDefault="000B65CE" w:rsidP="000B65CE">
      <w:pPr>
        <w:pStyle w:val="Body"/>
        <w:rPr>
          <w:rFonts w:ascii="Arial" w:hAnsi="Arial" w:cs="Arial"/>
          <w:b/>
          <w:bCs/>
          <w:u w:val="single"/>
        </w:rPr>
      </w:pPr>
      <w:r w:rsidRPr="000B65CE">
        <w:rPr>
          <w:rFonts w:ascii="Arial" w:hAnsi="Arial" w:cs="Arial"/>
          <w:b/>
          <w:bCs/>
          <w:u w:val="single"/>
        </w:rPr>
        <w:lastRenderedPageBreak/>
        <w:t>3.2.2 Effect of various levels of Black Cumin on the sensory characteristics of Functional Buttermilk</w:t>
      </w:r>
    </w:p>
    <w:p w14:paraId="3379A6BE" w14:textId="4A08A25C" w:rsidR="000B65CE" w:rsidRPr="000B65CE" w:rsidRDefault="000B65CE" w:rsidP="000B65CE">
      <w:pPr>
        <w:pStyle w:val="Body"/>
        <w:rPr>
          <w:rFonts w:ascii="Arial" w:hAnsi="Arial" w:cs="Arial"/>
        </w:rPr>
      </w:pPr>
      <w:r w:rsidRPr="000B65CE">
        <w:rPr>
          <w:rFonts w:ascii="Arial" w:hAnsi="Arial" w:cs="Arial"/>
        </w:rPr>
        <w:t>The control sample achieved a mean color and appearance score of 8.01, while treated buttermilk</w:t>
      </w:r>
      <w:r w:rsidR="00FA3D05">
        <w:rPr>
          <w:rFonts w:ascii="Arial" w:hAnsi="Arial" w:cs="Arial"/>
        </w:rPr>
        <w:t xml:space="preserve"> with 5% foxtail millet</w:t>
      </w:r>
      <w:r w:rsidR="00F305F1">
        <w:rPr>
          <w:rFonts w:ascii="Arial" w:hAnsi="Arial" w:cs="Arial"/>
        </w:rPr>
        <w:t>,</w:t>
      </w:r>
      <w:r w:rsidR="00FA3D05">
        <w:rPr>
          <w:rFonts w:ascii="Arial" w:hAnsi="Arial" w:cs="Arial"/>
        </w:rPr>
        <w:t xml:space="preserve"> 1% rock salt</w:t>
      </w:r>
      <w:r w:rsidRPr="000B65CE">
        <w:rPr>
          <w:rFonts w:ascii="Arial" w:hAnsi="Arial" w:cs="Arial"/>
        </w:rPr>
        <w:t xml:space="preserve"> sample</w:t>
      </w:r>
      <w:r w:rsidR="00F305F1">
        <w:rPr>
          <w:rFonts w:ascii="Arial" w:hAnsi="Arial" w:cs="Arial"/>
        </w:rPr>
        <w:t xml:space="preserve"> is optimizing with</w:t>
      </w:r>
      <w:r w:rsidRPr="000B65CE">
        <w:rPr>
          <w:rFonts w:ascii="Arial" w:hAnsi="Arial" w:cs="Arial"/>
        </w:rPr>
        <w:t xml:space="preserve"> 1, 1.5, and 2.0 % black cumin seed powder scored 8.24, 7.32, and 6.83, respectively. In terms of body and texture, the control received a score of 7.94, with the treated samples scoring 8.33, 7.50, and 7.0. For </w:t>
      </w:r>
      <w:proofErr w:type="spellStart"/>
      <w:r w:rsidRPr="000B65CE">
        <w:rPr>
          <w:rFonts w:ascii="Arial" w:hAnsi="Arial" w:cs="Arial"/>
        </w:rPr>
        <w:t>flavour</w:t>
      </w:r>
      <w:proofErr w:type="spellEnd"/>
      <w:r w:rsidRPr="000B65CE">
        <w:rPr>
          <w:rFonts w:ascii="Arial" w:hAnsi="Arial" w:cs="Arial"/>
        </w:rPr>
        <w:t xml:space="preserve">, scores were 7.89 for control and 8.42, 7.14, and 6.8 for the experimental samples, with the sample containing 1% black cumin seed powder obtaining the highest </w:t>
      </w:r>
      <w:proofErr w:type="spellStart"/>
      <w:r w:rsidRPr="000B65CE">
        <w:rPr>
          <w:rFonts w:ascii="Arial" w:hAnsi="Arial" w:cs="Arial"/>
        </w:rPr>
        <w:t>flavour</w:t>
      </w:r>
      <w:proofErr w:type="spellEnd"/>
      <w:r w:rsidRPr="000B65CE">
        <w:rPr>
          <w:rFonts w:ascii="Arial" w:hAnsi="Arial" w:cs="Arial"/>
        </w:rPr>
        <w:t xml:space="preserve"> rating of 8.24. Overall acceptability scores were 7.98 for the control and 8.50, 7.16, and 6.68 for samples with 1, 1.5, and 2.0 % black cumin seed powder, respectively, indicating that 2 % black cumin seed powder resulted in the lowest acceptability due to a pronounced bitter taste, whereas buttermilk fortified with 1% black cumin seed powder was most preferred for its flavor and acceptability.</w:t>
      </w:r>
    </w:p>
    <w:p w14:paraId="5CFE9E50" w14:textId="274029BD" w:rsidR="000B65CE" w:rsidRPr="000B65CE" w:rsidRDefault="000B65CE" w:rsidP="000B65CE">
      <w:pPr>
        <w:pStyle w:val="Body"/>
        <w:rPr>
          <w:rFonts w:ascii="Arial" w:hAnsi="Arial" w:cs="Arial"/>
        </w:rPr>
      </w:pPr>
      <w:r w:rsidRPr="000B65CE">
        <w:rPr>
          <w:rFonts w:ascii="Arial" w:hAnsi="Arial" w:cs="Arial"/>
        </w:rPr>
        <w:t xml:space="preserve">Salwa et al. (2024) incorporated 0.5% black cumin (Nigella sativa) seeds into goat’s milk yoghurt mish. The study showed that yoghurt with black cumin seeds achieved the highest sensory scores: </w:t>
      </w:r>
      <w:proofErr w:type="spellStart"/>
      <w:r w:rsidRPr="000B65CE">
        <w:rPr>
          <w:rFonts w:ascii="Arial" w:hAnsi="Arial" w:cs="Arial"/>
        </w:rPr>
        <w:t>Colour</w:t>
      </w:r>
      <w:proofErr w:type="spellEnd"/>
      <w:r w:rsidRPr="000B65CE">
        <w:rPr>
          <w:rFonts w:ascii="Arial" w:hAnsi="Arial" w:cs="Arial"/>
        </w:rPr>
        <w:t xml:space="preserve"> – 4.83, </w:t>
      </w:r>
      <w:proofErr w:type="spellStart"/>
      <w:r w:rsidRPr="000B65CE">
        <w:rPr>
          <w:rFonts w:ascii="Arial" w:hAnsi="Arial" w:cs="Arial"/>
        </w:rPr>
        <w:t>Flavour</w:t>
      </w:r>
      <w:proofErr w:type="spellEnd"/>
      <w:r w:rsidRPr="000B65CE">
        <w:rPr>
          <w:rFonts w:ascii="Arial" w:hAnsi="Arial" w:cs="Arial"/>
        </w:rPr>
        <w:t xml:space="preserve"> – 4.36, Consistency – 4.70, Taste – 4.16, and Overall acceptability – 4.20. </w:t>
      </w:r>
      <w:proofErr w:type="spellStart"/>
      <w:r w:rsidRPr="000B65CE">
        <w:rPr>
          <w:rFonts w:ascii="Arial" w:hAnsi="Arial" w:cs="Arial"/>
        </w:rPr>
        <w:t>Voșgan</w:t>
      </w:r>
      <w:proofErr w:type="spellEnd"/>
      <w:r w:rsidRPr="000B65CE">
        <w:rPr>
          <w:rFonts w:ascii="Arial" w:hAnsi="Arial" w:cs="Arial"/>
        </w:rPr>
        <w:t xml:space="preserve"> et al. (2024) prepared traditional sheep </w:t>
      </w:r>
      <w:r w:rsidR="007B587C">
        <w:rPr>
          <w:rFonts w:ascii="Arial" w:hAnsi="Arial" w:cs="Arial"/>
        </w:rPr>
        <w:t>curd</w:t>
      </w:r>
      <w:r w:rsidRPr="000B65CE">
        <w:rPr>
          <w:rFonts w:ascii="Arial" w:hAnsi="Arial" w:cs="Arial"/>
        </w:rPr>
        <w:t xml:space="preserve"> enriched with 3% black cumin seed powder. Chemical analysis recorded acidity at 0.763%, moisture at 54.92%, and fat in dry matter at 50.29%. The 3% black cumin powder incorporation achieved the highest sensory scores: Appearance – 4.8, Consistency – 4.5, Smell – 4.9, Taste – 4.8, with a total score of 19 out of 20.</w:t>
      </w:r>
    </w:p>
    <w:p w14:paraId="2F0C545B" w14:textId="5B8F69F6" w:rsidR="000B65CE" w:rsidRPr="00FA418B" w:rsidRDefault="000B65CE" w:rsidP="000B65CE">
      <w:pPr>
        <w:pStyle w:val="Body"/>
        <w:rPr>
          <w:rFonts w:ascii="Arial" w:hAnsi="Arial" w:cs="Arial"/>
          <w:b/>
          <w:bCs/>
        </w:rPr>
      </w:pPr>
      <w:r w:rsidRPr="00FA418B">
        <w:rPr>
          <w:rFonts w:ascii="Arial" w:hAnsi="Arial" w:cs="Arial"/>
          <w:b/>
          <w:bCs/>
        </w:rPr>
        <w:t>Table 3: Effect of various levels of Black Cumin on the sensory characteristics of Functional Buttermilk</w:t>
      </w:r>
    </w:p>
    <w:tbl>
      <w:tblPr>
        <w:tblW w:w="8640" w:type="dxa"/>
        <w:tblLook w:val="04A0" w:firstRow="1" w:lastRow="0" w:firstColumn="1" w:lastColumn="0" w:noHBand="0" w:noVBand="1"/>
      </w:tblPr>
      <w:tblGrid>
        <w:gridCol w:w="1728"/>
        <w:gridCol w:w="1728"/>
        <w:gridCol w:w="1728"/>
        <w:gridCol w:w="1728"/>
        <w:gridCol w:w="1728"/>
      </w:tblGrid>
      <w:tr w:rsidR="00FA418B" w:rsidRPr="00FA418B" w14:paraId="5DB35A44" w14:textId="77777777" w:rsidTr="00FA418B">
        <w:trPr>
          <w:trHeight w:val="288"/>
        </w:trPr>
        <w:tc>
          <w:tcPr>
            <w:tcW w:w="1728" w:type="dxa"/>
            <w:vAlign w:val="center"/>
            <w:hideMark/>
          </w:tcPr>
          <w:p w14:paraId="76F502E5" w14:textId="03981245"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Black Cumin</w:t>
            </w:r>
            <w:r w:rsidRPr="00FA418B">
              <w:rPr>
                <w:rFonts w:ascii="Arial" w:hAnsi="Arial" w:cs="Arial"/>
                <w:b/>
                <w:bCs/>
              </w:rPr>
              <w:t xml:space="preserve"> (%)</w:t>
            </w:r>
          </w:p>
        </w:tc>
        <w:tc>
          <w:tcPr>
            <w:tcW w:w="1728" w:type="dxa"/>
            <w:vAlign w:val="center"/>
          </w:tcPr>
          <w:p w14:paraId="307D064D"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Colour</w:t>
            </w:r>
            <w:proofErr w:type="spellEnd"/>
            <w:r w:rsidRPr="00FA418B">
              <w:rPr>
                <w:rFonts w:ascii="Arial" w:hAnsi="Arial" w:cs="Arial"/>
                <w:b/>
                <w:bCs/>
                <w:color w:val="000000"/>
                <w:lang w:eastAsia="en-IN" w:bidi="te-IN"/>
              </w:rPr>
              <w:t xml:space="preserve"> and Appearance</w:t>
            </w:r>
          </w:p>
        </w:tc>
        <w:tc>
          <w:tcPr>
            <w:tcW w:w="1728" w:type="dxa"/>
            <w:vAlign w:val="center"/>
            <w:hideMark/>
          </w:tcPr>
          <w:p w14:paraId="47677C3B"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Body and Texture</w:t>
            </w:r>
          </w:p>
        </w:tc>
        <w:tc>
          <w:tcPr>
            <w:tcW w:w="1728" w:type="dxa"/>
            <w:vAlign w:val="center"/>
          </w:tcPr>
          <w:p w14:paraId="6815CF7A"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Flavour</w:t>
            </w:r>
            <w:proofErr w:type="spellEnd"/>
          </w:p>
        </w:tc>
        <w:tc>
          <w:tcPr>
            <w:tcW w:w="1728" w:type="dxa"/>
            <w:vAlign w:val="center"/>
            <w:hideMark/>
          </w:tcPr>
          <w:p w14:paraId="27C578AD"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Overall Acceptability</w:t>
            </w:r>
          </w:p>
        </w:tc>
      </w:tr>
      <w:tr w:rsidR="00FA418B" w:rsidRPr="00FA418B" w14:paraId="11346837" w14:textId="77777777" w:rsidTr="00FA418B">
        <w:trPr>
          <w:trHeight w:val="288"/>
        </w:trPr>
        <w:tc>
          <w:tcPr>
            <w:tcW w:w="1728" w:type="dxa"/>
            <w:vAlign w:val="center"/>
            <w:hideMark/>
          </w:tcPr>
          <w:p w14:paraId="449ABF3D" w14:textId="777777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C</w:t>
            </w:r>
          </w:p>
        </w:tc>
        <w:tc>
          <w:tcPr>
            <w:tcW w:w="1728" w:type="dxa"/>
            <w:vAlign w:val="center"/>
          </w:tcPr>
          <w:p w14:paraId="7FA76D82" w14:textId="56B9731E" w:rsidR="00FA418B" w:rsidRPr="00FA418B" w:rsidRDefault="00FA418B" w:rsidP="00FA418B">
            <w:pPr>
              <w:tabs>
                <w:tab w:val="left" w:pos="480"/>
                <w:tab w:val="center" w:pos="756"/>
              </w:tabs>
              <w:jc w:val="center"/>
              <w:rPr>
                <w:rFonts w:ascii="Arial" w:hAnsi="Arial" w:cs="Arial"/>
                <w:color w:val="000000"/>
                <w:lang w:eastAsia="en-IN" w:bidi="te-IN"/>
              </w:rPr>
            </w:pPr>
            <w:r w:rsidRPr="00FA418B">
              <w:rPr>
                <w:rFonts w:ascii="Arial" w:hAnsi="Arial" w:cs="Arial"/>
                <w:color w:val="000000"/>
              </w:rPr>
              <w:t>8.01</w:t>
            </w:r>
            <w:r w:rsidRPr="00FA418B">
              <w:rPr>
                <w:rFonts w:ascii="Arial" w:hAnsi="Arial" w:cs="Arial"/>
                <w:color w:val="000000"/>
                <w:vertAlign w:val="superscript"/>
              </w:rPr>
              <w:t>a</w:t>
            </w:r>
          </w:p>
        </w:tc>
        <w:tc>
          <w:tcPr>
            <w:tcW w:w="1728" w:type="dxa"/>
            <w:vAlign w:val="center"/>
            <w:hideMark/>
          </w:tcPr>
          <w:p w14:paraId="55211913" w14:textId="5594BE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7.94</w:t>
            </w:r>
            <w:r w:rsidRPr="00FA418B">
              <w:rPr>
                <w:rFonts w:ascii="Arial" w:hAnsi="Arial" w:cs="Arial"/>
                <w:color w:val="000000"/>
                <w:vertAlign w:val="superscript"/>
              </w:rPr>
              <w:t>ab</w:t>
            </w:r>
          </w:p>
        </w:tc>
        <w:tc>
          <w:tcPr>
            <w:tcW w:w="1728" w:type="dxa"/>
            <w:vAlign w:val="center"/>
          </w:tcPr>
          <w:p w14:paraId="71CBC9B0" w14:textId="477D825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7.89</w:t>
            </w:r>
            <w:r w:rsidRPr="00FA418B">
              <w:rPr>
                <w:rFonts w:ascii="Arial" w:hAnsi="Arial" w:cs="Arial"/>
                <w:color w:val="000000"/>
                <w:vertAlign w:val="superscript"/>
              </w:rPr>
              <w:t>b</w:t>
            </w:r>
          </w:p>
        </w:tc>
        <w:tc>
          <w:tcPr>
            <w:tcW w:w="1728" w:type="dxa"/>
            <w:vAlign w:val="center"/>
            <w:hideMark/>
          </w:tcPr>
          <w:p w14:paraId="32055255" w14:textId="39D2B96A"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7.98</w:t>
            </w:r>
            <w:r w:rsidRPr="00FA418B">
              <w:rPr>
                <w:rFonts w:ascii="Arial" w:hAnsi="Arial" w:cs="Arial"/>
                <w:color w:val="000000"/>
                <w:vertAlign w:val="superscript"/>
              </w:rPr>
              <w:t>b</w:t>
            </w:r>
          </w:p>
        </w:tc>
      </w:tr>
      <w:tr w:rsidR="00FA418B" w:rsidRPr="00FA418B" w14:paraId="5C3909A9" w14:textId="77777777" w:rsidTr="00FA418B">
        <w:trPr>
          <w:trHeight w:val="288"/>
        </w:trPr>
        <w:tc>
          <w:tcPr>
            <w:tcW w:w="1728" w:type="dxa"/>
            <w:vAlign w:val="center"/>
            <w:hideMark/>
          </w:tcPr>
          <w:p w14:paraId="228EB796" w14:textId="3265B754"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1.0</w:t>
            </w:r>
          </w:p>
        </w:tc>
        <w:tc>
          <w:tcPr>
            <w:tcW w:w="1728" w:type="dxa"/>
            <w:vAlign w:val="center"/>
          </w:tcPr>
          <w:p w14:paraId="5825B268" w14:textId="36418E9C"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8.24</w:t>
            </w:r>
            <w:r w:rsidRPr="00FA418B">
              <w:rPr>
                <w:rFonts w:ascii="Arial" w:hAnsi="Arial" w:cs="Arial"/>
                <w:b/>
                <w:bCs/>
                <w:color w:val="000000"/>
                <w:vertAlign w:val="superscript"/>
              </w:rPr>
              <w:t>a</w:t>
            </w:r>
          </w:p>
        </w:tc>
        <w:tc>
          <w:tcPr>
            <w:tcW w:w="1728" w:type="dxa"/>
            <w:vAlign w:val="center"/>
            <w:hideMark/>
          </w:tcPr>
          <w:p w14:paraId="393A3379" w14:textId="4AAF7231"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8.33</w:t>
            </w:r>
            <w:r w:rsidRPr="00FA418B">
              <w:rPr>
                <w:rFonts w:ascii="Arial" w:hAnsi="Arial" w:cs="Arial"/>
                <w:b/>
                <w:bCs/>
                <w:color w:val="000000"/>
                <w:vertAlign w:val="superscript"/>
              </w:rPr>
              <w:t>a</w:t>
            </w:r>
          </w:p>
        </w:tc>
        <w:tc>
          <w:tcPr>
            <w:tcW w:w="1728" w:type="dxa"/>
            <w:vAlign w:val="center"/>
          </w:tcPr>
          <w:p w14:paraId="08D56DD2" w14:textId="289200ED"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8.42</w:t>
            </w:r>
            <w:r w:rsidRPr="00FA418B">
              <w:rPr>
                <w:rFonts w:ascii="Arial" w:hAnsi="Arial" w:cs="Arial"/>
                <w:b/>
                <w:bCs/>
                <w:color w:val="000000"/>
                <w:vertAlign w:val="superscript"/>
              </w:rPr>
              <w:t>a</w:t>
            </w:r>
          </w:p>
        </w:tc>
        <w:tc>
          <w:tcPr>
            <w:tcW w:w="1728" w:type="dxa"/>
            <w:vAlign w:val="center"/>
            <w:hideMark/>
          </w:tcPr>
          <w:p w14:paraId="7EE2C1FD" w14:textId="4B69B1EF"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8.50</w:t>
            </w:r>
            <w:r w:rsidRPr="00FA418B">
              <w:rPr>
                <w:rFonts w:ascii="Arial" w:hAnsi="Arial" w:cs="Arial"/>
                <w:b/>
                <w:bCs/>
                <w:color w:val="000000"/>
                <w:vertAlign w:val="superscript"/>
              </w:rPr>
              <w:t>a</w:t>
            </w:r>
          </w:p>
        </w:tc>
      </w:tr>
      <w:tr w:rsidR="00FA418B" w:rsidRPr="00FA418B" w14:paraId="7265124F" w14:textId="77777777" w:rsidTr="00FA418B">
        <w:trPr>
          <w:trHeight w:val="288"/>
        </w:trPr>
        <w:tc>
          <w:tcPr>
            <w:tcW w:w="1728" w:type="dxa"/>
            <w:vAlign w:val="center"/>
            <w:hideMark/>
          </w:tcPr>
          <w:p w14:paraId="133470E3" w14:textId="6403235B"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w:t>
            </w:r>
            <w:r w:rsidR="00FA418B" w:rsidRPr="00FA418B">
              <w:rPr>
                <w:rFonts w:ascii="Arial" w:hAnsi="Arial" w:cs="Arial"/>
                <w:color w:val="000000"/>
                <w:lang w:eastAsia="en-IN" w:bidi="te-IN"/>
              </w:rPr>
              <w:t>.5</w:t>
            </w:r>
          </w:p>
        </w:tc>
        <w:tc>
          <w:tcPr>
            <w:tcW w:w="1728" w:type="dxa"/>
            <w:vAlign w:val="center"/>
          </w:tcPr>
          <w:p w14:paraId="5DDB7BCC" w14:textId="7F96DEFF"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7.32</w:t>
            </w:r>
            <w:r w:rsidRPr="00FA418B">
              <w:rPr>
                <w:rFonts w:ascii="Arial" w:hAnsi="Arial" w:cs="Arial"/>
                <w:color w:val="000000"/>
                <w:vertAlign w:val="superscript"/>
              </w:rPr>
              <w:t>bc</w:t>
            </w:r>
          </w:p>
        </w:tc>
        <w:tc>
          <w:tcPr>
            <w:tcW w:w="1728" w:type="dxa"/>
            <w:vAlign w:val="center"/>
            <w:hideMark/>
          </w:tcPr>
          <w:p w14:paraId="482917F3" w14:textId="4A705B7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7.50</w:t>
            </w:r>
            <w:r w:rsidRPr="00FA418B">
              <w:rPr>
                <w:rFonts w:ascii="Arial" w:hAnsi="Arial" w:cs="Arial"/>
                <w:color w:val="000000"/>
                <w:vertAlign w:val="superscript"/>
              </w:rPr>
              <w:t>bc</w:t>
            </w:r>
          </w:p>
        </w:tc>
        <w:tc>
          <w:tcPr>
            <w:tcW w:w="1728" w:type="dxa"/>
            <w:vAlign w:val="center"/>
          </w:tcPr>
          <w:p w14:paraId="6B88B31F" w14:textId="54CDD70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7.14</w:t>
            </w:r>
            <w:r w:rsidRPr="00FA418B">
              <w:rPr>
                <w:rFonts w:ascii="Arial" w:hAnsi="Arial" w:cs="Arial"/>
                <w:color w:val="000000"/>
                <w:vertAlign w:val="superscript"/>
              </w:rPr>
              <w:t>c</w:t>
            </w:r>
          </w:p>
        </w:tc>
        <w:tc>
          <w:tcPr>
            <w:tcW w:w="1728" w:type="dxa"/>
            <w:vAlign w:val="center"/>
            <w:hideMark/>
          </w:tcPr>
          <w:p w14:paraId="764C910A" w14:textId="1D67745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7.16</w:t>
            </w:r>
            <w:r w:rsidRPr="00FA418B">
              <w:rPr>
                <w:rFonts w:ascii="Arial" w:hAnsi="Arial" w:cs="Arial"/>
                <w:color w:val="000000"/>
                <w:vertAlign w:val="superscript"/>
              </w:rPr>
              <w:t>c</w:t>
            </w:r>
          </w:p>
        </w:tc>
      </w:tr>
      <w:tr w:rsidR="00FA418B" w:rsidRPr="00FA418B" w14:paraId="7BA88C9C" w14:textId="77777777" w:rsidTr="00FA418B">
        <w:trPr>
          <w:trHeight w:val="288"/>
        </w:trPr>
        <w:tc>
          <w:tcPr>
            <w:tcW w:w="1728" w:type="dxa"/>
            <w:vAlign w:val="center"/>
            <w:hideMark/>
          </w:tcPr>
          <w:p w14:paraId="2A7C4D46" w14:textId="3A6B79C3"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2.</w:t>
            </w:r>
            <w:r w:rsidR="00FA418B" w:rsidRPr="00FA418B">
              <w:rPr>
                <w:rFonts w:ascii="Arial" w:hAnsi="Arial" w:cs="Arial"/>
                <w:color w:val="000000"/>
                <w:lang w:eastAsia="en-IN" w:bidi="te-IN"/>
              </w:rPr>
              <w:t>0</w:t>
            </w:r>
          </w:p>
        </w:tc>
        <w:tc>
          <w:tcPr>
            <w:tcW w:w="1728" w:type="dxa"/>
            <w:vAlign w:val="center"/>
          </w:tcPr>
          <w:p w14:paraId="7DAD318B" w14:textId="40571062"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6.83</w:t>
            </w:r>
            <w:r w:rsidRPr="00FA418B">
              <w:rPr>
                <w:rFonts w:ascii="Arial" w:hAnsi="Arial" w:cs="Arial"/>
                <w:color w:val="000000"/>
                <w:vertAlign w:val="superscript"/>
              </w:rPr>
              <w:t>c</w:t>
            </w:r>
          </w:p>
        </w:tc>
        <w:tc>
          <w:tcPr>
            <w:tcW w:w="1728" w:type="dxa"/>
            <w:vAlign w:val="center"/>
            <w:hideMark/>
          </w:tcPr>
          <w:p w14:paraId="7852ADC2" w14:textId="4297F8A4"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7.0</w:t>
            </w:r>
            <w:r w:rsidRPr="00FA418B">
              <w:rPr>
                <w:rFonts w:ascii="Arial" w:hAnsi="Arial" w:cs="Arial"/>
                <w:color w:val="000000"/>
                <w:vertAlign w:val="superscript"/>
              </w:rPr>
              <w:t>c</w:t>
            </w:r>
          </w:p>
        </w:tc>
        <w:tc>
          <w:tcPr>
            <w:tcW w:w="1728" w:type="dxa"/>
            <w:vAlign w:val="center"/>
          </w:tcPr>
          <w:p w14:paraId="16E0ECE1" w14:textId="0941AC1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6.80</w:t>
            </w:r>
            <w:r w:rsidRPr="00FA418B">
              <w:rPr>
                <w:rFonts w:ascii="Arial" w:hAnsi="Arial" w:cs="Arial"/>
                <w:color w:val="000000"/>
                <w:vertAlign w:val="superscript"/>
              </w:rPr>
              <w:t>c</w:t>
            </w:r>
          </w:p>
        </w:tc>
        <w:tc>
          <w:tcPr>
            <w:tcW w:w="1728" w:type="dxa"/>
            <w:vAlign w:val="center"/>
            <w:hideMark/>
          </w:tcPr>
          <w:p w14:paraId="4DEC41E3" w14:textId="443D2DE1"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6.68</w:t>
            </w:r>
            <w:r w:rsidRPr="00FA418B">
              <w:rPr>
                <w:rFonts w:ascii="Arial" w:hAnsi="Arial" w:cs="Arial"/>
                <w:color w:val="000000"/>
                <w:vertAlign w:val="superscript"/>
              </w:rPr>
              <w:t>d</w:t>
            </w:r>
          </w:p>
        </w:tc>
      </w:tr>
      <w:tr w:rsidR="00FA418B" w:rsidRPr="00FA418B" w14:paraId="7156ADE9" w14:textId="77777777" w:rsidTr="00FA418B">
        <w:trPr>
          <w:trHeight w:val="288"/>
        </w:trPr>
        <w:tc>
          <w:tcPr>
            <w:tcW w:w="1728" w:type="dxa"/>
            <w:vAlign w:val="center"/>
            <w:hideMark/>
          </w:tcPr>
          <w:p w14:paraId="0C273323"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CD(</w:t>
            </w:r>
            <w:r w:rsidRPr="00FA418B">
              <w:rPr>
                <w:rFonts w:ascii="Arial" w:hAnsi="Arial" w:cs="Arial"/>
                <w:b/>
                <w:bCs/>
                <w:i/>
                <w:iCs/>
                <w:color w:val="000000"/>
                <w:lang w:eastAsia="en-IN" w:bidi="te-IN"/>
              </w:rPr>
              <w:t>P=</w:t>
            </w:r>
            <w:r w:rsidRPr="00FA418B">
              <w:rPr>
                <w:rFonts w:ascii="Arial" w:hAnsi="Arial" w:cs="Arial"/>
                <w:b/>
                <w:bCs/>
                <w:color w:val="000000"/>
                <w:lang w:eastAsia="en-IN" w:bidi="te-IN"/>
              </w:rPr>
              <w:t>0.05)</w:t>
            </w:r>
          </w:p>
        </w:tc>
        <w:tc>
          <w:tcPr>
            <w:tcW w:w="1728" w:type="dxa"/>
            <w:vAlign w:val="center"/>
          </w:tcPr>
          <w:p w14:paraId="56E17FEF" w14:textId="35D50170"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0.65</w:t>
            </w:r>
          </w:p>
        </w:tc>
        <w:tc>
          <w:tcPr>
            <w:tcW w:w="1728" w:type="dxa"/>
            <w:vAlign w:val="center"/>
            <w:hideMark/>
          </w:tcPr>
          <w:p w14:paraId="23F5D2D6" w14:textId="1FE0303C"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0.48</w:t>
            </w:r>
          </w:p>
        </w:tc>
        <w:tc>
          <w:tcPr>
            <w:tcW w:w="1728" w:type="dxa"/>
            <w:vAlign w:val="center"/>
          </w:tcPr>
          <w:p w14:paraId="28A61B82" w14:textId="071B706E"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0.57</w:t>
            </w:r>
          </w:p>
        </w:tc>
        <w:tc>
          <w:tcPr>
            <w:tcW w:w="1728" w:type="dxa"/>
            <w:vAlign w:val="center"/>
            <w:hideMark/>
          </w:tcPr>
          <w:p w14:paraId="077A13CF" w14:textId="2FEC9D5C"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0.52</w:t>
            </w:r>
          </w:p>
        </w:tc>
      </w:tr>
    </w:tbl>
    <w:p w14:paraId="3566E270" w14:textId="21E54194" w:rsidR="000B65CE" w:rsidRPr="00FA418B" w:rsidRDefault="00FA418B" w:rsidP="00FA418B">
      <w:pPr>
        <w:pStyle w:val="Body"/>
        <w:jc w:val="center"/>
        <w:rPr>
          <w:rFonts w:ascii="Arial" w:hAnsi="Arial" w:cs="Arial"/>
          <w:i/>
          <w:iCs/>
        </w:rPr>
      </w:pPr>
      <w:r w:rsidRPr="00FA418B">
        <w:rPr>
          <w:rFonts w:ascii="Arial" w:hAnsi="Arial" w:cs="Arial"/>
          <w:i/>
          <w:iCs/>
          <w:noProof/>
        </w:rPr>
        <w:lastRenderedPageBreak/>
        <w:drawing>
          <wp:anchor distT="0" distB="0" distL="114300" distR="114300" simplePos="0" relativeHeight="251662848" behindDoc="0" locked="0" layoutInCell="1" allowOverlap="1" wp14:anchorId="0E9C2F34" wp14:editId="669E3A7C">
            <wp:simplePos x="0" y="0"/>
            <wp:positionH relativeFrom="column">
              <wp:posOffset>241088</wp:posOffset>
            </wp:positionH>
            <wp:positionV relativeFrom="paragraph">
              <wp:posOffset>646430</wp:posOffset>
            </wp:positionV>
            <wp:extent cx="4937760" cy="3200400"/>
            <wp:effectExtent l="19050" t="19050" r="0" b="0"/>
            <wp:wrapTopAndBottom/>
            <wp:docPr id="13448652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0B65CE" w:rsidRPr="00FA418B">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3F82BBC2" w14:textId="7954AAFB" w:rsidR="00790ADA" w:rsidRPr="00FA418B" w:rsidRDefault="000B65CE" w:rsidP="000B65CE">
      <w:pPr>
        <w:pStyle w:val="Body"/>
        <w:spacing w:after="0"/>
        <w:rPr>
          <w:rFonts w:ascii="Arial" w:hAnsi="Arial" w:cs="Arial"/>
          <w:b/>
          <w:bCs/>
        </w:rPr>
      </w:pPr>
      <w:r w:rsidRPr="00FA418B">
        <w:rPr>
          <w:rFonts w:ascii="Arial" w:hAnsi="Arial" w:cs="Arial"/>
          <w:b/>
          <w:bCs/>
        </w:rPr>
        <w:t xml:space="preserve">Fig </w:t>
      </w:r>
      <w:r w:rsidR="00EC6D03">
        <w:rPr>
          <w:rFonts w:ascii="Arial" w:hAnsi="Arial" w:cs="Arial"/>
          <w:b/>
          <w:bCs/>
        </w:rPr>
        <w:t>4</w:t>
      </w:r>
      <w:r w:rsidRPr="00FA418B">
        <w:rPr>
          <w:rFonts w:ascii="Arial" w:hAnsi="Arial" w:cs="Arial"/>
          <w:b/>
          <w:bCs/>
        </w:rPr>
        <w:t>: Effect of various levels of Black Cumin seed powder on the sensory characteristics of Functional Buttermilk</w:t>
      </w:r>
    </w:p>
    <w:p w14:paraId="04CD591C" w14:textId="77777777" w:rsidR="00CA61DE" w:rsidRDefault="00CA61DE" w:rsidP="00441B6F">
      <w:pPr>
        <w:pStyle w:val="ConcHead"/>
        <w:spacing w:after="0"/>
        <w:jc w:val="both"/>
        <w:rPr>
          <w:rFonts w:ascii="Arial" w:hAnsi="Arial" w:cs="Arial"/>
        </w:rPr>
      </w:pPr>
    </w:p>
    <w:p w14:paraId="1F618361" w14:textId="415C163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AF9E83E" w14:textId="77777777" w:rsidR="00790ADA" w:rsidRPr="00FB3A86" w:rsidRDefault="00790ADA" w:rsidP="00441B6F">
      <w:pPr>
        <w:pStyle w:val="ConcHead"/>
        <w:spacing w:after="0"/>
        <w:jc w:val="both"/>
        <w:rPr>
          <w:rFonts w:ascii="Arial" w:hAnsi="Arial" w:cs="Arial"/>
        </w:rPr>
      </w:pPr>
    </w:p>
    <w:p w14:paraId="65303899" w14:textId="24ECF59A" w:rsidR="00790ADA" w:rsidRDefault="00CA61DE" w:rsidP="00441B6F">
      <w:pPr>
        <w:pStyle w:val="Body"/>
        <w:spacing w:after="0"/>
        <w:rPr>
          <w:rFonts w:ascii="Arial" w:hAnsi="Arial" w:cs="Arial"/>
        </w:rPr>
      </w:pPr>
      <w:r w:rsidRPr="00CA61DE">
        <w:rPr>
          <w:rFonts w:ascii="Arial" w:hAnsi="Arial" w:cs="Arial"/>
        </w:rPr>
        <w:t xml:space="preserve">The study successfully evaluated the sensory attributes of functional buttermilk with varying concentrations of foxtail millet, rock salt and black cumin seed powder. The results demonstrated that foxtail millet, rock salt and black cumin seed powder significantly influenced the sensory qualities of the buttermilk. Specifically, the 5% foxtail millet, 1% rock salt and 1 % black cumin seed powder sample achieved the highest ratings in </w:t>
      </w:r>
      <w:proofErr w:type="spellStart"/>
      <w:r w:rsidRPr="00CA61DE">
        <w:rPr>
          <w:rFonts w:ascii="Arial" w:hAnsi="Arial" w:cs="Arial"/>
        </w:rPr>
        <w:t>colour</w:t>
      </w:r>
      <w:proofErr w:type="spellEnd"/>
      <w:r w:rsidRPr="00CA61DE">
        <w:rPr>
          <w:rFonts w:ascii="Arial" w:hAnsi="Arial" w:cs="Arial"/>
        </w:rPr>
        <w:t xml:space="preserve"> and </w:t>
      </w:r>
      <w:proofErr w:type="spellStart"/>
      <w:r w:rsidRPr="00CA61DE">
        <w:rPr>
          <w:rFonts w:ascii="Arial" w:hAnsi="Arial" w:cs="Arial"/>
        </w:rPr>
        <w:t>appereance</w:t>
      </w:r>
      <w:proofErr w:type="spellEnd"/>
      <w:r w:rsidRPr="00CA61DE">
        <w:rPr>
          <w:rFonts w:ascii="Arial" w:hAnsi="Arial" w:cs="Arial"/>
        </w:rPr>
        <w:t xml:space="preserve">, body and texture, </w:t>
      </w:r>
      <w:proofErr w:type="spellStart"/>
      <w:r w:rsidRPr="00CA61DE">
        <w:rPr>
          <w:rFonts w:ascii="Arial" w:hAnsi="Arial" w:cs="Arial"/>
        </w:rPr>
        <w:t>flavour</w:t>
      </w:r>
      <w:proofErr w:type="spellEnd"/>
      <w:r w:rsidRPr="00CA61DE">
        <w:rPr>
          <w:rFonts w:ascii="Arial" w:hAnsi="Arial" w:cs="Arial"/>
        </w:rPr>
        <w:t xml:space="preserve"> and overall acceptability.  These findings suggest that </w:t>
      </w:r>
      <w:r w:rsidR="00136907">
        <w:rPr>
          <w:rFonts w:ascii="Arial" w:hAnsi="Arial" w:cs="Arial"/>
        </w:rPr>
        <w:t>best judged</w:t>
      </w:r>
      <w:r w:rsidRPr="00CA61DE">
        <w:rPr>
          <w:rFonts w:ascii="Arial" w:hAnsi="Arial" w:cs="Arial"/>
        </w:rPr>
        <w:t xml:space="preserve"> foxtail millet, rock salt and black cumin seed powder levels can significantly enhance the sensory appeal of functional buttermilk, making them more favorable to consumers. There is no risk for the human </w:t>
      </w:r>
      <w:r>
        <w:rPr>
          <w:rFonts w:ascii="Arial" w:hAnsi="Arial" w:cs="Arial"/>
        </w:rPr>
        <w:t xml:space="preserve">health </w:t>
      </w:r>
      <w:r w:rsidRPr="00CA61DE">
        <w:rPr>
          <w:rFonts w:ascii="Arial" w:hAnsi="Arial" w:cs="Arial"/>
        </w:rPr>
        <w:t>by consuming the functional buttermilk enriched with foxtail millet.</w:t>
      </w:r>
    </w:p>
    <w:p w14:paraId="607EA0F1" w14:textId="77777777" w:rsidR="00382861" w:rsidRDefault="00382861" w:rsidP="00441B6F">
      <w:pPr>
        <w:pStyle w:val="Body"/>
        <w:spacing w:after="0"/>
        <w:rPr>
          <w:rFonts w:ascii="Arial" w:hAnsi="Arial" w:cs="Arial"/>
        </w:rPr>
      </w:pPr>
    </w:p>
    <w:p w14:paraId="526BD225" w14:textId="77777777" w:rsidR="00382861" w:rsidRPr="00382861" w:rsidRDefault="00382861" w:rsidP="00441B6F">
      <w:pPr>
        <w:pStyle w:val="Body"/>
        <w:spacing w:after="0"/>
        <w:rPr>
          <w:rFonts w:ascii="Arial" w:hAnsi="Arial" w:cs="Arial"/>
          <w:b/>
          <w:bCs/>
        </w:rPr>
      </w:pPr>
      <w:r w:rsidRPr="00382861">
        <w:rPr>
          <w:rFonts w:ascii="Arial" w:hAnsi="Arial" w:cs="Arial"/>
          <w:b/>
          <w:bCs/>
        </w:rPr>
        <w:t xml:space="preserve">DISCLAIMER (ARTIFICIAL INTELLIGENCE) </w:t>
      </w:r>
    </w:p>
    <w:p w14:paraId="712E2E13" w14:textId="7DFF9E60" w:rsidR="00382861" w:rsidRPr="00FB3A86" w:rsidRDefault="00382861" w:rsidP="00441B6F">
      <w:pPr>
        <w:pStyle w:val="Body"/>
        <w:spacing w:after="0"/>
        <w:rPr>
          <w:rFonts w:ascii="Arial" w:hAnsi="Arial" w:cs="Arial"/>
        </w:rPr>
      </w:pPr>
      <w:r w:rsidRPr="00382861">
        <w:rPr>
          <w:rFonts w:ascii="Arial" w:hAnsi="Arial" w:cs="Arial"/>
        </w:rPr>
        <w:t xml:space="preserve">Author(s) hereby </w:t>
      </w:r>
      <w:proofErr w:type="gramStart"/>
      <w:r w:rsidRPr="00382861">
        <w:rPr>
          <w:rFonts w:ascii="Arial" w:hAnsi="Arial" w:cs="Arial"/>
        </w:rPr>
        <w:t>declare</w:t>
      </w:r>
      <w:proofErr w:type="gramEnd"/>
      <w:r w:rsidRPr="00382861">
        <w:rPr>
          <w:rFonts w:ascii="Arial" w:hAnsi="Arial" w:cs="Arial"/>
        </w:rPr>
        <w:t xml:space="preserve"> that NO generative AI technologies such as Large Language Models (ChatGPT, COPILOT, etc.) and text-to-image generators have been used during the writing or editing of this manuscript.</w:t>
      </w:r>
    </w:p>
    <w:p w14:paraId="56D69D75" w14:textId="1B87186A" w:rsidR="00860000" w:rsidRDefault="00860000" w:rsidP="00441B6F">
      <w:pPr>
        <w:pStyle w:val="ReferHead"/>
        <w:spacing w:after="0"/>
        <w:jc w:val="both"/>
        <w:rPr>
          <w:rFonts w:ascii="Arial" w:hAnsi="Arial" w:cs="Arial"/>
        </w:rPr>
      </w:pPr>
    </w:p>
    <w:p w14:paraId="28C064B0" w14:textId="77E38708" w:rsidR="009325A3" w:rsidRDefault="009325A3" w:rsidP="00441B6F">
      <w:pPr>
        <w:pStyle w:val="ReferHead"/>
        <w:spacing w:after="0"/>
        <w:jc w:val="both"/>
        <w:rPr>
          <w:rFonts w:ascii="Arial" w:hAnsi="Arial" w:cs="Arial"/>
        </w:rPr>
      </w:pPr>
    </w:p>
    <w:p w14:paraId="6EC0289A" w14:textId="2B8A740F" w:rsidR="009325A3" w:rsidRDefault="009325A3" w:rsidP="00441B6F">
      <w:pPr>
        <w:pStyle w:val="ReferHead"/>
        <w:spacing w:after="0"/>
        <w:jc w:val="both"/>
        <w:rPr>
          <w:rFonts w:ascii="Arial" w:hAnsi="Arial" w:cs="Arial"/>
        </w:rPr>
      </w:pPr>
    </w:p>
    <w:p w14:paraId="02636EC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9E1AB1" w14:textId="77777777" w:rsidR="00790ADA" w:rsidRPr="00FB3A86" w:rsidRDefault="00790ADA" w:rsidP="00441B6F">
      <w:pPr>
        <w:pStyle w:val="ReferHead"/>
        <w:spacing w:after="0"/>
        <w:jc w:val="both"/>
        <w:rPr>
          <w:rFonts w:ascii="Arial" w:hAnsi="Arial" w:cs="Arial"/>
        </w:rPr>
      </w:pPr>
    </w:p>
    <w:p w14:paraId="2E1992E1" w14:textId="58A776AF" w:rsidR="00025AA9" w:rsidRPr="00025AA9" w:rsidRDefault="00025AA9" w:rsidP="00025AA9">
      <w:pPr>
        <w:pStyle w:val="Body"/>
        <w:rPr>
          <w:rFonts w:ascii="Arial" w:hAnsi="Arial" w:cs="Arial"/>
        </w:rPr>
      </w:pPr>
      <w:r w:rsidRPr="00025AA9">
        <w:rPr>
          <w:rFonts w:ascii="Arial" w:hAnsi="Arial" w:cs="Arial"/>
        </w:rPr>
        <w:t xml:space="preserve">Bari, A., Hossain, M.A., Camy, M.L.Y., Nahid, M.I., Alam, M.A., Sarkar, S., Ahammad, G.S., Rahman, M.H., Wadud, A. and Rashid, M.H.U. </w:t>
      </w:r>
      <w:r>
        <w:rPr>
          <w:rFonts w:ascii="Arial" w:hAnsi="Arial" w:cs="Arial"/>
        </w:rPr>
        <w:t>(</w:t>
      </w:r>
      <w:r w:rsidRPr="00025AA9">
        <w:rPr>
          <w:rFonts w:ascii="Arial" w:hAnsi="Arial" w:cs="Arial"/>
        </w:rPr>
        <w:t>2020</w:t>
      </w:r>
      <w:r>
        <w:rPr>
          <w:rFonts w:ascii="Arial" w:hAnsi="Arial" w:cs="Arial"/>
        </w:rPr>
        <w:t>)</w:t>
      </w:r>
      <w:r w:rsidRPr="00025AA9">
        <w:rPr>
          <w:rFonts w:ascii="Arial" w:hAnsi="Arial" w:cs="Arial"/>
        </w:rPr>
        <w:t xml:space="preserve">. Evaluation of </w:t>
      </w:r>
      <w:proofErr w:type="spellStart"/>
      <w:r w:rsidRPr="00025AA9">
        <w:rPr>
          <w:rFonts w:ascii="Arial" w:hAnsi="Arial" w:cs="Arial"/>
        </w:rPr>
        <w:t>borhani</w:t>
      </w:r>
      <w:proofErr w:type="spellEnd"/>
      <w:r w:rsidRPr="00025AA9">
        <w:rPr>
          <w:rFonts w:ascii="Arial" w:hAnsi="Arial" w:cs="Arial"/>
        </w:rPr>
        <w:t xml:space="preserve"> prepared from </w:t>
      </w:r>
      <w:r w:rsidRPr="00025AA9">
        <w:rPr>
          <w:rFonts w:ascii="Arial" w:hAnsi="Arial" w:cs="Arial"/>
        </w:rPr>
        <w:lastRenderedPageBreak/>
        <w:t xml:space="preserve">whole milk, skim milk and full cream powdered milk </w:t>
      </w:r>
      <w:r w:rsidR="007B587C">
        <w:rPr>
          <w:rFonts w:ascii="Arial" w:hAnsi="Arial" w:cs="Arial"/>
        </w:rPr>
        <w:t>Curd</w:t>
      </w:r>
      <w:r w:rsidRPr="00025AA9">
        <w:rPr>
          <w:rFonts w:ascii="Arial" w:hAnsi="Arial" w:cs="Arial"/>
        </w:rPr>
        <w:t>. Asian-Australasian Journal of Food Safety and Security, 4(2): 58-65.</w:t>
      </w:r>
    </w:p>
    <w:p w14:paraId="26249F67" w14:textId="777F248D" w:rsidR="00025AA9" w:rsidRPr="00025AA9" w:rsidRDefault="00025AA9" w:rsidP="00025AA9">
      <w:pPr>
        <w:pStyle w:val="Body"/>
        <w:rPr>
          <w:rFonts w:ascii="Arial" w:hAnsi="Arial" w:cs="Arial"/>
        </w:rPr>
      </w:pPr>
      <w:r w:rsidRPr="00025AA9">
        <w:rPr>
          <w:rFonts w:ascii="Arial" w:hAnsi="Arial" w:cs="Arial"/>
        </w:rPr>
        <w:t xml:space="preserve">Gandhi, K., Reddy, S., &amp; Singh, I. </w:t>
      </w:r>
      <w:r>
        <w:rPr>
          <w:rFonts w:ascii="Arial" w:hAnsi="Arial" w:cs="Arial"/>
        </w:rPr>
        <w:t>(</w:t>
      </w:r>
      <w:r w:rsidRPr="00025AA9">
        <w:rPr>
          <w:rFonts w:ascii="Arial" w:hAnsi="Arial" w:cs="Arial"/>
        </w:rPr>
        <w:t>2018</w:t>
      </w:r>
      <w:r>
        <w:rPr>
          <w:rFonts w:ascii="Arial" w:hAnsi="Arial" w:cs="Arial"/>
        </w:rPr>
        <w:t>)</w:t>
      </w:r>
      <w:r w:rsidRPr="00025AA9">
        <w:rPr>
          <w:rFonts w:ascii="Arial" w:hAnsi="Arial" w:cs="Arial"/>
        </w:rPr>
        <w:t xml:space="preserve">. Quality Issues During Production and Distribution of Buttermilk. </w:t>
      </w:r>
      <w:r>
        <w:rPr>
          <w:rFonts w:ascii="Arial" w:hAnsi="Arial" w:cs="Arial"/>
        </w:rPr>
        <w:t>Indian food industry Magazine, 36(4), 8-11.</w:t>
      </w:r>
    </w:p>
    <w:p w14:paraId="6603E7D7" w14:textId="632CA43F" w:rsidR="00025AA9" w:rsidRPr="00025AA9" w:rsidRDefault="00025AA9" w:rsidP="00025AA9">
      <w:pPr>
        <w:pStyle w:val="Body"/>
        <w:rPr>
          <w:rFonts w:ascii="Arial" w:hAnsi="Arial" w:cs="Arial"/>
        </w:rPr>
      </w:pPr>
      <w:r w:rsidRPr="00025AA9">
        <w:rPr>
          <w:rFonts w:ascii="Arial" w:hAnsi="Arial" w:cs="Arial"/>
        </w:rPr>
        <w:t xml:space="preserve">Hati, S., Shilpa, V., Mandal, S., </w:t>
      </w:r>
      <w:proofErr w:type="spellStart"/>
      <w:r w:rsidRPr="00025AA9">
        <w:rPr>
          <w:rFonts w:ascii="Arial" w:hAnsi="Arial" w:cs="Arial"/>
        </w:rPr>
        <w:t>Khetra</w:t>
      </w:r>
      <w:proofErr w:type="spellEnd"/>
      <w:r w:rsidRPr="00025AA9">
        <w:rPr>
          <w:rFonts w:ascii="Arial" w:hAnsi="Arial" w:cs="Arial"/>
        </w:rPr>
        <w:t xml:space="preserve">, Y. and Singh, B. P. (2012). </w:t>
      </w:r>
      <w:proofErr w:type="spellStart"/>
      <w:r w:rsidRPr="00025AA9">
        <w:rPr>
          <w:rFonts w:ascii="Arial" w:hAnsi="Arial" w:cs="Arial"/>
        </w:rPr>
        <w:t>Biofunctional</w:t>
      </w:r>
      <w:proofErr w:type="spellEnd"/>
      <w:r w:rsidRPr="00025AA9">
        <w:rPr>
          <w:rFonts w:ascii="Arial" w:hAnsi="Arial" w:cs="Arial"/>
        </w:rPr>
        <w:t xml:space="preserve"> dairy beverages. Indian Dairyman</w:t>
      </w:r>
      <w:r w:rsidR="00387CA4">
        <w:rPr>
          <w:rFonts w:ascii="Arial" w:hAnsi="Arial" w:cs="Arial"/>
        </w:rPr>
        <w:t>,</w:t>
      </w:r>
      <w:r w:rsidRPr="00025AA9">
        <w:rPr>
          <w:rFonts w:ascii="Arial" w:hAnsi="Arial" w:cs="Arial"/>
        </w:rPr>
        <w:t xml:space="preserve"> 64(4)</w:t>
      </w:r>
      <w:r w:rsidR="00387CA4">
        <w:rPr>
          <w:rFonts w:ascii="Arial" w:hAnsi="Arial" w:cs="Arial"/>
        </w:rPr>
        <w:t>,</w:t>
      </w:r>
      <w:r w:rsidRPr="00025AA9">
        <w:rPr>
          <w:rFonts w:ascii="Arial" w:hAnsi="Arial" w:cs="Arial"/>
        </w:rPr>
        <w:t xml:space="preserve"> 62- 67.</w:t>
      </w:r>
    </w:p>
    <w:p w14:paraId="3EE21080" w14:textId="13C4E8C0" w:rsidR="00025AA9" w:rsidRPr="00025AA9" w:rsidRDefault="00025AA9" w:rsidP="00025AA9">
      <w:pPr>
        <w:pStyle w:val="Body"/>
        <w:rPr>
          <w:rFonts w:ascii="Arial" w:hAnsi="Arial" w:cs="Arial"/>
        </w:rPr>
      </w:pPr>
      <w:r w:rsidRPr="00025AA9">
        <w:rPr>
          <w:rFonts w:ascii="Arial" w:hAnsi="Arial" w:cs="Arial"/>
        </w:rPr>
        <w:t xml:space="preserve">IMARC Group. </w:t>
      </w:r>
      <w:r>
        <w:rPr>
          <w:rFonts w:ascii="Arial" w:hAnsi="Arial" w:cs="Arial"/>
        </w:rPr>
        <w:t>(</w:t>
      </w:r>
      <w:r w:rsidRPr="00025AA9">
        <w:rPr>
          <w:rFonts w:ascii="Arial" w:hAnsi="Arial" w:cs="Arial"/>
        </w:rPr>
        <w:t>2024</w:t>
      </w:r>
      <w:r>
        <w:rPr>
          <w:rFonts w:ascii="Arial" w:hAnsi="Arial" w:cs="Arial"/>
        </w:rPr>
        <w:t>)</w:t>
      </w:r>
      <w:r w:rsidRPr="00025AA9">
        <w:rPr>
          <w:rFonts w:ascii="Arial" w:hAnsi="Arial" w:cs="Arial"/>
        </w:rPr>
        <w:t>. Buttermilk Market in India Size, Share, Trends and Forecast by Sector and State, 2025-2033. United States.</w:t>
      </w:r>
    </w:p>
    <w:p w14:paraId="019FDFD6" w14:textId="262960CF" w:rsidR="00025AA9" w:rsidRPr="00025AA9" w:rsidRDefault="00025AA9" w:rsidP="00025AA9">
      <w:pPr>
        <w:pStyle w:val="Body"/>
        <w:rPr>
          <w:rFonts w:ascii="Arial" w:hAnsi="Arial" w:cs="Arial"/>
        </w:rPr>
      </w:pPr>
      <w:r w:rsidRPr="00025AA9">
        <w:rPr>
          <w:rFonts w:ascii="Arial" w:hAnsi="Arial" w:cs="Arial"/>
        </w:rPr>
        <w:t xml:space="preserve">Nagesh, Praveen A R, Shilpashree B G, and Manjunatha H.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Development of Herbal Spiced Buttermilk. Journal of Scientific Research and Reports</w:t>
      </w:r>
      <w:r>
        <w:rPr>
          <w:rFonts w:ascii="Arial" w:hAnsi="Arial" w:cs="Arial"/>
        </w:rPr>
        <w:t>.</w:t>
      </w:r>
      <w:r w:rsidRPr="00025AA9">
        <w:rPr>
          <w:rFonts w:ascii="Arial" w:hAnsi="Arial" w:cs="Arial"/>
        </w:rPr>
        <w:t xml:space="preserve"> 30(12)</w:t>
      </w:r>
      <w:r>
        <w:rPr>
          <w:rFonts w:ascii="Arial" w:hAnsi="Arial" w:cs="Arial"/>
        </w:rPr>
        <w:t>,</w:t>
      </w:r>
      <w:r w:rsidRPr="00025AA9">
        <w:rPr>
          <w:rFonts w:ascii="Arial" w:hAnsi="Arial" w:cs="Arial"/>
        </w:rPr>
        <w:t>105–15.</w:t>
      </w:r>
    </w:p>
    <w:p w14:paraId="6D5AC658" w14:textId="2C817F38" w:rsidR="00025AA9" w:rsidRPr="00025AA9" w:rsidRDefault="00025AA9" w:rsidP="00025AA9">
      <w:pPr>
        <w:pStyle w:val="Body"/>
        <w:rPr>
          <w:rFonts w:ascii="Arial" w:hAnsi="Arial" w:cs="Arial"/>
        </w:rPr>
      </w:pPr>
      <w:r w:rsidRPr="00025AA9">
        <w:rPr>
          <w:rFonts w:ascii="Arial" w:hAnsi="Arial" w:cs="Arial"/>
        </w:rPr>
        <w:t xml:space="preserve">Pugazhenthi, T. R, Agalya, A. Sowmya, V., Blango, A. and Jayalalitha, V. </w:t>
      </w:r>
      <w:r>
        <w:rPr>
          <w:rFonts w:ascii="Arial" w:hAnsi="Arial" w:cs="Arial"/>
        </w:rPr>
        <w:t>(</w:t>
      </w:r>
      <w:r w:rsidRPr="00025AA9">
        <w:rPr>
          <w:rFonts w:ascii="Arial" w:hAnsi="Arial" w:cs="Arial"/>
        </w:rPr>
        <w:t>2020</w:t>
      </w:r>
      <w:r>
        <w:rPr>
          <w:rFonts w:ascii="Arial" w:hAnsi="Arial" w:cs="Arial"/>
        </w:rPr>
        <w:t>)</w:t>
      </w:r>
      <w:r w:rsidRPr="00025AA9">
        <w:rPr>
          <w:rFonts w:ascii="Arial" w:hAnsi="Arial" w:cs="Arial"/>
        </w:rPr>
        <w:t xml:space="preserve">. Preparation of functional </w:t>
      </w:r>
      <w:proofErr w:type="spellStart"/>
      <w:r w:rsidRPr="00025AA9">
        <w:rPr>
          <w:rFonts w:ascii="Arial" w:hAnsi="Arial" w:cs="Arial"/>
        </w:rPr>
        <w:t>Shrikhand</w:t>
      </w:r>
      <w:proofErr w:type="spellEnd"/>
      <w:r w:rsidRPr="00025AA9">
        <w:rPr>
          <w:rFonts w:ascii="Arial" w:hAnsi="Arial" w:cs="Arial"/>
        </w:rPr>
        <w:t xml:space="preserve"> with pomegranate fruit peel extracts. </w:t>
      </w:r>
      <w:r w:rsidR="00387CA4" w:rsidRPr="00387CA4">
        <w:rPr>
          <w:rFonts w:ascii="Arial" w:hAnsi="Arial" w:cs="Arial"/>
        </w:rPr>
        <w:t>Journal of Pharmacognosy and Phytochemistry</w:t>
      </w:r>
      <w:r w:rsidR="00387CA4">
        <w:rPr>
          <w:rFonts w:ascii="Arial" w:hAnsi="Arial" w:cs="Arial"/>
        </w:rPr>
        <w:t xml:space="preserve">, </w:t>
      </w:r>
      <w:r w:rsidRPr="00025AA9">
        <w:rPr>
          <w:rFonts w:ascii="Arial" w:hAnsi="Arial" w:cs="Arial"/>
        </w:rPr>
        <w:t>9(2)</w:t>
      </w:r>
      <w:r w:rsidR="00387CA4">
        <w:rPr>
          <w:rFonts w:ascii="Arial" w:hAnsi="Arial" w:cs="Arial"/>
        </w:rPr>
        <w:t>,</w:t>
      </w:r>
      <w:r w:rsidRPr="00025AA9">
        <w:rPr>
          <w:rFonts w:ascii="Arial" w:hAnsi="Arial" w:cs="Arial"/>
        </w:rPr>
        <w:t xml:space="preserve"> 2416-2424.</w:t>
      </w:r>
    </w:p>
    <w:p w14:paraId="4E780140" w14:textId="53E80CE0" w:rsidR="00025AA9" w:rsidRPr="00025AA9" w:rsidRDefault="00025AA9" w:rsidP="00025AA9">
      <w:pPr>
        <w:pStyle w:val="Body"/>
        <w:rPr>
          <w:rFonts w:ascii="Arial" w:hAnsi="Arial" w:cs="Arial"/>
        </w:rPr>
      </w:pPr>
      <w:r w:rsidRPr="00025AA9">
        <w:rPr>
          <w:rFonts w:ascii="Arial" w:hAnsi="Arial" w:cs="Arial"/>
        </w:rPr>
        <w:t xml:space="preserve">Safi, S., </w:t>
      </w:r>
      <w:proofErr w:type="spellStart"/>
      <w:r w:rsidRPr="00025AA9">
        <w:rPr>
          <w:rFonts w:ascii="Arial" w:hAnsi="Arial" w:cs="Arial"/>
        </w:rPr>
        <w:t>Razmpoosh</w:t>
      </w:r>
      <w:proofErr w:type="spellEnd"/>
      <w:r w:rsidRPr="00025AA9">
        <w:rPr>
          <w:rFonts w:ascii="Arial" w:hAnsi="Arial" w:cs="Arial"/>
        </w:rPr>
        <w:t xml:space="preserve">, E., </w:t>
      </w:r>
      <w:proofErr w:type="spellStart"/>
      <w:r w:rsidRPr="00025AA9">
        <w:rPr>
          <w:rFonts w:ascii="Arial" w:hAnsi="Arial" w:cs="Arial"/>
        </w:rPr>
        <w:t>Fallahzadeh</w:t>
      </w:r>
      <w:proofErr w:type="spellEnd"/>
      <w:r w:rsidRPr="00025AA9">
        <w:rPr>
          <w:rFonts w:ascii="Arial" w:hAnsi="Arial" w:cs="Arial"/>
        </w:rPr>
        <w:t>, H., Mazaheri, M., Abdollahi, N., Nazari, M., Nadjarzadeh, A. and Salehi-</w:t>
      </w:r>
      <w:proofErr w:type="spellStart"/>
      <w:r w:rsidRPr="00025AA9">
        <w:rPr>
          <w:rFonts w:ascii="Arial" w:hAnsi="Arial" w:cs="Arial"/>
        </w:rPr>
        <w:t>Abargouei</w:t>
      </w:r>
      <w:proofErr w:type="spellEnd"/>
      <w:r w:rsidRPr="00025AA9">
        <w:rPr>
          <w:rFonts w:ascii="Arial" w:hAnsi="Arial" w:cs="Arial"/>
        </w:rPr>
        <w:t xml:space="preserve">, A, </w:t>
      </w:r>
      <w:r w:rsidR="00387CA4">
        <w:rPr>
          <w:rFonts w:ascii="Arial" w:hAnsi="Arial" w:cs="Arial"/>
        </w:rPr>
        <w:t>(</w:t>
      </w:r>
      <w:r w:rsidRPr="00025AA9">
        <w:rPr>
          <w:rFonts w:ascii="Arial" w:hAnsi="Arial" w:cs="Arial"/>
        </w:rPr>
        <w:t>2021</w:t>
      </w:r>
      <w:r w:rsidR="00387CA4">
        <w:rPr>
          <w:rFonts w:ascii="Arial" w:hAnsi="Arial" w:cs="Arial"/>
        </w:rPr>
        <w:t>)</w:t>
      </w:r>
      <w:r w:rsidRPr="00025AA9">
        <w:rPr>
          <w:rFonts w:ascii="Arial" w:hAnsi="Arial" w:cs="Arial"/>
        </w:rPr>
        <w:t xml:space="preserve">. The effect of Nigella </w:t>
      </w:r>
      <w:proofErr w:type="gramStart"/>
      <w:r w:rsidRPr="00025AA9">
        <w:rPr>
          <w:rFonts w:ascii="Arial" w:hAnsi="Arial" w:cs="Arial"/>
        </w:rPr>
        <w:t>sativa  on</w:t>
      </w:r>
      <w:proofErr w:type="gramEnd"/>
      <w:r w:rsidRPr="00025AA9">
        <w:rPr>
          <w:rFonts w:ascii="Arial" w:hAnsi="Arial" w:cs="Arial"/>
        </w:rPr>
        <w:t xml:space="preserve"> appetite, anthropometric and body composition indices among overweight and obese women: A crossover, double-blind, placebo-controlled, randomized clinical trial. </w:t>
      </w:r>
      <w:r w:rsidR="00387CA4" w:rsidRPr="00387CA4">
        <w:rPr>
          <w:rFonts w:ascii="Arial" w:hAnsi="Arial" w:cs="Arial"/>
        </w:rPr>
        <w:t>Complementary Therapies in Medicine</w:t>
      </w:r>
      <w:r w:rsidR="00387CA4">
        <w:rPr>
          <w:rFonts w:ascii="Arial" w:hAnsi="Arial" w:cs="Arial"/>
        </w:rPr>
        <w:t>,</w:t>
      </w:r>
      <w:r w:rsidRPr="00025AA9">
        <w:rPr>
          <w:rFonts w:ascii="Arial" w:hAnsi="Arial" w:cs="Arial"/>
        </w:rPr>
        <w:t xml:space="preserve"> 57</w:t>
      </w:r>
      <w:r w:rsidR="00387CA4">
        <w:rPr>
          <w:rFonts w:ascii="Arial" w:hAnsi="Arial" w:cs="Arial"/>
        </w:rPr>
        <w:t xml:space="preserve">, </w:t>
      </w:r>
      <w:r w:rsidRPr="00025AA9">
        <w:rPr>
          <w:rFonts w:ascii="Arial" w:hAnsi="Arial" w:cs="Arial"/>
        </w:rPr>
        <w:t>102653.</w:t>
      </w:r>
    </w:p>
    <w:p w14:paraId="6CD4CD30" w14:textId="798E0B2E" w:rsidR="00025AA9" w:rsidRPr="00025AA9" w:rsidRDefault="00025AA9" w:rsidP="00025AA9">
      <w:pPr>
        <w:pStyle w:val="Body"/>
        <w:rPr>
          <w:rFonts w:ascii="Arial" w:hAnsi="Arial" w:cs="Arial"/>
        </w:rPr>
      </w:pPr>
      <w:r w:rsidRPr="00025AA9">
        <w:rPr>
          <w:rFonts w:ascii="Arial" w:hAnsi="Arial" w:cs="Arial"/>
        </w:rPr>
        <w:t xml:space="preserve">Salwa Y. E. Ahmed and Ibtisam E. M. El Zubeir.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Storage Quality of Goat Milk Yoghurt Mish Containing Black Cumin (Nigella sativa L.) and Coriander (Coriandrum sativum L.) Seeds, J</w:t>
      </w:r>
      <w:r w:rsidR="00387CA4">
        <w:rPr>
          <w:rFonts w:ascii="Arial" w:hAnsi="Arial" w:cs="Arial"/>
        </w:rPr>
        <w:t>ournal</w:t>
      </w:r>
      <w:r w:rsidRPr="00025AA9">
        <w:rPr>
          <w:rFonts w:ascii="Arial" w:hAnsi="Arial" w:cs="Arial"/>
        </w:rPr>
        <w:t xml:space="preserve"> </w:t>
      </w:r>
      <w:r w:rsidR="00387CA4" w:rsidRPr="00387CA4">
        <w:rPr>
          <w:rFonts w:ascii="Arial" w:hAnsi="Arial" w:cs="Arial"/>
        </w:rPr>
        <w:t>Nutrition and Food Processing</w:t>
      </w:r>
      <w:r w:rsidR="00C203A7">
        <w:rPr>
          <w:rFonts w:ascii="Arial" w:hAnsi="Arial" w:cs="Arial"/>
        </w:rPr>
        <w:t xml:space="preserve">. </w:t>
      </w:r>
      <w:r w:rsidRPr="00025AA9">
        <w:rPr>
          <w:rFonts w:ascii="Arial" w:hAnsi="Arial" w:cs="Arial"/>
        </w:rPr>
        <w:t>7(9</w:t>
      </w:r>
      <w:r w:rsidR="00387CA4" w:rsidRPr="00387CA4">
        <w:rPr>
          <w:rFonts w:ascii="Arial" w:hAnsi="Arial" w:cs="Arial"/>
        </w:rPr>
        <w:t>); DOI:10.31579/2637-8914/243</w:t>
      </w:r>
      <w:r w:rsidR="00387CA4">
        <w:rPr>
          <w:rFonts w:ascii="Arial" w:hAnsi="Arial" w:cs="Arial"/>
        </w:rPr>
        <w:t>.</w:t>
      </w:r>
    </w:p>
    <w:p w14:paraId="3AD09B94" w14:textId="5E63C9F2" w:rsidR="00025AA9" w:rsidRPr="00025AA9" w:rsidRDefault="00025AA9" w:rsidP="00025AA9">
      <w:pPr>
        <w:pStyle w:val="Body"/>
        <w:rPr>
          <w:rFonts w:ascii="Arial" w:hAnsi="Arial" w:cs="Arial"/>
        </w:rPr>
      </w:pPr>
      <w:r w:rsidRPr="00025AA9">
        <w:rPr>
          <w:rFonts w:ascii="Arial" w:hAnsi="Arial" w:cs="Arial"/>
        </w:rPr>
        <w:t xml:space="preserve">Sarker, A., Ghosh, A., Sarker, K., Basu, D. and Sen, D.J. </w:t>
      </w:r>
      <w:r w:rsidR="00387CA4">
        <w:rPr>
          <w:rFonts w:ascii="Arial" w:hAnsi="Arial" w:cs="Arial"/>
        </w:rPr>
        <w:t>(</w:t>
      </w:r>
      <w:r w:rsidRPr="00025AA9">
        <w:rPr>
          <w:rFonts w:ascii="Arial" w:hAnsi="Arial" w:cs="Arial"/>
        </w:rPr>
        <w:t>2016</w:t>
      </w:r>
      <w:r w:rsidR="00387CA4">
        <w:rPr>
          <w:rFonts w:ascii="Arial" w:hAnsi="Arial" w:cs="Arial"/>
        </w:rPr>
        <w:t>)</w:t>
      </w:r>
      <w:r w:rsidRPr="00025AA9">
        <w:rPr>
          <w:rFonts w:ascii="Arial" w:hAnsi="Arial" w:cs="Arial"/>
        </w:rPr>
        <w:t xml:space="preserve">. Halite; the rock salt: enormous health benefits. </w:t>
      </w:r>
      <w:r w:rsidR="00387CA4" w:rsidRPr="00387CA4">
        <w:rPr>
          <w:rFonts w:ascii="Arial" w:hAnsi="Arial" w:cs="Arial"/>
        </w:rPr>
        <w:t>World Journal of Pharmaceutical Research</w:t>
      </w:r>
      <w:r w:rsidR="00C203A7">
        <w:rPr>
          <w:rFonts w:ascii="Arial" w:hAnsi="Arial" w:cs="Arial"/>
        </w:rPr>
        <w:t>.</w:t>
      </w:r>
      <w:r w:rsidRPr="00025AA9">
        <w:rPr>
          <w:rFonts w:ascii="Arial" w:hAnsi="Arial" w:cs="Arial"/>
        </w:rPr>
        <w:t xml:space="preserve"> 5(12):407-416.</w:t>
      </w:r>
    </w:p>
    <w:p w14:paraId="6FED6164" w14:textId="0F6F0204" w:rsidR="00025AA9" w:rsidRPr="00025AA9" w:rsidRDefault="00025AA9" w:rsidP="00025AA9">
      <w:pPr>
        <w:pStyle w:val="Body"/>
        <w:rPr>
          <w:rFonts w:ascii="Arial" w:hAnsi="Arial" w:cs="Arial"/>
        </w:rPr>
      </w:pPr>
      <w:proofErr w:type="spellStart"/>
      <w:r w:rsidRPr="00025AA9">
        <w:rPr>
          <w:rFonts w:ascii="Arial" w:hAnsi="Arial" w:cs="Arial"/>
        </w:rPr>
        <w:t>Shingare</w:t>
      </w:r>
      <w:proofErr w:type="spellEnd"/>
      <w:r w:rsidRPr="00025AA9">
        <w:rPr>
          <w:rFonts w:ascii="Arial" w:hAnsi="Arial" w:cs="Arial"/>
        </w:rPr>
        <w:t xml:space="preserve">, Dr. SD Chavan, Dr. RR Shelke and Dr. SR </w:t>
      </w:r>
      <w:proofErr w:type="spellStart"/>
      <w:r w:rsidRPr="00025AA9">
        <w:rPr>
          <w:rFonts w:ascii="Arial" w:hAnsi="Arial" w:cs="Arial"/>
        </w:rPr>
        <w:t>Shegokar</w:t>
      </w:r>
      <w:proofErr w:type="spellEnd"/>
      <w:r w:rsidRPr="00025AA9">
        <w:rPr>
          <w:rFonts w:ascii="Arial" w:hAnsi="Arial" w:cs="Arial"/>
        </w:rPr>
        <w:t xml:space="preserve">. </w:t>
      </w:r>
      <w:r w:rsidR="00387CA4">
        <w:rPr>
          <w:rFonts w:ascii="Arial" w:hAnsi="Arial" w:cs="Arial"/>
        </w:rPr>
        <w:t>(</w:t>
      </w:r>
      <w:r w:rsidRPr="00025AA9">
        <w:rPr>
          <w:rFonts w:ascii="Arial" w:hAnsi="Arial" w:cs="Arial"/>
        </w:rPr>
        <w:t>2022</w:t>
      </w:r>
      <w:r w:rsidR="00387CA4">
        <w:rPr>
          <w:rFonts w:ascii="Arial" w:hAnsi="Arial" w:cs="Arial"/>
        </w:rPr>
        <w:t>)</w:t>
      </w:r>
      <w:r w:rsidRPr="00025AA9">
        <w:rPr>
          <w:rFonts w:ascii="Arial" w:hAnsi="Arial" w:cs="Arial"/>
        </w:rPr>
        <w:t xml:space="preserve">. Studies on sensory evaluation of </w:t>
      </w:r>
      <w:proofErr w:type="spellStart"/>
      <w:r w:rsidRPr="00025AA9">
        <w:rPr>
          <w:rFonts w:ascii="Arial" w:hAnsi="Arial" w:cs="Arial"/>
        </w:rPr>
        <w:t>misti</w:t>
      </w:r>
      <w:proofErr w:type="spellEnd"/>
      <w:r w:rsidRPr="00025AA9">
        <w:rPr>
          <w:rFonts w:ascii="Arial" w:hAnsi="Arial" w:cs="Arial"/>
        </w:rPr>
        <w:t xml:space="preserve"> </w:t>
      </w:r>
      <w:r w:rsidR="007B587C">
        <w:rPr>
          <w:rFonts w:ascii="Arial" w:hAnsi="Arial" w:cs="Arial"/>
        </w:rPr>
        <w:t>curd</w:t>
      </w:r>
      <w:r w:rsidRPr="00025AA9">
        <w:rPr>
          <w:rFonts w:ascii="Arial" w:hAnsi="Arial" w:cs="Arial"/>
        </w:rPr>
        <w:t xml:space="preserve"> blended with foxtail millet and finger millet flour. </w:t>
      </w:r>
      <w:r w:rsidR="00387CA4" w:rsidRPr="00387CA4">
        <w:rPr>
          <w:rFonts w:ascii="Arial" w:hAnsi="Arial" w:cs="Arial"/>
        </w:rPr>
        <w:t>The Pharma Innovation Journal</w:t>
      </w:r>
      <w:r w:rsidR="00387CA4">
        <w:rPr>
          <w:rFonts w:ascii="Arial" w:hAnsi="Arial" w:cs="Arial"/>
        </w:rPr>
        <w:t>,</w:t>
      </w:r>
      <w:r w:rsidRPr="00025AA9">
        <w:rPr>
          <w:rFonts w:ascii="Arial" w:hAnsi="Arial" w:cs="Arial"/>
        </w:rPr>
        <w:t xml:space="preserve"> 11(11)</w:t>
      </w:r>
      <w:r w:rsidR="00387CA4">
        <w:rPr>
          <w:rFonts w:ascii="Arial" w:hAnsi="Arial" w:cs="Arial"/>
        </w:rPr>
        <w:t>,</w:t>
      </w:r>
      <w:r w:rsidRPr="00025AA9">
        <w:rPr>
          <w:rFonts w:ascii="Arial" w:hAnsi="Arial" w:cs="Arial"/>
        </w:rPr>
        <w:t xml:space="preserve"> 346-348. </w:t>
      </w:r>
    </w:p>
    <w:p w14:paraId="00BE375D" w14:textId="79824389" w:rsidR="00025AA9" w:rsidRPr="00025AA9" w:rsidRDefault="00025AA9" w:rsidP="00025AA9">
      <w:pPr>
        <w:pStyle w:val="Body"/>
        <w:rPr>
          <w:rFonts w:ascii="Arial" w:hAnsi="Arial" w:cs="Arial"/>
        </w:rPr>
      </w:pPr>
      <w:r w:rsidRPr="00025AA9">
        <w:rPr>
          <w:rFonts w:ascii="Arial" w:hAnsi="Arial" w:cs="Arial"/>
        </w:rPr>
        <w:t>Syama</w:t>
      </w:r>
      <w:r w:rsidR="00387CA4">
        <w:rPr>
          <w:rFonts w:ascii="Arial" w:hAnsi="Arial" w:cs="Arial"/>
        </w:rPr>
        <w:t>.</w:t>
      </w:r>
      <w:r w:rsidRPr="00025AA9">
        <w:rPr>
          <w:rFonts w:ascii="Arial" w:hAnsi="Arial" w:cs="Arial"/>
        </w:rPr>
        <w:t xml:space="preserve"> </w:t>
      </w:r>
      <w:r w:rsidR="00387CA4">
        <w:rPr>
          <w:rFonts w:ascii="Arial" w:hAnsi="Arial" w:cs="Arial"/>
        </w:rPr>
        <w:t>(</w:t>
      </w:r>
      <w:r w:rsidRPr="00025AA9">
        <w:rPr>
          <w:rFonts w:ascii="Arial" w:hAnsi="Arial" w:cs="Arial"/>
        </w:rPr>
        <w:t>2014</w:t>
      </w:r>
      <w:r w:rsidR="00387CA4">
        <w:rPr>
          <w:rFonts w:ascii="Arial" w:hAnsi="Arial" w:cs="Arial"/>
        </w:rPr>
        <w:t>)</w:t>
      </w:r>
      <w:r w:rsidRPr="00025AA9">
        <w:rPr>
          <w:rFonts w:ascii="Arial" w:hAnsi="Arial" w:cs="Arial"/>
        </w:rPr>
        <w:t xml:space="preserve">. Quality attributes of probiotic </w:t>
      </w:r>
      <w:r w:rsidR="007B587C">
        <w:rPr>
          <w:rFonts w:ascii="Arial" w:hAnsi="Arial" w:cs="Arial"/>
        </w:rPr>
        <w:t>Curd</w:t>
      </w:r>
      <w:r w:rsidRPr="00025AA9">
        <w:rPr>
          <w:rFonts w:ascii="Arial" w:hAnsi="Arial" w:cs="Arial"/>
        </w:rPr>
        <w:t xml:space="preserve"> incorporated with foxtail millet (</w:t>
      </w:r>
      <w:proofErr w:type="spellStart"/>
      <w:r w:rsidRPr="00025AA9">
        <w:rPr>
          <w:rFonts w:ascii="Arial" w:hAnsi="Arial" w:cs="Arial"/>
        </w:rPr>
        <w:t>Setaria</w:t>
      </w:r>
      <w:proofErr w:type="spellEnd"/>
      <w:r w:rsidRPr="00025AA9">
        <w:rPr>
          <w:rFonts w:ascii="Arial" w:hAnsi="Arial" w:cs="Arial"/>
        </w:rPr>
        <w:t xml:space="preserve"> italica) flour, M. Tech Thesis, Karnataka Veterinary, Animal and Fisheries Sciences University, Bidar, India.</w:t>
      </w:r>
    </w:p>
    <w:p w14:paraId="1C5E8BFB" w14:textId="1FF3DE49" w:rsidR="00025AA9" w:rsidRPr="00025AA9" w:rsidRDefault="00025AA9" w:rsidP="00025AA9">
      <w:pPr>
        <w:pStyle w:val="Body"/>
        <w:rPr>
          <w:rFonts w:ascii="Arial" w:hAnsi="Arial" w:cs="Arial"/>
        </w:rPr>
      </w:pPr>
      <w:r w:rsidRPr="00025AA9">
        <w:rPr>
          <w:rFonts w:ascii="Arial" w:hAnsi="Arial" w:cs="Arial"/>
        </w:rPr>
        <w:t xml:space="preserve">Tanwar, B., and Goyal, A. </w:t>
      </w:r>
      <w:r w:rsidR="00387CA4">
        <w:rPr>
          <w:rFonts w:ascii="Arial" w:hAnsi="Arial" w:cs="Arial"/>
        </w:rPr>
        <w:t>(</w:t>
      </w:r>
      <w:r w:rsidRPr="00025AA9">
        <w:rPr>
          <w:rFonts w:ascii="Arial" w:hAnsi="Arial" w:cs="Arial"/>
        </w:rPr>
        <w:t>2021</w:t>
      </w:r>
      <w:r w:rsidR="00387CA4">
        <w:rPr>
          <w:rFonts w:ascii="Arial" w:hAnsi="Arial" w:cs="Arial"/>
        </w:rPr>
        <w:t>)</w:t>
      </w:r>
      <w:r w:rsidRPr="00025AA9">
        <w:rPr>
          <w:rFonts w:ascii="Arial" w:hAnsi="Arial" w:cs="Arial"/>
        </w:rPr>
        <w:t>. Oilseeds: health attributes and food applications. Singapore: Springer: 20220004233</w:t>
      </w:r>
    </w:p>
    <w:p w14:paraId="722CE191" w14:textId="6943E016" w:rsidR="00025AA9" w:rsidRPr="00025AA9" w:rsidRDefault="00025AA9" w:rsidP="00025AA9">
      <w:pPr>
        <w:pStyle w:val="Body"/>
        <w:rPr>
          <w:rFonts w:ascii="Arial" w:hAnsi="Arial" w:cs="Arial"/>
        </w:rPr>
      </w:pPr>
      <w:r w:rsidRPr="00025AA9">
        <w:rPr>
          <w:rFonts w:ascii="Arial" w:hAnsi="Arial" w:cs="Arial"/>
        </w:rPr>
        <w:t xml:space="preserve">Verma, K.C., Joshi, N., Rana, A.S. and Bhatt, D., </w:t>
      </w:r>
      <w:r w:rsidR="00C203A7">
        <w:rPr>
          <w:rFonts w:ascii="Arial" w:hAnsi="Arial" w:cs="Arial"/>
        </w:rPr>
        <w:t>(</w:t>
      </w:r>
      <w:r w:rsidRPr="00025AA9">
        <w:rPr>
          <w:rFonts w:ascii="Arial" w:hAnsi="Arial" w:cs="Arial"/>
        </w:rPr>
        <w:t>2020</w:t>
      </w:r>
      <w:r w:rsidR="00C203A7">
        <w:rPr>
          <w:rFonts w:ascii="Arial" w:hAnsi="Arial" w:cs="Arial"/>
        </w:rPr>
        <w:t>)</w:t>
      </w:r>
      <w:r w:rsidRPr="00025AA9">
        <w:rPr>
          <w:rFonts w:ascii="Arial" w:hAnsi="Arial" w:cs="Arial"/>
        </w:rPr>
        <w:t>. Quality parameters and medicinal uses of foxtail millet (</w:t>
      </w:r>
      <w:proofErr w:type="spellStart"/>
      <w:r w:rsidRPr="00025AA9">
        <w:rPr>
          <w:rFonts w:ascii="Arial" w:hAnsi="Arial" w:cs="Arial"/>
        </w:rPr>
        <w:t>Setaria</w:t>
      </w:r>
      <w:proofErr w:type="spellEnd"/>
      <w:r w:rsidRPr="00025AA9">
        <w:rPr>
          <w:rFonts w:ascii="Arial" w:hAnsi="Arial" w:cs="Arial"/>
        </w:rPr>
        <w:t xml:space="preserve"> </w:t>
      </w:r>
      <w:proofErr w:type="spellStart"/>
      <w:r w:rsidRPr="00025AA9">
        <w:rPr>
          <w:rFonts w:ascii="Arial" w:hAnsi="Arial" w:cs="Arial"/>
        </w:rPr>
        <w:t>italicaL</w:t>
      </w:r>
      <w:proofErr w:type="spellEnd"/>
      <w:r w:rsidRPr="00025AA9">
        <w:rPr>
          <w:rFonts w:ascii="Arial" w:hAnsi="Arial" w:cs="Arial"/>
        </w:rPr>
        <w:t xml:space="preserve">.): A review. </w:t>
      </w:r>
      <w:r w:rsidR="00387CA4" w:rsidRPr="00387CA4">
        <w:rPr>
          <w:rFonts w:ascii="Arial" w:hAnsi="Arial" w:cs="Arial"/>
        </w:rPr>
        <w:t>Journal of Pharmacognosy and Phytochemistry</w:t>
      </w:r>
      <w:r w:rsidR="00387CA4">
        <w:rPr>
          <w:rFonts w:ascii="Arial" w:hAnsi="Arial" w:cs="Arial"/>
        </w:rPr>
        <w:t xml:space="preserve">, </w:t>
      </w:r>
      <w:r w:rsidRPr="00025AA9">
        <w:rPr>
          <w:rFonts w:ascii="Arial" w:hAnsi="Arial" w:cs="Arial"/>
        </w:rPr>
        <w:t>9(4)</w:t>
      </w:r>
      <w:r w:rsidR="00387CA4">
        <w:rPr>
          <w:rFonts w:ascii="Arial" w:hAnsi="Arial" w:cs="Arial"/>
        </w:rPr>
        <w:t>,</w:t>
      </w:r>
      <w:r w:rsidRPr="00025AA9">
        <w:rPr>
          <w:rFonts w:ascii="Arial" w:hAnsi="Arial" w:cs="Arial"/>
        </w:rPr>
        <w:t xml:space="preserve"> 1036-1038.</w:t>
      </w:r>
    </w:p>
    <w:p w14:paraId="6C34D7FF" w14:textId="7D564896" w:rsidR="00025AA9" w:rsidRDefault="00025AA9" w:rsidP="00025AA9">
      <w:pPr>
        <w:pStyle w:val="Body"/>
        <w:spacing w:after="0"/>
        <w:rPr>
          <w:rFonts w:ascii="Arial" w:hAnsi="Arial" w:cs="Arial"/>
        </w:rPr>
      </w:pPr>
      <w:proofErr w:type="spellStart"/>
      <w:r w:rsidRPr="00025AA9">
        <w:rPr>
          <w:rFonts w:ascii="Arial" w:hAnsi="Arial" w:cs="Arial"/>
        </w:rPr>
        <w:t>Voșgan</w:t>
      </w:r>
      <w:proofErr w:type="spellEnd"/>
      <w:r w:rsidRPr="00025AA9">
        <w:rPr>
          <w:rFonts w:ascii="Arial" w:hAnsi="Arial" w:cs="Arial"/>
        </w:rPr>
        <w:t xml:space="preserve">, Z., </w:t>
      </w:r>
      <w:proofErr w:type="spellStart"/>
      <w:r w:rsidRPr="00025AA9">
        <w:rPr>
          <w:rFonts w:ascii="Arial" w:hAnsi="Arial" w:cs="Arial"/>
        </w:rPr>
        <w:t>Dumuța</w:t>
      </w:r>
      <w:proofErr w:type="spellEnd"/>
      <w:r w:rsidRPr="00025AA9">
        <w:rPr>
          <w:rFonts w:ascii="Arial" w:hAnsi="Arial" w:cs="Arial"/>
        </w:rPr>
        <w:t xml:space="preserve">, A., Mihali, C., </w:t>
      </w:r>
      <w:proofErr w:type="spellStart"/>
      <w:r w:rsidRPr="00025AA9">
        <w:rPr>
          <w:rFonts w:ascii="Arial" w:hAnsi="Arial" w:cs="Arial"/>
        </w:rPr>
        <w:t>Dippong</w:t>
      </w:r>
      <w:proofErr w:type="spellEnd"/>
      <w:r w:rsidRPr="00025AA9">
        <w:rPr>
          <w:rFonts w:ascii="Arial" w:hAnsi="Arial" w:cs="Arial"/>
        </w:rPr>
        <w:t xml:space="preserve">, T., Mihalescu, L., Marian, M. and Mihalescu, B.,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xml:space="preserve">. The influence of different forms of black cumin (Nigella sativa L.) on the characteristics of sheep’s </w:t>
      </w:r>
      <w:r w:rsidR="007B587C">
        <w:rPr>
          <w:rFonts w:ascii="Arial" w:hAnsi="Arial" w:cs="Arial"/>
        </w:rPr>
        <w:t>Curd</w:t>
      </w:r>
      <w:r w:rsidRPr="00025AA9">
        <w:rPr>
          <w:rFonts w:ascii="Arial" w:hAnsi="Arial" w:cs="Arial"/>
        </w:rPr>
        <w:t xml:space="preserve"> cheese. </w:t>
      </w:r>
      <w:r w:rsidR="00387CA4" w:rsidRPr="00387CA4">
        <w:rPr>
          <w:rFonts w:ascii="Arial" w:hAnsi="Arial" w:cs="Arial"/>
        </w:rPr>
        <w:t>Frontiers in Sustainable Food Systems</w:t>
      </w:r>
      <w:r w:rsidRPr="00387CA4">
        <w:rPr>
          <w:rFonts w:ascii="Arial" w:hAnsi="Arial" w:cs="Arial"/>
        </w:rPr>
        <w:t>,</w:t>
      </w:r>
      <w:r w:rsidRPr="00025AA9">
        <w:rPr>
          <w:rFonts w:ascii="Arial" w:hAnsi="Arial" w:cs="Arial"/>
        </w:rPr>
        <w:t xml:space="preserve"> 8</w:t>
      </w:r>
      <w:r w:rsidR="00387CA4">
        <w:rPr>
          <w:rFonts w:ascii="Arial" w:hAnsi="Arial" w:cs="Arial"/>
        </w:rPr>
        <w:t>,</w:t>
      </w:r>
      <w:r w:rsidRPr="00025AA9">
        <w:rPr>
          <w:rFonts w:ascii="Arial" w:hAnsi="Arial" w:cs="Arial"/>
        </w:rPr>
        <w:t xml:space="preserve"> 1413008.</w:t>
      </w:r>
    </w:p>
    <w:p w14:paraId="6158E062" w14:textId="17790AD5" w:rsidR="004D4277" w:rsidRPr="00FB3A86" w:rsidRDefault="004D4277" w:rsidP="00441B6F">
      <w:pPr>
        <w:pStyle w:val="Appendix"/>
        <w:spacing w:after="0"/>
        <w:jc w:val="both"/>
        <w:rPr>
          <w:rFonts w:ascii="Arial" w:hAnsi="Arial" w:cs="Arial"/>
          <w:b w:val="0"/>
        </w:rPr>
        <w:sectPr w:rsidR="004D4277" w:rsidRPr="00FB3A86" w:rsidSect="0051221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9A4F07C" w14:textId="77777777" w:rsidR="00B01FCD" w:rsidRPr="00FB3A86" w:rsidRDefault="00B01FCD" w:rsidP="00441B6F">
      <w:pPr>
        <w:pStyle w:val="Appendix"/>
        <w:spacing w:after="0"/>
        <w:jc w:val="both"/>
        <w:rPr>
          <w:rFonts w:ascii="Arial" w:hAnsi="Arial" w:cs="Arial"/>
          <w:b w:val="0"/>
        </w:rPr>
      </w:pPr>
    </w:p>
    <w:sectPr w:rsidR="00B01FCD" w:rsidRPr="00FB3A86" w:rsidSect="005122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C356" w14:textId="77777777" w:rsidR="00FC2A24" w:rsidRDefault="00FC2A24" w:rsidP="00C37E61">
      <w:r>
        <w:separator/>
      </w:r>
    </w:p>
  </w:endnote>
  <w:endnote w:type="continuationSeparator" w:id="0">
    <w:p w14:paraId="1711C174" w14:textId="77777777" w:rsidR="00FC2A24" w:rsidRDefault="00FC2A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3803" w14:textId="77777777" w:rsidR="004412EE" w:rsidRDefault="0044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91B0" w14:textId="77777777" w:rsidR="004412EE" w:rsidRDefault="0044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C266" w14:textId="2A3998C7" w:rsidR="00754C9A" w:rsidRPr="00696937" w:rsidRDefault="00754C9A" w:rsidP="006969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3C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2FC1" w14:textId="77777777" w:rsidR="00FC2A24" w:rsidRDefault="00FC2A24" w:rsidP="00C37E61">
      <w:r>
        <w:separator/>
      </w:r>
    </w:p>
  </w:footnote>
  <w:footnote w:type="continuationSeparator" w:id="0">
    <w:p w14:paraId="3EDF291D" w14:textId="77777777" w:rsidR="00FC2A24" w:rsidRDefault="00FC2A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973F" w14:textId="4A02DD12" w:rsidR="004412EE" w:rsidRDefault="00000000">
    <w:pPr>
      <w:pStyle w:val="Header"/>
    </w:pPr>
    <w:r>
      <w:rPr>
        <w:noProof/>
      </w:rPr>
      <w:pict w14:anchorId="15D5E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2C96" w14:textId="1CA465D0" w:rsidR="004412EE" w:rsidRDefault="00000000">
    <w:pPr>
      <w:pStyle w:val="Header"/>
    </w:pPr>
    <w:r>
      <w:rPr>
        <w:noProof/>
      </w:rPr>
      <w:pict w14:anchorId="4AB85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3D0" w14:textId="5C13F754" w:rsidR="00296529" w:rsidRPr="00296529" w:rsidRDefault="00000000" w:rsidP="00296529">
    <w:pPr>
      <w:ind w:left="2160"/>
      <w:jc w:val="center"/>
      <w:rPr>
        <w:rFonts w:ascii="Times New Roman" w:eastAsia="Calibri" w:hAnsi="Times New Roman"/>
        <w:i/>
        <w:sz w:val="18"/>
        <w:szCs w:val="22"/>
      </w:rPr>
    </w:pPr>
    <w:r>
      <w:rPr>
        <w:noProof/>
      </w:rPr>
      <w:pict w14:anchorId="751C5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A64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F3E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3B17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02121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7C24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98605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1EDE" w14:textId="4A52CBE7" w:rsidR="004412EE" w:rsidRDefault="00000000">
    <w:pPr>
      <w:pStyle w:val="Header"/>
    </w:pPr>
    <w:r>
      <w:rPr>
        <w:noProof/>
      </w:rPr>
      <w:pict w14:anchorId="0465A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06DC" w14:textId="5D2212FC" w:rsidR="004412EE" w:rsidRDefault="00000000">
    <w:pPr>
      <w:pStyle w:val="Header"/>
    </w:pPr>
    <w:r>
      <w:rPr>
        <w:noProof/>
      </w:rPr>
      <w:pict w14:anchorId="36A11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8204" w14:textId="030795A7" w:rsidR="004412EE" w:rsidRDefault="00000000">
    <w:pPr>
      <w:pStyle w:val="Header"/>
    </w:pPr>
    <w:r>
      <w:rPr>
        <w:noProof/>
      </w:rPr>
      <w:pict w14:anchorId="33208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546D7D"/>
    <w:multiLevelType w:val="hybridMultilevel"/>
    <w:tmpl w:val="214238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AE771F"/>
    <w:multiLevelType w:val="hybridMultilevel"/>
    <w:tmpl w:val="4C302B0C"/>
    <w:lvl w:ilvl="0" w:tplc="486CBBEA">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131588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8709394">
    <w:abstractNumId w:val="17"/>
  </w:num>
  <w:num w:numId="3" w16cid:durableId="1837574972">
    <w:abstractNumId w:val="25"/>
  </w:num>
  <w:num w:numId="4" w16cid:durableId="14493168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57679173">
    <w:abstractNumId w:val="8"/>
  </w:num>
  <w:num w:numId="6" w16cid:durableId="39524050">
    <w:abstractNumId w:val="6"/>
  </w:num>
  <w:num w:numId="7" w16cid:durableId="1951542756">
    <w:abstractNumId w:val="1"/>
  </w:num>
  <w:num w:numId="8" w16cid:durableId="867793995">
    <w:abstractNumId w:val="13"/>
  </w:num>
  <w:num w:numId="9" w16cid:durableId="1595551680">
    <w:abstractNumId w:val="27"/>
  </w:num>
  <w:num w:numId="10" w16cid:durableId="145976754">
    <w:abstractNumId w:val="2"/>
  </w:num>
  <w:num w:numId="11" w16cid:durableId="227225322">
    <w:abstractNumId w:val="20"/>
  </w:num>
  <w:num w:numId="12" w16cid:durableId="1017586494">
    <w:abstractNumId w:val="3"/>
  </w:num>
  <w:num w:numId="13" w16cid:durableId="1714840767">
    <w:abstractNumId w:val="19"/>
  </w:num>
  <w:num w:numId="14" w16cid:durableId="1407922851">
    <w:abstractNumId w:val="9"/>
  </w:num>
  <w:num w:numId="15" w16cid:durableId="1757483445">
    <w:abstractNumId w:val="23"/>
  </w:num>
  <w:num w:numId="16" w16cid:durableId="915162499">
    <w:abstractNumId w:val="5"/>
  </w:num>
  <w:num w:numId="17" w16cid:durableId="1004355972">
    <w:abstractNumId w:val="24"/>
  </w:num>
  <w:num w:numId="18" w16cid:durableId="285087768">
    <w:abstractNumId w:val="15"/>
  </w:num>
  <w:num w:numId="19" w16cid:durableId="919872068">
    <w:abstractNumId w:val="30"/>
  </w:num>
  <w:num w:numId="20" w16cid:durableId="1053383403">
    <w:abstractNumId w:val="12"/>
  </w:num>
  <w:num w:numId="21" w16cid:durableId="1088043444">
    <w:abstractNumId w:val="10"/>
  </w:num>
  <w:num w:numId="22" w16cid:durableId="757095801">
    <w:abstractNumId w:val="14"/>
  </w:num>
  <w:num w:numId="23" w16cid:durableId="405416922">
    <w:abstractNumId w:val="21"/>
  </w:num>
  <w:num w:numId="24" w16cid:durableId="1305039607">
    <w:abstractNumId w:val="28"/>
  </w:num>
  <w:num w:numId="25" w16cid:durableId="1542091827">
    <w:abstractNumId w:val="4"/>
  </w:num>
  <w:num w:numId="26" w16cid:durableId="122501257">
    <w:abstractNumId w:val="18"/>
  </w:num>
  <w:num w:numId="27" w16cid:durableId="508523957">
    <w:abstractNumId w:val="22"/>
  </w:num>
  <w:num w:numId="28" w16cid:durableId="1396512193">
    <w:abstractNumId w:val="29"/>
  </w:num>
  <w:num w:numId="29" w16cid:durableId="946500658">
    <w:abstractNumId w:val="26"/>
  </w:num>
  <w:num w:numId="30" w16cid:durableId="939600619">
    <w:abstractNumId w:val="11"/>
  </w:num>
  <w:num w:numId="31" w16cid:durableId="1057171881">
    <w:abstractNumId w:val="7"/>
  </w:num>
  <w:num w:numId="32" w16cid:durableId="1079717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AA9"/>
    <w:rsid w:val="00030174"/>
    <w:rsid w:val="00040468"/>
    <w:rsid w:val="0004579C"/>
    <w:rsid w:val="000A47FA"/>
    <w:rsid w:val="000A65D3"/>
    <w:rsid w:val="000B1E33"/>
    <w:rsid w:val="000B65CE"/>
    <w:rsid w:val="000D689F"/>
    <w:rsid w:val="000E7B7B"/>
    <w:rsid w:val="000E7D62"/>
    <w:rsid w:val="000F0A4D"/>
    <w:rsid w:val="00103357"/>
    <w:rsid w:val="00123C9F"/>
    <w:rsid w:val="00126190"/>
    <w:rsid w:val="00130F17"/>
    <w:rsid w:val="001320BF"/>
    <w:rsid w:val="00136907"/>
    <w:rsid w:val="00163BC4"/>
    <w:rsid w:val="00180F4C"/>
    <w:rsid w:val="00191062"/>
    <w:rsid w:val="00192B72"/>
    <w:rsid w:val="001A29D8"/>
    <w:rsid w:val="001A5CAA"/>
    <w:rsid w:val="001B0427"/>
    <w:rsid w:val="001B0E50"/>
    <w:rsid w:val="001D3A51"/>
    <w:rsid w:val="001D5163"/>
    <w:rsid w:val="001E10D2"/>
    <w:rsid w:val="001E25B4"/>
    <w:rsid w:val="001E44FE"/>
    <w:rsid w:val="00200595"/>
    <w:rsid w:val="00204835"/>
    <w:rsid w:val="00210ED3"/>
    <w:rsid w:val="00231920"/>
    <w:rsid w:val="0023195C"/>
    <w:rsid w:val="0024282C"/>
    <w:rsid w:val="002460DC"/>
    <w:rsid w:val="00250985"/>
    <w:rsid w:val="002556F6"/>
    <w:rsid w:val="00283105"/>
    <w:rsid w:val="00284C4C"/>
    <w:rsid w:val="00287E68"/>
    <w:rsid w:val="00296529"/>
    <w:rsid w:val="002A266D"/>
    <w:rsid w:val="002B1F0E"/>
    <w:rsid w:val="002B27FB"/>
    <w:rsid w:val="002B685A"/>
    <w:rsid w:val="002C57D2"/>
    <w:rsid w:val="002E0D56"/>
    <w:rsid w:val="00300C71"/>
    <w:rsid w:val="00302977"/>
    <w:rsid w:val="00315186"/>
    <w:rsid w:val="0033343E"/>
    <w:rsid w:val="003512C2"/>
    <w:rsid w:val="00360069"/>
    <w:rsid w:val="00371FB6"/>
    <w:rsid w:val="003763C1"/>
    <w:rsid w:val="00376BBE"/>
    <w:rsid w:val="00382861"/>
    <w:rsid w:val="00387CA4"/>
    <w:rsid w:val="0039224F"/>
    <w:rsid w:val="003A43A4"/>
    <w:rsid w:val="003A7E18"/>
    <w:rsid w:val="003B5D8E"/>
    <w:rsid w:val="003C4C86"/>
    <w:rsid w:val="003C6258"/>
    <w:rsid w:val="003E2904"/>
    <w:rsid w:val="00401927"/>
    <w:rsid w:val="0041027F"/>
    <w:rsid w:val="00412475"/>
    <w:rsid w:val="00423789"/>
    <w:rsid w:val="00433531"/>
    <w:rsid w:val="00440F43"/>
    <w:rsid w:val="004412EE"/>
    <w:rsid w:val="00441B6F"/>
    <w:rsid w:val="00446221"/>
    <w:rsid w:val="00450E62"/>
    <w:rsid w:val="004539DB"/>
    <w:rsid w:val="00456865"/>
    <w:rsid w:val="00471A80"/>
    <w:rsid w:val="004946C0"/>
    <w:rsid w:val="004D305E"/>
    <w:rsid w:val="004D4277"/>
    <w:rsid w:val="004F7390"/>
    <w:rsid w:val="00502516"/>
    <w:rsid w:val="00505F06"/>
    <w:rsid w:val="00506828"/>
    <w:rsid w:val="00512219"/>
    <w:rsid w:val="005172B4"/>
    <w:rsid w:val="0053056E"/>
    <w:rsid w:val="0053782B"/>
    <w:rsid w:val="00554FDA"/>
    <w:rsid w:val="005762FD"/>
    <w:rsid w:val="005B6DF2"/>
    <w:rsid w:val="005C784C"/>
    <w:rsid w:val="005D17F6"/>
    <w:rsid w:val="005E4533"/>
    <w:rsid w:val="005E5539"/>
    <w:rsid w:val="00602BF5"/>
    <w:rsid w:val="00617FDD"/>
    <w:rsid w:val="00633614"/>
    <w:rsid w:val="00633F68"/>
    <w:rsid w:val="00636EB2"/>
    <w:rsid w:val="006375B8"/>
    <w:rsid w:val="00640462"/>
    <w:rsid w:val="0066510A"/>
    <w:rsid w:val="00673F9F"/>
    <w:rsid w:val="00686953"/>
    <w:rsid w:val="00687DEA"/>
    <w:rsid w:val="00687E67"/>
    <w:rsid w:val="006967F7"/>
    <w:rsid w:val="00696937"/>
    <w:rsid w:val="006A250C"/>
    <w:rsid w:val="006B21D3"/>
    <w:rsid w:val="006B57D0"/>
    <w:rsid w:val="006D30FF"/>
    <w:rsid w:val="006D6940"/>
    <w:rsid w:val="006F11EC"/>
    <w:rsid w:val="006F49E2"/>
    <w:rsid w:val="0070082C"/>
    <w:rsid w:val="007369E6"/>
    <w:rsid w:val="00746E59"/>
    <w:rsid w:val="00754C9A"/>
    <w:rsid w:val="0075599A"/>
    <w:rsid w:val="00761D52"/>
    <w:rsid w:val="0077749E"/>
    <w:rsid w:val="00782814"/>
    <w:rsid w:val="00790ADA"/>
    <w:rsid w:val="007B587C"/>
    <w:rsid w:val="007C1C5A"/>
    <w:rsid w:val="007D2288"/>
    <w:rsid w:val="007E088F"/>
    <w:rsid w:val="007F7B32"/>
    <w:rsid w:val="00804BC2"/>
    <w:rsid w:val="0081431A"/>
    <w:rsid w:val="0083216F"/>
    <w:rsid w:val="008417C2"/>
    <w:rsid w:val="00860000"/>
    <w:rsid w:val="00863BD3"/>
    <w:rsid w:val="008641ED"/>
    <w:rsid w:val="00866D66"/>
    <w:rsid w:val="008671C6"/>
    <w:rsid w:val="00875803"/>
    <w:rsid w:val="00890BF2"/>
    <w:rsid w:val="008B3645"/>
    <w:rsid w:val="008B459E"/>
    <w:rsid w:val="008C40CA"/>
    <w:rsid w:val="008E13AE"/>
    <w:rsid w:val="008E1506"/>
    <w:rsid w:val="008E710C"/>
    <w:rsid w:val="008E74DF"/>
    <w:rsid w:val="008F69D6"/>
    <w:rsid w:val="00902823"/>
    <w:rsid w:val="00907CCF"/>
    <w:rsid w:val="00915CA6"/>
    <w:rsid w:val="00916DC7"/>
    <w:rsid w:val="00927834"/>
    <w:rsid w:val="009325A3"/>
    <w:rsid w:val="009500A6"/>
    <w:rsid w:val="00950371"/>
    <w:rsid w:val="00957C18"/>
    <w:rsid w:val="009659BA"/>
    <w:rsid w:val="00983040"/>
    <w:rsid w:val="009B3FB9"/>
    <w:rsid w:val="009C0AB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B7A57"/>
    <w:rsid w:val="00AC6BB8"/>
    <w:rsid w:val="00AE008F"/>
    <w:rsid w:val="00AF30AA"/>
    <w:rsid w:val="00AF3F12"/>
    <w:rsid w:val="00AF5ABC"/>
    <w:rsid w:val="00B01FCD"/>
    <w:rsid w:val="00B1776C"/>
    <w:rsid w:val="00B26306"/>
    <w:rsid w:val="00B52583"/>
    <w:rsid w:val="00B52896"/>
    <w:rsid w:val="00B95236"/>
    <w:rsid w:val="00B96BD9"/>
    <w:rsid w:val="00BA1B01"/>
    <w:rsid w:val="00BA2641"/>
    <w:rsid w:val="00BB37AA"/>
    <w:rsid w:val="00BC53A0"/>
    <w:rsid w:val="00BE62AD"/>
    <w:rsid w:val="00BF121F"/>
    <w:rsid w:val="00BF1F80"/>
    <w:rsid w:val="00C166EF"/>
    <w:rsid w:val="00C17EB0"/>
    <w:rsid w:val="00C203A7"/>
    <w:rsid w:val="00C27F5F"/>
    <w:rsid w:val="00C30A0F"/>
    <w:rsid w:val="00C37E61"/>
    <w:rsid w:val="00C66E46"/>
    <w:rsid w:val="00C70F1B"/>
    <w:rsid w:val="00C71A47"/>
    <w:rsid w:val="00C7464C"/>
    <w:rsid w:val="00C85588"/>
    <w:rsid w:val="00CA61DE"/>
    <w:rsid w:val="00CD6755"/>
    <w:rsid w:val="00CD6856"/>
    <w:rsid w:val="00CE0089"/>
    <w:rsid w:val="00CE793C"/>
    <w:rsid w:val="00CF193C"/>
    <w:rsid w:val="00D173F1"/>
    <w:rsid w:val="00D528AE"/>
    <w:rsid w:val="00D74CB0"/>
    <w:rsid w:val="00D8295D"/>
    <w:rsid w:val="00DC2A65"/>
    <w:rsid w:val="00DE15F0"/>
    <w:rsid w:val="00DE5663"/>
    <w:rsid w:val="00DE78AA"/>
    <w:rsid w:val="00E053D0"/>
    <w:rsid w:val="00E15994"/>
    <w:rsid w:val="00E310C1"/>
    <w:rsid w:val="00E3114E"/>
    <w:rsid w:val="00E31A70"/>
    <w:rsid w:val="00E35B02"/>
    <w:rsid w:val="00E43F45"/>
    <w:rsid w:val="00E66496"/>
    <w:rsid w:val="00E66B35"/>
    <w:rsid w:val="00E66E10"/>
    <w:rsid w:val="00E769F6"/>
    <w:rsid w:val="00E8407C"/>
    <w:rsid w:val="00E84F3C"/>
    <w:rsid w:val="00EA012C"/>
    <w:rsid w:val="00EC6A55"/>
    <w:rsid w:val="00EC6D03"/>
    <w:rsid w:val="00ED0288"/>
    <w:rsid w:val="00EE52CB"/>
    <w:rsid w:val="00EF581D"/>
    <w:rsid w:val="00EF7FD8"/>
    <w:rsid w:val="00F06839"/>
    <w:rsid w:val="00F06F59"/>
    <w:rsid w:val="00F17988"/>
    <w:rsid w:val="00F305F1"/>
    <w:rsid w:val="00F469F0"/>
    <w:rsid w:val="00F53273"/>
    <w:rsid w:val="00F755E4"/>
    <w:rsid w:val="00F77D02"/>
    <w:rsid w:val="00FA3D05"/>
    <w:rsid w:val="00FA418B"/>
    <w:rsid w:val="00FB3A86"/>
    <w:rsid w:val="00FC2A24"/>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D85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1D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E310C1"/>
    <w:rPr>
      <w:rFonts w:asciiTheme="minorHAnsi" w:eastAsiaTheme="minorHAnsi" w:hAnsiTheme="minorHAnsi" w:cstheme="minorBidi"/>
      <w:kern w:val="2"/>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A41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A266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48966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47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7.95</c:v>
                </c:pt>
                <c:pt idx="1">
                  <c:v>7.98</c:v>
                </c:pt>
                <c:pt idx="2">
                  <c:v>7.86</c:v>
                </c:pt>
                <c:pt idx="3">
                  <c:v>7.95</c:v>
                </c:pt>
              </c:numCache>
            </c:numRef>
          </c:val>
          <c:extLst>
            <c:ext xmlns:c16="http://schemas.microsoft.com/office/drawing/2014/chart" uri="{C3380CC4-5D6E-409C-BE32-E72D297353CC}">
              <c16:uniqueId val="{00000000-F1AC-4B26-8DFC-0BE7644B99AA}"/>
            </c:ext>
          </c:extLst>
        </c:ser>
        <c:ser>
          <c:idx val="1"/>
          <c:order val="1"/>
          <c:tx>
            <c:strRef>
              <c:f>Sheet1!$C$1</c:f>
              <c:strCache>
                <c:ptCount val="1"/>
                <c:pt idx="0">
                  <c:v>5%</c:v>
                </c:pt>
              </c:strCache>
            </c:strRef>
          </c:tx>
          <c:spPr>
            <a:solidFill>
              <a:schemeClr val="accent2"/>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8.24</c:v>
                </c:pt>
                <c:pt idx="1">
                  <c:v>8.32</c:v>
                </c:pt>
                <c:pt idx="2">
                  <c:v>8.23</c:v>
                </c:pt>
                <c:pt idx="3">
                  <c:v>8.25</c:v>
                </c:pt>
              </c:numCache>
            </c:numRef>
          </c:val>
          <c:extLst>
            <c:ext xmlns:c16="http://schemas.microsoft.com/office/drawing/2014/chart" uri="{C3380CC4-5D6E-409C-BE32-E72D297353CC}">
              <c16:uniqueId val="{00000001-F1AC-4B26-8DFC-0BE7644B99AA}"/>
            </c:ext>
          </c:extLst>
        </c:ser>
        <c:ser>
          <c:idx val="2"/>
          <c:order val="2"/>
          <c:tx>
            <c:strRef>
              <c:f>Sheet1!$D$1</c:f>
              <c:strCache>
                <c:ptCount val="1"/>
                <c:pt idx="0">
                  <c:v>7.50%</c:v>
                </c:pt>
              </c:strCache>
            </c:strRef>
          </c:tx>
          <c:spPr>
            <a:solidFill>
              <a:schemeClr val="accent3"/>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7.94</c:v>
                </c:pt>
                <c:pt idx="1">
                  <c:v>7.91</c:v>
                </c:pt>
                <c:pt idx="2">
                  <c:v>7.5</c:v>
                </c:pt>
                <c:pt idx="3">
                  <c:v>7.95</c:v>
                </c:pt>
              </c:numCache>
            </c:numRef>
          </c:val>
          <c:extLst>
            <c:ext xmlns:c16="http://schemas.microsoft.com/office/drawing/2014/chart" uri="{C3380CC4-5D6E-409C-BE32-E72D297353CC}">
              <c16:uniqueId val="{00000002-F1AC-4B26-8DFC-0BE7644B99AA}"/>
            </c:ext>
          </c:extLst>
        </c:ser>
        <c:ser>
          <c:idx val="3"/>
          <c:order val="3"/>
          <c:tx>
            <c:strRef>
              <c:f>Sheet1!$E$1</c:f>
              <c:strCache>
                <c:ptCount val="1"/>
                <c:pt idx="0">
                  <c:v>10%</c:v>
                </c:pt>
              </c:strCache>
            </c:strRef>
          </c:tx>
          <c:spPr>
            <a:solidFill>
              <a:schemeClr val="accent4"/>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7.4</c:v>
                </c:pt>
                <c:pt idx="1">
                  <c:v>7.5</c:v>
                </c:pt>
                <c:pt idx="2">
                  <c:v>7.2</c:v>
                </c:pt>
                <c:pt idx="3">
                  <c:v>7.48</c:v>
                </c:pt>
              </c:numCache>
            </c:numRef>
          </c:val>
          <c:extLst>
            <c:ext xmlns:c16="http://schemas.microsoft.com/office/drawing/2014/chart" uri="{C3380CC4-5D6E-409C-BE32-E72D297353CC}">
              <c16:uniqueId val="{00000003-F1AC-4B26-8DFC-0BE7644B99AA}"/>
            </c:ext>
          </c:extLst>
        </c:ser>
        <c:dLbls>
          <c:showLegendKey val="0"/>
          <c:showVal val="0"/>
          <c:showCatName val="0"/>
          <c:showSerName val="0"/>
          <c:showPercent val="0"/>
          <c:showBubbleSize val="0"/>
        </c:dLbls>
        <c:gapWidth val="219"/>
        <c:overlap val="-27"/>
        <c:axId val="1217078271"/>
        <c:axId val="1217077311"/>
      </c:barChart>
      <c:catAx>
        <c:axId val="12170782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solidFill>
                      <a:schemeClr val="tx1"/>
                    </a:solidFill>
                    <a:latin typeface="Arial" panose="020B0604020202020204" pitchFamily="34" charset="0"/>
                    <a:cs typeface="Arial" panose="020B0604020202020204" pitchFamily="34" charset="0"/>
                  </a:rPr>
                  <a:t>Foxtail</a:t>
                </a:r>
                <a:r>
                  <a:rPr lang="en-IN" sz="1200" b="1" baseline="0">
                    <a:solidFill>
                      <a:schemeClr val="tx1"/>
                    </a:solidFill>
                    <a:latin typeface="Arial" panose="020B0604020202020204" pitchFamily="34" charset="0"/>
                    <a:cs typeface="Arial" panose="020B0604020202020204" pitchFamily="34" charset="0"/>
                  </a:rPr>
                  <a:t> Millet</a:t>
                </a:r>
                <a:endParaRPr lang="en-IN"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17077311"/>
        <c:crosses val="autoZero"/>
        <c:auto val="1"/>
        <c:lblAlgn val="ctr"/>
        <c:lblOffset val="100"/>
        <c:noMultiLvlLbl val="0"/>
      </c:catAx>
      <c:valAx>
        <c:axId val="1217077311"/>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a:solidFill>
                      <a:schemeClr val="tx1"/>
                    </a:solidFill>
                    <a:latin typeface="Arial" panose="020B0604020202020204" pitchFamily="34" charset="0"/>
                    <a:cs typeface="Arial" panose="020B0604020202020204" pitchFamily="34" charset="0"/>
                  </a:rPr>
                  <a:t>9-point</a:t>
                </a:r>
                <a:r>
                  <a:rPr lang="en-IN" sz="1200" b="1" baseline="0">
                    <a:solidFill>
                      <a:schemeClr val="tx1"/>
                    </a:solidFill>
                    <a:latin typeface="Arial" panose="020B0604020202020204" pitchFamily="34" charset="0"/>
                    <a:cs typeface="Arial" panose="020B0604020202020204" pitchFamily="34" charset="0"/>
                  </a:rPr>
                  <a:t> hedonic scale</a:t>
                </a:r>
                <a:endParaRPr lang="en-IN"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1707827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Control</c:v>
                </c:pt>
              </c:strCache>
            </c:strRef>
          </c:tx>
          <c:spPr>
            <a:solidFill>
              <a:schemeClr val="accent1"/>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7.92</c:v>
                </c:pt>
                <c:pt idx="1">
                  <c:v>8.01</c:v>
                </c:pt>
                <c:pt idx="2">
                  <c:v>7.95</c:v>
                </c:pt>
                <c:pt idx="3">
                  <c:v>7.95</c:v>
                </c:pt>
              </c:numCache>
            </c:numRef>
          </c:val>
          <c:extLst>
            <c:ext xmlns:c16="http://schemas.microsoft.com/office/drawing/2014/chart" uri="{C3380CC4-5D6E-409C-BE32-E72D297353CC}">
              <c16:uniqueId val="{00000000-B0FD-4852-A0B8-FADCE31B9BC7}"/>
            </c:ext>
          </c:extLst>
        </c:ser>
        <c:ser>
          <c:idx val="1"/>
          <c:order val="1"/>
          <c:tx>
            <c:strRef>
              <c:f>Sheet1!$C$1</c:f>
              <c:strCache>
                <c:ptCount val="1"/>
                <c:pt idx="0">
                  <c:v>0.50%</c:v>
                </c:pt>
              </c:strCache>
            </c:strRef>
          </c:tx>
          <c:spPr>
            <a:solidFill>
              <a:schemeClr val="accent2"/>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7.98</c:v>
                </c:pt>
                <c:pt idx="1">
                  <c:v>7.92</c:v>
                </c:pt>
                <c:pt idx="2">
                  <c:v>7.65</c:v>
                </c:pt>
                <c:pt idx="3">
                  <c:v>7.7</c:v>
                </c:pt>
              </c:numCache>
            </c:numRef>
          </c:val>
          <c:extLst>
            <c:ext xmlns:c16="http://schemas.microsoft.com/office/drawing/2014/chart" uri="{C3380CC4-5D6E-409C-BE32-E72D297353CC}">
              <c16:uniqueId val="{00000001-B0FD-4852-A0B8-FADCE31B9BC7}"/>
            </c:ext>
          </c:extLst>
        </c:ser>
        <c:ser>
          <c:idx val="2"/>
          <c:order val="2"/>
          <c:tx>
            <c:strRef>
              <c:f>Sheet1!$D$1</c:f>
              <c:strCache>
                <c:ptCount val="1"/>
                <c:pt idx="0">
                  <c:v>1.00%</c:v>
                </c:pt>
              </c:strCache>
            </c:strRef>
          </c:tx>
          <c:spPr>
            <a:solidFill>
              <a:schemeClr val="accent3"/>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8.2100000000000009</c:v>
                </c:pt>
                <c:pt idx="1">
                  <c:v>8.36</c:v>
                </c:pt>
                <c:pt idx="2">
                  <c:v>8.27</c:v>
                </c:pt>
                <c:pt idx="3">
                  <c:v>8.24</c:v>
                </c:pt>
              </c:numCache>
            </c:numRef>
          </c:val>
          <c:extLst>
            <c:ext xmlns:c16="http://schemas.microsoft.com/office/drawing/2014/chart" uri="{C3380CC4-5D6E-409C-BE32-E72D297353CC}">
              <c16:uniqueId val="{00000002-B0FD-4852-A0B8-FADCE31B9BC7}"/>
            </c:ext>
          </c:extLst>
        </c:ser>
        <c:ser>
          <c:idx val="3"/>
          <c:order val="3"/>
          <c:tx>
            <c:strRef>
              <c:f>Sheet1!$E$1</c:f>
              <c:strCache>
                <c:ptCount val="1"/>
                <c:pt idx="0">
                  <c:v>1.50%</c:v>
                </c:pt>
              </c:strCache>
            </c:strRef>
          </c:tx>
          <c:spPr>
            <a:solidFill>
              <a:schemeClr val="accent4"/>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7.74</c:v>
                </c:pt>
                <c:pt idx="1">
                  <c:v>7.51</c:v>
                </c:pt>
                <c:pt idx="2">
                  <c:v>7.4</c:v>
                </c:pt>
                <c:pt idx="3">
                  <c:v>7.32</c:v>
                </c:pt>
              </c:numCache>
            </c:numRef>
          </c:val>
          <c:extLst>
            <c:ext xmlns:c16="http://schemas.microsoft.com/office/drawing/2014/chart" uri="{C3380CC4-5D6E-409C-BE32-E72D297353CC}">
              <c16:uniqueId val="{00000003-B0FD-4852-A0B8-FADCE31B9BC7}"/>
            </c:ext>
          </c:extLst>
        </c:ser>
        <c:dLbls>
          <c:showLegendKey val="0"/>
          <c:showVal val="0"/>
          <c:showCatName val="0"/>
          <c:showSerName val="0"/>
          <c:showPercent val="0"/>
          <c:showBubbleSize val="0"/>
        </c:dLbls>
        <c:gapWidth val="150"/>
        <c:shape val="box"/>
        <c:axId val="1217779295"/>
        <c:axId val="1373564287"/>
        <c:axId val="0"/>
      </c:bar3DChart>
      <c:catAx>
        <c:axId val="1217779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solidFill>
                      <a:sysClr val="windowText" lastClr="000000"/>
                    </a:solidFill>
                    <a:latin typeface="Arial" panose="020B0604020202020204" pitchFamily="34" charset="0"/>
                    <a:cs typeface="Arial" panose="020B0604020202020204" pitchFamily="34" charset="0"/>
                  </a:rPr>
                  <a:t>Rock Salt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73564287"/>
        <c:crosses val="autoZero"/>
        <c:auto val="1"/>
        <c:lblAlgn val="ctr"/>
        <c:lblOffset val="100"/>
        <c:noMultiLvlLbl val="0"/>
      </c:catAx>
      <c:valAx>
        <c:axId val="1373564287"/>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50" b="1" i="0" u="none" strike="noStrike" kern="1200" baseline="0">
                    <a:solidFill>
                      <a:schemeClr val="tx1"/>
                    </a:solidFill>
                    <a:latin typeface="Arial" panose="020B0604020202020204" pitchFamily="34" charset="0"/>
                    <a:cs typeface="Arial" panose="020B0604020202020204" pitchFamily="34" charset="0"/>
                  </a:rPr>
                  <a:t>9-point hedonic scale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1777929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dPt>
            <c:idx val="0"/>
            <c:invertIfNegative val="0"/>
            <c:bubble3D val="0"/>
            <c:spPr>
              <a:solidFill>
                <a:schemeClr val="accent1"/>
              </a:solidFill>
              <a:ln w="28575" cap="rnd">
                <a:solidFill>
                  <a:schemeClr val="accent1"/>
                </a:solidFill>
                <a:round/>
              </a:ln>
              <a:effectLst/>
            </c:spPr>
            <c:extLst>
              <c:ext xmlns:c16="http://schemas.microsoft.com/office/drawing/2014/chart" uri="{C3380CC4-5D6E-409C-BE32-E72D297353CC}">
                <c16:uniqueId val="{00000001-51AB-40F3-9A69-6B40D9EED3DD}"/>
              </c:ext>
            </c:extLst>
          </c:dPt>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8.01</c:v>
                </c:pt>
                <c:pt idx="1">
                  <c:v>7.94</c:v>
                </c:pt>
                <c:pt idx="2">
                  <c:v>7.89</c:v>
                </c:pt>
                <c:pt idx="3">
                  <c:v>7.98</c:v>
                </c:pt>
              </c:numCache>
            </c:numRef>
          </c:val>
          <c:extLst>
            <c:ext xmlns:c16="http://schemas.microsoft.com/office/drawing/2014/chart" uri="{C3380CC4-5D6E-409C-BE32-E72D297353CC}">
              <c16:uniqueId val="{00000002-51AB-40F3-9A69-6B40D9EED3DD}"/>
            </c:ext>
          </c:extLst>
        </c:ser>
        <c:ser>
          <c:idx val="1"/>
          <c:order val="1"/>
          <c:tx>
            <c:strRef>
              <c:f>Sheet1!$C$1</c:f>
              <c:strCache>
                <c:ptCount val="1"/>
                <c:pt idx="0">
                  <c:v>1.0%</c:v>
                </c:pt>
              </c:strCache>
            </c:strRef>
          </c:tx>
          <c:spPr>
            <a:solidFill>
              <a:schemeClr val="accent2"/>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8.24</c:v>
                </c:pt>
                <c:pt idx="1">
                  <c:v>8.33</c:v>
                </c:pt>
                <c:pt idx="2">
                  <c:v>8.42</c:v>
                </c:pt>
                <c:pt idx="3">
                  <c:v>8.5</c:v>
                </c:pt>
              </c:numCache>
            </c:numRef>
          </c:val>
          <c:extLst>
            <c:ext xmlns:c16="http://schemas.microsoft.com/office/drawing/2014/chart" uri="{C3380CC4-5D6E-409C-BE32-E72D297353CC}">
              <c16:uniqueId val="{00000003-51AB-40F3-9A69-6B40D9EED3DD}"/>
            </c:ext>
          </c:extLst>
        </c:ser>
        <c:ser>
          <c:idx val="2"/>
          <c:order val="2"/>
          <c:tx>
            <c:strRef>
              <c:f>Sheet1!$D$1</c:f>
              <c:strCache>
                <c:ptCount val="1"/>
                <c:pt idx="0">
                  <c:v>1.5%</c:v>
                </c:pt>
              </c:strCache>
            </c:strRef>
          </c:tx>
          <c:spPr>
            <a:solidFill>
              <a:schemeClr val="accent3"/>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7.32</c:v>
                </c:pt>
                <c:pt idx="1">
                  <c:v>7.5</c:v>
                </c:pt>
                <c:pt idx="2">
                  <c:v>7.14</c:v>
                </c:pt>
                <c:pt idx="3">
                  <c:v>7.16</c:v>
                </c:pt>
              </c:numCache>
            </c:numRef>
          </c:val>
          <c:extLst>
            <c:ext xmlns:c16="http://schemas.microsoft.com/office/drawing/2014/chart" uri="{C3380CC4-5D6E-409C-BE32-E72D297353CC}">
              <c16:uniqueId val="{00000004-51AB-40F3-9A69-6B40D9EED3DD}"/>
            </c:ext>
          </c:extLst>
        </c:ser>
        <c:ser>
          <c:idx val="3"/>
          <c:order val="3"/>
          <c:tx>
            <c:strRef>
              <c:f>Sheet1!$E$1</c:f>
              <c:strCache>
                <c:ptCount val="1"/>
                <c:pt idx="0">
                  <c:v>2.0%</c:v>
                </c:pt>
              </c:strCache>
            </c:strRef>
          </c:tx>
          <c:spPr>
            <a:solidFill>
              <a:schemeClr val="accent4"/>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6.83</c:v>
                </c:pt>
                <c:pt idx="1">
                  <c:v>7</c:v>
                </c:pt>
                <c:pt idx="2">
                  <c:v>6.8</c:v>
                </c:pt>
                <c:pt idx="3">
                  <c:v>6.68</c:v>
                </c:pt>
              </c:numCache>
            </c:numRef>
          </c:val>
          <c:extLst>
            <c:ext xmlns:c16="http://schemas.microsoft.com/office/drawing/2014/chart" uri="{C3380CC4-5D6E-409C-BE32-E72D297353CC}">
              <c16:uniqueId val="{00000005-51AB-40F3-9A69-6B40D9EED3DD}"/>
            </c:ext>
          </c:extLst>
        </c:ser>
        <c:dLbls>
          <c:showLegendKey val="0"/>
          <c:showVal val="0"/>
          <c:showCatName val="0"/>
          <c:showSerName val="0"/>
          <c:showPercent val="0"/>
          <c:showBubbleSize val="0"/>
        </c:dLbls>
        <c:gapWidth val="150"/>
        <c:axId val="1217779295"/>
        <c:axId val="1373564287"/>
      </c:barChart>
      <c:catAx>
        <c:axId val="1217779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solidFill>
                      <a:sysClr val="windowText" lastClr="000000"/>
                    </a:solidFill>
                    <a:latin typeface="Arial" panose="020B0604020202020204" pitchFamily="34" charset="0"/>
                    <a:cs typeface="Arial" panose="020B0604020202020204" pitchFamily="34" charset="0"/>
                  </a:rPr>
                  <a:t>Black</a:t>
                </a:r>
                <a:r>
                  <a:rPr lang="en-IN" b="1" baseline="0">
                    <a:solidFill>
                      <a:sysClr val="windowText" lastClr="000000"/>
                    </a:solidFill>
                    <a:latin typeface="Arial" panose="020B0604020202020204" pitchFamily="34" charset="0"/>
                    <a:cs typeface="Arial" panose="020B0604020202020204" pitchFamily="34" charset="0"/>
                  </a:rPr>
                  <a:t> Cumin</a:t>
                </a:r>
                <a:endParaRPr lang="en-IN"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N"/>
            </a:p>
          </c:txPr>
        </c:title>
        <c:numFmt formatCode="General" sourceLinked="1"/>
        <c:majorTickMark val="none"/>
        <c:minorTickMark val="none"/>
        <c:tickLblPos val="nextTo"/>
        <c:spPr>
          <a:noFill/>
          <a:ln w="28575">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73564287"/>
        <c:crosses val="autoZero"/>
        <c:auto val="1"/>
        <c:lblAlgn val="ctr"/>
        <c:lblOffset val="100"/>
        <c:noMultiLvlLbl val="0"/>
      </c:catAx>
      <c:valAx>
        <c:axId val="1373564287"/>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50" b="1" i="0" u="none" strike="noStrike" kern="1200" baseline="0">
                    <a:solidFill>
                      <a:schemeClr val="tx1"/>
                    </a:solidFill>
                    <a:latin typeface="Arial" panose="020B0604020202020204" pitchFamily="34" charset="0"/>
                    <a:cs typeface="Arial" panose="020B0604020202020204" pitchFamily="34" charset="0"/>
                  </a:rPr>
                  <a:t>9-point hedonic scale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1777929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B02C5-EDDD-4C0C-AD91-E597FD07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132</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Aravind Thangallapally</cp:lastModifiedBy>
  <cp:revision>21</cp:revision>
  <cp:lastPrinted>1999-07-06T11:00:00Z</cp:lastPrinted>
  <dcterms:created xsi:type="dcterms:W3CDTF">2025-10-18T09:29:00Z</dcterms:created>
  <dcterms:modified xsi:type="dcterms:W3CDTF">2025-10-21T14:25:00Z</dcterms:modified>
</cp:coreProperties>
</file>