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F3D7" w14:textId="7E71AA50" w:rsidR="00C96C0A" w:rsidRPr="0057092E" w:rsidRDefault="00C96C0A" w:rsidP="002B4B6D">
      <w:pPr>
        <w:spacing w:after="0"/>
        <w:jc w:val="center"/>
        <w:rPr>
          <w:color w:val="auto"/>
          <w:sz w:val="30"/>
          <w:szCs w:val="30"/>
          <w:lang w:val="en-GB"/>
        </w:rPr>
      </w:pPr>
      <w:r w:rsidRPr="0057092E">
        <w:rPr>
          <w:color w:val="auto"/>
          <w:sz w:val="30"/>
          <w:szCs w:val="30"/>
          <w:lang w:val="en-GB"/>
        </w:rPr>
        <w:t xml:space="preserve">Private sector agro input companies contribute to nutrition-sensitive agriculture in southern Bangladesh: </w:t>
      </w:r>
      <w:r w:rsidR="00031CA6">
        <w:rPr>
          <w:color w:val="auto"/>
          <w:sz w:val="30"/>
          <w:szCs w:val="30"/>
          <w:lang w:val="en-GB"/>
        </w:rPr>
        <w:t>E</w:t>
      </w:r>
      <w:r w:rsidRPr="0057092E">
        <w:rPr>
          <w:color w:val="auto"/>
          <w:sz w:val="30"/>
          <w:szCs w:val="30"/>
          <w:lang w:val="en-GB"/>
        </w:rPr>
        <w:t>vidence from Faridpur and Khulna</w:t>
      </w:r>
    </w:p>
    <w:p w14:paraId="7D8C5776" w14:textId="77777777" w:rsidR="00B64A3B" w:rsidRPr="0057092E" w:rsidRDefault="00B64A3B" w:rsidP="002B4B6D">
      <w:pPr>
        <w:spacing w:after="0"/>
        <w:rPr>
          <w:rFonts w:asciiTheme="minorHAnsi" w:hAnsiTheme="minorHAnsi" w:cstheme="minorHAnsi"/>
          <w:b/>
          <w:color w:val="auto"/>
          <w:szCs w:val="22"/>
        </w:rPr>
      </w:pPr>
    </w:p>
    <w:p w14:paraId="698BD4D5" w14:textId="4DA573B8" w:rsidR="00720765" w:rsidRPr="0057092E" w:rsidRDefault="00720765" w:rsidP="002B4B6D">
      <w:pPr>
        <w:spacing w:after="0"/>
        <w:jc w:val="center"/>
        <w:rPr>
          <w:rFonts w:asciiTheme="minorHAnsi" w:hAnsiTheme="minorHAnsi" w:cstheme="minorHAnsi"/>
          <w:b/>
          <w:color w:val="auto"/>
          <w:szCs w:val="22"/>
        </w:rPr>
      </w:pPr>
      <w:r w:rsidRPr="0057092E">
        <w:rPr>
          <w:rFonts w:asciiTheme="minorHAnsi" w:hAnsiTheme="minorHAnsi" w:cstheme="minorHAnsi"/>
          <w:b/>
          <w:color w:val="auto"/>
          <w:szCs w:val="22"/>
        </w:rPr>
        <w:t>Abstract</w:t>
      </w:r>
    </w:p>
    <w:p w14:paraId="5F552884" w14:textId="05A4884E" w:rsidR="00720765" w:rsidRPr="0057092E" w:rsidRDefault="00720765" w:rsidP="002B4B6D">
      <w:pPr>
        <w:spacing w:after="0"/>
        <w:rPr>
          <w:rFonts w:asciiTheme="minorHAnsi" w:hAnsiTheme="minorHAnsi" w:cstheme="minorHAnsi"/>
          <w:color w:val="auto"/>
          <w:szCs w:val="22"/>
        </w:rPr>
      </w:pPr>
      <w:r w:rsidRPr="0057092E">
        <w:rPr>
          <w:rFonts w:asciiTheme="minorHAnsi" w:hAnsiTheme="minorHAnsi" w:cstheme="minorHAnsi"/>
          <w:b/>
          <w:color w:val="auto"/>
          <w:szCs w:val="22"/>
        </w:rPr>
        <w:t xml:space="preserve">Background and study areas: </w:t>
      </w:r>
      <w:r w:rsidRPr="0057092E">
        <w:rPr>
          <w:rFonts w:asciiTheme="minorHAnsi" w:hAnsiTheme="minorHAnsi" w:cstheme="minorHAnsi"/>
          <w:color w:val="auto"/>
          <w:szCs w:val="22"/>
        </w:rPr>
        <w:t xml:space="preserve">Southern Bangladesh faces challenges related to </w:t>
      </w:r>
      <w:r w:rsidR="00A55CBB" w:rsidRPr="0057092E">
        <w:rPr>
          <w:rFonts w:asciiTheme="minorHAnsi" w:hAnsiTheme="minorHAnsi" w:cstheme="minorHAnsi"/>
          <w:color w:val="auto"/>
          <w:szCs w:val="22"/>
        </w:rPr>
        <w:t>nutritious</w:t>
      </w:r>
      <w:r w:rsidR="002C1F30" w:rsidRPr="0057092E">
        <w:rPr>
          <w:rFonts w:asciiTheme="minorHAnsi" w:hAnsiTheme="minorHAnsi" w:cstheme="minorHAnsi"/>
          <w:color w:val="auto"/>
          <w:szCs w:val="22"/>
        </w:rPr>
        <w:t xml:space="preserve"> foo</w:t>
      </w:r>
      <w:r w:rsidR="00BB13AB" w:rsidRPr="0057092E">
        <w:rPr>
          <w:rFonts w:asciiTheme="minorHAnsi" w:hAnsiTheme="minorHAnsi" w:cstheme="minorHAnsi"/>
          <w:color w:val="auto"/>
          <w:szCs w:val="22"/>
        </w:rPr>
        <w:t>d</w:t>
      </w:r>
      <w:r w:rsidR="002C1F30" w:rsidRPr="0057092E">
        <w:rPr>
          <w:rFonts w:asciiTheme="minorHAnsi" w:hAnsiTheme="minorHAnsi" w:cstheme="minorHAnsi"/>
          <w:color w:val="auto"/>
          <w:szCs w:val="22"/>
        </w:rPr>
        <w:t xml:space="preserve"> production, quality</w:t>
      </w:r>
      <w:r w:rsidR="00B93289" w:rsidRPr="0057092E">
        <w:rPr>
          <w:rFonts w:asciiTheme="minorHAnsi" w:hAnsiTheme="minorHAnsi" w:cstheme="minorHAnsi"/>
          <w:color w:val="auto"/>
          <w:szCs w:val="22"/>
        </w:rPr>
        <w:t xml:space="preserve"> inputs, </w:t>
      </w:r>
      <w:r w:rsidR="00B23DE9" w:rsidRPr="0057092E">
        <w:rPr>
          <w:rFonts w:asciiTheme="minorHAnsi" w:hAnsiTheme="minorHAnsi" w:cstheme="minorHAnsi"/>
          <w:color w:val="auto"/>
          <w:szCs w:val="22"/>
        </w:rPr>
        <w:t xml:space="preserve">and </w:t>
      </w:r>
      <w:r w:rsidR="00B93289" w:rsidRPr="0057092E">
        <w:rPr>
          <w:rFonts w:asciiTheme="minorHAnsi" w:hAnsiTheme="minorHAnsi" w:cstheme="minorHAnsi"/>
          <w:color w:val="auto"/>
          <w:szCs w:val="22"/>
        </w:rPr>
        <w:t xml:space="preserve">technological </w:t>
      </w:r>
      <w:r w:rsidR="00BB13AB" w:rsidRPr="0057092E">
        <w:rPr>
          <w:rFonts w:asciiTheme="minorHAnsi" w:hAnsiTheme="minorHAnsi" w:cstheme="minorHAnsi"/>
          <w:color w:val="auto"/>
          <w:szCs w:val="22"/>
        </w:rPr>
        <w:t xml:space="preserve">solutions. </w:t>
      </w:r>
      <w:r w:rsidRPr="0057092E">
        <w:rPr>
          <w:rFonts w:asciiTheme="minorHAnsi" w:hAnsiTheme="minorHAnsi" w:cstheme="minorHAnsi"/>
          <w:color w:val="auto"/>
          <w:szCs w:val="22"/>
        </w:rPr>
        <w:t>Agro-input companies</w:t>
      </w:r>
      <w:r w:rsidR="00BB13AB" w:rsidRPr="0057092E">
        <w:rPr>
          <w:rFonts w:asciiTheme="minorHAnsi" w:hAnsiTheme="minorHAnsi" w:cstheme="minorHAnsi"/>
          <w:color w:val="auto"/>
          <w:szCs w:val="22"/>
        </w:rPr>
        <w:t xml:space="preserve"> are key </w:t>
      </w:r>
      <w:r w:rsidR="004B23FA" w:rsidRPr="0057092E">
        <w:rPr>
          <w:rFonts w:asciiTheme="minorHAnsi" w:hAnsiTheme="minorHAnsi" w:cstheme="minorHAnsi"/>
          <w:color w:val="auto"/>
          <w:szCs w:val="22"/>
        </w:rPr>
        <w:t>players</w:t>
      </w:r>
      <w:r w:rsidR="009D5E88" w:rsidRPr="0057092E">
        <w:rPr>
          <w:rFonts w:asciiTheme="minorHAnsi" w:hAnsiTheme="minorHAnsi" w:cstheme="minorHAnsi"/>
          <w:color w:val="auto"/>
          <w:szCs w:val="22"/>
        </w:rPr>
        <w:t xml:space="preserve"> </w:t>
      </w:r>
      <w:r w:rsidR="00B23DE9" w:rsidRPr="0057092E">
        <w:rPr>
          <w:rFonts w:asciiTheme="minorHAnsi" w:hAnsiTheme="minorHAnsi" w:cstheme="minorHAnsi"/>
          <w:color w:val="auto"/>
          <w:szCs w:val="22"/>
        </w:rPr>
        <w:t>in providing seeds, fertilizers, and services to promote</w:t>
      </w:r>
      <w:r w:rsidRPr="0057092E">
        <w:rPr>
          <w:rFonts w:asciiTheme="minorHAnsi" w:hAnsiTheme="minorHAnsi" w:cstheme="minorHAnsi"/>
          <w:color w:val="auto"/>
          <w:szCs w:val="22"/>
        </w:rPr>
        <w:t xml:space="preserve"> </w:t>
      </w:r>
      <w:r w:rsidR="00C534D2" w:rsidRPr="0057092E">
        <w:rPr>
          <w:rFonts w:asciiTheme="minorHAnsi" w:hAnsiTheme="minorHAnsi" w:cstheme="minorHAnsi"/>
          <w:color w:val="auto"/>
          <w:szCs w:val="22"/>
        </w:rPr>
        <w:t>agricultural</w:t>
      </w:r>
      <w:r w:rsidRPr="0057092E">
        <w:rPr>
          <w:rFonts w:asciiTheme="minorHAnsi" w:hAnsiTheme="minorHAnsi" w:cstheme="minorHAnsi"/>
          <w:color w:val="auto"/>
          <w:szCs w:val="22"/>
        </w:rPr>
        <w:t xml:space="preserve"> farming and diverse, nutritious food </w:t>
      </w:r>
      <w:r w:rsidR="00E61884" w:rsidRPr="0057092E">
        <w:rPr>
          <w:rFonts w:asciiTheme="minorHAnsi" w:hAnsiTheme="minorHAnsi" w:cstheme="minorHAnsi"/>
          <w:color w:val="auto"/>
          <w:szCs w:val="22"/>
        </w:rPr>
        <w:t>production</w:t>
      </w:r>
      <w:r w:rsidRPr="0057092E">
        <w:rPr>
          <w:rFonts w:asciiTheme="minorHAnsi" w:hAnsiTheme="minorHAnsi" w:cstheme="minorHAnsi"/>
          <w:color w:val="auto"/>
          <w:szCs w:val="22"/>
        </w:rPr>
        <w:t xml:space="preserve">. The study </w:t>
      </w:r>
      <w:r w:rsidR="00E330BC" w:rsidRPr="0057092E">
        <w:rPr>
          <w:rFonts w:asciiTheme="minorHAnsi" w:hAnsiTheme="minorHAnsi" w:cstheme="minorHAnsi"/>
          <w:color w:val="auto"/>
          <w:szCs w:val="22"/>
        </w:rPr>
        <w:t>examined</w:t>
      </w:r>
      <w:r w:rsidRPr="0057092E">
        <w:rPr>
          <w:rFonts w:asciiTheme="minorHAnsi" w:hAnsiTheme="minorHAnsi" w:cstheme="minorHAnsi"/>
          <w:color w:val="auto"/>
          <w:szCs w:val="22"/>
        </w:rPr>
        <w:t xml:space="preserve"> </w:t>
      </w:r>
      <w:r w:rsidR="00233818" w:rsidRPr="0057092E">
        <w:rPr>
          <w:rFonts w:asciiTheme="minorHAnsi" w:hAnsiTheme="minorHAnsi" w:cstheme="minorHAnsi"/>
          <w:color w:val="auto"/>
          <w:szCs w:val="22"/>
        </w:rPr>
        <w:t xml:space="preserve">the </w:t>
      </w:r>
      <w:r w:rsidRPr="0057092E">
        <w:rPr>
          <w:rFonts w:asciiTheme="minorHAnsi" w:hAnsiTheme="minorHAnsi" w:cstheme="minorHAnsi"/>
          <w:color w:val="auto"/>
          <w:szCs w:val="22"/>
        </w:rPr>
        <w:t xml:space="preserve">role of </w:t>
      </w:r>
      <w:r w:rsidR="00233818" w:rsidRPr="0057092E">
        <w:rPr>
          <w:rFonts w:asciiTheme="minorHAnsi" w:hAnsiTheme="minorHAnsi" w:cstheme="minorHAnsi"/>
          <w:color w:val="auto"/>
          <w:szCs w:val="22"/>
        </w:rPr>
        <w:t>agro-input companies in enhancing nutritious, diverse food production and consumption for Khulna and Faridpur districts.</w:t>
      </w:r>
      <w:r w:rsidR="00233818" w:rsidRPr="0057092E">
        <w:rPr>
          <w:rFonts w:asciiTheme="minorHAnsi" w:hAnsiTheme="minorHAnsi" w:cstheme="minorHAnsi"/>
          <w:b/>
          <w:color w:val="auto"/>
          <w:szCs w:val="22"/>
        </w:rPr>
        <w:t xml:space="preserve"> </w:t>
      </w:r>
    </w:p>
    <w:p w14:paraId="014941DE" w14:textId="77777777" w:rsidR="007E2692" w:rsidRPr="0057092E" w:rsidRDefault="007E2692" w:rsidP="002B4B6D">
      <w:pPr>
        <w:spacing w:after="0"/>
        <w:rPr>
          <w:rFonts w:asciiTheme="minorHAnsi" w:hAnsiTheme="minorHAnsi" w:cstheme="minorHAnsi"/>
          <w:b/>
          <w:color w:val="auto"/>
          <w:sz w:val="10"/>
          <w:szCs w:val="10"/>
        </w:rPr>
      </w:pPr>
    </w:p>
    <w:p w14:paraId="5B2FA173" w14:textId="292C008C" w:rsidR="00233818" w:rsidRPr="0057092E" w:rsidRDefault="00720765" w:rsidP="002B4B6D">
      <w:pPr>
        <w:spacing w:after="0"/>
        <w:rPr>
          <w:rFonts w:asciiTheme="minorHAnsi" w:hAnsiTheme="minorHAnsi" w:cstheme="minorHAnsi"/>
          <w:color w:val="auto"/>
          <w:szCs w:val="22"/>
        </w:rPr>
      </w:pPr>
      <w:r w:rsidRPr="0057092E">
        <w:rPr>
          <w:rFonts w:asciiTheme="minorHAnsi" w:hAnsiTheme="minorHAnsi" w:cstheme="minorHAnsi"/>
          <w:b/>
          <w:color w:val="auto"/>
          <w:szCs w:val="22"/>
        </w:rPr>
        <w:t>Methods</w:t>
      </w:r>
      <w:r w:rsidR="00233818" w:rsidRPr="0057092E">
        <w:rPr>
          <w:rFonts w:asciiTheme="minorHAnsi" w:hAnsiTheme="minorHAnsi" w:cstheme="minorHAnsi"/>
          <w:b/>
          <w:color w:val="auto"/>
          <w:szCs w:val="22"/>
        </w:rPr>
        <w:t xml:space="preserve">: </w:t>
      </w:r>
      <w:r w:rsidR="00FF102E" w:rsidRPr="0057092E">
        <w:rPr>
          <w:rFonts w:asciiTheme="minorHAnsi" w:hAnsiTheme="minorHAnsi" w:cstheme="minorHAnsi"/>
          <w:color w:val="auto"/>
          <w:szCs w:val="22"/>
        </w:rPr>
        <w:t xml:space="preserve">This study examines the role of agro-input companies in promoting </w:t>
      </w:r>
      <w:r w:rsidR="00F76977" w:rsidRPr="0057092E">
        <w:rPr>
          <w:rFonts w:asciiTheme="minorHAnsi" w:hAnsiTheme="minorHAnsi" w:cstheme="minorHAnsi"/>
          <w:color w:val="auto"/>
          <w:szCs w:val="22"/>
        </w:rPr>
        <w:t xml:space="preserve">nutrition-sensitive agriculture, </w:t>
      </w:r>
      <w:r w:rsidR="00FF102E" w:rsidRPr="0057092E">
        <w:rPr>
          <w:rFonts w:asciiTheme="minorHAnsi" w:hAnsiTheme="minorHAnsi" w:cstheme="minorHAnsi"/>
          <w:color w:val="auto"/>
          <w:szCs w:val="22"/>
        </w:rPr>
        <w:t>diverse food production</w:t>
      </w:r>
      <w:r w:rsidR="00F76977" w:rsidRPr="0057092E">
        <w:rPr>
          <w:rFonts w:asciiTheme="minorHAnsi" w:hAnsiTheme="minorHAnsi" w:cstheme="minorHAnsi"/>
          <w:color w:val="auto"/>
          <w:szCs w:val="22"/>
        </w:rPr>
        <w:t>,</w:t>
      </w:r>
      <w:r w:rsidR="00FF102E" w:rsidRPr="0057092E">
        <w:rPr>
          <w:rFonts w:asciiTheme="minorHAnsi" w:hAnsiTheme="minorHAnsi" w:cstheme="minorHAnsi"/>
          <w:color w:val="auto"/>
          <w:szCs w:val="22"/>
        </w:rPr>
        <w:t xml:space="preserve"> and consumption in southern Bangladesh, focusing on the Faridpur and Khulna districts. A mixed-method approach was applied, combining quantitative household surveys with qualitative assessments</w:t>
      </w:r>
      <w:r w:rsidR="00F76977" w:rsidRPr="0057092E">
        <w:rPr>
          <w:rFonts w:asciiTheme="minorHAnsi" w:hAnsiTheme="minorHAnsi" w:cstheme="minorHAnsi"/>
          <w:color w:val="auto"/>
          <w:szCs w:val="22"/>
        </w:rPr>
        <w:t xml:space="preserve">, </w:t>
      </w:r>
      <w:r w:rsidR="00B23DE9" w:rsidRPr="0057092E">
        <w:rPr>
          <w:rFonts w:asciiTheme="minorHAnsi" w:hAnsiTheme="minorHAnsi" w:cstheme="minorHAnsi"/>
          <w:color w:val="auto"/>
          <w:szCs w:val="22"/>
        </w:rPr>
        <w:t xml:space="preserve">and the findings </w:t>
      </w:r>
      <w:r w:rsidR="00757A9E" w:rsidRPr="0057092E">
        <w:rPr>
          <w:rFonts w:asciiTheme="minorHAnsi" w:hAnsiTheme="minorHAnsi" w:cstheme="minorHAnsi"/>
          <w:color w:val="auto"/>
          <w:szCs w:val="22"/>
        </w:rPr>
        <w:t xml:space="preserve">were triangulated </w:t>
      </w:r>
      <w:r w:rsidR="00B23DE9" w:rsidRPr="0057092E">
        <w:rPr>
          <w:rFonts w:asciiTheme="minorHAnsi" w:hAnsiTheme="minorHAnsi" w:cstheme="minorHAnsi"/>
          <w:color w:val="auto"/>
          <w:szCs w:val="22"/>
        </w:rPr>
        <w:t>with secondary data to strengthen the results</w:t>
      </w:r>
      <w:r w:rsidR="00233818" w:rsidRPr="0057092E">
        <w:rPr>
          <w:rFonts w:asciiTheme="minorHAnsi" w:hAnsiTheme="minorHAnsi" w:cstheme="minorHAnsi"/>
          <w:color w:val="auto"/>
          <w:szCs w:val="22"/>
        </w:rPr>
        <w:t>.</w:t>
      </w:r>
    </w:p>
    <w:p w14:paraId="4AC6A9C3" w14:textId="77777777" w:rsidR="007D57EF" w:rsidRPr="0057092E" w:rsidRDefault="007D57EF" w:rsidP="002B4B6D">
      <w:pPr>
        <w:spacing w:after="0"/>
        <w:rPr>
          <w:rFonts w:asciiTheme="minorHAnsi" w:hAnsiTheme="minorHAnsi" w:cstheme="minorHAnsi"/>
          <w:color w:val="auto"/>
          <w:szCs w:val="22"/>
        </w:rPr>
      </w:pPr>
    </w:p>
    <w:p w14:paraId="0F8E420B" w14:textId="0DA6E0F7" w:rsidR="00257ED4" w:rsidRPr="0057092E" w:rsidRDefault="00B84E66" w:rsidP="002B4B6D">
      <w:pPr>
        <w:spacing w:after="0"/>
        <w:rPr>
          <w:rFonts w:asciiTheme="minorHAnsi" w:hAnsiTheme="minorHAnsi" w:cstheme="minorHAnsi"/>
          <w:color w:val="auto"/>
          <w:szCs w:val="22"/>
        </w:rPr>
      </w:pPr>
      <w:r w:rsidRPr="0057092E">
        <w:rPr>
          <w:rFonts w:asciiTheme="minorHAnsi" w:hAnsiTheme="minorHAnsi" w:cstheme="minorHAnsi"/>
          <w:b/>
          <w:color w:val="auto"/>
          <w:szCs w:val="22"/>
        </w:rPr>
        <w:t xml:space="preserve">Results: </w:t>
      </w:r>
      <w:r w:rsidR="00151E4F" w:rsidRPr="0057092E">
        <w:rPr>
          <w:rFonts w:asciiTheme="minorHAnsi" w:hAnsiTheme="minorHAnsi" w:cstheme="minorHAnsi"/>
          <w:color w:val="auto"/>
          <w:szCs w:val="22"/>
        </w:rPr>
        <w:t xml:space="preserve">The study revealed that 89.00% of farmers learned nutrition-sensitive food production methods from agro-input companies, while 52.49% increased their knowledge of diversified production techniques. Additionally, 74.50% of farmers used improved vegetable varieties, 64.00% adopted new technologies, 69.31% used high-yielding seeds, and only 13.21% cultivated stress-tolerant varieties. As a result, 80.71% of households consumed nutritious and diverse foods. At the household level, 43.85% of households consumed all their produce, 26.08% sold surplus, and 29.35% shared excess with the neighbors. Access to agricultural inputs was generally high, with 83.98% of households confirming the availability of quality inputs in both districts. </w:t>
      </w:r>
      <w:r w:rsidR="00257ED4" w:rsidRPr="0057092E">
        <w:rPr>
          <w:rFonts w:asciiTheme="minorHAnsi" w:hAnsiTheme="minorHAnsi" w:cstheme="minorHAnsi"/>
          <w:color w:val="auto"/>
          <w:szCs w:val="22"/>
        </w:rPr>
        <w:t xml:space="preserve">Overall, the findings highlight that agro-input companies play </w:t>
      </w:r>
      <w:r w:rsidR="0057092E" w:rsidRPr="0057092E">
        <w:rPr>
          <w:rFonts w:asciiTheme="minorHAnsi" w:hAnsiTheme="minorHAnsi" w:cstheme="minorHAnsi"/>
          <w:color w:val="auto"/>
          <w:szCs w:val="22"/>
        </w:rPr>
        <w:t>an</w:t>
      </w:r>
      <w:r w:rsidR="00257ED4" w:rsidRPr="0057092E">
        <w:rPr>
          <w:rFonts w:asciiTheme="minorHAnsi" w:hAnsiTheme="minorHAnsi" w:cstheme="minorHAnsi"/>
          <w:color w:val="auto"/>
          <w:szCs w:val="22"/>
        </w:rPr>
        <w:t xml:space="preserve"> </w:t>
      </w:r>
      <w:r w:rsidR="00DA6F79" w:rsidRPr="0057092E">
        <w:rPr>
          <w:rFonts w:asciiTheme="minorHAnsi" w:hAnsiTheme="minorHAnsi" w:cstheme="minorHAnsi"/>
          <w:color w:val="auto"/>
          <w:szCs w:val="22"/>
        </w:rPr>
        <w:t>important</w:t>
      </w:r>
      <w:r w:rsidR="00257ED4" w:rsidRPr="0057092E">
        <w:rPr>
          <w:rFonts w:asciiTheme="minorHAnsi" w:hAnsiTheme="minorHAnsi" w:cstheme="minorHAnsi"/>
          <w:color w:val="auto"/>
          <w:szCs w:val="22"/>
        </w:rPr>
        <w:t xml:space="preserve"> role in promoting nutrition-sensitive and diversified food production by supporting the adoption of innovative technologies, increasing household dietary diversity, and reinforcing the agricultural input supply chain, thereby fostering sustainable food systems in southern Bangladesh.</w:t>
      </w:r>
    </w:p>
    <w:p w14:paraId="5AA8901F" w14:textId="1FA730F8" w:rsidR="001B6F2D" w:rsidRPr="0057092E" w:rsidRDefault="001B6F2D" w:rsidP="002B4B6D">
      <w:pPr>
        <w:spacing w:after="0"/>
        <w:rPr>
          <w:rFonts w:asciiTheme="minorHAnsi" w:hAnsiTheme="minorHAnsi" w:cstheme="minorHAnsi"/>
          <w:color w:val="auto"/>
          <w:szCs w:val="22"/>
        </w:rPr>
      </w:pPr>
    </w:p>
    <w:p w14:paraId="23D639FD" w14:textId="258F038B" w:rsidR="001B6F2D" w:rsidRPr="0057092E" w:rsidRDefault="001B6F2D" w:rsidP="002B4B6D">
      <w:pPr>
        <w:autoSpaceDE/>
        <w:autoSpaceDN/>
        <w:adjustRightInd/>
        <w:spacing w:after="0"/>
        <w:rPr>
          <w:rFonts w:asciiTheme="minorHAnsi" w:hAnsiTheme="minorHAnsi" w:cstheme="minorHAnsi"/>
          <w:color w:val="auto"/>
          <w:szCs w:val="22"/>
        </w:rPr>
      </w:pPr>
      <w:r w:rsidRPr="0057092E">
        <w:rPr>
          <w:rFonts w:asciiTheme="minorHAnsi" w:hAnsiTheme="minorHAnsi" w:cstheme="minorHAnsi"/>
          <w:b/>
          <w:bCs/>
          <w:color w:val="auto"/>
          <w:szCs w:val="22"/>
        </w:rPr>
        <w:t>Limitation:</w:t>
      </w:r>
      <w:r w:rsidRPr="0057092E">
        <w:rPr>
          <w:rFonts w:asciiTheme="minorHAnsi" w:hAnsiTheme="minorHAnsi" w:cstheme="minorHAnsi"/>
          <w:color w:val="auto"/>
          <w:szCs w:val="22"/>
        </w:rPr>
        <w:t xml:space="preserve"> </w:t>
      </w:r>
      <w:r w:rsidRPr="0057092E">
        <w:rPr>
          <w:rFonts w:asciiTheme="minorHAnsi" w:hAnsiTheme="minorHAnsi" w:cstheme="minorHAnsi"/>
          <w:color w:val="auto"/>
        </w:rPr>
        <w:t>The study is limited by its focus on only two districts</w:t>
      </w:r>
      <w:r w:rsidR="0057092E" w:rsidRPr="0057092E">
        <w:rPr>
          <w:rFonts w:asciiTheme="minorHAnsi" w:hAnsiTheme="minorHAnsi" w:cstheme="minorHAnsi"/>
          <w:color w:val="auto"/>
        </w:rPr>
        <w:t>,</w:t>
      </w:r>
      <w:r w:rsidRPr="0057092E">
        <w:rPr>
          <w:rFonts w:asciiTheme="minorHAnsi" w:hAnsiTheme="minorHAnsi" w:cstheme="minorHAnsi"/>
          <w:color w:val="auto"/>
        </w:rPr>
        <w:t xml:space="preserve"> which may not represent all of southern Bangladesh. </w:t>
      </w:r>
    </w:p>
    <w:p w14:paraId="42FFD34A" w14:textId="77777777" w:rsidR="00895EAE" w:rsidRPr="0057092E" w:rsidRDefault="00895EAE" w:rsidP="002B4B6D">
      <w:pPr>
        <w:autoSpaceDE/>
        <w:autoSpaceDN/>
        <w:adjustRightInd/>
        <w:spacing w:after="0"/>
        <w:rPr>
          <w:rFonts w:asciiTheme="minorHAnsi" w:hAnsiTheme="minorHAnsi" w:cstheme="minorHAnsi"/>
          <w:b/>
          <w:color w:val="auto"/>
          <w:sz w:val="10"/>
          <w:szCs w:val="10"/>
        </w:rPr>
      </w:pPr>
    </w:p>
    <w:p w14:paraId="25E06D8A" w14:textId="0C479BD7" w:rsidR="00720765" w:rsidRPr="0057092E" w:rsidRDefault="00B71848" w:rsidP="002B4B6D">
      <w:pPr>
        <w:spacing w:after="0"/>
        <w:rPr>
          <w:rFonts w:asciiTheme="minorHAnsi" w:hAnsiTheme="minorHAnsi" w:cstheme="minorHAnsi"/>
          <w:color w:val="auto"/>
          <w:szCs w:val="22"/>
        </w:rPr>
      </w:pPr>
      <w:r w:rsidRPr="0057092E">
        <w:rPr>
          <w:rFonts w:asciiTheme="minorHAnsi" w:hAnsiTheme="minorHAnsi" w:cstheme="minorHAnsi"/>
          <w:b/>
          <w:color w:val="auto"/>
          <w:szCs w:val="22"/>
        </w:rPr>
        <w:t>Conclusion</w:t>
      </w:r>
      <w:r w:rsidR="00CA52AE" w:rsidRPr="0057092E">
        <w:rPr>
          <w:rFonts w:asciiTheme="minorHAnsi" w:hAnsiTheme="minorHAnsi" w:cstheme="minorHAnsi"/>
          <w:b/>
          <w:color w:val="auto"/>
          <w:szCs w:val="22"/>
        </w:rPr>
        <w:t xml:space="preserve">: </w:t>
      </w:r>
      <w:r w:rsidR="00CA52AE" w:rsidRPr="0057092E">
        <w:rPr>
          <w:rFonts w:asciiTheme="minorHAnsi" w:hAnsiTheme="minorHAnsi" w:cstheme="minorHAnsi"/>
          <w:color w:val="auto"/>
          <w:szCs w:val="22"/>
        </w:rPr>
        <w:t xml:space="preserve">Agro-input companies </w:t>
      </w:r>
      <w:r w:rsidR="00366D5A" w:rsidRPr="0057092E">
        <w:rPr>
          <w:rFonts w:asciiTheme="minorHAnsi" w:hAnsiTheme="minorHAnsi" w:cstheme="minorHAnsi"/>
          <w:color w:val="auto"/>
          <w:szCs w:val="22"/>
        </w:rPr>
        <w:t>re</w:t>
      </w:r>
      <w:r w:rsidR="00C62054" w:rsidRPr="0057092E">
        <w:rPr>
          <w:rFonts w:asciiTheme="minorHAnsi" w:hAnsiTheme="minorHAnsi" w:cstheme="minorHAnsi"/>
          <w:color w:val="auto"/>
          <w:szCs w:val="22"/>
        </w:rPr>
        <w:t>markably</w:t>
      </w:r>
      <w:r w:rsidR="00CA52AE" w:rsidRPr="0057092E">
        <w:rPr>
          <w:rFonts w:asciiTheme="minorHAnsi" w:hAnsiTheme="minorHAnsi" w:cstheme="minorHAnsi"/>
          <w:color w:val="auto"/>
          <w:szCs w:val="22"/>
        </w:rPr>
        <w:t xml:space="preserve"> </w:t>
      </w:r>
      <w:r w:rsidR="002C58A0" w:rsidRPr="0057092E">
        <w:rPr>
          <w:rFonts w:asciiTheme="minorHAnsi" w:hAnsiTheme="minorHAnsi" w:cstheme="minorHAnsi"/>
          <w:color w:val="auto"/>
          <w:szCs w:val="22"/>
        </w:rPr>
        <w:t xml:space="preserve">promote quality seeds, </w:t>
      </w:r>
      <w:r w:rsidR="00647E1D" w:rsidRPr="0057092E">
        <w:rPr>
          <w:rFonts w:asciiTheme="minorHAnsi" w:hAnsiTheme="minorHAnsi" w:cstheme="minorHAnsi"/>
          <w:color w:val="auto"/>
          <w:szCs w:val="22"/>
        </w:rPr>
        <w:t>fertilizer</w:t>
      </w:r>
      <w:r w:rsidR="002C58A0" w:rsidRPr="0057092E">
        <w:rPr>
          <w:rFonts w:asciiTheme="minorHAnsi" w:hAnsiTheme="minorHAnsi" w:cstheme="minorHAnsi"/>
          <w:color w:val="auto"/>
          <w:szCs w:val="22"/>
        </w:rPr>
        <w:t>, new technologies, farming education</w:t>
      </w:r>
      <w:r w:rsidR="00647E1D" w:rsidRPr="0057092E">
        <w:rPr>
          <w:rFonts w:asciiTheme="minorHAnsi" w:hAnsiTheme="minorHAnsi" w:cstheme="minorHAnsi"/>
          <w:color w:val="auto"/>
          <w:szCs w:val="22"/>
        </w:rPr>
        <w:t xml:space="preserve">, </w:t>
      </w:r>
      <w:r w:rsidR="002C58A0" w:rsidRPr="0057092E">
        <w:rPr>
          <w:rFonts w:asciiTheme="minorHAnsi" w:hAnsiTheme="minorHAnsi" w:cstheme="minorHAnsi"/>
          <w:color w:val="auto"/>
          <w:szCs w:val="22"/>
        </w:rPr>
        <w:t>and market linkages</w:t>
      </w:r>
      <w:r w:rsidR="00647E1D" w:rsidRPr="0057092E">
        <w:rPr>
          <w:rFonts w:asciiTheme="minorHAnsi" w:hAnsiTheme="minorHAnsi" w:cstheme="minorHAnsi"/>
          <w:color w:val="auto"/>
          <w:szCs w:val="22"/>
        </w:rPr>
        <w:t xml:space="preserve"> to </w:t>
      </w:r>
      <w:r w:rsidR="00CA52AE" w:rsidRPr="0057092E">
        <w:rPr>
          <w:rFonts w:asciiTheme="minorHAnsi" w:hAnsiTheme="minorHAnsi" w:cstheme="minorHAnsi"/>
          <w:color w:val="auto"/>
          <w:szCs w:val="22"/>
        </w:rPr>
        <w:t>enhance nutritious and diverse food production in southern Bangladesh</w:t>
      </w:r>
      <w:r w:rsidR="00647E1D" w:rsidRPr="0057092E">
        <w:rPr>
          <w:rFonts w:asciiTheme="minorHAnsi" w:hAnsiTheme="minorHAnsi" w:cstheme="minorHAnsi"/>
          <w:color w:val="auto"/>
          <w:szCs w:val="22"/>
        </w:rPr>
        <w:t>.</w:t>
      </w:r>
      <w:r w:rsidR="00CA52AE" w:rsidRPr="0057092E">
        <w:rPr>
          <w:rFonts w:asciiTheme="minorHAnsi" w:hAnsiTheme="minorHAnsi" w:cstheme="minorHAnsi"/>
          <w:color w:val="auto"/>
          <w:szCs w:val="22"/>
        </w:rPr>
        <w:t xml:space="preserve"> </w:t>
      </w:r>
      <w:r w:rsidR="00C90B98" w:rsidRPr="0057092E">
        <w:rPr>
          <w:rFonts w:asciiTheme="minorHAnsi" w:hAnsiTheme="minorHAnsi" w:cstheme="minorHAnsi"/>
          <w:color w:val="auto"/>
          <w:szCs w:val="22"/>
        </w:rPr>
        <w:t xml:space="preserve">The </w:t>
      </w:r>
      <w:r w:rsidR="00CA52AE" w:rsidRPr="0057092E">
        <w:rPr>
          <w:rFonts w:asciiTheme="minorHAnsi" w:hAnsiTheme="minorHAnsi" w:cstheme="minorHAnsi"/>
          <w:color w:val="auto"/>
          <w:szCs w:val="22"/>
        </w:rPr>
        <w:t xml:space="preserve">training and embedded services boost farmer adoption, contributing to increased </w:t>
      </w:r>
      <w:r w:rsidR="00D02C8D" w:rsidRPr="0057092E">
        <w:rPr>
          <w:rFonts w:asciiTheme="minorHAnsi" w:hAnsiTheme="minorHAnsi" w:cstheme="minorHAnsi"/>
          <w:color w:val="auto"/>
          <w:szCs w:val="22"/>
        </w:rPr>
        <w:t xml:space="preserve">production and </w:t>
      </w:r>
      <w:r w:rsidR="00CA52AE" w:rsidRPr="0057092E">
        <w:rPr>
          <w:rFonts w:asciiTheme="minorHAnsi" w:hAnsiTheme="minorHAnsi" w:cstheme="minorHAnsi"/>
          <w:color w:val="auto"/>
          <w:szCs w:val="22"/>
        </w:rPr>
        <w:t>dietary diversity, surplus sales, and sustainable</w:t>
      </w:r>
      <w:r w:rsidR="001A3EC3" w:rsidRPr="0057092E">
        <w:rPr>
          <w:rFonts w:asciiTheme="minorHAnsi" w:hAnsiTheme="minorHAnsi" w:cstheme="minorHAnsi"/>
          <w:color w:val="auto"/>
          <w:szCs w:val="22"/>
        </w:rPr>
        <w:t xml:space="preserve"> </w:t>
      </w:r>
      <w:r w:rsidR="00CA52AE" w:rsidRPr="0057092E">
        <w:rPr>
          <w:rFonts w:asciiTheme="minorHAnsi" w:hAnsiTheme="minorHAnsi" w:cstheme="minorHAnsi"/>
          <w:color w:val="auto"/>
          <w:szCs w:val="22"/>
        </w:rPr>
        <w:t>agricultural practices.</w:t>
      </w:r>
    </w:p>
    <w:p w14:paraId="7246E302" w14:textId="77777777" w:rsidR="001705BE" w:rsidRPr="0057092E" w:rsidRDefault="001705BE" w:rsidP="002B4B6D">
      <w:pPr>
        <w:spacing w:after="0"/>
        <w:rPr>
          <w:rFonts w:asciiTheme="minorHAnsi" w:hAnsiTheme="minorHAnsi" w:cstheme="minorHAnsi"/>
          <w:color w:val="auto"/>
          <w:szCs w:val="22"/>
        </w:rPr>
      </w:pPr>
    </w:p>
    <w:p w14:paraId="247FB731" w14:textId="7CAB813B" w:rsidR="001705BE" w:rsidRPr="0057092E" w:rsidRDefault="00077536" w:rsidP="002B4B6D">
      <w:pPr>
        <w:spacing w:after="0"/>
        <w:rPr>
          <w:rFonts w:asciiTheme="minorHAnsi" w:eastAsia="Times New Roman" w:hAnsiTheme="minorHAnsi" w:cstheme="minorHAnsi"/>
          <w:b/>
          <w:bCs/>
          <w:noProof w:val="0"/>
          <w:color w:val="auto"/>
          <w:kern w:val="28"/>
          <w:szCs w:val="22"/>
        </w:rPr>
      </w:pPr>
      <w:r w:rsidRPr="0057092E">
        <w:rPr>
          <w:rFonts w:asciiTheme="minorHAnsi" w:hAnsiTheme="minorHAnsi" w:cstheme="minorHAnsi"/>
          <w:b/>
          <w:color w:val="auto"/>
          <w:szCs w:val="22"/>
        </w:rPr>
        <w:t>Keywords</w:t>
      </w:r>
      <w:r w:rsidR="001705BE" w:rsidRPr="0057092E">
        <w:rPr>
          <w:rFonts w:asciiTheme="minorHAnsi" w:hAnsiTheme="minorHAnsi" w:cstheme="minorHAnsi"/>
          <w:b/>
          <w:color w:val="auto"/>
          <w:szCs w:val="22"/>
        </w:rPr>
        <w:t xml:space="preserve">: </w:t>
      </w:r>
      <w:r w:rsidR="00901A11" w:rsidRPr="0057092E">
        <w:rPr>
          <w:rFonts w:asciiTheme="minorHAnsi" w:hAnsiTheme="minorHAnsi" w:cstheme="minorHAnsi"/>
          <w:bCs/>
          <w:color w:val="auto"/>
          <w:szCs w:val="22"/>
        </w:rPr>
        <w:t>Private sector,</w:t>
      </w:r>
      <w:r w:rsidR="00901A11" w:rsidRPr="0057092E">
        <w:rPr>
          <w:rFonts w:asciiTheme="minorHAnsi" w:hAnsiTheme="minorHAnsi" w:cstheme="minorHAnsi"/>
          <w:b/>
          <w:color w:val="auto"/>
          <w:szCs w:val="22"/>
        </w:rPr>
        <w:t xml:space="preserve"> </w:t>
      </w:r>
      <w:r w:rsidR="00B71848" w:rsidRPr="0057092E">
        <w:rPr>
          <w:rFonts w:asciiTheme="minorHAnsi" w:eastAsia="Times New Roman" w:hAnsiTheme="minorHAnsi" w:cstheme="minorHAnsi"/>
          <w:bCs/>
          <w:noProof w:val="0"/>
          <w:color w:val="auto"/>
          <w:kern w:val="28"/>
          <w:szCs w:val="22"/>
        </w:rPr>
        <w:t>agro-input company, nutritious, diverse food, consumption,</w:t>
      </w:r>
      <w:r w:rsidR="00B71848" w:rsidRPr="0057092E">
        <w:rPr>
          <w:rFonts w:asciiTheme="minorHAnsi" w:eastAsia="Times New Roman" w:hAnsiTheme="minorHAnsi" w:cstheme="minorHAnsi"/>
          <w:b/>
          <w:bCs/>
          <w:noProof w:val="0"/>
          <w:color w:val="auto"/>
          <w:kern w:val="28"/>
          <w:szCs w:val="22"/>
        </w:rPr>
        <w:t xml:space="preserve"> </w:t>
      </w:r>
    </w:p>
    <w:p w14:paraId="3D078903" w14:textId="77777777" w:rsidR="00304D64" w:rsidRPr="0057092E" w:rsidRDefault="00304D64" w:rsidP="002B4B6D">
      <w:pPr>
        <w:spacing w:after="0"/>
        <w:rPr>
          <w:rFonts w:asciiTheme="minorHAnsi" w:eastAsia="Times New Roman" w:hAnsiTheme="minorHAnsi" w:cstheme="minorHAnsi"/>
          <w:b/>
          <w:bCs/>
          <w:noProof w:val="0"/>
          <w:color w:val="auto"/>
          <w:kern w:val="28"/>
          <w:szCs w:val="22"/>
        </w:rPr>
      </w:pPr>
    </w:p>
    <w:p w14:paraId="39FA9B0F" w14:textId="48E0E89E" w:rsidR="008F1FF0" w:rsidRPr="0057092E" w:rsidRDefault="00EA0B8A" w:rsidP="002B4B6D">
      <w:pPr>
        <w:pStyle w:val="Heading1"/>
        <w:numPr>
          <w:ilvl w:val="0"/>
          <w:numId w:val="2"/>
        </w:numPr>
        <w:spacing w:before="0"/>
        <w:rPr>
          <w:rFonts w:asciiTheme="minorHAnsi" w:eastAsia="Gill Sans" w:hAnsiTheme="minorHAnsi" w:cstheme="minorHAnsi"/>
          <w:b/>
          <w:bCs/>
          <w:color w:val="auto"/>
          <w:sz w:val="22"/>
          <w:szCs w:val="22"/>
        </w:rPr>
      </w:pPr>
      <w:bookmarkStart w:id="0" w:name="_Toc91661323"/>
      <w:r w:rsidRPr="0057092E">
        <w:rPr>
          <w:rFonts w:asciiTheme="minorHAnsi" w:eastAsia="Gill Sans" w:hAnsiTheme="minorHAnsi" w:cstheme="minorHAnsi"/>
          <w:b/>
          <w:bCs/>
          <w:color w:val="auto"/>
          <w:sz w:val="22"/>
          <w:szCs w:val="22"/>
        </w:rPr>
        <w:t>INTRODUCTION</w:t>
      </w:r>
      <w:bookmarkEnd w:id="0"/>
    </w:p>
    <w:p w14:paraId="19BED78E" w14:textId="5AD4A2D2" w:rsidR="00324D50" w:rsidRPr="00806D7A" w:rsidRDefault="00324D50" w:rsidP="002B4B6D">
      <w:pPr>
        <w:spacing w:after="0"/>
        <w:rPr>
          <w:rFonts w:asciiTheme="minorHAnsi" w:hAnsiTheme="minorHAnsi" w:cstheme="minorHAnsi"/>
          <w:color w:val="auto"/>
          <w:szCs w:val="22"/>
        </w:rPr>
      </w:pPr>
      <w:bookmarkStart w:id="1" w:name="_Hlk92956922"/>
      <w:r w:rsidRPr="0057092E">
        <w:rPr>
          <w:rFonts w:asciiTheme="minorHAnsi" w:hAnsiTheme="minorHAnsi" w:cstheme="minorHAnsi"/>
          <w:color w:val="auto"/>
          <w:szCs w:val="22"/>
        </w:rPr>
        <w:t xml:space="preserve">Agro-input companies in southern Bangladesh improve the production of nutritious, diverse food and diversity by promoting high-yielding seed varieties, improved technologies, fertilizers, and pesticides, </w:t>
      </w:r>
      <w:r w:rsidR="008A08FD">
        <w:rPr>
          <w:rFonts w:asciiTheme="minorHAnsi" w:hAnsiTheme="minorHAnsi" w:cstheme="minorHAnsi"/>
          <w:color w:val="auto"/>
          <w:szCs w:val="22"/>
        </w:rPr>
        <w:t>helping</w:t>
      </w:r>
      <w:r w:rsidRPr="0057092E">
        <w:rPr>
          <w:rFonts w:asciiTheme="minorHAnsi" w:hAnsiTheme="minorHAnsi" w:cstheme="minorHAnsi"/>
          <w:color w:val="auto"/>
          <w:szCs w:val="22"/>
        </w:rPr>
        <w:t xml:space="preserve"> farmers to diversify nutritious food production. The studies examine the agro-inputs companies' role in promoting access to quality inputs, education, technological solutions, and digital services </w:t>
      </w:r>
      <w:r w:rsidRPr="00806D7A">
        <w:rPr>
          <w:rFonts w:asciiTheme="minorHAnsi" w:hAnsiTheme="minorHAnsi" w:cstheme="minorHAnsi"/>
          <w:color w:val="auto"/>
          <w:szCs w:val="22"/>
        </w:rPr>
        <w:t>(Barua et al., M., 2021).</w:t>
      </w:r>
      <w:r w:rsidRPr="0057092E">
        <w:rPr>
          <w:rFonts w:asciiTheme="minorHAnsi" w:hAnsiTheme="minorHAnsi" w:cstheme="minorHAnsi"/>
          <w:color w:val="auto"/>
          <w:szCs w:val="22"/>
        </w:rPr>
        <w:t xml:space="preserve"> Farmers</w:t>
      </w:r>
      <w:r w:rsidR="00D80A56" w:rsidRPr="0057092E">
        <w:rPr>
          <w:rFonts w:asciiTheme="minorHAnsi" w:hAnsiTheme="minorHAnsi" w:cstheme="minorHAnsi"/>
          <w:color w:val="auto"/>
          <w:szCs w:val="22"/>
        </w:rPr>
        <w:t>' access</w:t>
      </w:r>
      <w:r w:rsidRPr="0057092E">
        <w:rPr>
          <w:rFonts w:asciiTheme="minorHAnsi" w:hAnsiTheme="minorHAnsi" w:cstheme="minorHAnsi"/>
          <w:color w:val="auto"/>
          <w:szCs w:val="22"/>
        </w:rPr>
        <w:t xml:space="preserve"> to nutritious and diverse food remains a significant challenge in southern Bangladesh, where agricultural practices are mostly cereal </w:t>
      </w:r>
      <w:r w:rsidR="00D80A56" w:rsidRPr="0057092E">
        <w:rPr>
          <w:rFonts w:asciiTheme="minorHAnsi" w:hAnsiTheme="minorHAnsi" w:cstheme="minorHAnsi"/>
          <w:color w:val="auto"/>
          <w:szCs w:val="22"/>
        </w:rPr>
        <w:t>crop-based. This</w:t>
      </w:r>
      <w:r w:rsidRPr="0057092E">
        <w:rPr>
          <w:rFonts w:asciiTheme="minorHAnsi" w:hAnsiTheme="minorHAnsi" w:cstheme="minorHAnsi"/>
          <w:color w:val="auto"/>
          <w:szCs w:val="22"/>
        </w:rPr>
        <w:t xml:space="preserve"> situation contributes to nutritional insufficiencies and inadequate dietary diversity among rural households. To ensure improved seeds, fertilizers, pesticides, and advisory services, agro-input companies play </w:t>
      </w:r>
      <w:r w:rsidR="00D80A56" w:rsidRPr="0057092E">
        <w:rPr>
          <w:rFonts w:asciiTheme="minorHAnsi" w:hAnsiTheme="minorHAnsi" w:cstheme="minorHAnsi"/>
          <w:color w:val="auto"/>
          <w:szCs w:val="22"/>
        </w:rPr>
        <w:t>an</w:t>
      </w:r>
      <w:r w:rsidRPr="0057092E">
        <w:rPr>
          <w:rFonts w:asciiTheme="minorHAnsi" w:hAnsiTheme="minorHAnsi" w:cstheme="minorHAnsi"/>
          <w:color w:val="auto"/>
          <w:szCs w:val="22"/>
        </w:rPr>
        <w:t xml:space="preserve"> important role in </w:t>
      </w:r>
      <w:r w:rsidR="00D80A56" w:rsidRPr="0057092E">
        <w:rPr>
          <w:rFonts w:asciiTheme="minorHAnsi" w:hAnsiTheme="minorHAnsi" w:cstheme="minorHAnsi"/>
          <w:color w:val="auto"/>
          <w:szCs w:val="22"/>
        </w:rPr>
        <w:t>influencing agricultural</w:t>
      </w:r>
      <w:r w:rsidRPr="0057092E">
        <w:rPr>
          <w:rFonts w:asciiTheme="minorHAnsi" w:hAnsiTheme="minorHAnsi" w:cstheme="minorHAnsi"/>
          <w:color w:val="auto"/>
          <w:szCs w:val="22"/>
        </w:rPr>
        <w:t xml:space="preserve"> farming to produce diverse crops. </w:t>
      </w:r>
      <w:r w:rsidR="00D80A56" w:rsidRPr="0057092E">
        <w:rPr>
          <w:rFonts w:asciiTheme="minorHAnsi" w:hAnsiTheme="minorHAnsi" w:cstheme="minorHAnsi"/>
          <w:color w:val="auto"/>
          <w:szCs w:val="22"/>
        </w:rPr>
        <w:t>Households'</w:t>
      </w:r>
      <w:r w:rsidRPr="0057092E">
        <w:rPr>
          <w:rFonts w:asciiTheme="minorHAnsi" w:hAnsiTheme="minorHAnsi" w:cstheme="minorHAnsi"/>
          <w:color w:val="auto"/>
          <w:szCs w:val="22"/>
        </w:rPr>
        <w:t xml:space="preserve"> nutritious food production and consumption of more diverse diets in Bangladesh </w:t>
      </w:r>
      <w:r w:rsidRPr="00806D7A">
        <w:rPr>
          <w:rFonts w:asciiTheme="minorHAnsi" w:hAnsiTheme="minorHAnsi" w:cstheme="minorHAnsi"/>
          <w:color w:val="auto"/>
          <w:szCs w:val="22"/>
        </w:rPr>
        <w:t>(Shankar, 2019).</w:t>
      </w:r>
    </w:p>
    <w:p w14:paraId="067ECC77" w14:textId="77777777" w:rsidR="009A0F76" w:rsidRPr="0057092E" w:rsidRDefault="009A0F76" w:rsidP="002B4B6D">
      <w:pPr>
        <w:tabs>
          <w:tab w:val="left" w:pos="930"/>
        </w:tabs>
        <w:spacing w:after="0"/>
        <w:rPr>
          <w:rFonts w:asciiTheme="minorHAnsi" w:hAnsiTheme="minorHAnsi" w:cstheme="minorHAnsi"/>
          <w:color w:val="auto"/>
          <w:szCs w:val="22"/>
        </w:rPr>
      </w:pPr>
      <w:r w:rsidRPr="0057092E">
        <w:rPr>
          <w:rFonts w:asciiTheme="minorHAnsi" w:hAnsiTheme="minorHAnsi" w:cstheme="minorHAnsi"/>
          <w:color w:val="auto"/>
          <w:szCs w:val="22"/>
        </w:rPr>
        <w:lastRenderedPageBreak/>
        <w:t xml:space="preserve">Private agro-input companies (Syngenta Bangladesh Limited, Bayer Crop Science, Auto Crop Care, Lal Teer Seed, ACI Seed, Ispahani Agro, and several multinational formulators) play a central role in Bangladesh’s commercial seed, fertilizer, pesticide, and advisory markets, ranging from large integrated firms to numerous small importers and distributors. These firms supply certified seeds (including hybrids and nutrient-dense varieties), chemical and bio-fertilizers, registered pesticides, irrigation and plasticulture inputs, and post-harvest materials; many also deliver farmer training, field demonstrations, extension support, and input credit or dealer-financing to accelerate adoption of new technologies </w:t>
      </w:r>
      <w:r w:rsidRPr="00806D7A">
        <w:rPr>
          <w:rFonts w:asciiTheme="minorHAnsi" w:hAnsiTheme="minorHAnsi" w:cstheme="minorHAnsi"/>
          <w:color w:val="auto"/>
          <w:szCs w:val="22"/>
        </w:rPr>
        <w:t>(Mohammad, I. and Dey, N.C., 2025).</w:t>
      </w:r>
      <w:r w:rsidRPr="0057092E">
        <w:rPr>
          <w:rFonts w:asciiTheme="minorHAnsi" w:hAnsiTheme="minorHAnsi" w:cstheme="minorHAnsi"/>
          <w:color w:val="auto"/>
          <w:szCs w:val="22"/>
        </w:rPr>
        <w:t xml:space="preserve"> </w:t>
      </w:r>
    </w:p>
    <w:p w14:paraId="4D6BE7A8" w14:textId="77777777" w:rsidR="009A0F76" w:rsidRPr="0057092E" w:rsidRDefault="009A0F76" w:rsidP="002B4B6D">
      <w:pPr>
        <w:spacing w:after="0"/>
        <w:rPr>
          <w:rFonts w:asciiTheme="minorHAnsi" w:hAnsiTheme="minorHAnsi" w:cstheme="minorHAnsi"/>
          <w:color w:val="auto"/>
          <w:szCs w:val="22"/>
        </w:rPr>
      </w:pPr>
    </w:p>
    <w:p w14:paraId="3A30796E" w14:textId="45FB1BF2" w:rsidR="00FB5D04" w:rsidRPr="0057092E" w:rsidRDefault="003C4B02"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T</w:t>
      </w:r>
      <w:r w:rsidR="00FB5D04" w:rsidRPr="0057092E">
        <w:rPr>
          <w:rFonts w:asciiTheme="minorHAnsi" w:hAnsiTheme="minorHAnsi" w:cstheme="minorHAnsi"/>
          <w:color w:val="auto"/>
          <w:szCs w:val="22"/>
        </w:rPr>
        <w:t xml:space="preserve">he private sector </w:t>
      </w:r>
      <w:r w:rsidR="002B12DC" w:rsidRPr="0057092E">
        <w:rPr>
          <w:rFonts w:asciiTheme="minorHAnsi" w:hAnsiTheme="minorHAnsi" w:cstheme="minorHAnsi"/>
          <w:color w:val="auto"/>
          <w:szCs w:val="22"/>
        </w:rPr>
        <w:t>contribution</w:t>
      </w:r>
      <w:r w:rsidR="00FB5D04" w:rsidRPr="0057092E">
        <w:rPr>
          <w:rFonts w:asciiTheme="minorHAnsi" w:hAnsiTheme="minorHAnsi" w:cstheme="minorHAnsi"/>
          <w:color w:val="auto"/>
          <w:szCs w:val="22"/>
        </w:rPr>
        <w:t xml:space="preserve"> </w:t>
      </w:r>
      <w:r w:rsidR="00420D5E" w:rsidRPr="0057092E">
        <w:rPr>
          <w:rFonts w:asciiTheme="minorHAnsi" w:hAnsiTheme="minorHAnsi" w:cstheme="minorHAnsi"/>
          <w:color w:val="auto"/>
          <w:szCs w:val="22"/>
        </w:rPr>
        <w:t xml:space="preserve">to </w:t>
      </w:r>
      <w:r w:rsidR="00FB5D04" w:rsidRPr="0057092E">
        <w:rPr>
          <w:rFonts w:asciiTheme="minorHAnsi" w:hAnsiTheme="minorHAnsi" w:cstheme="minorHAnsi"/>
          <w:color w:val="auto"/>
          <w:szCs w:val="22"/>
        </w:rPr>
        <w:t>nutritio</w:t>
      </w:r>
      <w:r w:rsidR="00D80A56" w:rsidRPr="0057092E">
        <w:rPr>
          <w:rFonts w:asciiTheme="minorHAnsi" w:hAnsiTheme="minorHAnsi" w:cstheme="minorHAnsi"/>
          <w:color w:val="auto"/>
          <w:szCs w:val="22"/>
        </w:rPr>
        <w:t>us</w:t>
      </w:r>
      <w:r w:rsidR="00C5300B" w:rsidRPr="0057092E">
        <w:rPr>
          <w:rFonts w:asciiTheme="minorHAnsi" w:hAnsiTheme="minorHAnsi" w:cstheme="minorHAnsi"/>
          <w:color w:val="auto"/>
          <w:szCs w:val="22"/>
        </w:rPr>
        <w:t>,</w:t>
      </w:r>
      <w:r w:rsidR="00D80A56" w:rsidRPr="0057092E">
        <w:rPr>
          <w:rFonts w:asciiTheme="minorHAnsi" w:hAnsiTheme="minorHAnsi" w:cstheme="minorHAnsi"/>
          <w:color w:val="auto"/>
          <w:szCs w:val="22"/>
        </w:rPr>
        <w:t xml:space="preserve"> diverse </w:t>
      </w:r>
      <w:r w:rsidR="00C5300B" w:rsidRPr="0057092E">
        <w:rPr>
          <w:rFonts w:asciiTheme="minorHAnsi" w:hAnsiTheme="minorHAnsi" w:cstheme="minorHAnsi"/>
          <w:color w:val="auto"/>
          <w:szCs w:val="22"/>
        </w:rPr>
        <w:t xml:space="preserve">food production </w:t>
      </w:r>
      <w:r w:rsidR="00245530" w:rsidRPr="0057092E">
        <w:rPr>
          <w:rFonts w:asciiTheme="minorHAnsi" w:hAnsiTheme="minorHAnsi" w:cstheme="minorHAnsi"/>
          <w:color w:val="auto"/>
          <w:szCs w:val="22"/>
        </w:rPr>
        <w:t xml:space="preserve">by promoting quality inputs and modern technology </w:t>
      </w:r>
      <w:r w:rsidR="00380FC1" w:rsidRPr="0057092E">
        <w:rPr>
          <w:rFonts w:asciiTheme="minorHAnsi" w:hAnsiTheme="minorHAnsi" w:cstheme="minorHAnsi"/>
          <w:color w:val="auto"/>
          <w:szCs w:val="22"/>
        </w:rPr>
        <w:t>is</w:t>
      </w:r>
      <w:r w:rsidR="0010492D" w:rsidRPr="0057092E">
        <w:rPr>
          <w:rFonts w:asciiTheme="minorHAnsi" w:hAnsiTheme="minorHAnsi" w:cstheme="minorHAnsi"/>
          <w:color w:val="auto"/>
          <w:szCs w:val="22"/>
        </w:rPr>
        <w:t xml:space="preserve"> </w:t>
      </w:r>
      <w:r w:rsidR="00380FC1" w:rsidRPr="0057092E">
        <w:rPr>
          <w:rFonts w:asciiTheme="minorHAnsi" w:hAnsiTheme="minorHAnsi" w:cstheme="minorHAnsi"/>
          <w:color w:val="auto"/>
          <w:szCs w:val="22"/>
        </w:rPr>
        <w:t>crucial for agricultural</w:t>
      </w:r>
      <w:r w:rsidR="00FB5D04" w:rsidRPr="0057092E">
        <w:rPr>
          <w:rFonts w:asciiTheme="minorHAnsi" w:hAnsiTheme="minorHAnsi" w:cstheme="minorHAnsi"/>
          <w:color w:val="auto"/>
          <w:szCs w:val="22"/>
        </w:rPr>
        <w:t xml:space="preserve"> </w:t>
      </w:r>
      <w:r w:rsidR="00380FC1" w:rsidRPr="0057092E">
        <w:rPr>
          <w:rFonts w:asciiTheme="minorHAnsi" w:hAnsiTheme="minorHAnsi" w:cstheme="minorHAnsi"/>
          <w:color w:val="auto"/>
          <w:szCs w:val="22"/>
        </w:rPr>
        <w:t>farming.</w:t>
      </w:r>
      <w:r w:rsidR="00FB5D04" w:rsidRPr="0057092E">
        <w:rPr>
          <w:rFonts w:asciiTheme="minorHAnsi" w:hAnsiTheme="minorHAnsi" w:cstheme="minorHAnsi"/>
          <w:color w:val="auto"/>
          <w:szCs w:val="22"/>
        </w:rPr>
        <w:t xml:space="preserve"> Agro-input firms not only supply essential inputs but also influence farmers’ decisions on crop </w:t>
      </w:r>
      <w:r w:rsidR="00380FC1" w:rsidRPr="0057092E">
        <w:rPr>
          <w:rFonts w:asciiTheme="minorHAnsi" w:hAnsiTheme="minorHAnsi" w:cstheme="minorHAnsi"/>
          <w:color w:val="auto"/>
          <w:szCs w:val="22"/>
        </w:rPr>
        <w:t xml:space="preserve">variety </w:t>
      </w:r>
      <w:r w:rsidR="00FB5D04" w:rsidRPr="0057092E">
        <w:rPr>
          <w:rFonts w:asciiTheme="minorHAnsi" w:hAnsiTheme="minorHAnsi" w:cstheme="minorHAnsi"/>
          <w:color w:val="auto"/>
          <w:szCs w:val="22"/>
        </w:rPr>
        <w:t xml:space="preserve">selection, production techniques, and market engagement </w:t>
      </w:r>
      <w:r w:rsidR="00FB5D04" w:rsidRPr="00806D7A">
        <w:rPr>
          <w:rFonts w:asciiTheme="minorHAnsi" w:hAnsiTheme="minorHAnsi" w:cstheme="minorHAnsi"/>
          <w:color w:val="auto"/>
          <w:szCs w:val="22"/>
        </w:rPr>
        <w:t>(Mbuthia, 2016).</w:t>
      </w:r>
      <w:r w:rsidR="00FB5D04" w:rsidRPr="0057092E">
        <w:rPr>
          <w:rFonts w:asciiTheme="minorHAnsi" w:hAnsiTheme="minorHAnsi" w:cstheme="minorHAnsi"/>
          <w:color w:val="auto"/>
          <w:szCs w:val="22"/>
        </w:rPr>
        <w:t xml:space="preserve"> In the Faridpur and Khulna districts, companies have </w:t>
      </w:r>
      <w:r w:rsidR="004A3156" w:rsidRPr="0057092E">
        <w:rPr>
          <w:rFonts w:asciiTheme="minorHAnsi" w:hAnsiTheme="minorHAnsi" w:cstheme="minorHAnsi"/>
          <w:color w:val="auto"/>
          <w:szCs w:val="22"/>
        </w:rPr>
        <w:t>promoted</w:t>
      </w:r>
      <w:r w:rsidR="00FB5D04" w:rsidRPr="0057092E">
        <w:rPr>
          <w:rFonts w:asciiTheme="minorHAnsi" w:hAnsiTheme="minorHAnsi" w:cstheme="minorHAnsi"/>
          <w:color w:val="auto"/>
          <w:szCs w:val="22"/>
        </w:rPr>
        <w:t xml:space="preserve"> demonstration</w:t>
      </w:r>
      <w:r w:rsidR="005B5B2D" w:rsidRPr="0057092E">
        <w:rPr>
          <w:rFonts w:asciiTheme="minorHAnsi" w:hAnsiTheme="minorHAnsi" w:cstheme="minorHAnsi"/>
          <w:color w:val="auto"/>
          <w:szCs w:val="22"/>
        </w:rPr>
        <w:t>s</w:t>
      </w:r>
      <w:r w:rsidR="004A3156" w:rsidRPr="0057092E">
        <w:rPr>
          <w:rFonts w:asciiTheme="minorHAnsi" w:hAnsiTheme="minorHAnsi" w:cstheme="minorHAnsi"/>
          <w:color w:val="auto"/>
          <w:szCs w:val="22"/>
        </w:rPr>
        <w:t>,</w:t>
      </w:r>
      <w:r w:rsidR="00FB5D04" w:rsidRPr="0057092E">
        <w:rPr>
          <w:rFonts w:asciiTheme="minorHAnsi" w:hAnsiTheme="minorHAnsi" w:cstheme="minorHAnsi"/>
          <w:color w:val="auto"/>
          <w:szCs w:val="22"/>
        </w:rPr>
        <w:t xml:space="preserve"> strengthened </w:t>
      </w:r>
      <w:r w:rsidR="004A3156" w:rsidRPr="0057092E">
        <w:rPr>
          <w:rFonts w:asciiTheme="minorHAnsi" w:hAnsiTheme="minorHAnsi" w:cstheme="minorHAnsi"/>
          <w:color w:val="auto"/>
          <w:szCs w:val="22"/>
        </w:rPr>
        <w:t xml:space="preserve">input </w:t>
      </w:r>
      <w:r w:rsidR="00FB5D04" w:rsidRPr="0057092E">
        <w:rPr>
          <w:rFonts w:asciiTheme="minorHAnsi" w:hAnsiTheme="minorHAnsi" w:cstheme="minorHAnsi"/>
          <w:color w:val="auto"/>
          <w:szCs w:val="22"/>
        </w:rPr>
        <w:t xml:space="preserve">supply chain networks through </w:t>
      </w:r>
      <w:r w:rsidR="009616AA" w:rsidRPr="0057092E">
        <w:rPr>
          <w:rFonts w:asciiTheme="minorHAnsi" w:hAnsiTheme="minorHAnsi" w:cstheme="minorHAnsi"/>
          <w:color w:val="auto"/>
          <w:szCs w:val="22"/>
        </w:rPr>
        <w:t xml:space="preserve">last-mile </w:t>
      </w:r>
      <w:r w:rsidR="00FB5D04" w:rsidRPr="0057092E">
        <w:rPr>
          <w:rFonts w:asciiTheme="minorHAnsi" w:hAnsiTheme="minorHAnsi" w:cstheme="minorHAnsi"/>
          <w:color w:val="auto"/>
          <w:szCs w:val="22"/>
        </w:rPr>
        <w:t>sales agents</w:t>
      </w:r>
      <w:r w:rsidR="009616AA" w:rsidRPr="0057092E">
        <w:rPr>
          <w:rFonts w:asciiTheme="minorHAnsi" w:hAnsiTheme="minorHAnsi" w:cstheme="minorHAnsi"/>
          <w:color w:val="auto"/>
          <w:szCs w:val="22"/>
        </w:rPr>
        <w:t xml:space="preserve">, </w:t>
      </w:r>
      <w:r w:rsidR="00FB5D04" w:rsidRPr="0057092E">
        <w:rPr>
          <w:rFonts w:asciiTheme="minorHAnsi" w:hAnsiTheme="minorHAnsi" w:cstheme="minorHAnsi"/>
          <w:color w:val="auto"/>
          <w:szCs w:val="22"/>
        </w:rPr>
        <w:t>retailers,</w:t>
      </w:r>
      <w:r w:rsidR="009616AA" w:rsidRPr="0057092E">
        <w:rPr>
          <w:rFonts w:asciiTheme="minorHAnsi" w:hAnsiTheme="minorHAnsi" w:cstheme="minorHAnsi"/>
          <w:color w:val="auto"/>
          <w:szCs w:val="22"/>
        </w:rPr>
        <w:t xml:space="preserve"> distributors,</w:t>
      </w:r>
      <w:r w:rsidR="00FB5D04" w:rsidRPr="0057092E">
        <w:rPr>
          <w:rFonts w:asciiTheme="minorHAnsi" w:hAnsiTheme="minorHAnsi" w:cstheme="minorHAnsi"/>
          <w:color w:val="auto"/>
          <w:szCs w:val="22"/>
        </w:rPr>
        <w:t xml:space="preserve"> and organized farmer meetings</w:t>
      </w:r>
      <w:r w:rsidR="00E167E4" w:rsidRPr="0057092E">
        <w:rPr>
          <w:rFonts w:asciiTheme="minorHAnsi" w:hAnsiTheme="minorHAnsi" w:cstheme="minorHAnsi"/>
          <w:color w:val="auto"/>
          <w:szCs w:val="22"/>
        </w:rPr>
        <w:t>,</w:t>
      </w:r>
      <w:r w:rsidR="00FB5D04" w:rsidRPr="0057092E">
        <w:rPr>
          <w:rFonts w:asciiTheme="minorHAnsi" w:hAnsiTheme="minorHAnsi" w:cstheme="minorHAnsi"/>
          <w:color w:val="auto"/>
          <w:szCs w:val="22"/>
        </w:rPr>
        <w:t xml:space="preserve"> </w:t>
      </w:r>
      <w:r w:rsidR="00E167E4" w:rsidRPr="0057092E">
        <w:rPr>
          <w:rFonts w:asciiTheme="minorHAnsi" w:hAnsiTheme="minorHAnsi" w:cstheme="minorHAnsi"/>
          <w:color w:val="auto"/>
          <w:szCs w:val="22"/>
        </w:rPr>
        <w:t>including</w:t>
      </w:r>
      <w:r w:rsidR="00FB5D04" w:rsidRPr="0057092E">
        <w:rPr>
          <w:rFonts w:asciiTheme="minorHAnsi" w:hAnsiTheme="minorHAnsi" w:cstheme="minorHAnsi"/>
          <w:color w:val="auto"/>
          <w:szCs w:val="22"/>
        </w:rPr>
        <w:t xml:space="preserve"> advisory services. Since nutritious food production depends on inputs such as land, water, seeds, and fertilizers, challenges such as declining soil fertility, water scarcity, limited access to quality seeds and fertilizers, and land conversion threaten agricultural sustainability in Bangladesh </w:t>
      </w:r>
      <w:r w:rsidR="00FB5D04" w:rsidRPr="00806D7A">
        <w:rPr>
          <w:rFonts w:asciiTheme="minorHAnsi" w:hAnsiTheme="minorHAnsi" w:cstheme="minorHAnsi"/>
          <w:color w:val="auto"/>
          <w:szCs w:val="22"/>
        </w:rPr>
        <w:t>(Khan, 2023).</w:t>
      </w:r>
      <w:r w:rsidR="00FB5D04" w:rsidRPr="0057092E">
        <w:rPr>
          <w:rFonts w:asciiTheme="minorHAnsi" w:hAnsiTheme="minorHAnsi" w:cstheme="minorHAnsi"/>
          <w:color w:val="auto"/>
          <w:szCs w:val="22"/>
        </w:rPr>
        <w:t xml:space="preserve"> Evidence from southern Bangladesh suggests that agricultural training modestly </w:t>
      </w:r>
      <w:r w:rsidR="00F03E3B" w:rsidRPr="0057092E">
        <w:rPr>
          <w:rFonts w:asciiTheme="minorHAnsi" w:hAnsiTheme="minorHAnsi" w:cstheme="minorHAnsi"/>
          <w:color w:val="auto"/>
          <w:szCs w:val="22"/>
        </w:rPr>
        <w:t>increases</w:t>
      </w:r>
      <w:r w:rsidR="00FB5D04" w:rsidRPr="0057092E">
        <w:rPr>
          <w:rFonts w:asciiTheme="minorHAnsi" w:hAnsiTheme="minorHAnsi" w:cstheme="minorHAnsi"/>
          <w:color w:val="auto"/>
          <w:szCs w:val="22"/>
        </w:rPr>
        <w:t xml:space="preserve"> </w:t>
      </w:r>
      <w:r w:rsidR="00C11DF4" w:rsidRPr="0057092E">
        <w:rPr>
          <w:rFonts w:asciiTheme="minorHAnsi" w:hAnsiTheme="minorHAnsi" w:cstheme="minorHAnsi"/>
          <w:color w:val="auto"/>
          <w:szCs w:val="22"/>
        </w:rPr>
        <w:t>vegetable</w:t>
      </w:r>
      <w:r w:rsidR="00FB5D04" w:rsidRPr="0057092E">
        <w:rPr>
          <w:rFonts w:asciiTheme="minorHAnsi" w:hAnsiTheme="minorHAnsi" w:cstheme="minorHAnsi"/>
          <w:color w:val="auto"/>
          <w:szCs w:val="22"/>
        </w:rPr>
        <w:t xml:space="preserve"> variet</w:t>
      </w:r>
      <w:r w:rsidR="00C11DF4" w:rsidRPr="0057092E">
        <w:rPr>
          <w:rFonts w:asciiTheme="minorHAnsi" w:hAnsiTheme="minorHAnsi" w:cstheme="minorHAnsi"/>
          <w:color w:val="auto"/>
          <w:szCs w:val="22"/>
        </w:rPr>
        <w:t>ies</w:t>
      </w:r>
      <w:r w:rsidR="00FB5D04" w:rsidRPr="0057092E">
        <w:rPr>
          <w:rFonts w:asciiTheme="minorHAnsi" w:hAnsiTheme="minorHAnsi" w:cstheme="minorHAnsi"/>
          <w:color w:val="auto"/>
          <w:szCs w:val="22"/>
        </w:rPr>
        <w:t xml:space="preserve"> in homestead gardens</w:t>
      </w:r>
      <w:r w:rsidR="00C11DF4" w:rsidRPr="0057092E">
        <w:rPr>
          <w:rFonts w:asciiTheme="minorHAnsi" w:hAnsiTheme="minorHAnsi" w:cstheme="minorHAnsi"/>
          <w:color w:val="auto"/>
          <w:szCs w:val="22"/>
        </w:rPr>
        <w:t>.</w:t>
      </w:r>
      <w:r w:rsidR="00FB5D04" w:rsidRPr="0057092E">
        <w:rPr>
          <w:rFonts w:asciiTheme="minorHAnsi" w:hAnsiTheme="minorHAnsi" w:cstheme="minorHAnsi"/>
          <w:color w:val="auto"/>
          <w:szCs w:val="22"/>
        </w:rPr>
        <w:t xml:space="preserve"> </w:t>
      </w:r>
      <w:r w:rsidR="00C11DF4" w:rsidRPr="0057092E">
        <w:rPr>
          <w:rFonts w:asciiTheme="minorHAnsi" w:hAnsiTheme="minorHAnsi" w:cstheme="minorHAnsi"/>
          <w:color w:val="auto"/>
          <w:szCs w:val="22"/>
        </w:rPr>
        <w:t>Remarkably</w:t>
      </w:r>
      <w:r w:rsidR="00FB5D04" w:rsidRPr="0057092E">
        <w:rPr>
          <w:rFonts w:asciiTheme="minorHAnsi" w:hAnsiTheme="minorHAnsi" w:cstheme="minorHAnsi"/>
          <w:color w:val="auto"/>
          <w:szCs w:val="22"/>
        </w:rPr>
        <w:t xml:space="preserve">, </w:t>
      </w:r>
      <w:r w:rsidR="00C11DF4" w:rsidRPr="0057092E">
        <w:rPr>
          <w:rFonts w:asciiTheme="minorHAnsi" w:hAnsiTheme="minorHAnsi" w:cstheme="minorHAnsi"/>
          <w:color w:val="auto"/>
          <w:szCs w:val="22"/>
        </w:rPr>
        <w:t xml:space="preserve">improved </w:t>
      </w:r>
      <w:r w:rsidR="00FB5D04" w:rsidRPr="0057092E">
        <w:rPr>
          <w:rFonts w:asciiTheme="minorHAnsi" w:hAnsiTheme="minorHAnsi" w:cstheme="minorHAnsi"/>
          <w:color w:val="auto"/>
          <w:szCs w:val="22"/>
        </w:rPr>
        <w:t xml:space="preserve">agricultural </w:t>
      </w:r>
      <w:r w:rsidR="00C11DF4" w:rsidRPr="0057092E">
        <w:rPr>
          <w:rFonts w:asciiTheme="minorHAnsi" w:hAnsiTheme="minorHAnsi" w:cstheme="minorHAnsi"/>
          <w:color w:val="auto"/>
          <w:szCs w:val="22"/>
        </w:rPr>
        <w:t>practice</w:t>
      </w:r>
      <w:r w:rsidR="006B17B4" w:rsidRPr="0057092E">
        <w:rPr>
          <w:rFonts w:asciiTheme="minorHAnsi" w:hAnsiTheme="minorHAnsi" w:cstheme="minorHAnsi"/>
          <w:color w:val="auto"/>
          <w:szCs w:val="22"/>
        </w:rPr>
        <w:t xml:space="preserve">s </w:t>
      </w:r>
      <w:r w:rsidR="00FB5D04" w:rsidRPr="0057092E">
        <w:rPr>
          <w:rFonts w:asciiTheme="minorHAnsi" w:hAnsiTheme="minorHAnsi" w:cstheme="minorHAnsi"/>
          <w:color w:val="auto"/>
          <w:szCs w:val="22"/>
        </w:rPr>
        <w:t xml:space="preserve">and nutrition training </w:t>
      </w:r>
      <w:r w:rsidR="006B17B4" w:rsidRPr="0057092E">
        <w:rPr>
          <w:rFonts w:asciiTheme="minorHAnsi" w:hAnsiTheme="minorHAnsi" w:cstheme="minorHAnsi"/>
          <w:color w:val="auto"/>
          <w:szCs w:val="22"/>
        </w:rPr>
        <w:t>highly contribut</w:t>
      </w:r>
      <w:r w:rsidR="00664E55" w:rsidRPr="0057092E">
        <w:rPr>
          <w:rFonts w:asciiTheme="minorHAnsi" w:hAnsiTheme="minorHAnsi" w:cstheme="minorHAnsi"/>
          <w:color w:val="auto"/>
          <w:szCs w:val="22"/>
        </w:rPr>
        <w:t>ed to</w:t>
      </w:r>
      <w:r w:rsidR="00FB5D04" w:rsidRPr="0057092E">
        <w:rPr>
          <w:rFonts w:asciiTheme="minorHAnsi" w:hAnsiTheme="minorHAnsi" w:cstheme="minorHAnsi"/>
          <w:color w:val="auto"/>
          <w:szCs w:val="22"/>
        </w:rPr>
        <w:t xml:space="preserve"> both food consumption and dietary diversity, whereas adding training significantly </w:t>
      </w:r>
      <w:r w:rsidR="00AD2750" w:rsidRPr="0057092E">
        <w:rPr>
          <w:rFonts w:asciiTheme="minorHAnsi" w:hAnsiTheme="minorHAnsi" w:cstheme="minorHAnsi"/>
          <w:color w:val="auto"/>
          <w:szCs w:val="22"/>
        </w:rPr>
        <w:t>enhanced</w:t>
      </w:r>
      <w:r w:rsidR="00FB5D04" w:rsidRPr="0057092E">
        <w:rPr>
          <w:rFonts w:asciiTheme="minorHAnsi" w:hAnsiTheme="minorHAnsi" w:cstheme="minorHAnsi"/>
          <w:color w:val="auto"/>
          <w:szCs w:val="22"/>
        </w:rPr>
        <w:t xml:space="preserve"> outcomes beyond these integrated approaches </w:t>
      </w:r>
      <w:r w:rsidR="00FB5D04" w:rsidRPr="00806D7A">
        <w:rPr>
          <w:rFonts w:asciiTheme="minorHAnsi" w:hAnsiTheme="minorHAnsi" w:cstheme="minorHAnsi"/>
          <w:color w:val="auto"/>
          <w:szCs w:val="22"/>
        </w:rPr>
        <w:t>(Ahmed et al., 2024).</w:t>
      </w:r>
    </w:p>
    <w:p w14:paraId="70AF446E" w14:textId="77777777" w:rsidR="00FB5D04" w:rsidRPr="0057092E" w:rsidRDefault="00FB5D04" w:rsidP="002B4B6D">
      <w:pPr>
        <w:spacing w:after="0"/>
        <w:rPr>
          <w:rFonts w:asciiTheme="minorHAnsi" w:hAnsiTheme="minorHAnsi" w:cstheme="minorHAnsi"/>
          <w:color w:val="auto"/>
          <w:szCs w:val="22"/>
        </w:rPr>
      </w:pPr>
    </w:p>
    <w:p w14:paraId="0EE11724" w14:textId="5B3D2280" w:rsidR="00FB5D04" w:rsidRPr="0057092E" w:rsidRDefault="008B181E"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Agro-input companies have emerged as important actors in </w:t>
      </w:r>
      <w:r w:rsidR="004E3DBF" w:rsidRPr="0057092E">
        <w:rPr>
          <w:rFonts w:asciiTheme="minorHAnsi" w:hAnsiTheme="minorHAnsi" w:cstheme="minorHAnsi"/>
          <w:color w:val="auto"/>
          <w:szCs w:val="22"/>
        </w:rPr>
        <w:t xml:space="preserve">the </w:t>
      </w:r>
      <w:r w:rsidR="000B2D0B" w:rsidRPr="0057092E">
        <w:rPr>
          <w:rFonts w:asciiTheme="minorHAnsi" w:hAnsiTheme="minorHAnsi" w:cstheme="minorHAnsi"/>
          <w:color w:val="auto"/>
          <w:szCs w:val="22"/>
        </w:rPr>
        <w:t>agriculture sector</w:t>
      </w:r>
      <w:r w:rsidRPr="0057092E">
        <w:rPr>
          <w:rFonts w:asciiTheme="minorHAnsi" w:hAnsiTheme="minorHAnsi" w:cstheme="minorHAnsi"/>
          <w:color w:val="auto"/>
          <w:szCs w:val="22"/>
        </w:rPr>
        <w:t>, particularly in areas with limited access to public extension services</w:t>
      </w:r>
      <w:r w:rsidR="000B2D0B" w:rsidRPr="0057092E">
        <w:rPr>
          <w:rFonts w:asciiTheme="minorHAnsi" w:hAnsiTheme="minorHAnsi" w:cstheme="minorHAnsi"/>
          <w:color w:val="auto"/>
          <w:szCs w:val="22"/>
        </w:rPr>
        <w:t xml:space="preserve">, </w:t>
      </w:r>
      <w:r w:rsidR="004E3DBF" w:rsidRPr="0057092E">
        <w:rPr>
          <w:rFonts w:asciiTheme="minorHAnsi" w:hAnsiTheme="minorHAnsi" w:cstheme="minorHAnsi"/>
          <w:color w:val="auto"/>
          <w:szCs w:val="22"/>
        </w:rPr>
        <w:t xml:space="preserve">improved seed varieties, </w:t>
      </w:r>
      <w:r w:rsidR="007A1308" w:rsidRPr="0057092E">
        <w:rPr>
          <w:rFonts w:asciiTheme="minorHAnsi" w:hAnsiTheme="minorHAnsi" w:cstheme="minorHAnsi"/>
          <w:color w:val="auto"/>
          <w:szCs w:val="22"/>
        </w:rPr>
        <w:t>and technologies</w:t>
      </w:r>
      <w:r w:rsidRPr="0057092E">
        <w:rPr>
          <w:rFonts w:asciiTheme="minorHAnsi" w:hAnsiTheme="minorHAnsi" w:cstheme="minorHAnsi"/>
          <w:color w:val="auto"/>
          <w:szCs w:val="22"/>
        </w:rPr>
        <w:t xml:space="preserve">. </w:t>
      </w:r>
      <w:r w:rsidR="00FB5D04" w:rsidRPr="0057092E">
        <w:rPr>
          <w:rFonts w:asciiTheme="minorHAnsi" w:hAnsiTheme="minorHAnsi" w:cstheme="minorHAnsi"/>
          <w:color w:val="auto"/>
          <w:szCs w:val="22"/>
        </w:rPr>
        <w:t xml:space="preserve">Bangladesh’s agrifood sector must overcome constraints such as environmental degradation, poor infrastructure, and weak market integration </w:t>
      </w:r>
      <w:r w:rsidR="00FB5D04" w:rsidRPr="00806D7A">
        <w:rPr>
          <w:rFonts w:asciiTheme="minorHAnsi" w:hAnsiTheme="minorHAnsi" w:cstheme="minorHAnsi"/>
          <w:color w:val="auto"/>
          <w:szCs w:val="22"/>
        </w:rPr>
        <w:t>(Ahmed et al., 2021).</w:t>
      </w:r>
      <w:r w:rsidR="00FB5D04" w:rsidRPr="0057092E">
        <w:rPr>
          <w:rFonts w:asciiTheme="minorHAnsi" w:hAnsiTheme="minorHAnsi" w:cstheme="minorHAnsi"/>
          <w:color w:val="auto"/>
          <w:szCs w:val="22"/>
        </w:rPr>
        <w:t xml:space="preserve"> </w:t>
      </w:r>
      <w:r w:rsidR="00663AB1" w:rsidRPr="0057092E">
        <w:rPr>
          <w:rFonts w:asciiTheme="minorHAnsi" w:hAnsiTheme="minorHAnsi" w:cstheme="minorHAnsi"/>
          <w:color w:val="auto"/>
          <w:szCs w:val="22"/>
        </w:rPr>
        <w:t>The private sector provides</w:t>
      </w:r>
      <w:r w:rsidR="00FB5D04" w:rsidRPr="0057092E">
        <w:rPr>
          <w:rFonts w:asciiTheme="minorHAnsi" w:hAnsiTheme="minorHAnsi" w:cstheme="minorHAnsi"/>
          <w:color w:val="auto"/>
          <w:szCs w:val="22"/>
        </w:rPr>
        <w:t xml:space="preserve"> essential inputs, including seeds, fertilizers, pesticides, and modern equipment, along with advisory services that guide farmers on variety selection, production methods, and post-harvest management </w:t>
      </w:r>
      <w:r w:rsidR="00FB5D04" w:rsidRPr="00806D7A">
        <w:rPr>
          <w:rFonts w:asciiTheme="minorHAnsi" w:hAnsiTheme="minorHAnsi" w:cstheme="minorHAnsi"/>
          <w:color w:val="auto"/>
          <w:szCs w:val="22"/>
        </w:rPr>
        <w:t>(Mbuthia, 2016).</w:t>
      </w:r>
      <w:r w:rsidR="00FB5D04" w:rsidRPr="0057092E">
        <w:rPr>
          <w:rFonts w:asciiTheme="minorHAnsi" w:hAnsiTheme="minorHAnsi" w:cstheme="minorHAnsi"/>
          <w:color w:val="auto"/>
          <w:szCs w:val="22"/>
        </w:rPr>
        <w:t xml:space="preserve"> By introducing high-yielding and nutrient-dense crop varieties, the companies directly enhance the availability of diverse and nutritious foods at both household and community levels. Furthermore, their guidance on fertilizer use, pest control, and irrigation contributes to improved crop productivity and quality, thereby supporting both food production and consumption.</w:t>
      </w:r>
    </w:p>
    <w:p w14:paraId="6C417832" w14:textId="77777777" w:rsidR="00FB5D04" w:rsidRPr="0057092E" w:rsidRDefault="00FB5D04" w:rsidP="002B4B6D">
      <w:pPr>
        <w:spacing w:after="0"/>
        <w:rPr>
          <w:rFonts w:asciiTheme="minorHAnsi" w:hAnsiTheme="minorHAnsi" w:cstheme="minorHAnsi"/>
          <w:color w:val="auto"/>
          <w:szCs w:val="22"/>
        </w:rPr>
      </w:pPr>
    </w:p>
    <w:p w14:paraId="4840D9F2" w14:textId="22BDB391" w:rsidR="00FB5D04" w:rsidRPr="0057092E" w:rsidRDefault="00FB5D04"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The potential of the private sector to contribute to nutrition-sensitive agriculture has gained increasing attention in global development. Nutrition-sensitive agriculture emphasizes the production of nutrient-rich crops and the promotion of dietary </w:t>
      </w:r>
      <w:r w:rsidRPr="00806D7A">
        <w:rPr>
          <w:rFonts w:asciiTheme="minorHAnsi" w:hAnsiTheme="minorHAnsi" w:cstheme="minorHAnsi"/>
          <w:color w:val="auto"/>
          <w:szCs w:val="22"/>
        </w:rPr>
        <w:t>diversity</w:t>
      </w:r>
      <w:r w:rsidR="00F3128C" w:rsidRPr="00806D7A">
        <w:rPr>
          <w:rFonts w:asciiTheme="minorHAnsi" w:hAnsiTheme="minorHAnsi" w:cstheme="minorHAnsi"/>
          <w:color w:val="auto"/>
          <w:szCs w:val="22"/>
        </w:rPr>
        <w:t xml:space="preserve"> </w:t>
      </w:r>
      <w:r w:rsidRPr="00806D7A">
        <w:rPr>
          <w:rFonts w:asciiTheme="minorHAnsi" w:hAnsiTheme="minorHAnsi" w:cstheme="minorHAnsi"/>
          <w:color w:val="auto"/>
          <w:szCs w:val="22"/>
        </w:rPr>
        <w:t>(Ruel et al., 2013).</w:t>
      </w:r>
      <w:r w:rsidRPr="00806D7A">
        <w:rPr>
          <w:rFonts w:asciiTheme="minorHAnsi" w:hAnsiTheme="minorHAnsi" w:cstheme="minorHAnsi"/>
          <w:b/>
          <w:bCs/>
          <w:color w:val="auto"/>
          <w:szCs w:val="22"/>
        </w:rPr>
        <w:t xml:space="preserve"> </w:t>
      </w:r>
      <w:r w:rsidR="009432B9" w:rsidRPr="00806D7A">
        <w:rPr>
          <w:rFonts w:asciiTheme="minorHAnsi" w:hAnsiTheme="minorHAnsi" w:cstheme="minorHAnsi"/>
          <w:color w:val="auto"/>
          <w:szCs w:val="22"/>
        </w:rPr>
        <w:t>Agro</w:t>
      </w:r>
      <w:r w:rsidR="009432B9" w:rsidRPr="0057092E">
        <w:rPr>
          <w:rFonts w:asciiTheme="minorHAnsi" w:hAnsiTheme="minorHAnsi" w:cstheme="minorHAnsi"/>
          <w:color w:val="auto"/>
          <w:szCs w:val="22"/>
        </w:rPr>
        <w:t>-inputs</w:t>
      </w:r>
      <w:r w:rsidRPr="0057092E">
        <w:rPr>
          <w:rFonts w:asciiTheme="minorHAnsi" w:hAnsiTheme="minorHAnsi" w:cstheme="minorHAnsi"/>
          <w:color w:val="auto"/>
          <w:szCs w:val="22"/>
        </w:rPr>
        <w:t xml:space="preserve"> </w:t>
      </w:r>
      <w:r w:rsidR="009432B9" w:rsidRPr="0057092E">
        <w:rPr>
          <w:rFonts w:asciiTheme="minorHAnsi" w:hAnsiTheme="minorHAnsi" w:cstheme="minorHAnsi"/>
          <w:color w:val="auto"/>
          <w:szCs w:val="22"/>
        </w:rPr>
        <w:t>play</w:t>
      </w:r>
      <w:r w:rsidR="00F669F3" w:rsidRPr="0057092E">
        <w:rPr>
          <w:rFonts w:asciiTheme="minorHAnsi" w:hAnsiTheme="minorHAnsi" w:cstheme="minorHAnsi"/>
          <w:color w:val="auto"/>
          <w:szCs w:val="22"/>
        </w:rPr>
        <w:t xml:space="preserve"> </w:t>
      </w:r>
      <w:r w:rsidRPr="0057092E">
        <w:rPr>
          <w:rFonts w:asciiTheme="minorHAnsi" w:hAnsiTheme="minorHAnsi" w:cstheme="minorHAnsi"/>
          <w:color w:val="auto"/>
          <w:szCs w:val="22"/>
        </w:rPr>
        <w:t xml:space="preserve">dual roles as suppliers of inputs and </w:t>
      </w:r>
      <w:r w:rsidR="00870DAC" w:rsidRPr="0057092E">
        <w:rPr>
          <w:rFonts w:asciiTheme="minorHAnsi" w:hAnsiTheme="minorHAnsi" w:cstheme="minorHAnsi"/>
          <w:color w:val="auto"/>
          <w:szCs w:val="22"/>
        </w:rPr>
        <w:t xml:space="preserve">service </w:t>
      </w:r>
      <w:r w:rsidRPr="0057092E">
        <w:rPr>
          <w:rFonts w:asciiTheme="minorHAnsi" w:hAnsiTheme="minorHAnsi" w:cstheme="minorHAnsi"/>
          <w:color w:val="auto"/>
          <w:szCs w:val="22"/>
        </w:rPr>
        <w:t xml:space="preserve">providers, </w:t>
      </w:r>
      <w:r w:rsidR="00870DAC" w:rsidRPr="0057092E">
        <w:rPr>
          <w:rFonts w:asciiTheme="minorHAnsi" w:hAnsiTheme="minorHAnsi" w:cstheme="minorHAnsi"/>
          <w:color w:val="auto"/>
          <w:szCs w:val="22"/>
        </w:rPr>
        <w:t xml:space="preserve">which </w:t>
      </w:r>
      <w:r w:rsidRPr="0057092E">
        <w:rPr>
          <w:rFonts w:asciiTheme="minorHAnsi" w:hAnsiTheme="minorHAnsi" w:cstheme="minorHAnsi"/>
          <w:color w:val="auto"/>
          <w:szCs w:val="22"/>
        </w:rPr>
        <w:t xml:space="preserve">influence both the supply and </w:t>
      </w:r>
      <w:r w:rsidR="00870DAC" w:rsidRPr="0057092E">
        <w:rPr>
          <w:rFonts w:asciiTheme="minorHAnsi" w:hAnsiTheme="minorHAnsi" w:cstheme="minorHAnsi"/>
          <w:color w:val="auto"/>
          <w:szCs w:val="22"/>
        </w:rPr>
        <w:t>demand</w:t>
      </w:r>
      <w:r w:rsidRPr="0057092E">
        <w:rPr>
          <w:rFonts w:asciiTheme="minorHAnsi" w:hAnsiTheme="minorHAnsi" w:cstheme="minorHAnsi"/>
          <w:color w:val="auto"/>
          <w:szCs w:val="22"/>
        </w:rPr>
        <w:t xml:space="preserve"> sides of the food system. </w:t>
      </w:r>
      <w:r w:rsidR="00870DAC" w:rsidRPr="0057092E">
        <w:rPr>
          <w:rFonts w:asciiTheme="minorHAnsi" w:hAnsiTheme="minorHAnsi" w:cstheme="minorHAnsi"/>
          <w:color w:val="auto"/>
          <w:szCs w:val="22"/>
        </w:rPr>
        <w:t>Encouraging</w:t>
      </w:r>
      <w:r w:rsidRPr="0057092E">
        <w:rPr>
          <w:rFonts w:asciiTheme="minorHAnsi" w:hAnsiTheme="minorHAnsi" w:cstheme="minorHAnsi"/>
          <w:color w:val="auto"/>
          <w:szCs w:val="22"/>
        </w:rPr>
        <w:t xml:space="preserve"> the cultivation of vegetables</w:t>
      </w:r>
      <w:r w:rsidR="00870DAC" w:rsidRPr="0057092E">
        <w:rPr>
          <w:rFonts w:asciiTheme="minorHAnsi" w:hAnsiTheme="minorHAnsi" w:cstheme="minorHAnsi"/>
          <w:color w:val="auto"/>
          <w:szCs w:val="22"/>
        </w:rPr>
        <w:t xml:space="preserve"> </w:t>
      </w:r>
      <w:r w:rsidRPr="0057092E">
        <w:rPr>
          <w:rFonts w:asciiTheme="minorHAnsi" w:hAnsiTheme="minorHAnsi" w:cstheme="minorHAnsi"/>
          <w:color w:val="auto"/>
          <w:szCs w:val="22"/>
        </w:rPr>
        <w:t xml:space="preserve">can help households </w:t>
      </w:r>
      <w:r w:rsidR="00870DAC" w:rsidRPr="0057092E">
        <w:rPr>
          <w:rFonts w:asciiTheme="minorHAnsi" w:hAnsiTheme="minorHAnsi" w:cstheme="minorHAnsi"/>
          <w:color w:val="auto"/>
          <w:szCs w:val="22"/>
        </w:rPr>
        <w:t xml:space="preserve">gain </w:t>
      </w:r>
      <w:r w:rsidRPr="0057092E">
        <w:rPr>
          <w:rFonts w:asciiTheme="minorHAnsi" w:hAnsiTheme="minorHAnsi" w:cstheme="minorHAnsi"/>
          <w:color w:val="auto"/>
          <w:szCs w:val="22"/>
        </w:rPr>
        <w:t xml:space="preserve">access </w:t>
      </w:r>
      <w:r w:rsidR="00870DAC" w:rsidRPr="0057092E">
        <w:rPr>
          <w:rFonts w:asciiTheme="minorHAnsi" w:hAnsiTheme="minorHAnsi" w:cstheme="minorHAnsi"/>
          <w:color w:val="auto"/>
          <w:szCs w:val="22"/>
        </w:rPr>
        <w:t>to</w:t>
      </w:r>
      <w:r w:rsidRPr="0057092E">
        <w:rPr>
          <w:rFonts w:asciiTheme="minorHAnsi" w:hAnsiTheme="minorHAnsi" w:cstheme="minorHAnsi"/>
          <w:color w:val="auto"/>
          <w:szCs w:val="22"/>
        </w:rPr>
        <w:t xml:space="preserve"> essential nutrients</w:t>
      </w:r>
      <w:r w:rsidR="00290C1A" w:rsidRPr="0057092E">
        <w:rPr>
          <w:rFonts w:asciiTheme="minorHAnsi" w:hAnsiTheme="minorHAnsi" w:cstheme="minorHAnsi"/>
          <w:color w:val="auto"/>
          <w:szCs w:val="22"/>
        </w:rPr>
        <w:t xml:space="preserve"> and income</w:t>
      </w:r>
      <w:r w:rsidRPr="0057092E">
        <w:rPr>
          <w:rFonts w:asciiTheme="minorHAnsi" w:hAnsiTheme="minorHAnsi" w:cstheme="minorHAnsi"/>
          <w:color w:val="auto"/>
          <w:szCs w:val="22"/>
        </w:rPr>
        <w:t xml:space="preserve">. </w:t>
      </w:r>
      <w:r w:rsidR="009432B9" w:rsidRPr="0057092E">
        <w:rPr>
          <w:rFonts w:asciiTheme="minorHAnsi" w:hAnsiTheme="minorHAnsi" w:cstheme="minorHAnsi"/>
          <w:color w:val="auto"/>
          <w:szCs w:val="22"/>
        </w:rPr>
        <w:t xml:space="preserve">The private sector </w:t>
      </w:r>
      <w:r w:rsidRPr="0057092E">
        <w:rPr>
          <w:rFonts w:asciiTheme="minorHAnsi" w:hAnsiTheme="minorHAnsi" w:cstheme="minorHAnsi"/>
          <w:color w:val="auto"/>
          <w:szCs w:val="22"/>
        </w:rPr>
        <w:t>companies, by leveraging their expertise and local networks, are well-positioned to facilitate these changes. The supply chains</w:t>
      </w:r>
      <w:r w:rsidR="004224EE" w:rsidRPr="0057092E">
        <w:rPr>
          <w:rFonts w:asciiTheme="minorHAnsi" w:hAnsiTheme="minorHAnsi" w:cstheme="minorHAnsi"/>
          <w:color w:val="auto"/>
          <w:szCs w:val="22"/>
        </w:rPr>
        <w:t xml:space="preserve"> </w:t>
      </w:r>
      <w:r w:rsidRPr="0057092E">
        <w:rPr>
          <w:rFonts w:asciiTheme="minorHAnsi" w:hAnsiTheme="minorHAnsi" w:cstheme="minorHAnsi"/>
          <w:color w:val="auto"/>
          <w:szCs w:val="22"/>
        </w:rPr>
        <w:t xml:space="preserve">often extend into remote rural areas, </w:t>
      </w:r>
      <w:r w:rsidR="00745E7F" w:rsidRPr="0057092E">
        <w:rPr>
          <w:rFonts w:asciiTheme="minorHAnsi" w:hAnsiTheme="minorHAnsi" w:cstheme="minorHAnsi"/>
          <w:color w:val="auto"/>
          <w:szCs w:val="22"/>
        </w:rPr>
        <w:t xml:space="preserve">which </w:t>
      </w:r>
      <w:r w:rsidRPr="0057092E">
        <w:rPr>
          <w:rFonts w:asciiTheme="minorHAnsi" w:hAnsiTheme="minorHAnsi" w:cstheme="minorHAnsi"/>
          <w:color w:val="auto"/>
          <w:szCs w:val="22"/>
        </w:rPr>
        <w:t>can ensure the timely availability of high-quality seeds and other inputs</w:t>
      </w:r>
      <w:r w:rsidR="00745E7F" w:rsidRPr="0057092E">
        <w:rPr>
          <w:rFonts w:asciiTheme="minorHAnsi" w:hAnsiTheme="minorHAnsi" w:cstheme="minorHAnsi"/>
          <w:color w:val="auto"/>
          <w:szCs w:val="22"/>
        </w:rPr>
        <w:t xml:space="preserve"> to </w:t>
      </w:r>
      <w:r w:rsidRPr="0057092E">
        <w:rPr>
          <w:rFonts w:asciiTheme="minorHAnsi" w:hAnsiTheme="minorHAnsi" w:cstheme="minorHAnsi"/>
          <w:color w:val="auto"/>
          <w:szCs w:val="22"/>
        </w:rPr>
        <w:t>overcom</w:t>
      </w:r>
      <w:r w:rsidR="00745E7F" w:rsidRPr="0057092E">
        <w:rPr>
          <w:rFonts w:asciiTheme="minorHAnsi" w:hAnsiTheme="minorHAnsi" w:cstheme="minorHAnsi"/>
          <w:color w:val="auto"/>
          <w:szCs w:val="22"/>
        </w:rPr>
        <w:t>e</w:t>
      </w:r>
      <w:r w:rsidRPr="0057092E">
        <w:rPr>
          <w:rFonts w:asciiTheme="minorHAnsi" w:hAnsiTheme="minorHAnsi" w:cstheme="minorHAnsi"/>
          <w:color w:val="auto"/>
          <w:szCs w:val="22"/>
        </w:rPr>
        <w:t xml:space="preserve"> barriers to crop diversification. Furthermore, the advisory services provided by these companies can empower farmers to adopt improved cultivation techniques, optimize input use, and enhance post-harvest handling, thereby reducing losses and improving household food availability. By promoting the cultivation of diverse crops and supporting market linkages, agro-input companies can also contribute to income generation, enabling households to purchase additional nutritious foods and further improve their dietary patterns.</w:t>
      </w:r>
    </w:p>
    <w:p w14:paraId="7AF5F081" w14:textId="77777777" w:rsidR="00FB5D04" w:rsidRPr="0057092E" w:rsidRDefault="00FB5D04" w:rsidP="002B4B6D">
      <w:pPr>
        <w:spacing w:after="0"/>
        <w:rPr>
          <w:rFonts w:asciiTheme="minorHAnsi" w:hAnsiTheme="minorHAnsi" w:cstheme="minorHAnsi"/>
          <w:color w:val="auto"/>
          <w:szCs w:val="22"/>
        </w:rPr>
      </w:pPr>
    </w:p>
    <w:p w14:paraId="4A88121C" w14:textId="018B54F3" w:rsidR="00B97DD8" w:rsidRPr="0057092E" w:rsidRDefault="00FB5D04"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Despite the increasing involvement of agro-input companies in promoting diverse food production, their role in enhancing food consumption patterns has received limited academic attention, </w:t>
      </w:r>
      <w:r w:rsidRPr="0057092E">
        <w:rPr>
          <w:rFonts w:asciiTheme="minorHAnsi" w:hAnsiTheme="minorHAnsi" w:cstheme="minorHAnsi"/>
          <w:color w:val="auto"/>
          <w:szCs w:val="22"/>
        </w:rPr>
        <w:lastRenderedPageBreak/>
        <w:t xml:space="preserve">particularly in the context of Bangladesh's southern region </w:t>
      </w:r>
      <w:r w:rsidRPr="00806D7A">
        <w:rPr>
          <w:rFonts w:asciiTheme="minorHAnsi" w:hAnsiTheme="minorHAnsi" w:cstheme="minorHAnsi"/>
          <w:color w:val="auto"/>
          <w:szCs w:val="22"/>
        </w:rPr>
        <w:t>(Feed the Future Bangladesh Rice and Diversified Crops Activity, 2021).</w:t>
      </w:r>
      <w:r w:rsidRPr="0057092E">
        <w:rPr>
          <w:rFonts w:asciiTheme="minorHAnsi" w:hAnsiTheme="minorHAnsi" w:cstheme="minorHAnsi"/>
          <w:color w:val="auto"/>
          <w:szCs w:val="22"/>
        </w:rPr>
        <w:t xml:space="preserve"> </w:t>
      </w:r>
      <w:r w:rsidR="00B97DD8" w:rsidRPr="0057092E">
        <w:rPr>
          <w:rFonts w:asciiTheme="minorHAnsi" w:hAnsiTheme="minorHAnsi" w:cstheme="minorHAnsi"/>
          <w:color w:val="auto"/>
          <w:szCs w:val="22"/>
        </w:rPr>
        <w:t>In southern Bangladesh, particularly in the Faridpur and Khulna districts, agro-input companies have strengthened supply chain networks by incorporating sales agents, local retailers, and extension service providers, ensuring that farmers have reliable access to seeds, fertilizers, and other inputs</w:t>
      </w:r>
      <w:r w:rsidR="00C1231F">
        <w:rPr>
          <w:rFonts w:asciiTheme="minorHAnsi" w:hAnsiTheme="minorHAnsi" w:cstheme="minorHAnsi"/>
          <w:color w:val="auto"/>
          <w:szCs w:val="22"/>
        </w:rPr>
        <w:t xml:space="preserve"> </w:t>
      </w:r>
      <w:r w:rsidR="00C1231F" w:rsidRPr="00C1231F">
        <w:rPr>
          <w:rFonts w:asciiTheme="minorHAnsi" w:hAnsiTheme="minorHAnsi" w:cstheme="minorHAnsi"/>
          <w:color w:val="auto"/>
          <w:szCs w:val="22"/>
        </w:rPr>
        <w:t>(Kolady &amp; Awal, 2018)</w:t>
      </w:r>
      <w:r w:rsidR="00B97DD8" w:rsidRPr="0057092E">
        <w:rPr>
          <w:rFonts w:asciiTheme="minorHAnsi" w:hAnsiTheme="minorHAnsi" w:cstheme="minorHAnsi"/>
          <w:color w:val="auto"/>
          <w:szCs w:val="22"/>
        </w:rPr>
        <w:t>. Farmer meetings, advisory sessions, and household visits further complement these efforts by providing tailored guidance on crop management and nutrition-sensitive farming practices. Such interventions reflect a growing recognition within the private sector that commercial success is intertwined with improved farmer livelihoods, household nutrition, and sustainable agricultural production</w:t>
      </w:r>
      <w:r w:rsidR="001F39E8">
        <w:rPr>
          <w:rFonts w:asciiTheme="minorHAnsi" w:hAnsiTheme="minorHAnsi" w:cstheme="minorHAnsi"/>
          <w:color w:val="auto"/>
          <w:szCs w:val="22"/>
        </w:rPr>
        <w:t xml:space="preserve"> </w:t>
      </w:r>
      <w:r w:rsidR="001F39E8" w:rsidRPr="001F39E8">
        <w:rPr>
          <w:rFonts w:asciiTheme="minorHAnsi" w:hAnsiTheme="minorHAnsi" w:cstheme="minorHAnsi"/>
          <w:color w:val="auto"/>
          <w:szCs w:val="22"/>
        </w:rPr>
        <w:t>(ACI Agribusiness, 2023</w:t>
      </w:r>
      <w:r w:rsidR="00B97DD8" w:rsidRPr="0057092E">
        <w:rPr>
          <w:rFonts w:asciiTheme="minorHAnsi" w:hAnsiTheme="minorHAnsi" w:cstheme="minorHAnsi"/>
          <w:color w:val="auto"/>
          <w:szCs w:val="22"/>
        </w:rPr>
        <w:t>.</w:t>
      </w:r>
      <w:r w:rsidR="001F39E8">
        <w:rPr>
          <w:rFonts w:asciiTheme="minorHAnsi" w:hAnsiTheme="minorHAnsi" w:cstheme="minorHAnsi"/>
          <w:color w:val="auto"/>
          <w:szCs w:val="22"/>
        </w:rPr>
        <w:t xml:space="preserve"> </w:t>
      </w:r>
    </w:p>
    <w:p w14:paraId="6660EFEA" w14:textId="77777777" w:rsidR="00B97DD8" w:rsidRPr="0057092E" w:rsidRDefault="00B97DD8" w:rsidP="002B4B6D">
      <w:pPr>
        <w:spacing w:after="0"/>
        <w:rPr>
          <w:rFonts w:asciiTheme="minorHAnsi" w:hAnsiTheme="minorHAnsi" w:cstheme="minorHAnsi"/>
          <w:color w:val="auto"/>
          <w:szCs w:val="22"/>
        </w:rPr>
      </w:pPr>
    </w:p>
    <w:p w14:paraId="48186BAA" w14:textId="6A91C447" w:rsidR="00FB5D04" w:rsidRPr="0057092E" w:rsidRDefault="00FB5D04"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Most studies have focused on government-led programs, non-governmental organization (NGO) initiatives, or large-scale development projects, with less attention given to the private sector’s contribution. This gap is especially notable in southern Bangladesh, a region highly vulnerable to climate change, soil salinity, waterlogging, and other environmental stresses that threaten agricultural productivity and household food security. Saltwater intrusion and rising sea levels, combined with erratic rainfall patterns, reduce the availability of arable land and freshwater for irrigation, posing significant challenges for crop diversification</w:t>
      </w:r>
      <w:r w:rsidR="00923863">
        <w:rPr>
          <w:rFonts w:asciiTheme="minorHAnsi" w:hAnsiTheme="minorHAnsi" w:cstheme="minorHAnsi"/>
          <w:color w:val="auto"/>
          <w:szCs w:val="22"/>
        </w:rPr>
        <w:t xml:space="preserve"> (</w:t>
      </w:r>
      <w:r w:rsidR="00923863" w:rsidRPr="00923863">
        <w:rPr>
          <w:rFonts w:asciiTheme="minorHAnsi" w:hAnsiTheme="minorHAnsi" w:cstheme="minorHAnsi"/>
          <w:color w:val="auto"/>
          <w:szCs w:val="22"/>
        </w:rPr>
        <w:t>CIF/Case study</w:t>
      </w:r>
      <w:r w:rsidR="006A45B0">
        <w:rPr>
          <w:rFonts w:asciiTheme="minorHAnsi" w:hAnsiTheme="minorHAnsi" w:cstheme="minorHAnsi"/>
          <w:color w:val="auto"/>
          <w:szCs w:val="22"/>
        </w:rPr>
        <w:t xml:space="preserve">, </w:t>
      </w:r>
      <w:r w:rsidR="00923863" w:rsidRPr="00923863">
        <w:rPr>
          <w:rFonts w:asciiTheme="minorHAnsi" w:hAnsiTheme="minorHAnsi" w:cstheme="minorHAnsi"/>
          <w:color w:val="auto"/>
          <w:szCs w:val="22"/>
        </w:rPr>
        <w:t>CRAFS)</w:t>
      </w:r>
      <w:r w:rsidRPr="0057092E">
        <w:rPr>
          <w:rFonts w:asciiTheme="minorHAnsi" w:hAnsiTheme="minorHAnsi" w:cstheme="minorHAnsi"/>
          <w:color w:val="auto"/>
          <w:szCs w:val="22"/>
        </w:rPr>
        <w:t>. In such contexts, the involvement of agro-input companies in providing resilient, nutrient-rich crop varieties and appropriate cultivation techniques can be crucial in sustaining production and supporting dietary improvements.</w:t>
      </w:r>
    </w:p>
    <w:p w14:paraId="6BE73AB0" w14:textId="77777777" w:rsidR="00FB5D04" w:rsidRPr="0057092E" w:rsidRDefault="00FB5D04" w:rsidP="002B4B6D">
      <w:pPr>
        <w:spacing w:after="0"/>
        <w:rPr>
          <w:rFonts w:asciiTheme="minorHAnsi" w:hAnsiTheme="minorHAnsi" w:cstheme="minorHAnsi"/>
          <w:color w:val="auto"/>
          <w:szCs w:val="22"/>
        </w:rPr>
      </w:pPr>
    </w:p>
    <w:p w14:paraId="20C35B4A" w14:textId="237F8EAC" w:rsidR="00FB5D04" w:rsidRPr="0057092E" w:rsidRDefault="00FB5D04"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Several studies have highlighted the importance of combining agricultural interventions with nutrition-focused approaches to achieve meaningful improvements in household diets. For instance, integrated programs that provide seeds for vegetables, alongside training on nutritious food production, have been shown to increase both the diversity of crops grown and the frequency of consumption of nutrient-rich foods</w:t>
      </w:r>
      <w:r w:rsidR="00B97DD8" w:rsidRPr="0057092E">
        <w:rPr>
          <w:rFonts w:asciiTheme="minorHAnsi" w:hAnsiTheme="minorHAnsi" w:cstheme="minorHAnsi"/>
          <w:color w:val="auto"/>
          <w:szCs w:val="22"/>
        </w:rPr>
        <w:t xml:space="preserve">. </w:t>
      </w:r>
      <w:r w:rsidRPr="0057092E">
        <w:rPr>
          <w:rFonts w:asciiTheme="minorHAnsi" w:hAnsiTheme="minorHAnsi" w:cstheme="minorHAnsi"/>
          <w:color w:val="auto"/>
          <w:szCs w:val="22"/>
        </w:rPr>
        <w:t>This study aims to fill the existing knowledge gap by investigating how agro-input companies contribute to enhancing nutritious and diverse food production and consumption in southern Bangladesh. Specifically, the study focuses on the products, services, and advisory interventions provided by these companies, and their interactions with farming communities. By examining the pathways through which private sector actors influence variety choices, cultivation practices, and household dietary behaviors, the study seeks to provide evidence-based insights for promoting nutrition-sensitive agriculture. The analysis also considers the broader socioeconomic and environmental context of southern Bangladesh.</w:t>
      </w:r>
    </w:p>
    <w:p w14:paraId="5348D071" w14:textId="77777777" w:rsidR="00A35A6D" w:rsidRPr="0057092E" w:rsidRDefault="00A35A6D" w:rsidP="002B4B6D">
      <w:pPr>
        <w:spacing w:after="0"/>
        <w:rPr>
          <w:rFonts w:asciiTheme="minorHAnsi" w:hAnsiTheme="minorHAnsi" w:cstheme="minorHAnsi"/>
          <w:color w:val="auto"/>
          <w:szCs w:val="22"/>
        </w:rPr>
      </w:pPr>
    </w:p>
    <w:p w14:paraId="532F832D" w14:textId="77777777" w:rsidR="00DF76FE" w:rsidRPr="0057092E" w:rsidRDefault="00DF76FE" w:rsidP="002B4B6D">
      <w:pPr>
        <w:tabs>
          <w:tab w:val="left" w:pos="930"/>
        </w:tabs>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The study focused on Khulna and Faridpur districts due to their representativeness in terms of agro-ecological conditions, cropping patterns, and access to agro-input markets in Bangladesh. Selecting these two districts allows the study to capture diverse farming practices, technology adoption patterns, and market dynamics, providing insights relevant to both coastal and inland contexts. </w:t>
      </w:r>
    </w:p>
    <w:p w14:paraId="6CB375C5" w14:textId="77777777" w:rsidR="008820C2" w:rsidRPr="0057092E" w:rsidRDefault="008820C2" w:rsidP="002B4B6D">
      <w:pPr>
        <w:spacing w:after="0"/>
        <w:rPr>
          <w:rFonts w:asciiTheme="minorHAnsi" w:hAnsiTheme="minorHAnsi" w:cstheme="minorHAnsi"/>
          <w:color w:val="auto"/>
          <w:szCs w:val="22"/>
        </w:rPr>
      </w:pPr>
    </w:p>
    <w:p w14:paraId="558B563A" w14:textId="74152AE3" w:rsidR="00FB5D04" w:rsidRPr="0057092E" w:rsidRDefault="00FB5D04"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To address this gap, the study employs a mixed-method approach to assess the role of </w:t>
      </w:r>
      <w:r w:rsidR="00B97DD8" w:rsidRPr="0057092E">
        <w:rPr>
          <w:rFonts w:asciiTheme="minorHAnsi" w:hAnsiTheme="minorHAnsi" w:cstheme="minorHAnsi"/>
          <w:color w:val="auto"/>
          <w:szCs w:val="22"/>
        </w:rPr>
        <w:t>private sector</w:t>
      </w:r>
      <w:r w:rsidR="009D3E4E" w:rsidRPr="0057092E">
        <w:rPr>
          <w:rFonts w:asciiTheme="minorHAnsi" w:hAnsiTheme="minorHAnsi" w:cstheme="minorHAnsi"/>
          <w:color w:val="auto"/>
          <w:szCs w:val="22"/>
        </w:rPr>
        <w:t xml:space="preserve"> </w:t>
      </w:r>
      <w:r w:rsidRPr="0057092E">
        <w:rPr>
          <w:rFonts w:asciiTheme="minorHAnsi" w:hAnsiTheme="minorHAnsi" w:cstheme="minorHAnsi"/>
          <w:color w:val="auto"/>
          <w:szCs w:val="22"/>
        </w:rPr>
        <w:t>agro-input companies in promoting nutritious and diverse food production and consumption in southern Bangladesh. It provides a comprehensive analysis of the interactions between nutritious food production, technology adoption, and household dietary patterns. By examining how improved seeds, fertilizers, and advisory services influence farming practices, the study highlights critical pathways that shape nutritional outcomes. The findings offer new insights into the connections between agricultural input markets, farming households, and consumer choices within the broader context of food security and nutrition in Bangladesh.</w:t>
      </w:r>
    </w:p>
    <w:p w14:paraId="347008FB" w14:textId="77777777" w:rsidR="006E4A68" w:rsidRPr="0057092E" w:rsidRDefault="006E4A68" w:rsidP="002B4B6D">
      <w:pPr>
        <w:spacing w:after="0"/>
        <w:rPr>
          <w:rFonts w:asciiTheme="minorHAnsi" w:hAnsiTheme="minorHAnsi" w:cstheme="minorHAnsi"/>
          <w:b/>
          <w:bCs/>
          <w:color w:val="auto"/>
          <w:szCs w:val="22"/>
        </w:rPr>
      </w:pPr>
    </w:p>
    <w:p w14:paraId="308DB6E4" w14:textId="1729AA1E" w:rsidR="006E4A68" w:rsidRPr="0057092E" w:rsidRDefault="006E4A68" w:rsidP="002B4B6D">
      <w:pPr>
        <w:spacing w:after="0"/>
        <w:rPr>
          <w:rFonts w:asciiTheme="minorHAnsi" w:hAnsiTheme="minorHAnsi" w:cstheme="minorHAnsi"/>
          <w:b/>
          <w:bCs/>
          <w:color w:val="auto"/>
          <w:szCs w:val="22"/>
        </w:rPr>
      </w:pPr>
      <w:r w:rsidRPr="0057092E">
        <w:rPr>
          <w:rFonts w:asciiTheme="minorHAnsi" w:hAnsiTheme="minorHAnsi" w:cstheme="minorHAnsi"/>
          <w:b/>
          <w:bCs/>
          <w:color w:val="auto"/>
          <w:szCs w:val="22"/>
        </w:rPr>
        <w:t>Conceptual Framework of the Nutrition-Sensitive Agriculture in Southern Bangladesh</w:t>
      </w:r>
    </w:p>
    <w:p w14:paraId="7A363CAD" w14:textId="3BA3D44D" w:rsidR="006E4A68" w:rsidRPr="0057092E" w:rsidRDefault="006E4A68"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The Nutrition-Sensitive Agriculture (NSA) framework for Southern Bangladesh is designed to enhance food security and improve nutritional outcomes by integrating agriculture, health, and nutrition </w:t>
      </w:r>
      <w:r w:rsidRPr="0057092E">
        <w:rPr>
          <w:rFonts w:asciiTheme="minorHAnsi" w:hAnsiTheme="minorHAnsi" w:cstheme="minorHAnsi"/>
          <w:color w:val="auto"/>
          <w:szCs w:val="22"/>
        </w:rPr>
        <w:lastRenderedPageBreak/>
        <w:t xml:space="preserve">interventions in a context-specific and sustainable manner. Core inputs include strong policy and governance through bodies like the Bangladesh National Nutrition Council, mobilization of financial and technical resources, engagement of the private sector, and strengthening knowledge and capacity among farmers and extension workers. Key activities focus on promoting diverse and nutrient-rich crop production, improving post-harvest handling to reduce losses, strengthening value chains to ensure availability and accessibility of nutritious foods, incentivizing private sector investment, and empowering women to participate in decision-making and resource access. These efforts aim to increase the availability of diverse foods, improve dietary intake, and ultimately enhance nutrition status, particularly for women and children. Successful implementation requires a multi-sectoral approach, sustainability, context-specific solutions considering challenges like salinity and flood-prone areas, and active private sector engagement </w:t>
      </w:r>
      <w:r w:rsidRPr="00C87C34">
        <w:rPr>
          <w:rFonts w:asciiTheme="minorHAnsi" w:hAnsiTheme="minorHAnsi" w:cstheme="minorHAnsi"/>
          <w:color w:val="auto"/>
          <w:szCs w:val="22"/>
        </w:rPr>
        <w:t>(Sharma et al., 2021; Margolies et al., 2022).</w:t>
      </w:r>
    </w:p>
    <w:p w14:paraId="3ED009D6" w14:textId="77777777" w:rsidR="00EB2196" w:rsidRPr="0057092E" w:rsidRDefault="001962E7" w:rsidP="002B4B6D">
      <w:pPr>
        <w:keepNext/>
        <w:spacing w:after="0"/>
        <w:rPr>
          <w:color w:val="auto"/>
        </w:rPr>
      </w:pPr>
      <w:r w:rsidRPr="0057092E">
        <w:rPr>
          <w:color w:val="auto"/>
        </w:rPr>
        <w:drawing>
          <wp:inline distT="0" distB="0" distL="0" distR="0" wp14:anchorId="6E4F4356" wp14:editId="6AD10405">
            <wp:extent cx="5731510" cy="3230880"/>
            <wp:effectExtent l="0" t="0" r="2540" b="7620"/>
            <wp:docPr id="1656182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30880"/>
                    </a:xfrm>
                    <a:prstGeom prst="rect">
                      <a:avLst/>
                    </a:prstGeom>
                    <a:noFill/>
                    <a:ln>
                      <a:noFill/>
                    </a:ln>
                  </pic:spPr>
                </pic:pic>
              </a:graphicData>
            </a:graphic>
          </wp:inline>
        </w:drawing>
      </w:r>
    </w:p>
    <w:p w14:paraId="2ABC2B04" w14:textId="48DC5693" w:rsidR="00B65646" w:rsidRPr="0057092E" w:rsidRDefault="00EB2196" w:rsidP="002B4B6D">
      <w:pPr>
        <w:pStyle w:val="Caption"/>
        <w:spacing w:after="0"/>
        <w:rPr>
          <w:rFonts w:asciiTheme="minorHAnsi" w:hAnsiTheme="minorHAnsi" w:cstheme="minorHAnsi"/>
          <w:szCs w:val="22"/>
        </w:rPr>
      </w:pPr>
      <w:r w:rsidRPr="0057092E">
        <w:rPr>
          <w:rFonts w:asciiTheme="minorHAnsi" w:hAnsiTheme="minorHAnsi" w:cstheme="minorHAnsi"/>
        </w:rPr>
        <w:t xml:space="preserve">Figure </w:t>
      </w:r>
      <w:r w:rsidRPr="0057092E">
        <w:rPr>
          <w:rFonts w:asciiTheme="minorHAnsi" w:hAnsiTheme="minorHAnsi" w:cstheme="minorHAnsi"/>
        </w:rPr>
        <w:fldChar w:fldCharType="begin"/>
      </w:r>
      <w:r w:rsidRPr="0057092E">
        <w:rPr>
          <w:rFonts w:asciiTheme="minorHAnsi" w:hAnsiTheme="minorHAnsi" w:cstheme="minorHAnsi"/>
        </w:rPr>
        <w:instrText xml:space="preserve"> SEQ Figure \* ARABIC </w:instrText>
      </w:r>
      <w:r w:rsidRPr="0057092E">
        <w:rPr>
          <w:rFonts w:asciiTheme="minorHAnsi" w:hAnsiTheme="minorHAnsi" w:cstheme="minorHAnsi"/>
        </w:rPr>
        <w:fldChar w:fldCharType="separate"/>
      </w:r>
      <w:r w:rsidR="00B241E5" w:rsidRPr="0057092E">
        <w:rPr>
          <w:rFonts w:asciiTheme="minorHAnsi" w:hAnsiTheme="minorHAnsi" w:cstheme="minorHAnsi"/>
        </w:rPr>
        <w:t>1</w:t>
      </w:r>
      <w:r w:rsidRPr="0057092E">
        <w:rPr>
          <w:rFonts w:asciiTheme="minorHAnsi" w:hAnsiTheme="minorHAnsi" w:cstheme="minorHAnsi"/>
        </w:rPr>
        <w:fldChar w:fldCharType="end"/>
      </w:r>
      <w:r w:rsidRPr="0057092E">
        <w:rPr>
          <w:rFonts w:asciiTheme="minorHAnsi" w:hAnsiTheme="minorHAnsi" w:cstheme="minorHAnsi"/>
        </w:rPr>
        <w:t>: Conceptual Framework of the Nutrition-Sensitive Agriculture in Southern Bangladesh</w:t>
      </w:r>
    </w:p>
    <w:p w14:paraId="71E52B75" w14:textId="77777777" w:rsidR="002B4B6D" w:rsidRDefault="002B4B6D" w:rsidP="002B4B6D">
      <w:pPr>
        <w:spacing w:after="0"/>
        <w:rPr>
          <w:rFonts w:asciiTheme="minorHAnsi" w:eastAsia="Times New Roman" w:hAnsiTheme="minorHAnsi" w:cstheme="minorHAnsi"/>
          <w:b/>
          <w:bCs/>
          <w:color w:val="auto"/>
          <w:szCs w:val="22"/>
          <w:lang w:eastAsia="en-GB" w:bidi="bn-BD"/>
        </w:rPr>
      </w:pPr>
    </w:p>
    <w:p w14:paraId="742C6DFB" w14:textId="1F895095" w:rsidR="007F3EC9" w:rsidRPr="0057092E" w:rsidRDefault="007F3EC9" w:rsidP="002B4B6D">
      <w:pPr>
        <w:spacing w:after="0"/>
        <w:rPr>
          <w:rFonts w:asciiTheme="minorHAnsi" w:eastAsia="Times New Roman" w:hAnsiTheme="minorHAnsi" w:cstheme="minorHAnsi"/>
          <w:b/>
          <w:bCs/>
          <w:color w:val="auto"/>
          <w:szCs w:val="22"/>
          <w:lang w:eastAsia="en-GB" w:bidi="bn-BD"/>
        </w:rPr>
      </w:pPr>
      <w:r w:rsidRPr="0057092E">
        <w:rPr>
          <w:rFonts w:asciiTheme="minorHAnsi" w:eastAsia="Times New Roman" w:hAnsiTheme="minorHAnsi" w:cstheme="minorHAnsi"/>
          <w:b/>
          <w:bCs/>
          <w:color w:val="auto"/>
          <w:szCs w:val="22"/>
          <w:lang w:eastAsia="en-GB" w:bidi="bn-BD"/>
        </w:rPr>
        <w:t>Conceptual pathways of nutritious food production and nutritional outcome</w:t>
      </w:r>
    </w:p>
    <w:p w14:paraId="634A5A84" w14:textId="112749A9" w:rsidR="00DF000A" w:rsidRPr="0057092E" w:rsidRDefault="00DF000A"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This conceptual framework illustrates the pathway from company-supported agricultural interventions to improved dietary outcomes through enhanced farming practices and production diversity. Companies provide essential inputs, including high-quality seeds, fertilizers, technical training, and access to credit, which enable farmers to adopt improved and sustainable agricultural methods. With these resources, farmers implement diversified cropping systems, integrate livestock or aquaculture where applicable, and practice efficient resource management, contributing to increased production diversity. A diverse production system ensures the availability of a wide range of nutrient-rich foods, which can be consumed by households or sold to improve income, ultimately enhancing access to nutritious diets. The framework highlights the sequential and interlinked nature of agricultural development and nutrition outcomes, emphasizing that technical support alone is insufficient without the adoption of appropriate practices by farmers. Recent studies have shown that nutrition-sensitive agricultural interventions positively impact dietary diversity. For instance, a </w:t>
      </w:r>
      <w:r w:rsidR="00C763FB">
        <w:rPr>
          <w:rFonts w:asciiTheme="minorHAnsi" w:hAnsiTheme="minorHAnsi" w:cstheme="minorHAnsi"/>
          <w:color w:val="auto"/>
          <w:szCs w:val="22"/>
        </w:rPr>
        <w:t>survey</w:t>
      </w:r>
      <w:r w:rsidRPr="0057092E">
        <w:rPr>
          <w:rFonts w:asciiTheme="minorHAnsi" w:hAnsiTheme="minorHAnsi" w:cstheme="minorHAnsi"/>
          <w:color w:val="auto"/>
          <w:szCs w:val="22"/>
        </w:rPr>
        <w:t xml:space="preserve"> by Alam et al. (2023) found that agricultural training, including agricultural training combined with nutrition education, increased the number of different crops grown in homestead gardens and improved household diet diversity in Bangladesh. </w:t>
      </w:r>
    </w:p>
    <w:p w14:paraId="2B563A92" w14:textId="77777777" w:rsidR="00DF000A" w:rsidRPr="0057092E" w:rsidRDefault="00DF000A" w:rsidP="002B4B6D">
      <w:pPr>
        <w:spacing w:after="0"/>
        <w:rPr>
          <w:rFonts w:asciiTheme="minorHAnsi" w:eastAsia="Times New Roman" w:hAnsiTheme="minorHAnsi" w:cstheme="minorHAnsi"/>
          <w:color w:val="auto"/>
          <w:szCs w:val="22"/>
          <w:lang w:eastAsia="en-GB" w:bidi="bn-BD"/>
        </w:rPr>
      </w:pPr>
    </w:p>
    <w:p w14:paraId="1FB5FBED" w14:textId="77777777" w:rsidR="00DF000A" w:rsidRPr="0057092E" w:rsidRDefault="002664F7" w:rsidP="002B4B6D">
      <w:pPr>
        <w:keepNext/>
        <w:spacing w:after="0"/>
        <w:rPr>
          <w:color w:val="auto"/>
        </w:rPr>
      </w:pPr>
      <w:r w:rsidRPr="0057092E">
        <w:rPr>
          <w:color w:val="auto"/>
        </w:rPr>
        <w:lastRenderedPageBreak/>
        <w:drawing>
          <wp:inline distT="0" distB="0" distL="0" distR="0" wp14:anchorId="429BA2AD" wp14:editId="2D9629E9">
            <wp:extent cx="5731510" cy="2422525"/>
            <wp:effectExtent l="0" t="0" r="2540" b="0"/>
            <wp:docPr id="898859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422525"/>
                    </a:xfrm>
                    <a:prstGeom prst="rect">
                      <a:avLst/>
                    </a:prstGeom>
                    <a:noFill/>
                    <a:ln>
                      <a:noFill/>
                    </a:ln>
                  </pic:spPr>
                </pic:pic>
              </a:graphicData>
            </a:graphic>
          </wp:inline>
        </w:drawing>
      </w:r>
    </w:p>
    <w:p w14:paraId="78E900CF" w14:textId="2897667E" w:rsidR="00811ACE" w:rsidRPr="00811ACE" w:rsidRDefault="00DF000A" w:rsidP="002B4B6D">
      <w:pPr>
        <w:pStyle w:val="Caption"/>
        <w:spacing w:after="0"/>
        <w:rPr>
          <w:rFonts w:asciiTheme="minorHAnsi" w:eastAsia="Times New Roman" w:hAnsiTheme="minorHAnsi" w:cstheme="minorHAnsi"/>
          <w:szCs w:val="22"/>
          <w:lang w:eastAsia="en-GB" w:bidi="bn-BD"/>
        </w:rPr>
      </w:pPr>
      <w:r w:rsidRPr="0057092E">
        <w:rPr>
          <w:rFonts w:asciiTheme="minorHAnsi" w:hAnsiTheme="minorHAnsi" w:cstheme="minorHAnsi"/>
        </w:rPr>
        <w:t xml:space="preserve">Figure </w:t>
      </w:r>
      <w:r w:rsidRPr="0057092E">
        <w:rPr>
          <w:rFonts w:asciiTheme="minorHAnsi" w:hAnsiTheme="minorHAnsi" w:cstheme="minorHAnsi"/>
        </w:rPr>
        <w:fldChar w:fldCharType="begin"/>
      </w:r>
      <w:r w:rsidRPr="0057092E">
        <w:rPr>
          <w:rFonts w:asciiTheme="minorHAnsi" w:hAnsiTheme="minorHAnsi" w:cstheme="minorHAnsi"/>
        </w:rPr>
        <w:instrText xml:space="preserve"> SEQ Figure \* ARABIC </w:instrText>
      </w:r>
      <w:r w:rsidRPr="0057092E">
        <w:rPr>
          <w:rFonts w:asciiTheme="minorHAnsi" w:hAnsiTheme="minorHAnsi" w:cstheme="minorHAnsi"/>
        </w:rPr>
        <w:fldChar w:fldCharType="separate"/>
      </w:r>
      <w:r w:rsidR="00B241E5" w:rsidRPr="0057092E">
        <w:rPr>
          <w:rFonts w:asciiTheme="minorHAnsi" w:hAnsiTheme="minorHAnsi" w:cstheme="minorHAnsi"/>
        </w:rPr>
        <w:t>2</w:t>
      </w:r>
      <w:r w:rsidRPr="0057092E">
        <w:rPr>
          <w:rFonts w:asciiTheme="minorHAnsi" w:hAnsiTheme="minorHAnsi" w:cstheme="minorHAnsi"/>
        </w:rPr>
        <w:fldChar w:fldCharType="end"/>
      </w:r>
      <w:r w:rsidRPr="0057092E">
        <w:rPr>
          <w:rFonts w:asciiTheme="minorHAnsi" w:hAnsiTheme="minorHAnsi" w:cstheme="minorHAnsi"/>
        </w:rPr>
        <w:t>: Conceptual pathways of nutritious food production and nutritional outcome</w:t>
      </w:r>
    </w:p>
    <w:p w14:paraId="4DB661CD" w14:textId="77777777" w:rsidR="00987DC9" w:rsidRDefault="00987DC9" w:rsidP="002B4B6D">
      <w:pPr>
        <w:pStyle w:val="Heading1"/>
        <w:spacing w:before="0"/>
        <w:rPr>
          <w:rFonts w:asciiTheme="minorHAnsi" w:eastAsia="Gill Sans" w:hAnsiTheme="minorHAnsi" w:cstheme="minorHAnsi"/>
          <w:b/>
          <w:bCs/>
          <w:color w:val="auto"/>
          <w:sz w:val="22"/>
          <w:szCs w:val="22"/>
        </w:rPr>
      </w:pPr>
    </w:p>
    <w:p w14:paraId="44E647CA" w14:textId="3ACFB743" w:rsidR="00EA0B8A" w:rsidRPr="0057092E" w:rsidRDefault="00EA0B8A" w:rsidP="002B4B6D">
      <w:pPr>
        <w:pStyle w:val="Heading1"/>
        <w:numPr>
          <w:ilvl w:val="0"/>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MATERIALS AND METHODS</w:t>
      </w:r>
    </w:p>
    <w:p w14:paraId="08E713ED" w14:textId="1711D760" w:rsidR="008F1FF0" w:rsidRPr="0057092E" w:rsidRDefault="008F1FF0" w:rsidP="002B4B6D">
      <w:pPr>
        <w:pStyle w:val="Heading1"/>
        <w:numPr>
          <w:ilvl w:val="1"/>
          <w:numId w:val="2"/>
        </w:numPr>
        <w:spacing w:before="0"/>
        <w:rPr>
          <w:rFonts w:asciiTheme="minorHAnsi" w:eastAsia="Gill Sans" w:hAnsiTheme="minorHAnsi" w:cstheme="minorHAnsi"/>
          <w:b/>
          <w:bCs/>
          <w:color w:val="auto"/>
          <w:sz w:val="22"/>
          <w:szCs w:val="22"/>
        </w:rPr>
      </w:pPr>
      <w:bookmarkStart w:id="2" w:name="_Toc91661325"/>
      <w:bookmarkEnd w:id="1"/>
      <w:r w:rsidRPr="0057092E">
        <w:rPr>
          <w:rFonts w:asciiTheme="minorHAnsi" w:eastAsia="Gill Sans" w:hAnsiTheme="minorHAnsi" w:cstheme="minorHAnsi"/>
          <w:b/>
          <w:bCs/>
          <w:color w:val="auto"/>
          <w:sz w:val="22"/>
          <w:szCs w:val="22"/>
        </w:rPr>
        <w:t>Methodologies:</w:t>
      </w:r>
      <w:bookmarkEnd w:id="2"/>
    </w:p>
    <w:p w14:paraId="78250B80" w14:textId="5200471C" w:rsidR="00F615B9" w:rsidRPr="0057092E" w:rsidRDefault="00F615B9" w:rsidP="002B4B6D">
      <w:pPr>
        <w:spacing w:after="0"/>
        <w:rPr>
          <w:rFonts w:asciiTheme="minorHAnsi" w:hAnsiTheme="minorHAnsi" w:cstheme="minorHAnsi"/>
          <w:color w:val="auto"/>
          <w:szCs w:val="22"/>
        </w:rPr>
      </w:pPr>
      <w:bookmarkStart w:id="3" w:name="_Toc91661328"/>
      <w:r w:rsidRPr="0057092E">
        <w:rPr>
          <w:rFonts w:asciiTheme="minorHAnsi" w:hAnsiTheme="minorHAnsi" w:cstheme="minorHAnsi"/>
          <w:color w:val="auto"/>
          <w:szCs w:val="22"/>
        </w:rPr>
        <w:t xml:space="preserve">This study employed a mixed-methods approach, combining household surveys and key informant interviews (KIIs) to assess the role of </w:t>
      </w:r>
      <w:r w:rsidR="009D3E4E" w:rsidRPr="0057092E">
        <w:rPr>
          <w:rFonts w:asciiTheme="minorHAnsi" w:hAnsiTheme="minorHAnsi" w:cstheme="minorHAnsi"/>
          <w:color w:val="auto"/>
          <w:szCs w:val="22"/>
        </w:rPr>
        <w:t xml:space="preserve">private sector </w:t>
      </w:r>
      <w:r w:rsidRPr="0057092E">
        <w:rPr>
          <w:rFonts w:asciiTheme="minorHAnsi" w:hAnsiTheme="minorHAnsi" w:cstheme="minorHAnsi"/>
          <w:color w:val="auto"/>
          <w:szCs w:val="22"/>
        </w:rPr>
        <w:t xml:space="preserve">agro-input companies in enhancing nutritious and diverse food production and consumption in southern Bangladesh. A simple random sampling technique was used to select respondents, and the sample was proportionately distributed across the study districts to ensure representativeness. KIIs captured in-depth perspectives on agro-input company activities, farmer engagement, and supply chain dynamics. Additionally, secondary data from previous research publications were analyzed to measure </w:t>
      </w:r>
      <w:r w:rsidR="008B03BE" w:rsidRPr="0057092E">
        <w:rPr>
          <w:rFonts w:asciiTheme="minorHAnsi" w:hAnsiTheme="minorHAnsi" w:cstheme="minorHAnsi"/>
          <w:color w:val="auto"/>
          <w:szCs w:val="22"/>
        </w:rPr>
        <w:t>private sector</w:t>
      </w:r>
      <w:r w:rsidRPr="0057092E">
        <w:rPr>
          <w:rFonts w:asciiTheme="minorHAnsi" w:hAnsiTheme="minorHAnsi" w:cstheme="minorHAnsi"/>
          <w:color w:val="auto"/>
          <w:szCs w:val="22"/>
        </w:rPr>
        <w:t xml:space="preserve"> contributions and complement the results of both quantitative and qualitative surveys. Study findings were presented using statistical generalization methods, including percentages, graphs, and tables. Primary quantitative data were collected from two sub-districts in each district, while qualitative data were </w:t>
      </w:r>
      <w:r w:rsidR="00874F97" w:rsidRPr="0057092E">
        <w:rPr>
          <w:rFonts w:asciiTheme="minorHAnsi" w:hAnsiTheme="minorHAnsi" w:cstheme="minorHAnsi"/>
          <w:color w:val="auto"/>
          <w:szCs w:val="22"/>
        </w:rPr>
        <w:t>collected</w:t>
      </w:r>
      <w:r w:rsidRPr="0057092E">
        <w:rPr>
          <w:rFonts w:asciiTheme="minorHAnsi" w:hAnsiTheme="minorHAnsi" w:cstheme="minorHAnsi"/>
          <w:color w:val="auto"/>
          <w:szCs w:val="22"/>
        </w:rPr>
        <w:t xml:space="preserve"> by </w:t>
      </w:r>
      <w:r w:rsidR="005C39FF" w:rsidRPr="0057092E">
        <w:rPr>
          <w:rFonts w:asciiTheme="minorHAnsi" w:hAnsiTheme="minorHAnsi" w:cstheme="minorHAnsi"/>
          <w:color w:val="auto"/>
          <w:szCs w:val="22"/>
        </w:rPr>
        <w:t xml:space="preserve">the </w:t>
      </w:r>
      <w:r w:rsidRPr="0057092E">
        <w:rPr>
          <w:rFonts w:asciiTheme="minorHAnsi" w:hAnsiTheme="minorHAnsi" w:cstheme="minorHAnsi"/>
          <w:color w:val="auto"/>
          <w:szCs w:val="22"/>
        </w:rPr>
        <w:t xml:space="preserve">local </w:t>
      </w:r>
      <w:r w:rsidR="005C39FF" w:rsidRPr="0057092E">
        <w:rPr>
          <w:rFonts w:asciiTheme="minorHAnsi" w:hAnsiTheme="minorHAnsi" w:cstheme="minorHAnsi"/>
          <w:color w:val="auto"/>
          <w:szCs w:val="22"/>
        </w:rPr>
        <w:t>enumerators</w:t>
      </w:r>
      <w:r w:rsidR="00CD7AA1" w:rsidRPr="0057092E">
        <w:rPr>
          <w:rFonts w:asciiTheme="minorHAnsi" w:hAnsiTheme="minorHAnsi" w:cstheme="minorHAnsi"/>
          <w:color w:val="auto"/>
          <w:szCs w:val="22"/>
        </w:rPr>
        <w:t>,</w:t>
      </w:r>
      <w:r w:rsidR="00874F97" w:rsidRPr="0057092E">
        <w:rPr>
          <w:rFonts w:asciiTheme="minorHAnsi" w:hAnsiTheme="minorHAnsi" w:cstheme="minorHAnsi"/>
          <w:color w:val="auto"/>
          <w:szCs w:val="22"/>
        </w:rPr>
        <w:t xml:space="preserve"> and s</w:t>
      </w:r>
      <w:r w:rsidRPr="0057092E">
        <w:rPr>
          <w:rFonts w:asciiTheme="minorHAnsi" w:hAnsiTheme="minorHAnsi" w:cstheme="minorHAnsi"/>
          <w:color w:val="auto"/>
          <w:szCs w:val="22"/>
        </w:rPr>
        <w:t>econdary data were sourced from research articles</w:t>
      </w:r>
      <w:r w:rsidR="008B03BE" w:rsidRPr="0057092E">
        <w:rPr>
          <w:rFonts w:asciiTheme="minorHAnsi" w:hAnsiTheme="minorHAnsi" w:cstheme="minorHAnsi"/>
          <w:color w:val="auto"/>
          <w:szCs w:val="22"/>
        </w:rPr>
        <w:t xml:space="preserve"> and </w:t>
      </w:r>
      <w:r w:rsidRPr="0057092E">
        <w:rPr>
          <w:rFonts w:asciiTheme="minorHAnsi" w:hAnsiTheme="minorHAnsi" w:cstheme="minorHAnsi"/>
          <w:color w:val="auto"/>
          <w:szCs w:val="22"/>
        </w:rPr>
        <w:t>government reports.</w:t>
      </w:r>
    </w:p>
    <w:p w14:paraId="5F88C8FD" w14:textId="77777777" w:rsidR="001303CC" w:rsidRPr="0057092E" w:rsidRDefault="001303CC" w:rsidP="002B4B6D">
      <w:pPr>
        <w:pStyle w:val="Heading1"/>
        <w:spacing w:before="0"/>
        <w:rPr>
          <w:rFonts w:asciiTheme="minorHAnsi" w:eastAsia="Gill Sans" w:hAnsiTheme="minorHAnsi" w:cstheme="minorHAnsi"/>
          <w:bCs/>
          <w:color w:val="auto"/>
          <w:sz w:val="22"/>
          <w:szCs w:val="22"/>
        </w:rPr>
      </w:pPr>
    </w:p>
    <w:p w14:paraId="7BEA2BBF" w14:textId="167D7B2D" w:rsidR="001303CC" w:rsidRPr="0057092E" w:rsidRDefault="001303CC" w:rsidP="002B4B6D">
      <w:pPr>
        <w:pStyle w:val="ListParagraph"/>
        <w:numPr>
          <w:ilvl w:val="1"/>
          <w:numId w:val="2"/>
        </w:numPr>
        <w:spacing w:after="0"/>
        <w:rPr>
          <w:rFonts w:asciiTheme="minorHAnsi" w:eastAsia="Gill Sans" w:hAnsiTheme="minorHAnsi" w:cstheme="minorHAnsi"/>
          <w:b/>
          <w:bCs/>
          <w:color w:val="auto"/>
          <w:szCs w:val="22"/>
        </w:rPr>
      </w:pPr>
      <w:r w:rsidRPr="0057092E">
        <w:rPr>
          <w:rFonts w:asciiTheme="minorHAnsi" w:eastAsia="Gill Sans" w:hAnsiTheme="minorHAnsi" w:cstheme="minorHAnsi"/>
          <w:b/>
          <w:bCs/>
          <w:color w:val="auto"/>
          <w:szCs w:val="22"/>
        </w:rPr>
        <w:t>Sampling</w:t>
      </w:r>
    </w:p>
    <w:p w14:paraId="1046D6CB" w14:textId="3C5684B6" w:rsidR="006F0499" w:rsidRPr="0057092E" w:rsidRDefault="001303CC" w:rsidP="002B4B6D">
      <w:pPr>
        <w:pStyle w:val="Heading1"/>
        <w:spacing w:before="0"/>
        <w:rPr>
          <w:rFonts w:asciiTheme="minorHAnsi" w:eastAsia="Times New Roman" w:hAnsiTheme="minorHAnsi" w:cstheme="minorHAnsi"/>
          <w:noProof w:val="0"/>
          <w:color w:val="auto"/>
          <w:sz w:val="22"/>
          <w:szCs w:val="22"/>
        </w:rPr>
      </w:pPr>
      <w:r w:rsidRPr="0057092E">
        <w:rPr>
          <w:rFonts w:asciiTheme="minorHAnsi" w:hAnsiTheme="minorHAnsi" w:cstheme="minorHAnsi"/>
          <w:color w:val="auto"/>
          <w:sz w:val="22"/>
          <w:szCs w:val="22"/>
        </w:rPr>
        <w:t xml:space="preserve">The study employed a proportional stratified random sampling technique to select households from Khulna and Faridpur districts. The sample size was determined at a 95% confidence level with a 5% margin of error to ensure representativeness. </w:t>
      </w:r>
      <w:r w:rsidR="006F0499" w:rsidRPr="0057092E">
        <w:rPr>
          <w:rFonts w:asciiTheme="minorHAnsi" w:eastAsia="Times New Roman" w:hAnsiTheme="minorHAnsi" w:cstheme="minorHAnsi"/>
          <w:noProof w:val="0"/>
          <w:color w:val="auto"/>
          <w:sz w:val="22"/>
          <w:szCs w:val="22"/>
        </w:rPr>
        <w:t xml:space="preserve">The study </w:t>
      </w:r>
      <w:r w:rsidR="003E2721" w:rsidRPr="0057092E">
        <w:rPr>
          <w:rFonts w:asciiTheme="minorHAnsi" w:eastAsia="Times New Roman" w:hAnsiTheme="minorHAnsi" w:cstheme="minorHAnsi"/>
          <w:noProof w:val="0"/>
          <w:color w:val="auto"/>
          <w:sz w:val="22"/>
          <w:szCs w:val="22"/>
        </w:rPr>
        <w:t xml:space="preserve">considered </w:t>
      </w:r>
      <w:r w:rsidR="006F0499" w:rsidRPr="0057092E">
        <w:rPr>
          <w:rFonts w:asciiTheme="minorHAnsi" w:eastAsia="Times New Roman" w:hAnsiTheme="minorHAnsi" w:cstheme="minorHAnsi"/>
          <w:noProof w:val="0"/>
          <w:color w:val="auto"/>
          <w:sz w:val="22"/>
          <w:szCs w:val="22"/>
        </w:rPr>
        <w:t>the Cochran (1977) formula, which provides a statistically sound approach for estimating the required sample size, ensuring reliable and valid results.</w:t>
      </w:r>
    </w:p>
    <w:p w14:paraId="08AAEFA8" w14:textId="77777777" w:rsidR="006F0499" w:rsidRPr="0057092E" w:rsidRDefault="006F0499" w:rsidP="002B4B6D">
      <w:pPr>
        <w:spacing w:after="0"/>
        <w:rPr>
          <w:rFonts w:asciiTheme="minorHAnsi" w:eastAsia="Times New Roman" w:hAnsiTheme="minorHAnsi" w:cstheme="minorHAnsi"/>
          <w:noProof w:val="0"/>
          <w:color w:val="auto"/>
          <w:szCs w:val="22"/>
        </w:rPr>
      </w:pPr>
    </w:p>
    <w:p w14:paraId="20B8C591" w14:textId="77777777" w:rsidR="006F0499" w:rsidRPr="0057092E" w:rsidRDefault="006F0499" w:rsidP="002B4B6D">
      <w:pPr>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ab/>
      </w:r>
      <m:oMath>
        <m:r>
          <w:rPr>
            <w:rFonts w:ascii="Cambria Math" w:hAnsi="Cambria Math" w:cstheme="minorHAnsi"/>
            <w:color w:val="auto"/>
            <w:szCs w:val="22"/>
          </w:rPr>
          <m:t>n=</m:t>
        </m:r>
        <m:f>
          <m:fPr>
            <m:ctrlPr>
              <w:rPr>
                <w:rFonts w:ascii="Cambria Math" w:hAnsi="Cambria Math" w:cstheme="minorHAnsi"/>
                <w:color w:val="auto"/>
                <w:szCs w:val="22"/>
              </w:rPr>
            </m:ctrlPr>
          </m:fPr>
          <m:num>
            <m:sSup>
              <m:sSupPr>
                <m:ctrlPr>
                  <w:rPr>
                    <w:rFonts w:ascii="Cambria Math" w:hAnsi="Cambria Math" w:cstheme="minorHAnsi"/>
                    <w:color w:val="auto"/>
                    <w:szCs w:val="22"/>
                  </w:rPr>
                </m:ctrlPr>
              </m:sSupPr>
              <m:e>
                <m:r>
                  <w:rPr>
                    <w:rFonts w:ascii="Cambria Math" w:hAnsi="Cambria Math" w:cstheme="minorHAnsi"/>
                    <w:color w:val="auto"/>
                    <w:szCs w:val="22"/>
                  </w:rPr>
                  <m:t>Z</m:t>
                </m:r>
              </m:e>
              <m:sup>
                <m:r>
                  <w:rPr>
                    <w:rFonts w:ascii="Cambria Math" w:hAnsi="Cambria Math" w:cstheme="minorHAnsi"/>
                    <w:color w:val="auto"/>
                    <w:szCs w:val="22"/>
                  </w:rPr>
                  <m:t>2</m:t>
                </m:r>
              </m:sup>
            </m:sSup>
            <m:r>
              <w:rPr>
                <w:rFonts w:ascii="Cambria Math" w:hAnsi="Cambria Math" w:cstheme="minorHAnsi"/>
                <w:color w:val="auto"/>
                <w:szCs w:val="22"/>
              </w:rPr>
              <m:t>×p×(1-p)</m:t>
            </m:r>
          </m:num>
          <m:den>
            <m:sSup>
              <m:sSupPr>
                <m:ctrlPr>
                  <w:rPr>
                    <w:rFonts w:ascii="Cambria Math" w:hAnsi="Cambria Math" w:cstheme="minorHAnsi"/>
                    <w:color w:val="auto"/>
                    <w:szCs w:val="22"/>
                  </w:rPr>
                </m:ctrlPr>
              </m:sSupPr>
              <m:e>
                <m:r>
                  <w:rPr>
                    <w:rFonts w:ascii="Cambria Math" w:hAnsi="Cambria Math" w:cstheme="minorHAnsi"/>
                    <w:color w:val="auto"/>
                    <w:szCs w:val="22"/>
                  </w:rPr>
                  <m:t>e</m:t>
                </m:r>
              </m:e>
              <m:sup>
                <m:r>
                  <w:rPr>
                    <w:rFonts w:ascii="Cambria Math" w:hAnsi="Cambria Math" w:cstheme="minorHAnsi"/>
                    <w:color w:val="auto"/>
                    <w:szCs w:val="22"/>
                  </w:rPr>
                  <m:t>2</m:t>
                </m:r>
              </m:sup>
            </m:sSup>
          </m:den>
        </m:f>
      </m:oMath>
      <w:r w:rsidRPr="0057092E">
        <w:rPr>
          <w:rFonts w:asciiTheme="minorHAnsi" w:hAnsiTheme="minorHAnsi" w:cstheme="minorHAnsi"/>
          <w:color w:val="auto"/>
          <w:szCs w:val="22"/>
        </w:rPr>
        <w:br/>
        <w:t>Where:</w:t>
      </w:r>
    </w:p>
    <w:p w14:paraId="6B8014BB" w14:textId="77777777" w:rsidR="006F0499" w:rsidRPr="0057092E" w:rsidRDefault="006F0499" w:rsidP="002B4B6D">
      <w:pPr>
        <w:numPr>
          <w:ilvl w:val="0"/>
          <w:numId w:val="5"/>
        </w:numPr>
        <w:spacing w:after="0"/>
        <w:rPr>
          <w:rFonts w:asciiTheme="minorHAnsi" w:hAnsiTheme="minorHAnsi" w:cstheme="minorHAnsi"/>
          <w:color w:val="auto"/>
          <w:szCs w:val="22"/>
        </w:rPr>
      </w:pPr>
      <w:r w:rsidRPr="0057092E">
        <w:rPr>
          <w:rFonts w:asciiTheme="minorHAnsi" w:hAnsiTheme="minorHAnsi" w:cstheme="minorHAnsi"/>
          <w:color w:val="auto"/>
          <w:szCs w:val="22"/>
        </w:rPr>
        <w:t>n = required sample size</w:t>
      </w:r>
    </w:p>
    <w:p w14:paraId="2BA82798" w14:textId="77777777" w:rsidR="006F0499" w:rsidRPr="0057092E" w:rsidRDefault="006F0499" w:rsidP="002B4B6D">
      <w:pPr>
        <w:numPr>
          <w:ilvl w:val="0"/>
          <w:numId w:val="5"/>
        </w:numPr>
        <w:spacing w:after="0"/>
        <w:rPr>
          <w:rFonts w:asciiTheme="minorHAnsi" w:hAnsiTheme="minorHAnsi" w:cstheme="minorHAnsi"/>
          <w:color w:val="auto"/>
          <w:szCs w:val="22"/>
        </w:rPr>
      </w:pPr>
      <w:r w:rsidRPr="0057092E">
        <w:rPr>
          <w:rFonts w:asciiTheme="minorHAnsi" w:hAnsiTheme="minorHAnsi" w:cstheme="minorHAnsi"/>
          <w:color w:val="auto"/>
          <w:szCs w:val="22"/>
        </w:rPr>
        <w:t>Z = Z-score corresponding to the desired confidence level (1.96 for 95% confidence)</w:t>
      </w:r>
    </w:p>
    <w:p w14:paraId="6D03CE27" w14:textId="77777777" w:rsidR="006F0499" w:rsidRPr="0057092E" w:rsidRDefault="006F0499" w:rsidP="002B4B6D">
      <w:pPr>
        <w:numPr>
          <w:ilvl w:val="0"/>
          <w:numId w:val="5"/>
        </w:numPr>
        <w:spacing w:after="0"/>
        <w:rPr>
          <w:rFonts w:asciiTheme="minorHAnsi" w:hAnsiTheme="minorHAnsi" w:cstheme="minorHAnsi"/>
          <w:color w:val="auto"/>
          <w:szCs w:val="22"/>
        </w:rPr>
      </w:pPr>
      <w:r w:rsidRPr="0057092E">
        <w:rPr>
          <w:rFonts w:asciiTheme="minorHAnsi" w:hAnsiTheme="minorHAnsi" w:cstheme="minorHAnsi"/>
          <w:color w:val="auto"/>
          <w:szCs w:val="22"/>
        </w:rPr>
        <w:t>p = estimated proportion of the population possessing the attribute (if unknown, use 0.5 for maximum variability)</w:t>
      </w:r>
    </w:p>
    <w:p w14:paraId="60B4070B" w14:textId="77777777" w:rsidR="002B4B6D" w:rsidRDefault="006F0499" w:rsidP="002B4B6D">
      <w:pPr>
        <w:numPr>
          <w:ilvl w:val="0"/>
          <w:numId w:val="5"/>
        </w:numPr>
        <w:spacing w:after="0"/>
        <w:rPr>
          <w:rFonts w:asciiTheme="minorHAnsi" w:hAnsiTheme="minorHAnsi" w:cstheme="minorHAnsi"/>
          <w:color w:val="auto"/>
          <w:szCs w:val="22"/>
        </w:rPr>
      </w:pPr>
      <w:r w:rsidRPr="0057092E">
        <w:rPr>
          <w:rFonts w:asciiTheme="minorHAnsi" w:hAnsiTheme="minorHAnsi" w:cstheme="minorHAnsi"/>
          <w:color w:val="auto"/>
          <w:szCs w:val="22"/>
        </w:rPr>
        <w:t>e = margin of error (expressed as a decimal; 0.05 for 5%)</w:t>
      </w:r>
    </w:p>
    <w:p w14:paraId="28C94325" w14:textId="77777777" w:rsidR="002B4B6D" w:rsidRDefault="002B4B6D" w:rsidP="002B4B6D">
      <w:pPr>
        <w:spacing w:after="0"/>
        <w:rPr>
          <w:rFonts w:asciiTheme="minorHAnsi" w:hAnsiTheme="minorHAnsi" w:cstheme="minorHAnsi"/>
          <w:color w:val="auto"/>
          <w:szCs w:val="22"/>
        </w:rPr>
      </w:pPr>
    </w:p>
    <w:p w14:paraId="3B181474" w14:textId="4001C903" w:rsidR="00AA52EA" w:rsidRPr="002B4B6D" w:rsidRDefault="006F0499" w:rsidP="002B4B6D">
      <w:pPr>
        <w:spacing w:after="0"/>
        <w:rPr>
          <w:rFonts w:asciiTheme="minorHAnsi" w:hAnsiTheme="minorHAnsi" w:cstheme="minorHAnsi"/>
          <w:color w:val="auto"/>
          <w:szCs w:val="22"/>
        </w:rPr>
      </w:pPr>
      <w:r w:rsidRPr="002B4B6D">
        <w:rPr>
          <w:rFonts w:asciiTheme="minorHAnsi" w:hAnsiTheme="minorHAnsi" w:cstheme="minorHAnsi"/>
          <w:color w:val="auto"/>
          <w:szCs w:val="22"/>
        </w:rPr>
        <w:t>A total sample size of 385 households was thus determined to ensure statistical reliability at the 95% confidence level and 5% margin of error. The sample was then proportionally stratified between Khulna (193 households) and Faridpur (192 households) based on their population share.</w:t>
      </w:r>
      <w:r w:rsidR="00AA52EA" w:rsidRPr="002B4B6D">
        <w:rPr>
          <w:rFonts w:asciiTheme="minorHAnsi" w:hAnsiTheme="minorHAnsi" w:cstheme="minorHAnsi"/>
          <w:color w:val="auto"/>
          <w:szCs w:val="22"/>
        </w:rPr>
        <w:t xml:space="preserve"> </w:t>
      </w:r>
      <w:r w:rsidR="00AA52EA" w:rsidRPr="002B4B6D">
        <w:rPr>
          <w:rFonts w:asciiTheme="minorHAnsi" w:eastAsia="Gill Sans" w:hAnsiTheme="minorHAnsi" w:cstheme="minorHAnsi"/>
          <w:bCs/>
          <w:color w:val="auto"/>
          <w:szCs w:val="22"/>
        </w:rPr>
        <w:t xml:space="preserve">A total of 15 </w:t>
      </w:r>
      <w:r w:rsidR="00AA52EA" w:rsidRPr="002B4B6D">
        <w:rPr>
          <w:rFonts w:asciiTheme="minorHAnsi" w:hAnsiTheme="minorHAnsi" w:cstheme="minorHAnsi"/>
          <w:color w:val="auto"/>
          <w:szCs w:val="22"/>
        </w:rPr>
        <w:t>Key informant interviews (KIIs)</w:t>
      </w:r>
      <w:r w:rsidR="00AA52EA" w:rsidRPr="002B4B6D">
        <w:rPr>
          <w:rFonts w:asciiTheme="minorHAnsi" w:eastAsia="Gill Sans" w:hAnsiTheme="minorHAnsi" w:cstheme="minorHAnsi"/>
          <w:bCs/>
          <w:color w:val="auto"/>
          <w:szCs w:val="22"/>
        </w:rPr>
        <w:t xml:space="preserve"> were conducted, including 5 retailers, 5 sales agents, 5 company representatives</w:t>
      </w:r>
      <w:r w:rsidR="00DE1019" w:rsidRPr="002B4B6D">
        <w:rPr>
          <w:rFonts w:asciiTheme="minorHAnsi" w:eastAsia="Gill Sans" w:hAnsiTheme="minorHAnsi" w:cstheme="minorHAnsi"/>
          <w:bCs/>
          <w:color w:val="auto"/>
          <w:szCs w:val="22"/>
        </w:rPr>
        <w:t xml:space="preserve"> (</w:t>
      </w:r>
      <w:r w:rsidR="00922534" w:rsidRPr="002B4B6D">
        <w:rPr>
          <w:rFonts w:asciiTheme="minorHAnsi" w:eastAsia="Gill Sans" w:hAnsiTheme="minorHAnsi" w:cstheme="minorHAnsi"/>
          <w:bCs/>
          <w:color w:val="auto"/>
          <w:szCs w:val="22"/>
        </w:rPr>
        <w:t xml:space="preserve">Babilon </w:t>
      </w:r>
      <w:r w:rsidR="00C3516C" w:rsidRPr="002B4B6D">
        <w:rPr>
          <w:rFonts w:asciiTheme="minorHAnsi" w:eastAsia="Gill Sans" w:hAnsiTheme="minorHAnsi" w:cstheme="minorHAnsi"/>
          <w:bCs/>
          <w:color w:val="auto"/>
          <w:szCs w:val="22"/>
        </w:rPr>
        <w:t>A</w:t>
      </w:r>
      <w:r w:rsidR="00922534" w:rsidRPr="002B4B6D">
        <w:rPr>
          <w:rFonts w:asciiTheme="minorHAnsi" w:eastAsia="Gill Sans" w:hAnsiTheme="minorHAnsi" w:cstheme="minorHAnsi"/>
          <w:bCs/>
          <w:color w:val="auto"/>
          <w:szCs w:val="22"/>
        </w:rPr>
        <w:t xml:space="preserve">gro </w:t>
      </w:r>
      <w:r w:rsidR="00C3516C" w:rsidRPr="002B4B6D">
        <w:rPr>
          <w:rFonts w:asciiTheme="minorHAnsi" w:eastAsia="Gill Sans" w:hAnsiTheme="minorHAnsi" w:cstheme="minorHAnsi"/>
          <w:bCs/>
          <w:color w:val="auto"/>
          <w:szCs w:val="22"/>
        </w:rPr>
        <w:t>L</w:t>
      </w:r>
      <w:r w:rsidR="00922534" w:rsidRPr="002B4B6D">
        <w:rPr>
          <w:rFonts w:asciiTheme="minorHAnsi" w:eastAsia="Gill Sans" w:hAnsiTheme="minorHAnsi" w:cstheme="minorHAnsi"/>
          <w:bCs/>
          <w:color w:val="auto"/>
          <w:szCs w:val="22"/>
        </w:rPr>
        <w:t xml:space="preserve">imited, </w:t>
      </w:r>
      <w:r w:rsidR="00C3516C" w:rsidRPr="002B4B6D">
        <w:rPr>
          <w:rFonts w:asciiTheme="minorHAnsi" w:eastAsia="Gill Sans" w:hAnsiTheme="minorHAnsi" w:cstheme="minorHAnsi"/>
          <w:bCs/>
          <w:color w:val="auto"/>
          <w:szCs w:val="22"/>
        </w:rPr>
        <w:t>Team Agroscience</w:t>
      </w:r>
      <w:r w:rsidR="00922534" w:rsidRPr="002B4B6D">
        <w:rPr>
          <w:rFonts w:asciiTheme="minorHAnsi" w:eastAsia="Gill Sans" w:hAnsiTheme="minorHAnsi" w:cstheme="minorHAnsi"/>
          <w:bCs/>
          <w:color w:val="auto"/>
          <w:szCs w:val="22"/>
        </w:rPr>
        <w:t xml:space="preserve">, Konika Seed </w:t>
      </w:r>
      <w:r w:rsidR="00C3516C" w:rsidRPr="002B4B6D">
        <w:rPr>
          <w:rFonts w:asciiTheme="minorHAnsi" w:eastAsia="Gill Sans" w:hAnsiTheme="minorHAnsi" w:cstheme="minorHAnsi"/>
          <w:bCs/>
          <w:color w:val="auto"/>
          <w:szCs w:val="22"/>
        </w:rPr>
        <w:t>C</w:t>
      </w:r>
      <w:r w:rsidR="00922534" w:rsidRPr="002B4B6D">
        <w:rPr>
          <w:rFonts w:asciiTheme="minorHAnsi" w:eastAsia="Gill Sans" w:hAnsiTheme="minorHAnsi" w:cstheme="minorHAnsi"/>
          <w:bCs/>
          <w:color w:val="auto"/>
          <w:szCs w:val="22"/>
        </w:rPr>
        <w:t xml:space="preserve">ompany, </w:t>
      </w:r>
      <w:r w:rsidR="00C3516C" w:rsidRPr="002B4B6D">
        <w:rPr>
          <w:rFonts w:asciiTheme="minorHAnsi" w:eastAsia="Gill Sans" w:hAnsiTheme="minorHAnsi" w:cstheme="minorHAnsi"/>
          <w:bCs/>
          <w:color w:val="auto"/>
          <w:szCs w:val="22"/>
        </w:rPr>
        <w:t xml:space="preserve">Bondhon Genetic </w:t>
      </w:r>
      <w:r w:rsidR="00902C52" w:rsidRPr="002B4B6D">
        <w:rPr>
          <w:rFonts w:asciiTheme="minorHAnsi" w:eastAsia="Gill Sans" w:hAnsiTheme="minorHAnsi" w:cstheme="minorHAnsi"/>
          <w:bCs/>
          <w:color w:val="auto"/>
          <w:szCs w:val="22"/>
        </w:rPr>
        <w:lastRenderedPageBreak/>
        <w:t>Limited</w:t>
      </w:r>
      <w:r w:rsidR="00043085" w:rsidRPr="002B4B6D">
        <w:rPr>
          <w:rFonts w:asciiTheme="minorHAnsi" w:eastAsia="Gill Sans" w:hAnsiTheme="minorHAnsi" w:cstheme="minorHAnsi"/>
          <w:bCs/>
          <w:color w:val="auto"/>
          <w:szCs w:val="22"/>
        </w:rPr>
        <w:t>,</w:t>
      </w:r>
      <w:r w:rsidR="00902C52" w:rsidRPr="002B4B6D">
        <w:rPr>
          <w:rFonts w:asciiTheme="minorHAnsi" w:eastAsia="Gill Sans" w:hAnsiTheme="minorHAnsi" w:cstheme="minorHAnsi"/>
          <w:bCs/>
          <w:color w:val="auto"/>
          <w:szCs w:val="22"/>
        </w:rPr>
        <w:t xml:space="preserve"> and National Agricare)</w:t>
      </w:r>
      <w:r w:rsidR="00AA52EA" w:rsidRPr="002B4B6D">
        <w:rPr>
          <w:rFonts w:asciiTheme="minorHAnsi" w:eastAsia="Gill Sans" w:hAnsiTheme="minorHAnsi" w:cstheme="minorHAnsi"/>
          <w:bCs/>
          <w:color w:val="auto"/>
          <w:szCs w:val="22"/>
        </w:rPr>
        <w:t xml:space="preserve">, and other relevant stakeholders, </w:t>
      </w:r>
      <w:r w:rsidR="00AA52EA" w:rsidRPr="002B4B6D">
        <w:rPr>
          <w:rFonts w:asciiTheme="minorHAnsi" w:hAnsiTheme="minorHAnsi" w:cstheme="minorHAnsi"/>
          <w:color w:val="auto"/>
          <w:szCs w:val="22"/>
        </w:rPr>
        <w:t>selected purposively based on their role in the agro-input supply chain.</w:t>
      </w:r>
    </w:p>
    <w:p w14:paraId="2F677550" w14:textId="25D569E1" w:rsidR="006F0499" w:rsidRPr="0057092E" w:rsidRDefault="006F0499" w:rsidP="002B4B6D">
      <w:pPr>
        <w:spacing w:after="0"/>
        <w:rPr>
          <w:rFonts w:asciiTheme="minorHAnsi" w:hAnsiTheme="minorHAnsi" w:cstheme="minorHAnsi"/>
          <w:color w:val="auto"/>
          <w:szCs w:val="22"/>
        </w:rPr>
      </w:pPr>
    </w:p>
    <w:p w14:paraId="4A6BA5BA" w14:textId="619D4435" w:rsidR="009A082C" w:rsidRPr="0057092E" w:rsidRDefault="009A082C" w:rsidP="002B4B6D">
      <w:pPr>
        <w:pStyle w:val="ListParagraph"/>
        <w:numPr>
          <w:ilvl w:val="1"/>
          <w:numId w:val="2"/>
        </w:numPr>
        <w:spacing w:after="0"/>
        <w:rPr>
          <w:rFonts w:asciiTheme="minorHAnsi" w:hAnsiTheme="minorHAnsi" w:cstheme="minorHAnsi"/>
          <w:b/>
          <w:color w:val="auto"/>
          <w:szCs w:val="22"/>
        </w:rPr>
      </w:pPr>
      <w:r w:rsidRPr="0057092E">
        <w:rPr>
          <w:rFonts w:asciiTheme="minorHAnsi" w:eastAsia="Gill Sans" w:hAnsiTheme="minorHAnsi" w:cstheme="minorHAnsi"/>
          <w:b/>
          <w:bCs/>
          <w:color w:val="auto"/>
          <w:szCs w:val="22"/>
        </w:rPr>
        <w:t>Survey tools development</w:t>
      </w:r>
    </w:p>
    <w:p w14:paraId="2DC8E7E5" w14:textId="57228CBA" w:rsidR="00674CB1" w:rsidRPr="0057092E" w:rsidRDefault="00674CB1"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This study employed a participatory approach to develop and finalize tools for both quantitative and qualitative data collection. Initially, existing reports, literature, and journal articles were reviewed to identify key problem areas and generate preliminary ideas for the tools. Draft versions of the household survey questionnaire and key informant interview (KII) guide were then prepared and shared with local experts through virtual meetings to obtain feedback. Incorporating the expert feedback, the tools were revised and shared again for final validation</w:t>
      </w:r>
      <w:r w:rsidR="00D2693E" w:rsidRPr="0057092E">
        <w:rPr>
          <w:rFonts w:asciiTheme="minorHAnsi" w:hAnsiTheme="minorHAnsi" w:cstheme="minorHAnsi"/>
          <w:color w:val="auto"/>
          <w:szCs w:val="22"/>
        </w:rPr>
        <w:t xml:space="preserve"> and </w:t>
      </w:r>
      <w:r w:rsidR="00D2693E" w:rsidRPr="0057092E">
        <w:rPr>
          <w:rFonts w:asciiTheme="minorHAnsi" w:hAnsiTheme="minorHAnsi" w:cstheme="minorHAnsi"/>
          <w:color w:val="auto"/>
        </w:rPr>
        <w:t>a pilot test with a small sample of farmers to ensure clarity, relevance, and cultural appropriateness</w:t>
      </w:r>
      <w:r w:rsidRPr="0057092E">
        <w:rPr>
          <w:rFonts w:asciiTheme="minorHAnsi" w:hAnsiTheme="minorHAnsi" w:cstheme="minorHAnsi"/>
          <w:color w:val="auto"/>
          <w:szCs w:val="22"/>
        </w:rPr>
        <w:t xml:space="preserve">. Data enumerators were oriented through virtual sessions to </w:t>
      </w:r>
      <w:r w:rsidR="00F67322">
        <w:rPr>
          <w:rFonts w:asciiTheme="minorHAnsi" w:hAnsiTheme="minorHAnsi" w:cstheme="minorHAnsi"/>
          <w:color w:val="auto"/>
          <w:szCs w:val="22"/>
        </w:rPr>
        <w:t xml:space="preserve">collect </w:t>
      </w:r>
      <w:r w:rsidRPr="0057092E">
        <w:rPr>
          <w:rFonts w:asciiTheme="minorHAnsi" w:hAnsiTheme="minorHAnsi" w:cstheme="minorHAnsi"/>
          <w:color w:val="auto"/>
          <w:szCs w:val="22"/>
        </w:rPr>
        <w:t xml:space="preserve">accurate and consistent </w:t>
      </w:r>
      <w:r w:rsidR="00F67322">
        <w:rPr>
          <w:rFonts w:asciiTheme="minorHAnsi" w:hAnsiTheme="minorHAnsi" w:cstheme="minorHAnsi"/>
          <w:color w:val="auto"/>
          <w:szCs w:val="22"/>
        </w:rPr>
        <w:t>data</w:t>
      </w:r>
      <w:r w:rsidRPr="0057092E">
        <w:rPr>
          <w:rFonts w:asciiTheme="minorHAnsi" w:hAnsiTheme="minorHAnsi" w:cstheme="minorHAnsi"/>
          <w:color w:val="auto"/>
          <w:szCs w:val="22"/>
        </w:rPr>
        <w:t>. The finalized tools were meticulously designed to capture relevant information on agro-input usage, production practices, dietary diversity, and market engagement. For efficient field data collection, the tools were digitized using the KoboToolbox platform, enabling systematic recording, storage, and management of survey responses.</w:t>
      </w:r>
    </w:p>
    <w:p w14:paraId="32AB544C" w14:textId="77777777" w:rsidR="00CF6D9F" w:rsidRPr="0057092E" w:rsidRDefault="00CF6D9F" w:rsidP="002B4B6D">
      <w:pPr>
        <w:spacing w:after="0"/>
        <w:rPr>
          <w:rFonts w:asciiTheme="minorHAnsi" w:hAnsiTheme="minorHAnsi" w:cstheme="minorHAnsi"/>
          <w:color w:val="auto"/>
          <w:szCs w:val="22"/>
        </w:rPr>
      </w:pPr>
    </w:p>
    <w:p w14:paraId="51AA7354" w14:textId="33BC385A" w:rsidR="00EA0B8A" w:rsidRPr="0057092E" w:rsidRDefault="00B71848" w:rsidP="002B4B6D">
      <w:pPr>
        <w:pStyle w:val="ListParagraph"/>
        <w:numPr>
          <w:ilvl w:val="1"/>
          <w:numId w:val="2"/>
        </w:numPr>
        <w:spacing w:after="0"/>
        <w:rPr>
          <w:rFonts w:asciiTheme="minorHAnsi" w:eastAsia="Gill Sans" w:hAnsiTheme="minorHAnsi" w:cstheme="minorHAnsi"/>
          <w:b/>
          <w:bCs/>
          <w:color w:val="auto"/>
          <w:szCs w:val="22"/>
        </w:rPr>
      </w:pPr>
      <w:r w:rsidRPr="0057092E">
        <w:rPr>
          <w:rFonts w:asciiTheme="minorHAnsi" w:eastAsia="Gill Sans" w:hAnsiTheme="minorHAnsi" w:cstheme="minorHAnsi"/>
          <w:b/>
          <w:bCs/>
          <w:color w:val="auto"/>
          <w:szCs w:val="22"/>
        </w:rPr>
        <w:t>D</w:t>
      </w:r>
      <w:r w:rsidR="009A082C" w:rsidRPr="0057092E">
        <w:rPr>
          <w:rFonts w:asciiTheme="minorHAnsi" w:eastAsia="Gill Sans" w:hAnsiTheme="minorHAnsi" w:cstheme="minorHAnsi"/>
          <w:b/>
          <w:bCs/>
          <w:color w:val="auto"/>
          <w:szCs w:val="22"/>
        </w:rPr>
        <w:t>ata c</w:t>
      </w:r>
      <w:r w:rsidR="00EA0B8A" w:rsidRPr="0057092E">
        <w:rPr>
          <w:rFonts w:asciiTheme="minorHAnsi" w:eastAsia="Gill Sans" w:hAnsiTheme="minorHAnsi" w:cstheme="minorHAnsi"/>
          <w:b/>
          <w:bCs/>
          <w:color w:val="auto"/>
          <w:szCs w:val="22"/>
        </w:rPr>
        <w:t>ollection</w:t>
      </w:r>
      <w:r w:rsidR="009A082C" w:rsidRPr="0057092E">
        <w:rPr>
          <w:rFonts w:asciiTheme="minorHAnsi" w:eastAsia="Gill Sans" w:hAnsiTheme="minorHAnsi" w:cstheme="minorHAnsi"/>
          <w:b/>
          <w:bCs/>
          <w:color w:val="auto"/>
          <w:szCs w:val="22"/>
        </w:rPr>
        <w:t xml:space="preserve"> and analysis</w:t>
      </w:r>
    </w:p>
    <w:bookmarkEnd w:id="3"/>
    <w:p w14:paraId="66FE9ECB" w14:textId="7FE5E099" w:rsidR="009A082C" w:rsidRPr="0057092E" w:rsidRDefault="001303CC" w:rsidP="002B4B6D">
      <w:pPr>
        <w:spacing w:after="0"/>
        <w:rPr>
          <w:rFonts w:asciiTheme="minorHAnsi" w:eastAsia="Gill Sans" w:hAnsiTheme="minorHAnsi" w:cstheme="minorHAnsi"/>
          <w:bCs/>
          <w:color w:val="auto"/>
          <w:szCs w:val="22"/>
        </w:rPr>
      </w:pPr>
      <w:r w:rsidRPr="0057092E">
        <w:rPr>
          <w:rFonts w:asciiTheme="minorHAnsi" w:eastAsia="Gill Sans" w:hAnsiTheme="minorHAnsi" w:cstheme="minorHAnsi"/>
          <w:bCs/>
          <w:color w:val="auto"/>
          <w:szCs w:val="22"/>
        </w:rPr>
        <w:t>Data were collected from Khulna and Faridpur districts, ensuring consistency, accuracy, and adherence to ethical standards. Key informant interviews (KIIs) were conducted based on respondent availability and willingness. Collected data were cleaned and analyzed using SPSS, with primarily descriptive statistics employed to summarize household practices, adoption of technologies, dietary diversity, and the role of agro-input companies in promoting nutritious and diverse food production.</w:t>
      </w:r>
    </w:p>
    <w:p w14:paraId="71CDB515" w14:textId="77777777" w:rsidR="00CF6D9F" w:rsidRPr="0057092E" w:rsidRDefault="00CF6D9F" w:rsidP="002B4B6D">
      <w:pPr>
        <w:spacing w:after="0"/>
        <w:rPr>
          <w:rFonts w:asciiTheme="minorHAnsi" w:hAnsiTheme="minorHAnsi" w:cstheme="minorHAnsi"/>
          <w:color w:val="auto"/>
          <w:szCs w:val="22"/>
          <w:lang w:val="en-GB" w:eastAsia="en-GB" w:bidi="bn-BD"/>
        </w:rPr>
      </w:pPr>
    </w:p>
    <w:p w14:paraId="649F6EA7" w14:textId="288B3930" w:rsidR="009A082C" w:rsidRPr="0057092E" w:rsidRDefault="009A082C" w:rsidP="002B4B6D">
      <w:pPr>
        <w:pStyle w:val="ListParagraph"/>
        <w:numPr>
          <w:ilvl w:val="1"/>
          <w:numId w:val="2"/>
        </w:numPr>
        <w:spacing w:after="0"/>
        <w:rPr>
          <w:rFonts w:asciiTheme="minorHAnsi" w:hAnsiTheme="minorHAnsi" w:cstheme="minorHAnsi"/>
          <w:b/>
          <w:color w:val="auto"/>
          <w:szCs w:val="22"/>
          <w:lang w:val="en-GB" w:eastAsia="en-GB" w:bidi="bn-BD"/>
        </w:rPr>
      </w:pPr>
      <w:r w:rsidRPr="0057092E">
        <w:rPr>
          <w:rFonts w:asciiTheme="minorHAnsi" w:hAnsiTheme="minorHAnsi" w:cstheme="minorHAnsi"/>
          <w:b/>
          <w:color w:val="auto"/>
          <w:szCs w:val="22"/>
          <w:lang w:val="en-GB" w:eastAsia="en-GB" w:bidi="bn-BD"/>
        </w:rPr>
        <w:t>Limitations of the Study</w:t>
      </w:r>
    </w:p>
    <w:p w14:paraId="2D8EBFE1" w14:textId="06A3A8B2" w:rsidR="00F615B9" w:rsidRPr="0057092E" w:rsidRDefault="009A082C" w:rsidP="002B4B6D">
      <w:pPr>
        <w:spacing w:after="0"/>
        <w:rPr>
          <w:rFonts w:asciiTheme="minorHAnsi" w:hAnsiTheme="minorHAnsi" w:cstheme="minorHAnsi"/>
          <w:color w:val="auto"/>
          <w:szCs w:val="22"/>
          <w:lang w:val="en-GB" w:eastAsia="en-GB" w:bidi="bn-BD"/>
        </w:rPr>
      </w:pPr>
      <w:r w:rsidRPr="0057092E">
        <w:rPr>
          <w:rFonts w:asciiTheme="minorHAnsi" w:hAnsiTheme="minorHAnsi" w:cstheme="minorHAnsi"/>
          <w:color w:val="auto"/>
          <w:szCs w:val="22"/>
          <w:lang w:val="en-GB" w:eastAsia="en-GB" w:bidi="bn-BD"/>
        </w:rPr>
        <w:t>This study has several limitations. First, the findings are based on selected districts and may not fully represent the situation in all of southern Bangladesh. Second, the household survey relied on self-reported data, which may be subject to recall bias. Third, the study focused on the role of agro-input companies and did not extensively assess other factors influencing dietary diversity</w:t>
      </w:r>
      <w:r w:rsidR="00C967F0" w:rsidRPr="0057092E">
        <w:rPr>
          <w:rFonts w:asciiTheme="minorHAnsi" w:hAnsiTheme="minorHAnsi" w:cstheme="minorHAnsi"/>
          <w:color w:val="auto"/>
          <w:szCs w:val="22"/>
          <w:lang w:val="en-GB" w:eastAsia="en-GB" w:bidi="bn-BD"/>
        </w:rPr>
        <w:t>.</w:t>
      </w:r>
      <w:r w:rsidRPr="0057092E">
        <w:rPr>
          <w:rFonts w:asciiTheme="minorHAnsi" w:hAnsiTheme="minorHAnsi" w:cstheme="minorHAnsi"/>
          <w:color w:val="auto"/>
          <w:szCs w:val="22"/>
          <w:lang w:val="en-GB" w:eastAsia="en-GB" w:bidi="bn-BD"/>
        </w:rPr>
        <w:t xml:space="preserve"> Finally, the sample size for KIIs was limited, which may restrict the generalizability of qualitative insights. </w:t>
      </w:r>
      <w:r w:rsidR="003F366D" w:rsidRPr="0057092E">
        <w:rPr>
          <w:rFonts w:asciiTheme="minorHAnsi" w:hAnsiTheme="minorHAnsi" w:cstheme="minorHAnsi"/>
          <w:color w:val="auto"/>
          <w:szCs w:val="22"/>
          <w:lang w:val="en-GB" w:eastAsia="en-GB" w:bidi="bn-BD"/>
        </w:rPr>
        <w:t xml:space="preserve">Despite these limitations, the study provides valuable insights into how private-sector agro-input companies contribute to nutritious and diverse food production and consumption in the region. </w:t>
      </w:r>
    </w:p>
    <w:p w14:paraId="63702491" w14:textId="77777777" w:rsidR="00B5440C" w:rsidRPr="0057092E" w:rsidRDefault="00B5440C" w:rsidP="002B4B6D">
      <w:pPr>
        <w:spacing w:after="0"/>
        <w:rPr>
          <w:rFonts w:asciiTheme="minorHAnsi" w:hAnsiTheme="minorHAnsi" w:cstheme="minorHAnsi"/>
          <w:color w:val="auto"/>
          <w:szCs w:val="22"/>
          <w:lang w:val="en-GB" w:eastAsia="en-GB" w:bidi="bn-BD"/>
        </w:rPr>
      </w:pPr>
    </w:p>
    <w:p w14:paraId="3B3ED9CD" w14:textId="77777777" w:rsidR="00942F1E" w:rsidRPr="0057092E" w:rsidRDefault="009A082C" w:rsidP="002B4B6D">
      <w:pPr>
        <w:pStyle w:val="Heading1"/>
        <w:numPr>
          <w:ilvl w:val="0"/>
          <w:numId w:val="2"/>
        </w:numPr>
        <w:spacing w:before="0"/>
        <w:rPr>
          <w:rFonts w:asciiTheme="minorHAnsi" w:eastAsia="Gill Sans" w:hAnsiTheme="minorHAnsi" w:cstheme="minorHAnsi"/>
          <w:b/>
          <w:bCs/>
          <w:color w:val="auto"/>
          <w:sz w:val="22"/>
          <w:szCs w:val="22"/>
        </w:rPr>
      </w:pPr>
      <w:bookmarkStart w:id="4" w:name="_GoBack"/>
      <w:r w:rsidRPr="0057092E">
        <w:rPr>
          <w:rFonts w:asciiTheme="minorHAnsi" w:eastAsia="Gill Sans" w:hAnsiTheme="minorHAnsi" w:cstheme="minorHAnsi"/>
          <w:b/>
          <w:bCs/>
          <w:color w:val="auto"/>
          <w:sz w:val="22"/>
          <w:szCs w:val="22"/>
        </w:rPr>
        <w:t>RESULT</w:t>
      </w:r>
      <w:bookmarkEnd w:id="4"/>
      <w:r w:rsidRPr="0057092E">
        <w:rPr>
          <w:rFonts w:asciiTheme="minorHAnsi" w:eastAsia="Gill Sans" w:hAnsiTheme="minorHAnsi" w:cstheme="minorHAnsi"/>
          <w:b/>
          <w:bCs/>
          <w:color w:val="auto"/>
          <w:sz w:val="22"/>
          <w:szCs w:val="22"/>
        </w:rPr>
        <w:t>S AND DISCUSSION</w:t>
      </w:r>
      <w:bookmarkStart w:id="5" w:name="_Hlk92963018"/>
    </w:p>
    <w:p w14:paraId="05E63090" w14:textId="4514A691" w:rsidR="009D411A" w:rsidRPr="0057092E" w:rsidRDefault="005A612E"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 xml:space="preserve">Farmers report </w:t>
      </w:r>
      <w:r w:rsidR="00B84726" w:rsidRPr="0057092E">
        <w:rPr>
          <w:rFonts w:asciiTheme="minorHAnsi" w:eastAsia="Gill Sans" w:hAnsiTheme="minorHAnsi" w:cstheme="minorHAnsi"/>
          <w:b/>
          <w:bCs/>
          <w:color w:val="auto"/>
          <w:sz w:val="22"/>
          <w:szCs w:val="22"/>
        </w:rPr>
        <w:t xml:space="preserve">to </w:t>
      </w:r>
      <w:r w:rsidRPr="0057092E">
        <w:rPr>
          <w:rFonts w:asciiTheme="minorHAnsi" w:eastAsia="Gill Sans" w:hAnsiTheme="minorHAnsi" w:cstheme="minorHAnsi"/>
          <w:b/>
          <w:bCs/>
          <w:color w:val="auto"/>
          <w:sz w:val="22"/>
          <w:szCs w:val="22"/>
        </w:rPr>
        <w:t>learn from agro-inputs companies</w:t>
      </w:r>
    </w:p>
    <w:p w14:paraId="599D706D" w14:textId="3D034AF8" w:rsidR="00B84726" w:rsidRPr="0057092E" w:rsidRDefault="00B84726" w:rsidP="002B4B6D">
      <w:pPr>
        <w:spacing w:after="0"/>
        <w:rPr>
          <w:rFonts w:asciiTheme="minorHAnsi" w:eastAsiaTheme="majorEastAsia" w:hAnsiTheme="minorHAnsi" w:cstheme="minorHAnsi"/>
          <w:color w:val="auto"/>
          <w:szCs w:val="22"/>
        </w:rPr>
      </w:pPr>
      <w:r w:rsidRPr="0057092E">
        <w:rPr>
          <w:rFonts w:asciiTheme="minorHAnsi" w:eastAsiaTheme="majorEastAsia" w:hAnsiTheme="minorHAnsi" w:cstheme="minorHAnsi"/>
          <w:color w:val="auto"/>
          <w:szCs w:val="22"/>
        </w:rPr>
        <w:t xml:space="preserve">The study assessed the </w:t>
      </w:r>
      <w:r w:rsidR="00FC6008" w:rsidRPr="0057092E">
        <w:rPr>
          <w:rFonts w:asciiTheme="minorHAnsi" w:eastAsiaTheme="majorEastAsia" w:hAnsiTheme="minorHAnsi" w:cstheme="minorHAnsi"/>
          <w:color w:val="auto"/>
          <w:szCs w:val="22"/>
        </w:rPr>
        <w:t>farmers'</w:t>
      </w:r>
      <w:r w:rsidRPr="0057092E">
        <w:rPr>
          <w:rFonts w:asciiTheme="minorHAnsi" w:eastAsiaTheme="majorEastAsia" w:hAnsiTheme="minorHAnsi" w:cstheme="minorHAnsi"/>
          <w:color w:val="auto"/>
          <w:szCs w:val="22"/>
        </w:rPr>
        <w:t xml:space="preserve"> reported learning different agricultural and nutrition-related practices from agro-input companies in Faridpur and Khulna districts (Table </w:t>
      </w:r>
      <w:r w:rsidR="007C347A" w:rsidRPr="0057092E">
        <w:rPr>
          <w:rFonts w:asciiTheme="minorHAnsi" w:eastAsiaTheme="majorEastAsia" w:hAnsiTheme="minorHAnsi" w:cstheme="minorHAnsi"/>
          <w:color w:val="auto"/>
          <w:szCs w:val="22"/>
        </w:rPr>
        <w:t>1</w:t>
      </w:r>
      <w:r w:rsidRPr="0057092E">
        <w:rPr>
          <w:rFonts w:asciiTheme="minorHAnsi" w:eastAsiaTheme="majorEastAsia" w:hAnsiTheme="minorHAnsi" w:cstheme="minorHAnsi"/>
          <w:color w:val="auto"/>
          <w:szCs w:val="22"/>
        </w:rPr>
        <w:t xml:space="preserve">). Overall, the findings </w:t>
      </w:r>
      <w:r w:rsidR="00FC6008" w:rsidRPr="0057092E">
        <w:rPr>
          <w:rFonts w:asciiTheme="minorHAnsi" w:eastAsiaTheme="majorEastAsia" w:hAnsiTheme="minorHAnsi" w:cstheme="minorHAnsi"/>
          <w:color w:val="auto"/>
          <w:szCs w:val="22"/>
        </w:rPr>
        <w:t>revealed</w:t>
      </w:r>
      <w:r w:rsidRPr="0057092E">
        <w:rPr>
          <w:rFonts w:asciiTheme="minorHAnsi" w:eastAsiaTheme="majorEastAsia" w:hAnsiTheme="minorHAnsi" w:cstheme="minorHAnsi"/>
          <w:color w:val="auto"/>
          <w:szCs w:val="22"/>
        </w:rPr>
        <w:t xml:space="preserve"> that agro-input companies contribut</w:t>
      </w:r>
      <w:r w:rsidR="00605379" w:rsidRPr="0057092E">
        <w:rPr>
          <w:rFonts w:asciiTheme="minorHAnsi" w:eastAsiaTheme="majorEastAsia" w:hAnsiTheme="minorHAnsi" w:cstheme="minorHAnsi"/>
          <w:color w:val="auto"/>
          <w:szCs w:val="22"/>
        </w:rPr>
        <w:t>ed</w:t>
      </w:r>
      <w:r w:rsidRPr="0057092E">
        <w:rPr>
          <w:rFonts w:asciiTheme="minorHAnsi" w:eastAsiaTheme="majorEastAsia" w:hAnsiTheme="minorHAnsi" w:cstheme="minorHAnsi"/>
          <w:color w:val="auto"/>
          <w:szCs w:val="22"/>
        </w:rPr>
        <w:t xml:space="preserve"> </w:t>
      </w:r>
      <w:r w:rsidR="009A43E9" w:rsidRPr="0057092E">
        <w:rPr>
          <w:rFonts w:asciiTheme="minorHAnsi" w:eastAsiaTheme="majorEastAsia" w:hAnsiTheme="minorHAnsi" w:cstheme="minorHAnsi"/>
          <w:color w:val="auto"/>
          <w:szCs w:val="22"/>
        </w:rPr>
        <w:t>to</w:t>
      </w:r>
      <w:r w:rsidRPr="0057092E">
        <w:rPr>
          <w:rFonts w:asciiTheme="minorHAnsi" w:eastAsiaTheme="majorEastAsia" w:hAnsiTheme="minorHAnsi" w:cstheme="minorHAnsi"/>
          <w:color w:val="auto"/>
          <w:szCs w:val="22"/>
        </w:rPr>
        <w:t xml:space="preserve"> </w:t>
      </w:r>
      <w:r w:rsidR="009A43E9" w:rsidRPr="0057092E">
        <w:rPr>
          <w:rFonts w:asciiTheme="minorHAnsi" w:eastAsiaTheme="majorEastAsia" w:hAnsiTheme="minorHAnsi" w:cstheme="minorHAnsi"/>
          <w:color w:val="auto"/>
          <w:szCs w:val="22"/>
        </w:rPr>
        <w:t>farmers'</w:t>
      </w:r>
      <w:r w:rsidRPr="0057092E">
        <w:rPr>
          <w:rFonts w:asciiTheme="minorHAnsi" w:eastAsiaTheme="majorEastAsia" w:hAnsiTheme="minorHAnsi" w:cstheme="minorHAnsi"/>
          <w:color w:val="auto"/>
          <w:szCs w:val="22"/>
        </w:rPr>
        <w:t xml:space="preserve"> awareness </w:t>
      </w:r>
      <w:r w:rsidR="007C347A" w:rsidRPr="0057092E">
        <w:rPr>
          <w:rFonts w:asciiTheme="minorHAnsi" w:eastAsiaTheme="majorEastAsia" w:hAnsiTheme="minorHAnsi" w:cstheme="minorHAnsi"/>
          <w:color w:val="auto"/>
          <w:szCs w:val="22"/>
        </w:rPr>
        <w:t>of</w:t>
      </w:r>
      <w:r w:rsidRPr="0057092E">
        <w:rPr>
          <w:rFonts w:asciiTheme="minorHAnsi" w:eastAsiaTheme="majorEastAsia" w:hAnsiTheme="minorHAnsi" w:cstheme="minorHAnsi"/>
          <w:color w:val="auto"/>
          <w:szCs w:val="22"/>
        </w:rPr>
        <w:t xml:space="preserve"> nutriti</w:t>
      </w:r>
      <w:r w:rsidR="00F55501" w:rsidRPr="0057092E">
        <w:rPr>
          <w:rFonts w:asciiTheme="minorHAnsi" w:eastAsiaTheme="majorEastAsia" w:hAnsiTheme="minorHAnsi" w:cstheme="minorHAnsi"/>
          <w:color w:val="auto"/>
          <w:szCs w:val="22"/>
        </w:rPr>
        <w:t>ous, diverse food production</w:t>
      </w:r>
      <w:r w:rsidRPr="0057092E">
        <w:rPr>
          <w:rFonts w:asciiTheme="minorHAnsi" w:eastAsiaTheme="majorEastAsia" w:hAnsiTheme="minorHAnsi" w:cstheme="minorHAnsi"/>
          <w:color w:val="auto"/>
          <w:szCs w:val="22"/>
        </w:rPr>
        <w:t xml:space="preserve"> practices.</w:t>
      </w:r>
      <w:r w:rsidR="007C347A" w:rsidRPr="0057092E">
        <w:rPr>
          <w:rFonts w:asciiTheme="minorHAnsi" w:eastAsiaTheme="majorEastAsia" w:hAnsiTheme="minorHAnsi" w:cstheme="minorHAnsi"/>
          <w:color w:val="auto"/>
          <w:szCs w:val="22"/>
        </w:rPr>
        <w:t xml:space="preserve"> Specifically,</w:t>
      </w:r>
      <w:r w:rsidR="00507F5E" w:rsidRPr="0057092E">
        <w:rPr>
          <w:rFonts w:asciiTheme="minorHAnsi" w:eastAsiaTheme="majorEastAsia" w:hAnsiTheme="minorHAnsi" w:cstheme="minorHAnsi"/>
          <w:color w:val="auto"/>
          <w:szCs w:val="22"/>
        </w:rPr>
        <w:t xml:space="preserve"> </w:t>
      </w:r>
      <w:r w:rsidR="007C347A" w:rsidRPr="0057092E">
        <w:rPr>
          <w:rFonts w:asciiTheme="minorHAnsi" w:eastAsiaTheme="majorEastAsia" w:hAnsiTheme="minorHAnsi" w:cstheme="minorHAnsi"/>
          <w:color w:val="auto"/>
          <w:szCs w:val="22"/>
        </w:rPr>
        <w:t>89</w:t>
      </w:r>
      <w:r w:rsidR="006D3AD6" w:rsidRPr="0057092E">
        <w:rPr>
          <w:rFonts w:asciiTheme="minorHAnsi" w:eastAsiaTheme="majorEastAsia" w:hAnsiTheme="minorHAnsi" w:cstheme="minorHAnsi"/>
          <w:color w:val="auto"/>
          <w:szCs w:val="22"/>
        </w:rPr>
        <w:t>.00</w:t>
      </w:r>
      <w:r w:rsidR="007C347A" w:rsidRPr="0057092E">
        <w:rPr>
          <w:rFonts w:asciiTheme="minorHAnsi" w:eastAsiaTheme="majorEastAsia" w:hAnsiTheme="minorHAnsi" w:cstheme="minorHAnsi"/>
          <w:color w:val="auto"/>
          <w:szCs w:val="22"/>
        </w:rPr>
        <w:t xml:space="preserve">% </w:t>
      </w:r>
      <w:r w:rsidRPr="0057092E">
        <w:rPr>
          <w:rFonts w:asciiTheme="minorHAnsi" w:eastAsiaTheme="majorEastAsia" w:hAnsiTheme="minorHAnsi" w:cstheme="minorHAnsi"/>
          <w:color w:val="auto"/>
          <w:szCs w:val="22"/>
        </w:rPr>
        <w:t xml:space="preserve">of farmers reported gaining knowledge on homestead gardening, </w:t>
      </w:r>
      <w:r w:rsidR="007C347A" w:rsidRPr="0057092E">
        <w:rPr>
          <w:rFonts w:asciiTheme="minorHAnsi" w:eastAsiaTheme="majorEastAsia" w:hAnsiTheme="minorHAnsi" w:cstheme="minorHAnsi"/>
          <w:color w:val="auto"/>
          <w:szCs w:val="22"/>
        </w:rPr>
        <w:t>8</w:t>
      </w:r>
      <w:r w:rsidR="006D3AD6" w:rsidRPr="0057092E">
        <w:rPr>
          <w:rFonts w:asciiTheme="minorHAnsi" w:eastAsiaTheme="majorEastAsia" w:hAnsiTheme="minorHAnsi" w:cstheme="minorHAnsi"/>
          <w:color w:val="auto"/>
          <w:szCs w:val="22"/>
        </w:rPr>
        <w:t>0.7</w:t>
      </w:r>
      <w:r w:rsidR="007C347A" w:rsidRPr="0057092E">
        <w:rPr>
          <w:rFonts w:asciiTheme="minorHAnsi" w:eastAsiaTheme="majorEastAsia" w:hAnsiTheme="minorHAnsi" w:cstheme="minorHAnsi"/>
          <w:color w:val="auto"/>
          <w:szCs w:val="22"/>
        </w:rPr>
        <w:t xml:space="preserve">1% </w:t>
      </w:r>
      <w:r w:rsidRPr="0057092E">
        <w:rPr>
          <w:rFonts w:asciiTheme="minorHAnsi" w:eastAsiaTheme="majorEastAsia" w:hAnsiTheme="minorHAnsi" w:cstheme="minorHAnsi"/>
          <w:color w:val="auto"/>
          <w:szCs w:val="22"/>
        </w:rPr>
        <w:t xml:space="preserve">nutritious food production and consumption, and </w:t>
      </w:r>
      <w:r w:rsidR="007C347A" w:rsidRPr="0057092E">
        <w:rPr>
          <w:rFonts w:asciiTheme="minorHAnsi" w:eastAsiaTheme="majorEastAsia" w:hAnsiTheme="minorHAnsi" w:cstheme="minorHAnsi"/>
          <w:color w:val="auto"/>
          <w:szCs w:val="22"/>
        </w:rPr>
        <w:t>7</w:t>
      </w:r>
      <w:r w:rsidR="006D3AD6" w:rsidRPr="0057092E">
        <w:rPr>
          <w:rFonts w:asciiTheme="minorHAnsi" w:eastAsiaTheme="majorEastAsia" w:hAnsiTheme="minorHAnsi" w:cstheme="minorHAnsi"/>
          <w:color w:val="auto"/>
          <w:szCs w:val="22"/>
        </w:rPr>
        <w:t>4.50</w:t>
      </w:r>
      <w:r w:rsidR="007C347A" w:rsidRPr="0057092E">
        <w:rPr>
          <w:rFonts w:asciiTheme="minorHAnsi" w:eastAsiaTheme="majorEastAsia" w:hAnsiTheme="minorHAnsi" w:cstheme="minorHAnsi"/>
          <w:color w:val="auto"/>
          <w:szCs w:val="22"/>
        </w:rPr>
        <w:t xml:space="preserve">% </w:t>
      </w:r>
      <w:r w:rsidR="006B7A0A" w:rsidRPr="0057092E">
        <w:rPr>
          <w:rFonts w:asciiTheme="minorHAnsi" w:eastAsiaTheme="majorEastAsia" w:hAnsiTheme="minorHAnsi" w:cstheme="minorHAnsi"/>
          <w:color w:val="auto"/>
          <w:szCs w:val="22"/>
        </w:rPr>
        <w:t xml:space="preserve">on using </w:t>
      </w:r>
      <w:r w:rsidR="007C347A" w:rsidRPr="0057092E">
        <w:rPr>
          <w:rFonts w:asciiTheme="minorHAnsi" w:eastAsiaTheme="majorEastAsia" w:hAnsiTheme="minorHAnsi" w:cstheme="minorHAnsi"/>
          <w:color w:val="auto"/>
          <w:szCs w:val="22"/>
        </w:rPr>
        <w:t xml:space="preserve">improved </w:t>
      </w:r>
      <w:r w:rsidRPr="0057092E">
        <w:rPr>
          <w:rFonts w:asciiTheme="minorHAnsi" w:eastAsiaTheme="majorEastAsia" w:hAnsiTheme="minorHAnsi" w:cstheme="minorHAnsi"/>
          <w:color w:val="auto"/>
          <w:szCs w:val="22"/>
        </w:rPr>
        <w:t>vegetable varieties</w:t>
      </w:r>
      <w:r w:rsidR="007C347A" w:rsidRPr="0057092E">
        <w:rPr>
          <w:rFonts w:asciiTheme="minorHAnsi" w:eastAsiaTheme="majorEastAsia" w:hAnsiTheme="minorHAnsi" w:cstheme="minorHAnsi"/>
          <w:color w:val="auto"/>
          <w:szCs w:val="22"/>
        </w:rPr>
        <w:t>.</w:t>
      </w:r>
      <w:r w:rsidRPr="0057092E">
        <w:rPr>
          <w:rFonts w:asciiTheme="minorHAnsi" w:eastAsiaTheme="majorEastAsia" w:hAnsiTheme="minorHAnsi" w:cstheme="minorHAnsi"/>
          <w:color w:val="auto"/>
          <w:szCs w:val="22"/>
        </w:rPr>
        <w:t xml:space="preserve"> </w:t>
      </w:r>
      <w:r w:rsidR="007C347A" w:rsidRPr="0057092E">
        <w:rPr>
          <w:rFonts w:asciiTheme="minorHAnsi" w:eastAsiaTheme="majorEastAsia" w:hAnsiTheme="minorHAnsi" w:cstheme="minorHAnsi"/>
          <w:color w:val="auto"/>
          <w:szCs w:val="22"/>
        </w:rPr>
        <w:t>Similarly, 7</w:t>
      </w:r>
      <w:r w:rsidR="006D3AD6" w:rsidRPr="0057092E">
        <w:rPr>
          <w:rFonts w:asciiTheme="minorHAnsi" w:eastAsiaTheme="majorEastAsia" w:hAnsiTheme="minorHAnsi" w:cstheme="minorHAnsi"/>
          <w:color w:val="auto"/>
          <w:szCs w:val="22"/>
        </w:rPr>
        <w:t>5.70</w:t>
      </w:r>
      <w:r w:rsidR="007C347A" w:rsidRPr="0057092E">
        <w:rPr>
          <w:rFonts w:asciiTheme="minorHAnsi" w:eastAsiaTheme="majorEastAsia" w:hAnsiTheme="minorHAnsi" w:cstheme="minorHAnsi"/>
          <w:color w:val="auto"/>
          <w:szCs w:val="22"/>
        </w:rPr>
        <w:t>% of farmers learned about new technologies, 67</w:t>
      </w:r>
      <w:r w:rsidR="006D3AD6" w:rsidRPr="0057092E">
        <w:rPr>
          <w:rFonts w:asciiTheme="minorHAnsi" w:eastAsiaTheme="majorEastAsia" w:hAnsiTheme="minorHAnsi" w:cstheme="minorHAnsi"/>
          <w:color w:val="auto"/>
          <w:szCs w:val="22"/>
        </w:rPr>
        <w:t>.00</w:t>
      </w:r>
      <w:r w:rsidR="007C347A" w:rsidRPr="0057092E">
        <w:rPr>
          <w:rFonts w:asciiTheme="minorHAnsi" w:eastAsiaTheme="majorEastAsia" w:hAnsiTheme="minorHAnsi" w:cstheme="minorHAnsi"/>
          <w:color w:val="auto"/>
          <w:szCs w:val="22"/>
        </w:rPr>
        <w:t>% reported exposure to safe food production and consumption, 6</w:t>
      </w:r>
      <w:r w:rsidR="006D3AD6" w:rsidRPr="0057092E">
        <w:rPr>
          <w:rFonts w:asciiTheme="minorHAnsi" w:eastAsiaTheme="majorEastAsia" w:hAnsiTheme="minorHAnsi" w:cstheme="minorHAnsi"/>
          <w:color w:val="auto"/>
          <w:szCs w:val="22"/>
        </w:rPr>
        <w:t>5.75</w:t>
      </w:r>
      <w:r w:rsidR="007C347A" w:rsidRPr="0057092E">
        <w:rPr>
          <w:rFonts w:asciiTheme="minorHAnsi" w:eastAsiaTheme="majorEastAsia" w:hAnsiTheme="minorHAnsi" w:cstheme="minorHAnsi"/>
          <w:color w:val="auto"/>
          <w:szCs w:val="22"/>
        </w:rPr>
        <w:t>% learned production techniques, and 52</w:t>
      </w:r>
      <w:r w:rsidR="006D3AD6" w:rsidRPr="0057092E">
        <w:rPr>
          <w:rFonts w:asciiTheme="minorHAnsi" w:eastAsiaTheme="majorEastAsia" w:hAnsiTheme="minorHAnsi" w:cstheme="minorHAnsi"/>
          <w:color w:val="auto"/>
          <w:szCs w:val="22"/>
        </w:rPr>
        <w:t>.49</w:t>
      </w:r>
      <w:r w:rsidR="007C347A" w:rsidRPr="0057092E">
        <w:rPr>
          <w:rFonts w:asciiTheme="minorHAnsi" w:eastAsiaTheme="majorEastAsia" w:hAnsiTheme="minorHAnsi" w:cstheme="minorHAnsi"/>
          <w:color w:val="auto"/>
          <w:szCs w:val="22"/>
        </w:rPr>
        <w:t xml:space="preserve">% learned diversified food production techniques. </w:t>
      </w:r>
      <w:r w:rsidRPr="0057092E">
        <w:rPr>
          <w:rFonts w:asciiTheme="minorHAnsi" w:eastAsiaTheme="majorEastAsia" w:hAnsiTheme="minorHAnsi" w:cstheme="minorHAnsi"/>
          <w:color w:val="auto"/>
          <w:szCs w:val="22"/>
        </w:rPr>
        <w:t xml:space="preserve">Farmers in Khulna reported higher levels of learning compared to </w:t>
      </w:r>
      <w:r w:rsidR="00FA1D9D" w:rsidRPr="0057092E">
        <w:rPr>
          <w:rFonts w:asciiTheme="minorHAnsi" w:eastAsiaTheme="majorEastAsia" w:hAnsiTheme="minorHAnsi" w:cstheme="minorHAnsi"/>
          <w:color w:val="auto"/>
          <w:szCs w:val="22"/>
        </w:rPr>
        <w:t xml:space="preserve">those in </w:t>
      </w:r>
      <w:r w:rsidRPr="0057092E">
        <w:rPr>
          <w:rFonts w:asciiTheme="minorHAnsi" w:eastAsiaTheme="majorEastAsia" w:hAnsiTheme="minorHAnsi" w:cstheme="minorHAnsi"/>
          <w:color w:val="auto"/>
          <w:szCs w:val="22"/>
        </w:rPr>
        <w:t>Faridpur</w:t>
      </w:r>
      <w:r w:rsidR="007C347A" w:rsidRPr="0057092E">
        <w:rPr>
          <w:rFonts w:asciiTheme="minorHAnsi" w:eastAsiaTheme="majorEastAsia" w:hAnsiTheme="minorHAnsi" w:cstheme="minorHAnsi"/>
          <w:color w:val="auto"/>
          <w:szCs w:val="22"/>
        </w:rPr>
        <w:t xml:space="preserve">, </w:t>
      </w:r>
      <w:r w:rsidRPr="0057092E">
        <w:rPr>
          <w:rFonts w:asciiTheme="minorHAnsi" w:eastAsiaTheme="majorEastAsia" w:hAnsiTheme="minorHAnsi" w:cstheme="minorHAnsi"/>
          <w:color w:val="auto"/>
          <w:szCs w:val="22"/>
        </w:rPr>
        <w:t>particularly for safe food production and consumption (80</w:t>
      </w:r>
      <w:r w:rsidR="006D3AD6" w:rsidRPr="0057092E">
        <w:rPr>
          <w:rFonts w:asciiTheme="minorHAnsi" w:eastAsiaTheme="majorEastAsia" w:hAnsiTheme="minorHAnsi" w:cstheme="minorHAnsi"/>
          <w:color w:val="auto"/>
          <w:szCs w:val="22"/>
        </w:rPr>
        <w:t>.34</w:t>
      </w:r>
      <w:r w:rsidRPr="0057092E">
        <w:rPr>
          <w:rFonts w:asciiTheme="minorHAnsi" w:eastAsiaTheme="majorEastAsia" w:hAnsiTheme="minorHAnsi" w:cstheme="minorHAnsi"/>
          <w:color w:val="auto"/>
          <w:szCs w:val="22"/>
        </w:rPr>
        <w:t>% vs. 5</w:t>
      </w:r>
      <w:r w:rsidR="006D3AD6" w:rsidRPr="0057092E">
        <w:rPr>
          <w:rFonts w:asciiTheme="minorHAnsi" w:eastAsiaTheme="majorEastAsia" w:hAnsiTheme="minorHAnsi" w:cstheme="minorHAnsi"/>
          <w:color w:val="auto"/>
          <w:szCs w:val="22"/>
        </w:rPr>
        <w:t>3.68</w:t>
      </w:r>
      <w:r w:rsidRPr="0057092E">
        <w:rPr>
          <w:rFonts w:asciiTheme="minorHAnsi" w:eastAsiaTheme="majorEastAsia" w:hAnsiTheme="minorHAnsi" w:cstheme="minorHAnsi"/>
          <w:color w:val="auto"/>
          <w:szCs w:val="22"/>
        </w:rPr>
        <w:t>%) and nutritious food production and consumption (86</w:t>
      </w:r>
      <w:r w:rsidR="006D3AD6" w:rsidRPr="0057092E">
        <w:rPr>
          <w:rFonts w:asciiTheme="minorHAnsi" w:eastAsiaTheme="majorEastAsia" w:hAnsiTheme="minorHAnsi" w:cstheme="minorHAnsi"/>
          <w:color w:val="auto"/>
          <w:szCs w:val="22"/>
        </w:rPr>
        <w:t>.32</w:t>
      </w:r>
      <w:r w:rsidRPr="0057092E">
        <w:rPr>
          <w:rFonts w:asciiTheme="minorHAnsi" w:eastAsiaTheme="majorEastAsia" w:hAnsiTheme="minorHAnsi" w:cstheme="minorHAnsi"/>
          <w:color w:val="auto"/>
          <w:szCs w:val="22"/>
        </w:rPr>
        <w:t>% vs. 75</w:t>
      </w:r>
      <w:r w:rsidR="006D3AD6" w:rsidRPr="0057092E">
        <w:rPr>
          <w:rFonts w:asciiTheme="minorHAnsi" w:eastAsiaTheme="majorEastAsia" w:hAnsiTheme="minorHAnsi" w:cstheme="minorHAnsi"/>
          <w:color w:val="auto"/>
          <w:szCs w:val="22"/>
        </w:rPr>
        <w:t>.09</w:t>
      </w:r>
      <w:r w:rsidRPr="0057092E">
        <w:rPr>
          <w:rFonts w:asciiTheme="minorHAnsi" w:eastAsiaTheme="majorEastAsia" w:hAnsiTheme="minorHAnsi" w:cstheme="minorHAnsi"/>
          <w:color w:val="auto"/>
          <w:szCs w:val="22"/>
        </w:rPr>
        <w:t>%)</w:t>
      </w:r>
      <w:r w:rsidR="007C347A" w:rsidRPr="0057092E">
        <w:rPr>
          <w:rFonts w:asciiTheme="minorHAnsi" w:eastAsiaTheme="majorEastAsia" w:hAnsiTheme="minorHAnsi" w:cstheme="minorHAnsi"/>
          <w:color w:val="auto"/>
          <w:szCs w:val="22"/>
        </w:rPr>
        <w:t xml:space="preserve">, </w:t>
      </w:r>
      <w:r w:rsidRPr="0057092E">
        <w:rPr>
          <w:rFonts w:asciiTheme="minorHAnsi" w:eastAsiaTheme="majorEastAsia" w:hAnsiTheme="minorHAnsi" w:cstheme="minorHAnsi"/>
          <w:color w:val="auto"/>
          <w:szCs w:val="22"/>
        </w:rPr>
        <w:t>indicat</w:t>
      </w:r>
      <w:r w:rsidR="007C347A" w:rsidRPr="0057092E">
        <w:rPr>
          <w:rFonts w:asciiTheme="minorHAnsi" w:eastAsiaTheme="majorEastAsia" w:hAnsiTheme="minorHAnsi" w:cstheme="minorHAnsi"/>
          <w:color w:val="auto"/>
          <w:szCs w:val="22"/>
        </w:rPr>
        <w:t>ing</w:t>
      </w:r>
      <w:r w:rsidRPr="0057092E">
        <w:rPr>
          <w:rFonts w:asciiTheme="minorHAnsi" w:eastAsiaTheme="majorEastAsia" w:hAnsiTheme="minorHAnsi" w:cstheme="minorHAnsi"/>
          <w:color w:val="auto"/>
          <w:szCs w:val="22"/>
        </w:rPr>
        <w:t xml:space="preserve"> effective engagement of agro-input companies in Khulna.</w:t>
      </w:r>
      <w:r w:rsidR="007C347A" w:rsidRPr="0057092E">
        <w:rPr>
          <w:rFonts w:asciiTheme="minorHAnsi" w:eastAsiaTheme="majorEastAsia" w:hAnsiTheme="minorHAnsi" w:cstheme="minorHAnsi"/>
          <w:color w:val="auto"/>
          <w:szCs w:val="22"/>
        </w:rPr>
        <w:t xml:space="preserve"> </w:t>
      </w:r>
    </w:p>
    <w:p w14:paraId="7028A953" w14:textId="77777777" w:rsidR="007D5779" w:rsidRPr="0057092E" w:rsidRDefault="007D5779" w:rsidP="002B4B6D">
      <w:pPr>
        <w:spacing w:after="0"/>
        <w:rPr>
          <w:rFonts w:asciiTheme="minorHAnsi" w:eastAsiaTheme="majorEastAsia" w:hAnsiTheme="minorHAnsi" w:cstheme="minorHAnsi"/>
          <w:color w:val="auto"/>
          <w:szCs w:val="22"/>
        </w:rPr>
      </w:pPr>
    </w:p>
    <w:p w14:paraId="38B35030" w14:textId="5F54DBC9" w:rsidR="000C15DD" w:rsidRPr="0057092E" w:rsidRDefault="000C15DD" w:rsidP="002B4B6D">
      <w:pPr>
        <w:pStyle w:val="Caption"/>
        <w:keepNext/>
        <w:spacing w:after="0"/>
        <w:rPr>
          <w:rFonts w:asciiTheme="minorHAnsi" w:hAnsiTheme="minorHAnsi" w:cstheme="minorHAnsi"/>
          <w:szCs w:val="22"/>
        </w:rPr>
      </w:pPr>
      <w:r w:rsidRPr="0057092E">
        <w:rPr>
          <w:rFonts w:asciiTheme="minorHAnsi" w:hAnsiTheme="minorHAnsi" w:cstheme="minorHAnsi"/>
          <w:szCs w:val="22"/>
        </w:rPr>
        <w:t xml:space="preserve">Table </w:t>
      </w:r>
      <w:r w:rsidRPr="0057092E">
        <w:rPr>
          <w:rFonts w:asciiTheme="minorHAnsi" w:hAnsiTheme="minorHAnsi" w:cstheme="minorHAnsi"/>
          <w:szCs w:val="22"/>
        </w:rPr>
        <w:fldChar w:fldCharType="begin"/>
      </w:r>
      <w:r w:rsidRPr="0057092E">
        <w:rPr>
          <w:rFonts w:asciiTheme="minorHAnsi" w:hAnsiTheme="minorHAnsi" w:cstheme="minorHAnsi"/>
          <w:szCs w:val="22"/>
        </w:rPr>
        <w:instrText xml:space="preserve"> SEQ Table \* ARABIC </w:instrText>
      </w:r>
      <w:r w:rsidRPr="0057092E">
        <w:rPr>
          <w:rFonts w:asciiTheme="minorHAnsi" w:hAnsiTheme="minorHAnsi" w:cstheme="minorHAnsi"/>
          <w:szCs w:val="22"/>
        </w:rPr>
        <w:fldChar w:fldCharType="separate"/>
      </w:r>
      <w:r w:rsidR="00F65D55" w:rsidRPr="0057092E">
        <w:rPr>
          <w:rFonts w:asciiTheme="minorHAnsi" w:hAnsiTheme="minorHAnsi" w:cstheme="minorHAnsi"/>
          <w:szCs w:val="22"/>
        </w:rPr>
        <w:t>1</w:t>
      </w:r>
      <w:r w:rsidRPr="0057092E">
        <w:rPr>
          <w:rFonts w:asciiTheme="minorHAnsi" w:hAnsiTheme="minorHAnsi" w:cstheme="minorHAnsi"/>
          <w:szCs w:val="22"/>
        </w:rPr>
        <w:fldChar w:fldCharType="end"/>
      </w:r>
      <w:r w:rsidRPr="0057092E">
        <w:rPr>
          <w:rFonts w:asciiTheme="minorHAnsi" w:hAnsiTheme="minorHAnsi" w:cstheme="minorHAnsi"/>
          <w:szCs w:val="22"/>
        </w:rPr>
        <w:t>:</w:t>
      </w:r>
      <w:r w:rsidR="002B5B52" w:rsidRPr="0057092E">
        <w:rPr>
          <w:rFonts w:asciiTheme="minorHAnsi" w:hAnsiTheme="minorHAnsi" w:cstheme="minorHAnsi"/>
          <w:szCs w:val="22"/>
        </w:rPr>
        <w:t xml:space="preserve"> </w:t>
      </w:r>
      <w:r w:rsidRPr="0057092E">
        <w:rPr>
          <w:rFonts w:asciiTheme="minorHAnsi" w:hAnsiTheme="minorHAnsi" w:cstheme="minorHAnsi"/>
          <w:szCs w:val="22"/>
        </w:rPr>
        <w:t>Farmers reported learning from agro-inputs companies</w:t>
      </w:r>
    </w:p>
    <w:tbl>
      <w:tblPr>
        <w:tblW w:w="8980" w:type="dxa"/>
        <w:tblLook w:val="04A0" w:firstRow="1" w:lastRow="0" w:firstColumn="1" w:lastColumn="0" w:noHBand="0" w:noVBand="1"/>
      </w:tblPr>
      <w:tblGrid>
        <w:gridCol w:w="4950"/>
        <w:gridCol w:w="1383"/>
        <w:gridCol w:w="1322"/>
        <w:gridCol w:w="1325"/>
      </w:tblGrid>
      <w:tr w:rsidR="0057092E" w:rsidRPr="0057092E" w14:paraId="71C75C52" w14:textId="77777777" w:rsidTr="00F914A0">
        <w:trPr>
          <w:trHeight w:val="179"/>
        </w:trPr>
        <w:tc>
          <w:tcPr>
            <w:tcW w:w="4950" w:type="dxa"/>
            <w:tcBorders>
              <w:top w:val="single" w:sz="4" w:space="0" w:color="auto"/>
              <w:left w:val="nil"/>
              <w:bottom w:val="single" w:sz="4" w:space="0" w:color="auto"/>
              <w:right w:val="nil"/>
            </w:tcBorders>
            <w:noWrap/>
            <w:vAlign w:val="center"/>
            <w:hideMark/>
          </w:tcPr>
          <w:p w14:paraId="4B262D7D" w14:textId="2C4522E8" w:rsidR="003E2FD8" w:rsidRPr="0057092E" w:rsidRDefault="003E2FD8" w:rsidP="002B4B6D">
            <w:pPr>
              <w:autoSpaceDE/>
              <w:autoSpaceDN/>
              <w:adjustRightInd/>
              <w:spacing w:after="0"/>
              <w:jc w:val="left"/>
              <w:rPr>
                <w:rFonts w:asciiTheme="minorHAnsi" w:eastAsia="Times New Roman" w:hAnsiTheme="minorHAnsi" w:cstheme="minorHAnsi"/>
                <w:bCs/>
                <w:noProof w:val="0"/>
                <w:color w:val="auto"/>
                <w:szCs w:val="22"/>
              </w:rPr>
            </w:pPr>
            <w:r w:rsidRPr="0057092E">
              <w:rPr>
                <w:rFonts w:asciiTheme="minorHAnsi" w:eastAsia="Times New Roman" w:hAnsiTheme="minorHAnsi" w:cstheme="minorHAnsi"/>
                <w:bCs/>
                <w:noProof w:val="0"/>
                <w:color w:val="auto"/>
                <w:szCs w:val="22"/>
              </w:rPr>
              <w:t>Farmers report</w:t>
            </w:r>
            <w:r w:rsidR="000C15DD" w:rsidRPr="0057092E">
              <w:rPr>
                <w:rFonts w:asciiTheme="minorHAnsi" w:eastAsia="Times New Roman" w:hAnsiTheme="minorHAnsi" w:cstheme="minorHAnsi"/>
                <w:bCs/>
                <w:noProof w:val="0"/>
                <w:color w:val="auto"/>
                <w:szCs w:val="22"/>
              </w:rPr>
              <w:t>ed</w:t>
            </w:r>
            <w:r w:rsidRPr="0057092E">
              <w:rPr>
                <w:rFonts w:asciiTheme="minorHAnsi" w:eastAsia="Times New Roman" w:hAnsiTheme="minorHAnsi" w:cstheme="minorHAnsi"/>
                <w:bCs/>
                <w:noProof w:val="0"/>
                <w:color w:val="auto"/>
                <w:szCs w:val="22"/>
              </w:rPr>
              <w:t xml:space="preserve"> learn</w:t>
            </w:r>
            <w:r w:rsidR="000C15DD" w:rsidRPr="0057092E">
              <w:rPr>
                <w:rFonts w:asciiTheme="minorHAnsi" w:eastAsia="Times New Roman" w:hAnsiTheme="minorHAnsi" w:cstheme="minorHAnsi"/>
                <w:bCs/>
                <w:noProof w:val="0"/>
                <w:color w:val="auto"/>
                <w:szCs w:val="22"/>
              </w:rPr>
              <w:t>ing</w:t>
            </w:r>
            <w:r w:rsidRPr="0057092E">
              <w:rPr>
                <w:rFonts w:asciiTheme="minorHAnsi" w:eastAsia="Times New Roman" w:hAnsiTheme="minorHAnsi" w:cstheme="minorHAnsi"/>
                <w:bCs/>
                <w:noProof w:val="0"/>
                <w:color w:val="auto"/>
                <w:szCs w:val="22"/>
              </w:rPr>
              <w:t xml:space="preserve"> from agro-inputs companies</w:t>
            </w:r>
          </w:p>
        </w:tc>
        <w:tc>
          <w:tcPr>
            <w:tcW w:w="1383" w:type="dxa"/>
            <w:tcBorders>
              <w:top w:val="single" w:sz="4" w:space="0" w:color="auto"/>
              <w:left w:val="nil"/>
              <w:bottom w:val="single" w:sz="4" w:space="0" w:color="auto"/>
              <w:right w:val="nil"/>
            </w:tcBorders>
            <w:noWrap/>
            <w:vAlign w:val="center"/>
            <w:hideMark/>
          </w:tcPr>
          <w:p w14:paraId="12ABE004" w14:textId="11B2DC62" w:rsidR="003E2FD8" w:rsidRPr="0057092E" w:rsidRDefault="003E2FD8"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Faridpur</w:t>
            </w:r>
            <w:r w:rsidR="003C5C33" w:rsidRPr="0057092E">
              <w:rPr>
                <w:rFonts w:asciiTheme="minorHAnsi" w:eastAsia="Times New Roman" w:hAnsiTheme="minorHAnsi" w:cstheme="minorHAnsi"/>
                <w:noProof w:val="0"/>
                <w:color w:val="auto"/>
                <w:szCs w:val="22"/>
              </w:rPr>
              <w:t xml:space="preserve"> </w:t>
            </w:r>
            <w:r w:rsidR="000005E5" w:rsidRPr="0057092E">
              <w:rPr>
                <w:rFonts w:asciiTheme="minorHAnsi" w:eastAsia="Times New Roman" w:hAnsiTheme="minorHAnsi" w:cstheme="minorHAnsi"/>
                <w:noProof w:val="0"/>
                <w:color w:val="auto"/>
                <w:szCs w:val="22"/>
              </w:rPr>
              <w:t>(n=</w:t>
            </w:r>
            <w:r w:rsidR="00505508" w:rsidRPr="0057092E">
              <w:rPr>
                <w:rFonts w:asciiTheme="minorHAnsi" w:eastAsia="Times New Roman" w:hAnsiTheme="minorHAnsi" w:cstheme="minorHAnsi"/>
                <w:noProof w:val="0"/>
                <w:color w:val="auto"/>
                <w:szCs w:val="22"/>
              </w:rPr>
              <w:t>192)</w:t>
            </w:r>
          </w:p>
        </w:tc>
        <w:tc>
          <w:tcPr>
            <w:tcW w:w="1322" w:type="dxa"/>
            <w:tcBorders>
              <w:top w:val="single" w:sz="4" w:space="0" w:color="auto"/>
              <w:left w:val="nil"/>
              <w:bottom w:val="single" w:sz="4" w:space="0" w:color="auto"/>
              <w:right w:val="nil"/>
            </w:tcBorders>
            <w:noWrap/>
            <w:vAlign w:val="center"/>
            <w:hideMark/>
          </w:tcPr>
          <w:p w14:paraId="66BDB77E" w14:textId="20826AC9" w:rsidR="003E2FD8" w:rsidRPr="0057092E" w:rsidRDefault="003E2FD8"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Khulna</w:t>
            </w:r>
            <w:r w:rsidR="003C5C33" w:rsidRPr="0057092E">
              <w:rPr>
                <w:rFonts w:asciiTheme="minorHAnsi" w:eastAsia="Times New Roman" w:hAnsiTheme="minorHAnsi" w:cstheme="minorHAnsi"/>
                <w:noProof w:val="0"/>
                <w:color w:val="auto"/>
                <w:szCs w:val="22"/>
              </w:rPr>
              <w:t xml:space="preserve"> </w:t>
            </w:r>
            <w:r w:rsidR="00505508" w:rsidRPr="0057092E">
              <w:rPr>
                <w:rFonts w:asciiTheme="minorHAnsi" w:eastAsia="Times New Roman" w:hAnsiTheme="minorHAnsi" w:cstheme="minorHAnsi"/>
                <w:noProof w:val="0"/>
                <w:color w:val="auto"/>
                <w:szCs w:val="22"/>
              </w:rPr>
              <w:t>(n=193)</w:t>
            </w:r>
          </w:p>
        </w:tc>
        <w:tc>
          <w:tcPr>
            <w:tcW w:w="1325" w:type="dxa"/>
            <w:tcBorders>
              <w:top w:val="single" w:sz="4" w:space="0" w:color="auto"/>
              <w:left w:val="nil"/>
              <w:bottom w:val="single" w:sz="4" w:space="0" w:color="auto"/>
              <w:right w:val="nil"/>
            </w:tcBorders>
            <w:noWrap/>
            <w:vAlign w:val="center"/>
            <w:hideMark/>
          </w:tcPr>
          <w:p w14:paraId="0F141D71" w14:textId="77777777" w:rsidR="003E2FD8" w:rsidRPr="0057092E" w:rsidRDefault="003E2FD8"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Total</w:t>
            </w:r>
            <w:r w:rsidR="003C5C33" w:rsidRPr="0057092E">
              <w:rPr>
                <w:rFonts w:asciiTheme="minorHAnsi" w:eastAsia="Times New Roman" w:hAnsiTheme="minorHAnsi" w:cstheme="minorHAnsi"/>
                <w:noProof w:val="0"/>
                <w:color w:val="auto"/>
                <w:szCs w:val="22"/>
              </w:rPr>
              <w:t xml:space="preserve"> </w:t>
            </w:r>
          </w:p>
          <w:p w14:paraId="173545E7" w14:textId="38C656E0" w:rsidR="00505508" w:rsidRPr="0057092E" w:rsidRDefault="00505508"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(n=385)</w:t>
            </w:r>
          </w:p>
        </w:tc>
      </w:tr>
      <w:tr w:rsidR="0057092E" w:rsidRPr="0057092E" w14:paraId="3FCB5D4A" w14:textId="77777777" w:rsidTr="00F914A0">
        <w:trPr>
          <w:trHeight w:val="179"/>
        </w:trPr>
        <w:tc>
          <w:tcPr>
            <w:tcW w:w="4950" w:type="dxa"/>
            <w:tcBorders>
              <w:top w:val="single" w:sz="4" w:space="0" w:color="auto"/>
              <w:left w:val="nil"/>
              <w:bottom w:val="nil"/>
              <w:right w:val="nil"/>
            </w:tcBorders>
            <w:noWrap/>
            <w:vAlign w:val="bottom"/>
            <w:hideMark/>
          </w:tcPr>
          <w:p w14:paraId="082DB8D8" w14:textId="77777777"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Diversified food production techniques</w:t>
            </w:r>
          </w:p>
        </w:tc>
        <w:tc>
          <w:tcPr>
            <w:tcW w:w="1383" w:type="dxa"/>
            <w:tcBorders>
              <w:top w:val="single" w:sz="4" w:space="0" w:color="auto"/>
              <w:left w:val="nil"/>
              <w:bottom w:val="nil"/>
              <w:right w:val="nil"/>
            </w:tcBorders>
            <w:noWrap/>
            <w:hideMark/>
          </w:tcPr>
          <w:p w14:paraId="5D18DE1B" w14:textId="30521C25"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47.72</w:t>
            </w:r>
            <w:r w:rsidR="000E2F54" w:rsidRPr="0057092E">
              <w:rPr>
                <w:rFonts w:asciiTheme="minorHAnsi" w:hAnsiTheme="minorHAnsi" w:cstheme="minorHAnsi"/>
                <w:color w:val="auto"/>
                <w:szCs w:val="22"/>
              </w:rPr>
              <w:t>%</w:t>
            </w:r>
          </w:p>
        </w:tc>
        <w:tc>
          <w:tcPr>
            <w:tcW w:w="1322" w:type="dxa"/>
            <w:tcBorders>
              <w:top w:val="single" w:sz="4" w:space="0" w:color="auto"/>
              <w:left w:val="nil"/>
              <w:bottom w:val="nil"/>
              <w:right w:val="nil"/>
            </w:tcBorders>
            <w:noWrap/>
            <w:hideMark/>
          </w:tcPr>
          <w:p w14:paraId="1E0D8F06" w14:textId="2F5CD8DB"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57.26</w:t>
            </w:r>
            <w:r w:rsidR="000E2F54" w:rsidRPr="0057092E">
              <w:rPr>
                <w:rFonts w:asciiTheme="minorHAnsi" w:hAnsiTheme="minorHAnsi" w:cstheme="minorHAnsi"/>
                <w:color w:val="auto"/>
                <w:szCs w:val="22"/>
              </w:rPr>
              <w:t>%</w:t>
            </w:r>
          </w:p>
        </w:tc>
        <w:tc>
          <w:tcPr>
            <w:tcW w:w="1325" w:type="dxa"/>
            <w:tcBorders>
              <w:top w:val="single" w:sz="4" w:space="0" w:color="auto"/>
              <w:left w:val="nil"/>
              <w:bottom w:val="nil"/>
              <w:right w:val="nil"/>
            </w:tcBorders>
            <w:noWrap/>
            <w:hideMark/>
          </w:tcPr>
          <w:p w14:paraId="09348B29" w14:textId="531F09E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52.49</w:t>
            </w:r>
            <w:r w:rsidR="000E2F54" w:rsidRPr="0057092E">
              <w:rPr>
                <w:rFonts w:asciiTheme="minorHAnsi" w:hAnsiTheme="minorHAnsi" w:cstheme="minorHAnsi"/>
                <w:color w:val="auto"/>
                <w:szCs w:val="22"/>
              </w:rPr>
              <w:t>%</w:t>
            </w:r>
          </w:p>
        </w:tc>
      </w:tr>
      <w:tr w:rsidR="0057092E" w:rsidRPr="0057092E" w14:paraId="19E641B7" w14:textId="77777777" w:rsidTr="00F914A0">
        <w:trPr>
          <w:trHeight w:val="179"/>
        </w:trPr>
        <w:tc>
          <w:tcPr>
            <w:tcW w:w="4950" w:type="dxa"/>
            <w:tcBorders>
              <w:top w:val="nil"/>
              <w:left w:val="nil"/>
              <w:bottom w:val="nil"/>
              <w:right w:val="nil"/>
            </w:tcBorders>
            <w:noWrap/>
            <w:vAlign w:val="bottom"/>
            <w:hideMark/>
          </w:tcPr>
          <w:p w14:paraId="77C6BEF7" w14:textId="52763F98"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lastRenderedPageBreak/>
              <w:t>Nutritious food production and consumption</w:t>
            </w:r>
          </w:p>
        </w:tc>
        <w:tc>
          <w:tcPr>
            <w:tcW w:w="1383" w:type="dxa"/>
            <w:tcBorders>
              <w:top w:val="nil"/>
              <w:left w:val="nil"/>
              <w:bottom w:val="nil"/>
              <w:right w:val="nil"/>
            </w:tcBorders>
            <w:noWrap/>
            <w:hideMark/>
          </w:tcPr>
          <w:p w14:paraId="1E98F6D4" w14:textId="4D073A0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75.09</w:t>
            </w:r>
            <w:r w:rsidR="000E2F54" w:rsidRPr="0057092E">
              <w:rPr>
                <w:rFonts w:asciiTheme="minorHAnsi" w:hAnsiTheme="minorHAnsi" w:cstheme="minorHAnsi"/>
                <w:color w:val="auto"/>
                <w:szCs w:val="22"/>
              </w:rPr>
              <w:t>%</w:t>
            </w:r>
          </w:p>
        </w:tc>
        <w:tc>
          <w:tcPr>
            <w:tcW w:w="1322" w:type="dxa"/>
            <w:tcBorders>
              <w:top w:val="nil"/>
              <w:left w:val="nil"/>
              <w:bottom w:val="nil"/>
              <w:right w:val="nil"/>
            </w:tcBorders>
            <w:noWrap/>
            <w:hideMark/>
          </w:tcPr>
          <w:p w14:paraId="6D41E879" w14:textId="4B48A8FF"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86.32</w:t>
            </w:r>
            <w:r w:rsidR="000E2F54" w:rsidRPr="0057092E">
              <w:rPr>
                <w:rFonts w:asciiTheme="minorHAnsi" w:hAnsiTheme="minorHAnsi" w:cstheme="minorHAnsi"/>
                <w:color w:val="auto"/>
                <w:szCs w:val="22"/>
              </w:rPr>
              <w:t>%</w:t>
            </w:r>
          </w:p>
        </w:tc>
        <w:tc>
          <w:tcPr>
            <w:tcW w:w="1325" w:type="dxa"/>
            <w:tcBorders>
              <w:top w:val="nil"/>
              <w:left w:val="nil"/>
              <w:bottom w:val="nil"/>
              <w:right w:val="nil"/>
            </w:tcBorders>
            <w:noWrap/>
            <w:hideMark/>
          </w:tcPr>
          <w:p w14:paraId="14805269" w14:textId="5C3453C7"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80.71</w:t>
            </w:r>
            <w:r w:rsidR="000E2F54" w:rsidRPr="0057092E">
              <w:rPr>
                <w:rFonts w:asciiTheme="minorHAnsi" w:hAnsiTheme="minorHAnsi" w:cstheme="minorHAnsi"/>
                <w:color w:val="auto"/>
                <w:szCs w:val="22"/>
              </w:rPr>
              <w:t>%</w:t>
            </w:r>
          </w:p>
        </w:tc>
      </w:tr>
      <w:tr w:rsidR="0057092E" w:rsidRPr="0057092E" w14:paraId="7E064B19" w14:textId="77777777" w:rsidTr="00F914A0">
        <w:trPr>
          <w:trHeight w:val="179"/>
        </w:trPr>
        <w:tc>
          <w:tcPr>
            <w:tcW w:w="4950" w:type="dxa"/>
            <w:tcBorders>
              <w:top w:val="nil"/>
              <w:left w:val="nil"/>
              <w:bottom w:val="nil"/>
              <w:right w:val="nil"/>
            </w:tcBorders>
            <w:noWrap/>
            <w:vAlign w:val="bottom"/>
            <w:hideMark/>
          </w:tcPr>
          <w:p w14:paraId="3173CC78" w14:textId="1D7286C2"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Safe food production and consumption</w:t>
            </w:r>
          </w:p>
        </w:tc>
        <w:tc>
          <w:tcPr>
            <w:tcW w:w="1383" w:type="dxa"/>
            <w:tcBorders>
              <w:top w:val="nil"/>
              <w:left w:val="nil"/>
              <w:bottom w:val="nil"/>
              <w:right w:val="nil"/>
            </w:tcBorders>
            <w:noWrap/>
            <w:hideMark/>
          </w:tcPr>
          <w:p w14:paraId="4277D9E8" w14:textId="414DAB9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53.68</w:t>
            </w:r>
            <w:r w:rsidR="000E2F54" w:rsidRPr="0057092E">
              <w:rPr>
                <w:rFonts w:asciiTheme="minorHAnsi" w:hAnsiTheme="minorHAnsi" w:cstheme="minorHAnsi"/>
                <w:color w:val="auto"/>
                <w:szCs w:val="22"/>
              </w:rPr>
              <w:t>%</w:t>
            </w:r>
          </w:p>
        </w:tc>
        <w:tc>
          <w:tcPr>
            <w:tcW w:w="1322" w:type="dxa"/>
            <w:tcBorders>
              <w:top w:val="nil"/>
              <w:left w:val="nil"/>
              <w:bottom w:val="nil"/>
              <w:right w:val="nil"/>
            </w:tcBorders>
            <w:noWrap/>
            <w:hideMark/>
          </w:tcPr>
          <w:p w14:paraId="0AEF699C" w14:textId="0AE4ADA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80.34</w:t>
            </w:r>
            <w:r w:rsidR="000E2F54" w:rsidRPr="0057092E">
              <w:rPr>
                <w:rFonts w:asciiTheme="minorHAnsi" w:hAnsiTheme="minorHAnsi" w:cstheme="minorHAnsi"/>
                <w:color w:val="auto"/>
                <w:szCs w:val="22"/>
              </w:rPr>
              <w:t>%</w:t>
            </w:r>
          </w:p>
        </w:tc>
        <w:tc>
          <w:tcPr>
            <w:tcW w:w="1325" w:type="dxa"/>
            <w:tcBorders>
              <w:top w:val="nil"/>
              <w:left w:val="nil"/>
              <w:bottom w:val="nil"/>
              <w:right w:val="nil"/>
            </w:tcBorders>
            <w:noWrap/>
            <w:hideMark/>
          </w:tcPr>
          <w:p w14:paraId="1DB32E5C" w14:textId="2B831E2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67.00</w:t>
            </w:r>
            <w:r w:rsidR="000E2F54" w:rsidRPr="0057092E">
              <w:rPr>
                <w:rFonts w:asciiTheme="minorHAnsi" w:hAnsiTheme="minorHAnsi" w:cstheme="minorHAnsi"/>
                <w:color w:val="auto"/>
                <w:szCs w:val="22"/>
              </w:rPr>
              <w:t>%</w:t>
            </w:r>
          </w:p>
        </w:tc>
      </w:tr>
      <w:tr w:rsidR="0057092E" w:rsidRPr="0057092E" w14:paraId="7120B6EA" w14:textId="77777777" w:rsidTr="00F914A0">
        <w:trPr>
          <w:trHeight w:val="179"/>
        </w:trPr>
        <w:tc>
          <w:tcPr>
            <w:tcW w:w="4950" w:type="dxa"/>
            <w:tcBorders>
              <w:top w:val="nil"/>
              <w:left w:val="nil"/>
              <w:bottom w:val="nil"/>
              <w:right w:val="nil"/>
            </w:tcBorders>
            <w:noWrap/>
            <w:vAlign w:val="bottom"/>
            <w:hideMark/>
          </w:tcPr>
          <w:p w14:paraId="527BE974" w14:textId="77777777"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Homestead gardening</w:t>
            </w:r>
          </w:p>
        </w:tc>
        <w:tc>
          <w:tcPr>
            <w:tcW w:w="1383" w:type="dxa"/>
            <w:tcBorders>
              <w:top w:val="nil"/>
              <w:left w:val="nil"/>
              <w:bottom w:val="nil"/>
              <w:right w:val="nil"/>
            </w:tcBorders>
            <w:noWrap/>
            <w:hideMark/>
          </w:tcPr>
          <w:p w14:paraId="76B7EC37" w14:textId="3F76DF8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87.37</w:t>
            </w:r>
            <w:r w:rsidR="000E2F54" w:rsidRPr="0057092E">
              <w:rPr>
                <w:rFonts w:asciiTheme="minorHAnsi" w:hAnsiTheme="minorHAnsi" w:cstheme="minorHAnsi"/>
                <w:color w:val="auto"/>
                <w:szCs w:val="22"/>
              </w:rPr>
              <w:t>%</w:t>
            </w:r>
          </w:p>
        </w:tc>
        <w:tc>
          <w:tcPr>
            <w:tcW w:w="1322" w:type="dxa"/>
            <w:tcBorders>
              <w:top w:val="nil"/>
              <w:left w:val="nil"/>
              <w:bottom w:val="nil"/>
              <w:right w:val="nil"/>
            </w:tcBorders>
            <w:noWrap/>
            <w:hideMark/>
          </w:tcPr>
          <w:p w14:paraId="08EDFB76" w14:textId="36358666"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90.60</w:t>
            </w:r>
            <w:r w:rsidR="000E2F54" w:rsidRPr="0057092E">
              <w:rPr>
                <w:rFonts w:asciiTheme="minorHAnsi" w:hAnsiTheme="minorHAnsi" w:cstheme="minorHAnsi"/>
                <w:color w:val="auto"/>
                <w:szCs w:val="22"/>
              </w:rPr>
              <w:t>%</w:t>
            </w:r>
          </w:p>
        </w:tc>
        <w:tc>
          <w:tcPr>
            <w:tcW w:w="1325" w:type="dxa"/>
            <w:tcBorders>
              <w:top w:val="nil"/>
              <w:left w:val="nil"/>
              <w:bottom w:val="nil"/>
              <w:right w:val="nil"/>
            </w:tcBorders>
            <w:noWrap/>
            <w:hideMark/>
          </w:tcPr>
          <w:p w14:paraId="2CD48C8D" w14:textId="43FA8D9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89.00</w:t>
            </w:r>
            <w:r w:rsidR="000E2F54" w:rsidRPr="0057092E">
              <w:rPr>
                <w:rFonts w:asciiTheme="minorHAnsi" w:hAnsiTheme="minorHAnsi" w:cstheme="minorHAnsi"/>
                <w:color w:val="auto"/>
                <w:szCs w:val="22"/>
              </w:rPr>
              <w:t>%</w:t>
            </w:r>
          </w:p>
        </w:tc>
      </w:tr>
      <w:tr w:rsidR="0057092E" w:rsidRPr="0057092E" w14:paraId="23810029" w14:textId="77777777" w:rsidTr="00F914A0">
        <w:trPr>
          <w:trHeight w:val="179"/>
        </w:trPr>
        <w:tc>
          <w:tcPr>
            <w:tcW w:w="4950" w:type="dxa"/>
            <w:tcBorders>
              <w:top w:val="nil"/>
              <w:left w:val="nil"/>
              <w:bottom w:val="nil"/>
              <w:right w:val="nil"/>
            </w:tcBorders>
            <w:noWrap/>
            <w:vAlign w:val="bottom"/>
            <w:hideMark/>
          </w:tcPr>
          <w:p w14:paraId="0F1629F8" w14:textId="77777777"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New technology</w:t>
            </w:r>
          </w:p>
        </w:tc>
        <w:tc>
          <w:tcPr>
            <w:tcW w:w="1383" w:type="dxa"/>
            <w:tcBorders>
              <w:top w:val="nil"/>
              <w:left w:val="nil"/>
              <w:bottom w:val="nil"/>
              <w:right w:val="nil"/>
            </w:tcBorders>
            <w:noWrap/>
            <w:hideMark/>
          </w:tcPr>
          <w:p w14:paraId="6054C56A" w14:textId="01116A0F"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77.89</w:t>
            </w:r>
            <w:r w:rsidR="000E2F54" w:rsidRPr="0057092E">
              <w:rPr>
                <w:rFonts w:asciiTheme="minorHAnsi" w:hAnsiTheme="minorHAnsi" w:cstheme="minorHAnsi"/>
                <w:color w:val="auto"/>
                <w:szCs w:val="22"/>
              </w:rPr>
              <w:t>%</w:t>
            </w:r>
          </w:p>
        </w:tc>
        <w:tc>
          <w:tcPr>
            <w:tcW w:w="1322" w:type="dxa"/>
            <w:tcBorders>
              <w:top w:val="nil"/>
              <w:left w:val="nil"/>
              <w:bottom w:val="nil"/>
              <w:right w:val="nil"/>
            </w:tcBorders>
            <w:noWrap/>
            <w:hideMark/>
          </w:tcPr>
          <w:p w14:paraId="2F2667CC" w14:textId="544035B4"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73.50</w:t>
            </w:r>
            <w:r w:rsidR="000E2F54" w:rsidRPr="0057092E">
              <w:rPr>
                <w:rFonts w:asciiTheme="minorHAnsi" w:hAnsiTheme="minorHAnsi" w:cstheme="minorHAnsi"/>
                <w:color w:val="auto"/>
                <w:szCs w:val="22"/>
              </w:rPr>
              <w:t>%</w:t>
            </w:r>
          </w:p>
        </w:tc>
        <w:tc>
          <w:tcPr>
            <w:tcW w:w="1325" w:type="dxa"/>
            <w:tcBorders>
              <w:top w:val="nil"/>
              <w:left w:val="nil"/>
              <w:bottom w:val="nil"/>
              <w:right w:val="nil"/>
            </w:tcBorders>
            <w:noWrap/>
            <w:hideMark/>
          </w:tcPr>
          <w:p w14:paraId="6F68D359" w14:textId="03F230D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75.70</w:t>
            </w:r>
            <w:r w:rsidR="000E2F54" w:rsidRPr="0057092E">
              <w:rPr>
                <w:rFonts w:asciiTheme="minorHAnsi" w:hAnsiTheme="minorHAnsi" w:cstheme="minorHAnsi"/>
                <w:color w:val="auto"/>
                <w:szCs w:val="22"/>
              </w:rPr>
              <w:t>%</w:t>
            </w:r>
          </w:p>
        </w:tc>
      </w:tr>
      <w:tr w:rsidR="0057092E" w:rsidRPr="0057092E" w14:paraId="05521D4E" w14:textId="77777777" w:rsidTr="00F914A0">
        <w:trPr>
          <w:trHeight w:val="179"/>
        </w:trPr>
        <w:tc>
          <w:tcPr>
            <w:tcW w:w="4950" w:type="dxa"/>
            <w:tcBorders>
              <w:top w:val="nil"/>
              <w:left w:val="nil"/>
              <w:bottom w:val="nil"/>
              <w:right w:val="nil"/>
            </w:tcBorders>
            <w:noWrap/>
            <w:vAlign w:val="bottom"/>
            <w:hideMark/>
          </w:tcPr>
          <w:p w14:paraId="26EFDE11" w14:textId="77777777"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Vegetable varieties</w:t>
            </w:r>
          </w:p>
        </w:tc>
        <w:tc>
          <w:tcPr>
            <w:tcW w:w="1383" w:type="dxa"/>
            <w:tcBorders>
              <w:top w:val="nil"/>
              <w:left w:val="nil"/>
              <w:bottom w:val="nil"/>
              <w:right w:val="nil"/>
            </w:tcBorders>
            <w:noWrap/>
            <w:hideMark/>
          </w:tcPr>
          <w:p w14:paraId="5B26FC5A" w14:textId="5013F9C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72.00</w:t>
            </w:r>
            <w:r w:rsidR="000E2F54" w:rsidRPr="0057092E">
              <w:rPr>
                <w:rFonts w:asciiTheme="minorHAnsi" w:hAnsiTheme="minorHAnsi" w:cstheme="minorHAnsi"/>
                <w:color w:val="auto"/>
                <w:szCs w:val="22"/>
              </w:rPr>
              <w:t>%</w:t>
            </w:r>
          </w:p>
        </w:tc>
        <w:tc>
          <w:tcPr>
            <w:tcW w:w="1322" w:type="dxa"/>
            <w:tcBorders>
              <w:top w:val="nil"/>
              <w:left w:val="nil"/>
              <w:bottom w:val="nil"/>
              <w:right w:val="nil"/>
            </w:tcBorders>
            <w:noWrap/>
            <w:hideMark/>
          </w:tcPr>
          <w:p w14:paraId="01AC0228" w14:textId="4F8A396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77.00</w:t>
            </w:r>
            <w:r w:rsidR="000E2F54" w:rsidRPr="0057092E">
              <w:rPr>
                <w:rFonts w:asciiTheme="minorHAnsi" w:hAnsiTheme="minorHAnsi" w:cstheme="minorHAnsi"/>
                <w:color w:val="auto"/>
                <w:szCs w:val="22"/>
              </w:rPr>
              <w:t>%</w:t>
            </w:r>
          </w:p>
        </w:tc>
        <w:tc>
          <w:tcPr>
            <w:tcW w:w="1325" w:type="dxa"/>
            <w:tcBorders>
              <w:top w:val="nil"/>
              <w:left w:val="nil"/>
              <w:bottom w:val="nil"/>
              <w:right w:val="nil"/>
            </w:tcBorders>
            <w:noWrap/>
            <w:hideMark/>
          </w:tcPr>
          <w:p w14:paraId="3EDB7CDE" w14:textId="1BAADB4F"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74.50</w:t>
            </w:r>
            <w:r w:rsidR="000E2F54" w:rsidRPr="0057092E">
              <w:rPr>
                <w:rFonts w:asciiTheme="minorHAnsi" w:hAnsiTheme="minorHAnsi" w:cstheme="minorHAnsi"/>
                <w:color w:val="auto"/>
                <w:szCs w:val="22"/>
              </w:rPr>
              <w:t>%</w:t>
            </w:r>
          </w:p>
        </w:tc>
      </w:tr>
      <w:tr w:rsidR="00DE3E05" w:rsidRPr="0057092E" w14:paraId="6C2B5D9F" w14:textId="77777777" w:rsidTr="00F914A0">
        <w:trPr>
          <w:trHeight w:val="179"/>
        </w:trPr>
        <w:tc>
          <w:tcPr>
            <w:tcW w:w="4950" w:type="dxa"/>
            <w:tcBorders>
              <w:top w:val="nil"/>
              <w:left w:val="nil"/>
              <w:bottom w:val="single" w:sz="4" w:space="0" w:color="auto"/>
              <w:right w:val="nil"/>
            </w:tcBorders>
            <w:noWrap/>
            <w:vAlign w:val="bottom"/>
            <w:hideMark/>
          </w:tcPr>
          <w:p w14:paraId="3A3AFCD9" w14:textId="77777777" w:rsidR="003072C1" w:rsidRPr="0057092E" w:rsidRDefault="003072C1"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Production techniques</w:t>
            </w:r>
          </w:p>
        </w:tc>
        <w:tc>
          <w:tcPr>
            <w:tcW w:w="1383" w:type="dxa"/>
            <w:tcBorders>
              <w:top w:val="nil"/>
              <w:left w:val="nil"/>
              <w:bottom w:val="single" w:sz="4" w:space="0" w:color="auto"/>
              <w:right w:val="nil"/>
            </w:tcBorders>
            <w:noWrap/>
            <w:hideMark/>
          </w:tcPr>
          <w:p w14:paraId="0402DD90" w14:textId="1085A65E"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68.00</w:t>
            </w:r>
            <w:r w:rsidR="000E2F54" w:rsidRPr="0057092E">
              <w:rPr>
                <w:rFonts w:asciiTheme="minorHAnsi" w:hAnsiTheme="minorHAnsi" w:cstheme="minorHAnsi"/>
                <w:color w:val="auto"/>
                <w:szCs w:val="22"/>
              </w:rPr>
              <w:t>%</w:t>
            </w:r>
          </w:p>
        </w:tc>
        <w:tc>
          <w:tcPr>
            <w:tcW w:w="1322" w:type="dxa"/>
            <w:tcBorders>
              <w:top w:val="nil"/>
              <w:left w:val="nil"/>
              <w:bottom w:val="single" w:sz="4" w:space="0" w:color="auto"/>
              <w:right w:val="nil"/>
            </w:tcBorders>
            <w:noWrap/>
            <w:hideMark/>
          </w:tcPr>
          <w:p w14:paraId="7CFA90C9" w14:textId="4282305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63.50</w:t>
            </w:r>
            <w:r w:rsidR="000E2F54" w:rsidRPr="0057092E">
              <w:rPr>
                <w:rFonts w:asciiTheme="minorHAnsi" w:hAnsiTheme="minorHAnsi" w:cstheme="minorHAnsi"/>
                <w:color w:val="auto"/>
                <w:szCs w:val="22"/>
              </w:rPr>
              <w:t>%</w:t>
            </w:r>
          </w:p>
        </w:tc>
        <w:tc>
          <w:tcPr>
            <w:tcW w:w="1325" w:type="dxa"/>
            <w:tcBorders>
              <w:top w:val="nil"/>
              <w:left w:val="nil"/>
              <w:bottom w:val="single" w:sz="4" w:space="0" w:color="auto"/>
              <w:right w:val="nil"/>
            </w:tcBorders>
            <w:noWrap/>
            <w:hideMark/>
          </w:tcPr>
          <w:p w14:paraId="3391670E" w14:textId="2DD8876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65.75</w:t>
            </w:r>
            <w:r w:rsidR="000E2F54" w:rsidRPr="0057092E">
              <w:rPr>
                <w:rFonts w:asciiTheme="minorHAnsi" w:hAnsiTheme="minorHAnsi" w:cstheme="minorHAnsi"/>
                <w:color w:val="auto"/>
                <w:szCs w:val="22"/>
              </w:rPr>
              <w:t>%</w:t>
            </w:r>
          </w:p>
        </w:tc>
      </w:tr>
    </w:tbl>
    <w:p w14:paraId="07EEF0AD" w14:textId="77777777" w:rsidR="00B84726" w:rsidRPr="0057092E" w:rsidRDefault="00B84726" w:rsidP="002B4B6D">
      <w:pPr>
        <w:spacing w:after="0"/>
        <w:rPr>
          <w:rFonts w:asciiTheme="minorHAnsi" w:eastAsiaTheme="majorEastAsia" w:hAnsiTheme="minorHAnsi" w:cstheme="minorHAnsi"/>
          <w:color w:val="auto"/>
          <w:szCs w:val="22"/>
        </w:rPr>
      </w:pPr>
    </w:p>
    <w:p w14:paraId="1C80A6FE" w14:textId="3EFAB206" w:rsidR="003E2FD8" w:rsidRPr="0057092E" w:rsidRDefault="00507F5E" w:rsidP="002B4B6D">
      <w:pPr>
        <w:spacing w:after="0"/>
        <w:rPr>
          <w:rFonts w:asciiTheme="minorHAnsi" w:hAnsiTheme="minorHAnsi" w:cstheme="minorHAnsi"/>
          <w:color w:val="auto"/>
          <w:szCs w:val="22"/>
        </w:rPr>
      </w:pPr>
      <w:r w:rsidRPr="0057092E">
        <w:rPr>
          <w:rFonts w:asciiTheme="minorHAnsi" w:eastAsiaTheme="majorEastAsia" w:hAnsiTheme="minorHAnsi" w:cstheme="minorHAnsi"/>
          <w:color w:val="auto"/>
          <w:szCs w:val="22"/>
        </w:rPr>
        <w:t xml:space="preserve">These findings highlight that agro-input companies serve not only as suppliers of agricultural inputs but also as crucial knowledge providers, particularly in promoting homestead gardening and nutrition-sensitive practices. </w:t>
      </w:r>
      <w:r w:rsidR="00570157" w:rsidRPr="0057092E">
        <w:rPr>
          <w:rFonts w:asciiTheme="minorHAnsi" w:hAnsiTheme="minorHAnsi" w:cstheme="minorHAnsi"/>
          <w:color w:val="auto"/>
          <w:szCs w:val="22"/>
        </w:rPr>
        <w:t xml:space="preserve">A study found that the majority lacked training from agro-input companies. Specifically, about 86% and 90% of respondents reported no formal training on fertilizer and pesticide usage, respectively, highlighting a gap in industry-led </w:t>
      </w:r>
      <w:r w:rsidR="00570157" w:rsidRPr="00962857">
        <w:rPr>
          <w:rFonts w:asciiTheme="minorHAnsi" w:hAnsiTheme="minorHAnsi" w:cstheme="minorHAnsi"/>
          <w:color w:val="auto"/>
          <w:szCs w:val="22"/>
        </w:rPr>
        <w:t>education (Titumir, R.A.M., 2021).</w:t>
      </w:r>
      <w:r w:rsidR="00570157" w:rsidRPr="0057092E">
        <w:rPr>
          <w:rFonts w:asciiTheme="minorHAnsi" w:hAnsiTheme="minorHAnsi" w:cstheme="minorHAnsi"/>
          <w:color w:val="auto"/>
          <w:szCs w:val="22"/>
        </w:rPr>
        <w:t xml:space="preserve"> </w:t>
      </w:r>
      <w:r w:rsidRPr="0057092E">
        <w:rPr>
          <w:rFonts w:asciiTheme="minorHAnsi" w:eastAsiaTheme="majorEastAsia" w:hAnsiTheme="minorHAnsi" w:cstheme="minorHAnsi"/>
          <w:color w:val="auto"/>
          <w:szCs w:val="22"/>
        </w:rPr>
        <w:t xml:space="preserve">Overall, engagement with agro-input companies effectively enhances farmers’ knowledge and technology adoption, supporting the production of nutritious and diverse foods. </w:t>
      </w:r>
    </w:p>
    <w:p w14:paraId="5B4CD792" w14:textId="77777777" w:rsidR="005A612E" w:rsidRPr="0057092E" w:rsidRDefault="005A612E" w:rsidP="002B4B6D">
      <w:pPr>
        <w:spacing w:after="0"/>
        <w:rPr>
          <w:rFonts w:asciiTheme="minorHAnsi" w:eastAsiaTheme="majorEastAsia" w:hAnsiTheme="minorHAnsi" w:cstheme="minorHAnsi"/>
          <w:color w:val="auto"/>
          <w:szCs w:val="22"/>
        </w:rPr>
      </w:pPr>
    </w:p>
    <w:p w14:paraId="421FA165" w14:textId="4721B910" w:rsidR="002F73CD" w:rsidRPr="0057092E" w:rsidRDefault="002F73CD"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 xml:space="preserve">Agro-input </w:t>
      </w:r>
      <w:r w:rsidR="006D3AD6" w:rsidRPr="0057092E">
        <w:rPr>
          <w:rFonts w:asciiTheme="minorHAnsi" w:eastAsia="Gill Sans" w:hAnsiTheme="minorHAnsi" w:cstheme="minorHAnsi"/>
          <w:b/>
          <w:bCs/>
          <w:color w:val="auto"/>
          <w:sz w:val="22"/>
          <w:szCs w:val="22"/>
        </w:rPr>
        <w:t>companies</w:t>
      </w:r>
      <w:r w:rsidRPr="0057092E">
        <w:rPr>
          <w:rFonts w:asciiTheme="minorHAnsi" w:eastAsia="Gill Sans" w:hAnsiTheme="minorHAnsi" w:cstheme="minorHAnsi"/>
          <w:b/>
          <w:bCs/>
          <w:color w:val="auto"/>
          <w:sz w:val="22"/>
          <w:szCs w:val="22"/>
        </w:rPr>
        <w:t xml:space="preserve"> support farmers </w:t>
      </w:r>
      <w:r w:rsidR="006D3AD6" w:rsidRPr="0057092E">
        <w:rPr>
          <w:rFonts w:asciiTheme="minorHAnsi" w:eastAsia="Gill Sans" w:hAnsiTheme="minorHAnsi" w:cstheme="minorHAnsi"/>
          <w:b/>
          <w:bCs/>
          <w:color w:val="auto"/>
          <w:sz w:val="22"/>
          <w:szCs w:val="22"/>
        </w:rPr>
        <w:t xml:space="preserve">to </w:t>
      </w:r>
      <w:r w:rsidRPr="0057092E">
        <w:rPr>
          <w:rFonts w:asciiTheme="minorHAnsi" w:eastAsia="Gill Sans" w:hAnsiTheme="minorHAnsi" w:cstheme="minorHAnsi"/>
          <w:b/>
          <w:bCs/>
          <w:color w:val="auto"/>
          <w:sz w:val="22"/>
          <w:szCs w:val="22"/>
        </w:rPr>
        <w:t>produce nutritious and diverse food.</w:t>
      </w:r>
    </w:p>
    <w:p w14:paraId="048FB4A0" w14:textId="6DE1E5C4" w:rsidR="00E56535" w:rsidRDefault="004C5E93"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The study found that support from agro-input companies played a </w:t>
      </w:r>
      <w:r w:rsidR="00FF403E" w:rsidRPr="0057092E">
        <w:rPr>
          <w:rFonts w:asciiTheme="minorHAnsi" w:hAnsiTheme="minorHAnsi" w:cstheme="minorHAnsi"/>
          <w:color w:val="auto"/>
          <w:szCs w:val="22"/>
        </w:rPr>
        <w:t>substantial</w:t>
      </w:r>
      <w:r w:rsidRPr="0057092E">
        <w:rPr>
          <w:rFonts w:asciiTheme="minorHAnsi" w:hAnsiTheme="minorHAnsi" w:cstheme="minorHAnsi"/>
          <w:color w:val="auto"/>
          <w:szCs w:val="22"/>
        </w:rPr>
        <w:t xml:space="preserve"> role in enabling farmers </w:t>
      </w:r>
      <w:r w:rsidR="00F43149" w:rsidRPr="0057092E">
        <w:rPr>
          <w:rFonts w:asciiTheme="minorHAnsi" w:hAnsiTheme="minorHAnsi" w:cstheme="minorHAnsi"/>
          <w:color w:val="auto"/>
          <w:szCs w:val="22"/>
        </w:rPr>
        <w:t>in Faridpur and Khulna to produce nutritious and diverse food</w:t>
      </w:r>
      <w:r w:rsidRPr="0057092E">
        <w:rPr>
          <w:rFonts w:asciiTheme="minorHAnsi" w:hAnsiTheme="minorHAnsi" w:cstheme="minorHAnsi"/>
          <w:color w:val="auto"/>
          <w:szCs w:val="22"/>
        </w:rPr>
        <w:t xml:space="preserve">. In Khulna, 68.45% of farmers reported receiving substantial support for homestead gardening, compared to 66.00% in Faridpur. Support for the adoption of new technologies was reported by 64.00% of farmers in Khulna and 58.80% in Faridpur. Similarly, 49.00% of farmers in Khulna indicated receiving assistance for nutritious food production, while 45.00% of farmers in Faridpur reported the same. Additionally, 52.00%, 43.00%, and 41.50% of farmers </w:t>
      </w:r>
      <w:r w:rsidR="00F43149" w:rsidRPr="0057092E">
        <w:rPr>
          <w:rFonts w:asciiTheme="minorHAnsi" w:hAnsiTheme="minorHAnsi" w:cstheme="minorHAnsi"/>
          <w:color w:val="auto"/>
          <w:szCs w:val="22"/>
        </w:rPr>
        <w:t>in Khulna reported receiving support for safe food production, including improved vegetable varieties and diversified food production techniques</w:t>
      </w:r>
      <w:r w:rsidRPr="0057092E">
        <w:rPr>
          <w:rFonts w:asciiTheme="minorHAnsi" w:hAnsiTheme="minorHAnsi" w:cstheme="minorHAnsi"/>
          <w:color w:val="auto"/>
          <w:szCs w:val="22"/>
        </w:rPr>
        <w:t>, compared to 47.30%, 38.00%, and 37.25% in Faridpur, respectively.</w:t>
      </w:r>
      <w:r w:rsidR="006C2703" w:rsidRPr="0057092E">
        <w:rPr>
          <w:rFonts w:asciiTheme="minorHAnsi" w:hAnsiTheme="minorHAnsi" w:cstheme="minorHAnsi"/>
          <w:color w:val="auto"/>
          <w:szCs w:val="22"/>
        </w:rPr>
        <w:t xml:space="preserve"> </w:t>
      </w:r>
    </w:p>
    <w:p w14:paraId="2CEB8683" w14:textId="77777777" w:rsidR="00962857" w:rsidRPr="0057092E" w:rsidRDefault="00962857" w:rsidP="002B4B6D">
      <w:pPr>
        <w:spacing w:after="0"/>
        <w:rPr>
          <w:rFonts w:asciiTheme="minorHAnsi" w:eastAsiaTheme="majorEastAsia" w:hAnsiTheme="minorHAnsi" w:cstheme="minorHAnsi"/>
          <w:color w:val="auto"/>
          <w:szCs w:val="22"/>
        </w:rPr>
      </w:pPr>
    </w:p>
    <w:p w14:paraId="2B10B974" w14:textId="6BED5ACC" w:rsidR="00F332B3" w:rsidRPr="0057092E" w:rsidRDefault="006A5DAD"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drawing>
          <wp:inline distT="0" distB="0" distL="0" distR="0" wp14:anchorId="3938C7DA" wp14:editId="0E020F49">
            <wp:extent cx="5568950" cy="3098800"/>
            <wp:effectExtent l="0" t="0" r="12700" b="6350"/>
            <wp:docPr id="651509537" name="Chart 1">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79C756" w14:textId="6327A5DD" w:rsidR="006A5DAD" w:rsidRPr="0057092E" w:rsidRDefault="00F332B3" w:rsidP="002B4B6D">
      <w:pPr>
        <w:pStyle w:val="Caption"/>
        <w:spacing w:after="0"/>
        <w:rPr>
          <w:rFonts w:asciiTheme="minorHAnsi" w:hAnsiTheme="minorHAnsi" w:cstheme="minorHAnsi"/>
          <w:szCs w:val="22"/>
        </w:rPr>
      </w:pPr>
      <w:r w:rsidRPr="0057092E">
        <w:rPr>
          <w:rFonts w:asciiTheme="minorHAnsi" w:hAnsiTheme="minorHAnsi" w:cstheme="minorHAnsi"/>
          <w:szCs w:val="22"/>
        </w:rPr>
        <w:t xml:space="preserve">Figure </w:t>
      </w:r>
      <w:r w:rsidR="0044217E" w:rsidRPr="0057092E">
        <w:rPr>
          <w:rFonts w:asciiTheme="minorHAnsi" w:hAnsiTheme="minorHAnsi" w:cstheme="minorHAnsi"/>
          <w:szCs w:val="22"/>
        </w:rPr>
        <w:fldChar w:fldCharType="begin"/>
      </w:r>
      <w:r w:rsidR="0044217E" w:rsidRPr="0057092E">
        <w:rPr>
          <w:rFonts w:asciiTheme="minorHAnsi" w:hAnsiTheme="minorHAnsi" w:cstheme="minorHAnsi"/>
          <w:szCs w:val="22"/>
        </w:rPr>
        <w:instrText xml:space="preserve"> SEQ Figure \* ARABIC </w:instrText>
      </w:r>
      <w:r w:rsidR="0044217E" w:rsidRPr="0057092E">
        <w:rPr>
          <w:rFonts w:asciiTheme="minorHAnsi" w:hAnsiTheme="minorHAnsi" w:cstheme="minorHAnsi"/>
          <w:szCs w:val="22"/>
        </w:rPr>
        <w:fldChar w:fldCharType="separate"/>
      </w:r>
      <w:r w:rsidR="00B241E5" w:rsidRPr="0057092E">
        <w:rPr>
          <w:rFonts w:asciiTheme="minorHAnsi" w:hAnsiTheme="minorHAnsi" w:cstheme="minorHAnsi"/>
          <w:szCs w:val="22"/>
        </w:rPr>
        <w:t>3</w:t>
      </w:r>
      <w:r w:rsidR="0044217E" w:rsidRPr="0057092E">
        <w:rPr>
          <w:rFonts w:asciiTheme="minorHAnsi" w:hAnsiTheme="minorHAnsi" w:cstheme="minorHAnsi"/>
          <w:szCs w:val="22"/>
        </w:rPr>
        <w:fldChar w:fldCharType="end"/>
      </w:r>
      <w:r w:rsidRPr="0057092E">
        <w:rPr>
          <w:rFonts w:asciiTheme="minorHAnsi" w:hAnsiTheme="minorHAnsi" w:cstheme="minorHAnsi"/>
          <w:szCs w:val="22"/>
        </w:rPr>
        <w:t xml:space="preserve">: Agro-input company </w:t>
      </w:r>
      <w:r w:rsidR="003850AE" w:rsidRPr="0057092E">
        <w:rPr>
          <w:rFonts w:asciiTheme="minorHAnsi" w:hAnsiTheme="minorHAnsi" w:cstheme="minorHAnsi"/>
          <w:szCs w:val="22"/>
        </w:rPr>
        <w:t>supports</w:t>
      </w:r>
      <w:r w:rsidRPr="0057092E">
        <w:rPr>
          <w:rFonts w:asciiTheme="minorHAnsi" w:hAnsiTheme="minorHAnsi" w:cstheme="minorHAnsi"/>
          <w:szCs w:val="22"/>
        </w:rPr>
        <w:t xml:space="preserve"> farmers to produce nutritious and diverse food.</w:t>
      </w:r>
    </w:p>
    <w:p w14:paraId="251A4125" w14:textId="77777777" w:rsidR="00962857" w:rsidRDefault="00962857" w:rsidP="002B4B6D">
      <w:pPr>
        <w:spacing w:after="0"/>
        <w:rPr>
          <w:rFonts w:asciiTheme="minorHAnsi" w:eastAsiaTheme="majorEastAsia" w:hAnsiTheme="minorHAnsi" w:cstheme="minorHAnsi"/>
          <w:color w:val="auto"/>
          <w:szCs w:val="22"/>
        </w:rPr>
      </w:pPr>
    </w:p>
    <w:p w14:paraId="67B25D84" w14:textId="074960FB" w:rsidR="003850AE" w:rsidRPr="0057092E" w:rsidRDefault="00962857" w:rsidP="002B4B6D">
      <w:pPr>
        <w:spacing w:after="0"/>
        <w:rPr>
          <w:rFonts w:asciiTheme="minorHAnsi" w:eastAsiaTheme="majorEastAsia" w:hAnsiTheme="minorHAnsi" w:cstheme="minorHAnsi"/>
          <w:color w:val="auto"/>
          <w:szCs w:val="22"/>
        </w:rPr>
      </w:pPr>
      <w:r w:rsidRPr="0057092E">
        <w:rPr>
          <w:rFonts w:asciiTheme="minorHAnsi" w:eastAsiaTheme="majorEastAsia" w:hAnsiTheme="minorHAnsi" w:cstheme="minorHAnsi"/>
          <w:color w:val="auto"/>
          <w:szCs w:val="22"/>
        </w:rPr>
        <w:t xml:space="preserve">Among the different types of support, homestead gardening emerged as the most widely adopted practice, with 67.23% of farmers reporting support for homestead gardening, 61.40% adoption of new technologies, and 49.65% access to diverse vegetable varieties. Support for nutritious food production and consumption was reported by 47.00% of respondents, while 42.50% farmers reported that safe food production and consumption. </w:t>
      </w:r>
    </w:p>
    <w:p w14:paraId="6825FCB8" w14:textId="77777777" w:rsidR="00962857" w:rsidRDefault="00962857" w:rsidP="002B4B6D">
      <w:pPr>
        <w:spacing w:after="0"/>
        <w:rPr>
          <w:rFonts w:asciiTheme="minorHAnsi" w:eastAsiaTheme="majorEastAsia" w:hAnsiTheme="minorHAnsi" w:cstheme="minorHAnsi"/>
          <w:color w:val="auto"/>
          <w:szCs w:val="22"/>
        </w:rPr>
      </w:pPr>
    </w:p>
    <w:p w14:paraId="527F7C3A" w14:textId="62942395" w:rsidR="002F73CD" w:rsidRPr="0057092E" w:rsidRDefault="00F2150A" w:rsidP="002B4B6D">
      <w:pPr>
        <w:spacing w:after="0"/>
        <w:rPr>
          <w:rFonts w:asciiTheme="minorHAnsi" w:eastAsiaTheme="majorEastAsia" w:hAnsiTheme="minorHAnsi" w:cstheme="minorHAnsi"/>
          <w:color w:val="auto"/>
          <w:szCs w:val="22"/>
        </w:rPr>
      </w:pPr>
      <w:r w:rsidRPr="0057092E">
        <w:rPr>
          <w:rFonts w:asciiTheme="minorHAnsi" w:eastAsiaTheme="majorEastAsia" w:hAnsiTheme="minorHAnsi" w:cstheme="minorHAnsi"/>
          <w:color w:val="auto"/>
          <w:szCs w:val="22"/>
        </w:rPr>
        <w:t>A study highlights</w:t>
      </w:r>
      <w:r w:rsidR="00E56535" w:rsidRPr="0057092E">
        <w:rPr>
          <w:rFonts w:asciiTheme="minorHAnsi" w:eastAsiaTheme="majorEastAsia" w:hAnsiTheme="minorHAnsi" w:cstheme="minorHAnsi"/>
          <w:color w:val="auto"/>
          <w:szCs w:val="22"/>
        </w:rPr>
        <w:t xml:space="preserve"> the significance of homestead gardening in enhancing food security and dietary diversity, particularly in coastal regions of Bangladesh</w:t>
      </w:r>
      <w:r w:rsidRPr="0057092E">
        <w:rPr>
          <w:rFonts w:asciiTheme="minorHAnsi" w:eastAsiaTheme="majorEastAsia" w:hAnsiTheme="minorHAnsi" w:cstheme="minorHAnsi"/>
          <w:color w:val="auto"/>
          <w:szCs w:val="22"/>
        </w:rPr>
        <w:t xml:space="preserve"> </w:t>
      </w:r>
      <w:r w:rsidRPr="00962857">
        <w:rPr>
          <w:rFonts w:asciiTheme="minorHAnsi" w:eastAsiaTheme="majorEastAsia" w:hAnsiTheme="minorHAnsi" w:cstheme="minorHAnsi"/>
          <w:color w:val="auto"/>
          <w:szCs w:val="22"/>
        </w:rPr>
        <w:t>Alam et al., 2024)</w:t>
      </w:r>
      <w:r w:rsidR="00E56535" w:rsidRPr="00962857">
        <w:rPr>
          <w:rFonts w:asciiTheme="minorHAnsi" w:eastAsiaTheme="majorEastAsia" w:hAnsiTheme="minorHAnsi" w:cstheme="minorHAnsi"/>
          <w:color w:val="auto"/>
          <w:szCs w:val="22"/>
        </w:rPr>
        <w:t>.</w:t>
      </w:r>
      <w:r w:rsidR="00E56535" w:rsidRPr="0057092E">
        <w:rPr>
          <w:rFonts w:asciiTheme="minorHAnsi" w:eastAsiaTheme="majorEastAsia" w:hAnsiTheme="minorHAnsi" w:cstheme="minorHAnsi"/>
          <w:color w:val="auto"/>
          <w:szCs w:val="22"/>
        </w:rPr>
        <w:t xml:space="preserve"> </w:t>
      </w:r>
      <w:r w:rsidR="004C5E93" w:rsidRPr="0057092E">
        <w:rPr>
          <w:rFonts w:asciiTheme="minorHAnsi" w:eastAsiaTheme="majorEastAsia" w:hAnsiTheme="minorHAnsi" w:cstheme="minorHAnsi"/>
          <w:color w:val="auto"/>
          <w:szCs w:val="22"/>
        </w:rPr>
        <w:t xml:space="preserve">The study emphasizes the importance of integrating crop diversification and climate-resilient practices to improve household nutrition. </w:t>
      </w:r>
      <w:r w:rsidR="004C5E93" w:rsidRPr="00962857">
        <w:rPr>
          <w:rFonts w:asciiTheme="minorHAnsi" w:eastAsiaTheme="majorEastAsia" w:hAnsiTheme="minorHAnsi" w:cstheme="minorHAnsi"/>
          <w:color w:val="auto"/>
          <w:szCs w:val="22"/>
        </w:rPr>
        <w:t>Schreinemachers et al. (2025)</w:t>
      </w:r>
      <w:r w:rsidR="004C5E93" w:rsidRPr="0057092E">
        <w:rPr>
          <w:rFonts w:asciiTheme="minorHAnsi" w:eastAsiaTheme="majorEastAsia" w:hAnsiTheme="minorHAnsi" w:cstheme="minorHAnsi"/>
          <w:color w:val="auto"/>
          <w:szCs w:val="22"/>
        </w:rPr>
        <w:t xml:space="preserve"> provide evidence of the positive impact of home gardens on food and nutrition in rural Bangladesh, noting that such interventions can simultaneously raise household vegetable demand and supply. </w:t>
      </w:r>
      <w:r w:rsidR="00F332B3" w:rsidRPr="00962857">
        <w:rPr>
          <w:rFonts w:asciiTheme="minorHAnsi" w:eastAsiaTheme="majorEastAsia" w:hAnsiTheme="minorHAnsi" w:cstheme="minorHAnsi"/>
          <w:color w:val="auto"/>
          <w:szCs w:val="22"/>
        </w:rPr>
        <w:t>Mohammad, I., and Dey, N.C. (2025)</w:t>
      </w:r>
      <w:r w:rsidR="00F332B3" w:rsidRPr="0057092E">
        <w:rPr>
          <w:rFonts w:asciiTheme="minorHAnsi" w:eastAsiaTheme="majorEastAsia" w:hAnsiTheme="minorHAnsi" w:cstheme="minorHAnsi"/>
          <w:b/>
          <w:bCs/>
          <w:color w:val="auto"/>
          <w:szCs w:val="22"/>
        </w:rPr>
        <w:t xml:space="preserve"> </w:t>
      </w:r>
      <w:r w:rsidR="00F332B3" w:rsidRPr="0057092E">
        <w:rPr>
          <w:rFonts w:asciiTheme="minorHAnsi" w:eastAsiaTheme="majorEastAsia" w:hAnsiTheme="minorHAnsi" w:cstheme="minorHAnsi"/>
          <w:color w:val="auto"/>
          <w:szCs w:val="22"/>
        </w:rPr>
        <w:t>discuss</w:t>
      </w:r>
      <w:r w:rsidR="004C5E93" w:rsidRPr="0057092E">
        <w:rPr>
          <w:rFonts w:asciiTheme="minorHAnsi" w:eastAsiaTheme="majorEastAsia" w:hAnsiTheme="minorHAnsi" w:cstheme="minorHAnsi"/>
          <w:color w:val="auto"/>
          <w:szCs w:val="22"/>
        </w:rPr>
        <w:t xml:space="preserve"> how the high cost of agricultural inputs, in the absence of subsidies, can be a barrier to technology adoption among farmers in Bangladesh. Overall, these findings suggest that agro-input companies are effectively promoting household-level nutrition and crop diversity, particularly through gardening, technology adoption, and the provision of improved seeds. Strengthening broader production practices and food safety initiatives could further enhance farmers’ capacity for sustainable and diverse food production.</w:t>
      </w:r>
    </w:p>
    <w:p w14:paraId="7FCDA36B" w14:textId="77777777" w:rsidR="002F73CD" w:rsidRPr="0057092E" w:rsidRDefault="002F73CD" w:rsidP="002B4B6D">
      <w:pPr>
        <w:spacing w:after="0"/>
        <w:rPr>
          <w:rFonts w:asciiTheme="minorHAnsi" w:eastAsiaTheme="majorEastAsia" w:hAnsiTheme="minorHAnsi" w:cstheme="minorHAnsi"/>
          <w:color w:val="auto"/>
          <w:szCs w:val="22"/>
        </w:rPr>
      </w:pPr>
    </w:p>
    <w:p w14:paraId="698381F8" w14:textId="59B5FF42" w:rsidR="00C83C9F" w:rsidRPr="0057092E" w:rsidRDefault="00C83C9F"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Farmers’ adoption of new technologies for nutritious and diverse food production</w:t>
      </w:r>
    </w:p>
    <w:p w14:paraId="2EB19664" w14:textId="77777777" w:rsidR="009A5CDA" w:rsidRPr="0057092E" w:rsidRDefault="00C15D4B" w:rsidP="002B4B6D">
      <w:pPr>
        <w:tabs>
          <w:tab w:val="left" w:pos="930"/>
        </w:tabs>
        <w:spacing w:after="0"/>
        <w:rPr>
          <w:rFonts w:asciiTheme="minorHAnsi" w:hAnsiTheme="minorHAnsi" w:cstheme="minorHAnsi"/>
          <w:color w:val="auto"/>
          <w:szCs w:val="22"/>
        </w:rPr>
      </w:pPr>
      <w:r w:rsidRPr="0057092E">
        <w:rPr>
          <w:rFonts w:asciiTheme="minorHAnsi" w:eastAsiaTheme="majorEastAsia" w:hAnsiTheme="minorHAnsi" w:cstheme="minorHAnsi"/>
          <w:color w:val="auto"/>
          <w:szCs w:val="22"/>
          <w:lang w:bidi="en-US"/>
        </w:rPr>
        <w:t>A study was conducted in Faridpur and Khulna districts to assess farmers’ adoption of new agricultural technologies. The findings revealed that 69.31% of farmers adopted high-yielding seed varieties, while 40.50% used nutrient-rich and 13.21% stress-tolerant varieties. Climate-smart techniques were increasingly practiced, with 74.56% using raised-bed planting, 36.38% applying mulching, and 52.67% using drip irrigation. In soil fertility management, 61.08% used organic inputs, 39.20% balanced fertilizers, and 54.50% reduced chemical use. For safe food production, 62.65% practiced safe pesticide use, and 32.70% adopted biological pest control. Post-harvest management practices showed 90.81% ensured safe transportation, while 22.08% used low-cost storage and 17.45% applied local preservation methods. Overall, adoption levels were higher in Khulna for sustainable and organic practices, while Faridpur farmers showed stronger engagement in improved seed use and raised-bed cultivation. These trends indicate growing awareness of sustainable, climate-resilient, and safe food production practices among farmers.</w:t>
      </w:r>
      <w:r w:rsidR="009A5CDA" w:rsidRPr="0057092E">
        <w:rPr>
          <w:rFonts w:asciiTheme="minorHAnsi" w:eastAsiaTheme="majorEastAsia" w:hAnsiTheme="minorHAnsi" w:cstheme="minorHAnsi"/>
          <w:color w:val="auto"/>
          <w:szCs w:val="22"/>
          <w:lang w:bidi="en-US"/>
        </w:rPr>
        <w:t xml:space="preserve"> </w:t>
      </w:r>
      <w:r w:rsidR="009A5CDA" w:rsidRPr="0057092E">
        <w:rPr>
          <w:rFonts w:asciiTheme="minorHAnsi" w:hAnsiTheme="minorHAnsi" w:cstheme="minorHAnsi"/>
          <w:color w:val="auto"/>
          <w:szCs w:val="22"/>
        </w:rPr>
        <w:t>The private sector agro-inputs companies' support to farmers includes training sessions, individual household visits, field demonstrations, awareness campaigns, and promoting improved and hybrid seed, nutrient-rich and stress-tolerant crop varieties, safe pesticides, and climate-smart techniques. Additionally, private companies often collaborate with local dealers and extension agents to disseminate knowledge on post-harvest handling, soil fertility management, and the nutritional value of diverse vegetables.</w:t>
      </w:r>
    </w:p>
    <w:p w14:paraId="1B86512E" w14:textId="6DE3482D" w:rsidR="00E56535" w:rsidRPr="0057092E" w:rsidRDefault="00E56535" w:rsidP="002B4B6D">
      <w:pPr>
        <w:spacing w:after="0"/>
        <w:rPr>
          <w:rFonts w:asciiTheme="minorHAnsi" w:eastAsiaTheme="majorEastAsia" w:hAnsiTheme="minorHAnsi" w:cstheme="minorHAnsi"/>
          <w:color w:val="auto"/>
          <w:szCs w:val="22"/>
          <w:lang w:bidi="en-US"/>
        </w:rPr>
      </w:pPr>
    </w:p>
    <w:p w14:paraId="28422F83" w14:textId="53B72839" w:rsidR="00F332B3" w:rsidRPr="0057092E" w:rsidRDefault="00860E63" w:rsidP="002B4B6D">
      <w:pPr>
        <w:pStyle w:val="Caption"/>
        <w:keepNext/>
        <w:spacing w:after="0"/>
        <w:rPr>
          <w:rFonts w:asciiTheme="minorHAnsi" w:hAnsiTheme="minorHAnsi" w:cstheme="minorHAnsi"/>
          <w:szCs w:val="22"/>
        </w:rPr>
      </w:pPr>
      <w:r w:rsidRPr="0057092E">
        <w:rPr>
          <w:rFonts w:asciiTheme="minorHAnsi" w:hAnsiTheme="minorHAnsi" w:cstheme="minorHAnsi"/>
          <w:szCs w:val="22"/>
        </w:rPr>
        <w:t>Table</w:t>
      </w:r>
      <w:r w:rsidR="00F332B3" w:rsidRPr="0057092E">
        <w:rPr>
          <w:rFonts w:asciiTheme="minorHAnsi" w:hAnsiTheme="minorHAnsi" w:cstheme="minorHAnsi"/>
          <w:szCs w:val="22"/>
        </w:rPr>
        <w:t xml:space="preserve"> </w:t>
      </w:r>
      <w:r w:rsidR="00AF7892">
        <w:rPr>
          <w:rFonts w:asciiTheme="minorHAnsi" w:hAnsiTheme="minorHAnsi" w:cstheme="minorHAnsi"/>
          <w:szCs w:val="22"/>
        </w:rPr>
        <w:t>2</w:t>
      </w:r>
      <w:r w:rsidR="00F332B3" w:rsidRPr="0057092E">
        <w:rPr>
          <w:rFonts w:asciiTheme="minorHAnsi" w:hAnsiTheme="minorHAnsi" w:cstheme="minorHAnsi"/>
          <w:szCs w:val="22"/>
        </w:rPr>
        <w:t>: Farmers’ adoption of new technologies for nutritious and diverse food production</w:t>
      </w:r>
    </w:p>
    <w:tbl>
      <w:tblPr>
        <w:tblW w:w="8706" w:type="dxa"/>
        <w:tblLook w:val="04A0" w:firstRow="1" w:lastRow="0" w:firstColumn="1" w:lastColumn="0" w:noHBand="0" w:noVBand="1"/>
      </w:tblPr>
      <w:tblGrid>
        <w:gridCol w:w="5310"/>
        <w:gridCol w:w="1157"/>
        <w:gridCol w:w="1003"/>
        <w:gridCol w:w="1236"/>
      </w:tblGrid>
      <w:tr w:rsidR="0057092E" w:rsidRPr="0057092E" w14:paraId="5A31C5B8" w14:textId="77777777" w:rsidTr="00860E63">
        <w:trPr>
          <w:trHeight w:val="255"/>
        </w:trPr>
        <w:tc>
          <w:tcPr>
            <w:tcW w:w="5310" w:type="dxa"/>
            <w:tcBorders>
              <w:top w:val="single" w:sz="4" w:space="0" w:color="auto"/>
              <w:left w:val="nil"/>
              <w:bottom w:val="single" w:sz="4" w:space="0" w:color="auto"/>
              <w:right w:val="nil"/>
            </w:tcBorders>
            <w:noWrap/>
            <w:vAlign w:val="center"/>
            <w:hideMark/>
          </w:tcPr>
          <w:p w14:paraId="3C75A7CE" w14:textId="1BDF2B0E" w:rsidR="00DA4A4A" w:rsidRPr="0057092E" w:rsidRDefault="00DA4A4A" w:rsidP="002B4B6D">
            <w:pPr>
              <w:autoSpaceDE/>
              <w:autoSpaceDN/>
              <w:adjustRightInd/>
              <w:spacing w:after="0"/>
              <w:rPr>
                <w:rFonts w:asciiTheme="minorHAnsi" w:eastAsia="Times New Roman" w:hAnsiTheme="minorHAnsi" w:cstheme="minorHAnsi"/>
                <w:b/>
                <w:noProof w:val="0"/>
                <w:color w:val="auto"/>
                <w:szCs w:val="22"/>
              </w:rPr>
            </w:pPr>
            <w:r w:rsidRPr="0057092E">
              <w:rPr>
                <w:rFonts w:asciiTheme="minorHAnsi" w:eastAsia="Times New Roman" w:hAnsiTheme="minorHAnsi" w:cstheme="minorHAnsi"/>
                <w:b/>
                <w:noProof w:val="0"/>
                <w:color w:val="auto"/>
                <w:szCs w:val="22"/>
              </w:rPr>
              <w:t>Farmers adopted new technologies</w:t>
            </w:r>
            <w:r w:rsidR="00927A05" w:rsidRPr="0057092E">
              <w:rPr>
                <w:rFonts w:asciiTheme="minorHAnsi" w:eastAsia="Times New Roman" w:hAnsiTheme="minorHAnsi" w:cstheme="minorHAnsi"/>
                <w:b/>
                <w:noProof w:val="0"/>
                <w:color w:val="auto"/>
                <w:szCs w:val="22"/>
              </w:rPr>
              <w:t>.</w:t>
            </w:r>
          </w:p>
        </w:tc>
        <w:tc>
          <w:tcPr>
            <w:tcW w:w="1157" w:type="dxa"/>
            <w:tcBorders>
              <w:top w:val="single" w:sz="4" w:space="0" w:color="auto"/>
              <w:left w:val="nil"/>
              <w:bottom w:val="single" w:sz="4" w:space="0" w:color="auto"/>
              <w:right w:val="nil"/>
            </w:tcBorders>
            <w:noWrap/>
            <w:vAlign w:val="center"/>
            <w:hideMark/>
          </w:tcPr>
          <w:p w14:paraId="08B351D9" w14:textId="090D30B6" w:rsidR="00DA4A4A" w:rsidRPr="0057092E" w:rsidRDefault="00DA4A4A" w:rsidP="002B4B6D">
            <w:pPr>
              <w:autoSpaceDE/>
              <w:autoSpaceDN/>
              <w:adjustRightInd/>
              <w:spacing w:after="0"/>
              <w:jc w:val="center"/>
              <w:rPr>
                <w:rFonts w:asciiTheme="minorHAnsi" w:eastAsia="Times New Roman" w:hAnsiTheme="minorHAnsi" w:cstheme="minorHAnsi"/>
                <w:b/>
                <w:noProof w:val="0"/>
                <w:color w:val="auto"/>
                <w:szCs w:val="22"/>
              </w:rPr>
            </w:pPr>
            <w:r w:rsidRPr="0057092E">
              <w:rPr>
                <w:rFonts w:asciiTheme="minorHAnsi" w:eastAsia="Times New Roman" w:hAnsiTheme="minorHAnsi" w:cstheme="minorHAnsi"/>
                <w:b/>
                <w:noProof w:val="0"/>
                <w:color w:val="auto"/>
                <w:szCs w:val="22"/>
              </w:rPr>
              <w:t>Faridpur</w:t>
            </w:r>
            <w:r w:rsidR="00453A4B" w:rsidRPr="0057092E">
              <w:rPr>
                <w:rFonts w:asciiTheme="minorHAnsi" w:eastAsia="Times New Roman" w:hAnsiTheme="minorHAnsi" w:cstheme="minorHAnsi"/>
                <w:b/>
                <w:noProof w:val="0"/>
                <w:color w:val="auto"/>
                <w:szCs w:val="22"/>
              </w:rPr>
              <w:t xml:space="preserve"> (</w:t>
            </w:r>
            <w:r w:rsidR="00F914A0" w:rsidRPr="0057092E">
              <w:rPr>
                <w:rFonts w:asciiTheme="minorHAnsi" w:eastAsia="Times New Roman" w:hAnsiTheme="minorHAnsi" w:cstheme="minorHAnsi"/>
                <w:b/>
                <w:noProof w:val="0"/>
                <w:color w:val="auto"/>
                <w:szCs w:val="22"/>
              </w:rPr>
              <w:t>n</w:t>
            </w:r>
            <w:r w:rsidR="00453A4B" w:rsidRPr="0057092E">
              <w:rPr>
                <w:rFonts w:asciiTheme="minorHAnsi" w:eastAsia="Times New Roman" w:hAnsiTheme="minorHAnsi" w:cstheme="minorHAnsi"/>
                <w:b/>
                <w:noProof w:val="0"/>
                <w:color w:val="auto"/>
                <w:szCs w:val="22"/>
              </w:rPr>
              <w:t>=192)</w:t>
            </w:r>
          </w:p>
        </w:tc>
        <w:tc>
          <w:tcPr>
            <w:tcW w:w="1003" w:type="dxa"/>
            <w:tcBorders>
              <w:top w:val="single" w:sz="4" w:space="0" w:color="auto"/>
              <w:left w:val="nil"/>
              <w:bottom w:val="single" w:sz="4" w:space="0" w:color="auto"/>
              <w:right w:val="nil"/>
            </w:tcBorders>
            <w:noWrap/>
            <w:vAlign w:val="center"/>
            <w:hideMark/>
          </w:tcPr>
          <w:p w14:paraId="6257944C" w14:textId="6DE58E8E" w:rsidR="00DA4A4A" w:rsidRPr="0057092E" w:rsidRDefault="00DA4A4A" w:rsidP="002B4B6D">
            <w:pPr>
              <w:autoSpaceDE/>
              <w:autoSpaceDN/>
              <w:adjustRightInd/>
              <w:spacing w:after="0"/>
              <w:jc w:val="center"/>
              <w:rPr>
                <w:rFonts w:asciiTheme="minorHAnsi" w:eastAsia="Times New Roman" w:hAnsiTheme="minorHAnsi" w:cstheme="minorHAnsi"/>
                <w:b/>
                <w:noProof w:val="0"/>
                <w:color w:val="auto"/>
                <w:szCs w:val="22"/>
              </w:rPr>
            </w:pPr>
            <w:r w:rsidRPr="0057092E">
              <w:rPr>
                <w:rFonts w:asciiTheme="minorHAnsi" w:eastAsia="Times New Roman" w:hAnsiTheme="minorHAnsi" w:cstheme="minorHAnsi"/>
                <w:b/>
                <w:noProof w:val="0"/>
                <w:color w:val="auto"/>
                <w:szCs w:val="22"/>
              </w:rPr>
              <w:t>Khulna</w:t>
            </w:r>
            <w:r w:rsidR="003C5C33" w:rsidRPr="0057092E">
              <w:rPr>
                <w:rFonts w:asciiTheme="minorHAnsi" w:eastAsia="Times New Roman" w:hAnsiTheme="minorHAnsi" w:cstheme="minorHAnsi"/>
                <w:b/>
                <w:noProof w:val="0"/>
                <w:color w:val="auto"/>
                <w:szCs w:val="22"/>
              </w:rPr>
              <w:t xml:space="preserve"> </w:t>
            </w:r>
            <w:r w:rsidR="00453A4B" w:rsidRPr="0057092E">
              <w:rPr>
                <w:rFonts w:asciiTheme="minorHAnsi" w:eastAsia="Times New Roman" w:hAnsiTheme="minorHAnsi" w:cstheme="minorHAnsi"/>
                <w:b/>
                <w:noProof w:val="0"/>
                <w:color w:val="auto"/>
                <w:szCs w:val="22"/>
              </w:rPr>
              <w:t>(</w:t>
            </w:r>
            <w:r w:rsidR="00F914A0" w:rsidRPr="0057092E">
              <w:rPr>
                <w:rFonts w:asciiTheme="minorHAnsi" w:eastAsia="Times New Roman" w:hAnsiTheme="minorHAnsi" w:cstheme="minorHAnsi"/>
                <w:b/>
                <w:noProof w:val="0"/>
                <w:color w:val="auto"/>
                <w:szCs w:val="22"/>
              </w:rPr>
              <w:t>n</w:t>
            </w:r>
            <w:r w:rsidR="00453A4B" w:rsidRPr="0057092E">
              <w:rPr>
                <w:rFonts w:asciiTheme="minorHAnsi" w:eastAsia="Times New Roman" w:hAnsiTheme="minorHAnsi" w:cstheme="minorHAnsi"/>
                <w:b/>
                <w:noProof w:val="0"/>
                <w:color w:val="auto"/>
                <w:szCs w:val="22"/>
              </w:rPr>
              <w:t>=193)</w:t>
            </w:r>
          </w:p>
        </w:tc>
        <w:tc>
          <w:tcPr>
            <w:tcW w:w="1236" w:type="dxa"/>
            <w:tcBorders>
              <w:top w:val="single" w:sz="4" w:space="0" w:color="auto"/>
              <w:left w:val="nil"/>
              <w:bottom w:val="single" w:sz="4" w:space="0" w:color="auto"/>
              <w:right w:val="nil"/>
            </w:tcBorders>
            <w:noWrap/>
            <w:vAlign w:val="center"/>
            <w:hideMark/>
          </w:tcPr>
          <w:p w14:paraId="4446A45E" w14:textId="77777777" w:rsidR="00453A4B" w:rsidRPr="0057092E" w:rsidRDefault="00DA4A4A" w:rsidP="002B4B6D">
            <w:pPr>
              <w:autoSpaceDE/>
              <w:autoSpaceDN/>
              <w:adjustRightInd/>
              <w:spacing w:after="0"/>
              <w:jc w:val="center"/>
              <w:rPr>
                <w:rFonts w:asciiTheme="minorHAnsi" w:eastAsia="Times New Roman" w:hAnsiTheme="minorHAnsi" w:cstheme="minorHAnsi"/>
                <w:b/>
                <w:noProof w:val="0"/>
                <w:color w:val="auto"/>
                <w:szCs w:val="22"/>
              </w:rPr>
            </w:pPr>
            <w:r w:rsidRPr="0057092E">
              <w:rPr>
                <w:rFonts w:asciiTheme="minorHAnsi" w:eastAsia="Times New Roman" w:hAnsiTheme="minorHAnsi" w:cstheme="minorHAnsi"/>
                <w:b/>
                <w:noProof w:val="0"/>
                <w:color w:val="auto"/>
                <w:szCs w:val="22"/>
              </w:rPr>
              <w:t>Total</w:t>
            </w:r>
            <w:r w:rsidR="003C5C33" w:rsidRPr="0057092E">
              <w:rPr>
                <w:rFonts w:asciiTheme="minorHAnsi" w:eastAsia="Times New Roman" w:hAnsiTheme="minorHAnsi" w:cstheme="minorHAnsi"/>
                <w:b/>
                <w:noProof w:val="0"/>
                <w:color w:val="auto"/>
                <w:szCs w:val="22"/>
              </w:rPr>
              <w:t xml:space="preserve"> </w:t>
            </w:r>
          </w:p>
          <w:p w14:paraId="54E116BA" w14:textId="7C0F1D08" w:rsidR="00DA4A4A" w:rsidRPr="0057092E" w:rsidRDefault="00453A4B" w:rsidP="002B4B6D">
            <w:pPr>
              <w:autoSpaceDE/>
              <w:autoSpaceDN/>
              <w:adjustRightInd/>
              <w:spacing w:after="0"/>
              <w:jc w:val="center"/>
              <w:rPr>
                <w:rFonts w:asciiTheme="minorHAnsi" w:eastAsia="Times New Roman" w:hAnsiTheme="minorHAnsi" w:cstheme="minorHAnsi"/>
                <w:b/>
                <w:noProof w:val="0"/>
                <w:color w:val="auto"/>
                <w:szCs w:val="22"/>
              </w:rPr>
            </w:pPr>
            <w:r w:rsidRPr="0057092E">
              <w:rPr>
                <w:rFonts w:asciiTheme="minorHAnsi" w:eastAsia="Times New Roman" w:hAnsiTheme="minorHAnsi" w:cstheme="minorHAnsi"/>
                <w:b/>
                <w:noProof w:val="0"/>
                <w:color w:val="auto"/>
                <w:szCs w:val="22"/>
              </w:rPr>
              <w:t>(</w:t>
            </w:r>
            <w:r w:rsidR="00F914A0" w:rsidRPr="0057092E">
              <w:rPr>
                <w:rFonts w:asciiTheme="minorHAnsi" w:eastAsia="Times New Roman" w:hAnsiTheme="minorHAnsi" w:cstheme="minorHAnsi"/>
                <w:b/>
                <w:noProof w:val="0"/>
                <w:color w:val="auto"/>
                <w:szCs w:val="22"/>
              </w:rPr>
              <w:t>n</w:t>
            </w:r>
            <w:r w:rsidRPr="0057092E">
              <w:rPr>
                <w:rFonts w:asciiTheme="minorHAnsi" w:eastAsia="Times New Roman" w:hAnsiTheme="minorHAnsi" w:cstheme="minorHAnsi"/>
                <w:b/>
                <w:noProof w:val="0"/>
                <w:color w:val="auto"/>
                <w:szCs w:val="22"/>
              </w:rPr>
              <w:t>= 385)</w:t>
            </w:r>
          </w:p>
        </w:tc>
      </w:tr>
      <w:tr w:rsidR="0057092E" w:rsidRPr="0057092E" w14:paraId="36BDC87E" w14:textId="77777777" w:rsidTr="00860E63">
        <w:trPr>
          <w:trHeight w:val="255"/>
        </w:trPr>
        <w:tc>
          <w:tcPr>
            <w:tcW w:w="5310" w:type="dxa"/>
            <w:tcBorders>
              <w:top w:val="single" w:sz="4" w:space="0" w:color="auto"/>
              <w:left w:val="nil"/>
              <w:bottom w:val="nil"/>
              <w:right w:val="nil"/>
            </w:tcBorders>
            <w:shd w:val="clear" w:color="000000" w:fill="F2F2F2"/>
            <w:noWrap/>
            <w:vAlign w:val="center"/>
            <w:hideMark/>
          </w:tcPr>
          <w:p w14:paraId="427B101E" w14:textId="77777777" w:rsidR="00DA4A4A" w:rsidRPr="0057092E" w:rsidRDefault="00DA4A4A" w:rsidP="002B4B6D">
            <w:pPr>
              <w:autoSpaceDE/>
              <w:autoSpaceDN/>
              <w:adjustRightInd/>
              <w:spacing w:after="0"/>
              <w:rPr>
                <w:rFonts w:asciiTheme="minorHAnsi" w:eastAsia="Times New Roman" w:hAnsiTheme="minorHAnsi" w:cstheme="minorHAnsi"/>
                <w:b/>
                <w:bCs/>
                <w:noProof w:val="0"/>
                <w:color w:val="auto"/>
                <w:szCs w:val="22"/>
              </w:rPr>
            </w:pPr>
            <w:r w:rsidRPr="0057092E">
              <w:rPr>
                <w:rFonts w:asciiTheme="minorHAnsi" w:eastAsia="Times New Roman" w:hAnsiTheme="minorHAnsi" w:cstheme="minorHAnsi"/>
                <w:b/>
                <w:bCs/>
                <w:noProof w:val="0"/>
                <w:color w:val="auto"/>
                <w:szCs w:val="22"/>
              </w:rPr>
              <w:t>Improved and hybrid seed varieties</w:t>
            </w:r>
          </w:p>
        </w:tc>
        <w:tc>
          <w:tcPr>
            <w:tcW w:w="1157" w:type="dxa"/>
            <w:tcBorders>
              <w:top w:val="single" w:sz="4" w:space="0" w:color="auto"/>
              <w:left w:val="nil"/>
              <w:bottom w:val="nil"/>
              <w:right w:val="nil"/>
            </w:tcBorders>
            <w:shd w:val="clear" w:color="000000" w:fill="F2F2F2"/>
            <w:noWrap/>
            <w:vAlign w:val="center"/>
            <w:hideMark/>
          </w:tcPr>
          <w:p w14:paraId="06261470" w14:textId="1A5FA099" w:rsidR="00DA4A4A" w:rsidRPr="0057092E" w:rsidRDefault="00DA4A4A" w:rsidP="002B4B6D">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nil"/>
              <w:right w:val="nil"/>
            </w:tcBorders>
            <w:shd w:val="clear" w:color="000000" w:fill="F2F2F2"/>
            <w:noWrap/>
            <w:vAlign w:val="center"/>
            <w:hideMark/>
          </w:tcPr>
          <w:p w14:paraId="7DEAAF60" w14:textId="61A0DAC2" w:rsidR="00DA4A4A" w:rsidRPr="0057092E" w:rsidRDefault="00DA4A4A" w:rsidP="002B4B6D">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nil"/>
              <w:right w:val="nil"/>
            </w:tcBorders>
            <w:shd w:val="clear" w:color="000000" w:fill="F2F2F2"/>
            <w:noWrap/>
            <w:vAlign w:val="center"/>
            <w:hideMark/>
          </w:tcPr>
          <w:p w14:paraId="2F56F9E6" w14:textId="72F521C2" w:rsidR="00DA4A4A" w:rsidRPr="0057092E" w:rsidRDefault="00DA4A4A" w:rsidP="002B4B6D">
            <w:pPr>
              <w:autoSpaceDE/>
              <w:autoSpaceDN/>
              <w:adjustRightInd/>
              <w:spacing w:after="0"/>
              <w:jc w:val="center"/>
              <w:rPr>
                <w:rFonts w:asciiTheme="minorHAnsi" w:eastAsia="Times New Roman" w:hAnsiTheme="minorHAnsi" w:cstheme="minorHAnsi"/>
                <w:noProof w:val="0"/>
                <w:color w:val="auto"/>
                <w:szCs w:val="22"/>
              </w:rPr>
            </w:pPr>
          </w:p>
        </w:tc>
      </w:tr>
      <w:tr w:rsidR="0057092E" w:rsidRPr="0057092E" w14:paraId="51941DE3" w14:textId="77777777" w:rsidTr="00860E63">
        <w:trPr>
          <w:trHeight w:val="255"/>
        </w:trPr>
        <w:tc>
          <w:tcPr>
            <w:tcW w:w="5310" w:type="dxa"/>
            <w:tcBorders>
              <w:top w:val="nil"/>
              <w:left w:val="nil"/>
              <w:bottom w:val="nil"/>
              <w:right w:val="nil"/>
            </w:tcBorders>
            <w:noWrap/>
            <w:vAlign w:val="center"/>
            <w:hideMark/>
          </w:tcPr>
          <w:p w14:paraId="29C15EBE" w14:textId="79A2C3E6" w:rsidR="003072C1" w:rsidRPr="0057092E" w:rsidRDefault="00A03F22"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High-yielding</w:t>
            </w:r>
            <w:r w:rsidR="003072C1" w:rsidRPr="0057092E">
              <w:rPr>
                <w:rFonts w:asciiTheme="minorHAnsi" w:eastAsia="Times New Roman" w:hAnsiTheme="minorHAnsi" w:cstheme="minorHAnsi"/>
                <w:noProof w:val="0"/>
                <w:color w:val="auto"/>
                <w:szCs w:val="22"/>
              </w:rPr>
              <w:t xml:space="preserve"> </w:t>
            </w:r>
            <w:r w:rsidR="0093319E" w:rsidRPr="0057092E">
              <w:rPr>
                <w:rFonts w:asciiTheme="minorHAnsi" w:eastAsia="Times New Roman" w:hAnsiTheme="minorHAnsi" w:cstheme="minorHAnsi"/>
                <w:noProof w:val="0"/>
                <w:color w:val="auto"/>
                <w:szCs w:val="22"/>
              </w:rPr>
              <w:t>varieties</w:t>
            </w:r>
          </w:p>
        </w:tc>
        <w:tc>
          <w:tcPr>
            <w:tcW w:w="1157" w:type="dxa"/>
            <w:tcBorders>
              <w:top w:val="nil"/>
              <w:left w:val="nil"/>
              <w:bottom w:val="nil"/>
              <w:right w:val="nil"/>
            </w:tcBorders>
            <w:noWrap/>
            <w:hideMark/>
          </w:tcPr>
          <w:p w14:paraId="7A5C781C" w14:textId="46AE7406"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69.32</w:t>
            </w:r>
            <w:r w:rsidR="00383C62" w:rsidRPr="0057092E">
              <w:rPr>
                <w:rFonts w:asciiTheme="minorHAnsi" w:hAnsiTheme="minorHAnsi" w:cstheme="minorHAnsi"/>
                <w:color w:val="auto"/>
                <w:szCs w:val="22"/>
              </w:rPr>
              <w:t>%</w:t>
            </w:r>
          </w:p>
        </w:tc>
        <w:tc>
          <w:tcPr>
            <w:tcW w:w="1003" w:type="dxa"/>
            <w:tcBorders>
              <w:top w:val="nil"/>
              <w:left w:val="nil"/>
              <w:bottom w:val="nil"/>
              <w:right w:val="nil"/>
            </w:tcBorders>
            <w:noWrap/>
            <w:hideMark/>
          </w:tcPr>
          <w:p w14:paraId="4878C940" w14:textId="0F2ADF0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69.30</w:t>
            </w:r>
            <w:r w:rsidR="00383C62" w:rsidRPr="0057092E">
              <w:rPr>
                <w:rFonts w:asciiTheme="minorHAnsi" w:hAnsiTheme="minorHAnsi" w:cstheme="minorHAnsi"/>
                <w:color w:val="auto"/>
                <w:szCs w:val="22"/>
              </w:rPr>
              <w:t>%</w:t>
            </w:r>
          </w:p>
        </w:tc>
        <w:tc>
          <w:tcPr>
            <w:tcW w:w="1236" w:type="dxa"/>
            <w:tcBorders>
              <w:top w:val="nil"/>
              <w:left w:val="nil"/>
              <w:bottom w:val="nil"/>
              <w:right w:val="nil"/>
            </w:tcBorders>
            <w:noWrap/>
            <w:hideMark/>
          </w:tcPr>
          <w:p w14:paraId="5CCD787C" w14:textId="0A1BF9C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69.31</w:t>
            </w:r>
            <w:r w:rsidR="00147529" w:rsidRPr="0057092E">
              <w:rPr>
                <w:rFonts w:asciiTheme="minorHAnsi" w:hAnsiTheme="minorHAnsi" w:cstheme="minorHAnsi"/>
                <w:color w:val="auto"/>
                <w:szCs w:val="22"/>
              </w:rPr>
              <w:t>%</w:t>
            </w:r>
          </w:p>
        </w:tc>
      </w:tr>
      <w:tr w:rsidR="0057092E" w:rsidRPr="0057092E" w14:paraId="3C64254E" w14:textId="77777777" w:rsidTr="00860E63">
        <w:trPr>
          <w:trHeight w:val="255"/>
        </w:trPr>
        <w:tc>
          <w:tcPr>
            <w:tcW w:w="5310" w:type="dxa"/>
            <w:tcBorders>
              <w:top w:val="nil"/>
              <w:left w:val="nil"/>
              <w:bottom w:val="nil"/>
              <w:right w:val="nil"/>
            </w:tcBorders>
            <w:noWrap/>
            <w:vAlign w:val="center"/>
            <w:hideMark/>
          </w:tcPr>
          <w:p w14:paraId="3A4B7C6F" w14:textId="554D0E40"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Nutrient-</w:t>
            </w:r>
            <w:r w:rsidR="007242F7" w:rsidRPr="0057092E">
              <w:rPr>
                <w:rFonts w:asciiTheme="minorHAnsi" w:eastAsia="Times New Roman" w:hAnsiTheme="minorHAnsi" w:cstheme="minorHAnsi"/>
                <w:noProof w:val="0"/>
                <w:color w:val="auto"/>
                <w:szCs w:val="22"/>
              </w:rPr>
              <w:t>rich varieties</w:t>
            </w:r>
          </w:p>
        </w:tc>
        <w:tc>
          <w:tcPr>
            <w:tcW w:w="1157" w:type="dxa"/>
            <w:tcBorders>
              <w:top w:val="nil"/>
              <w:left w:val="nil"/>
              <w:bottom w:val="nil"/>
              <w:right w:val="nil"/>
            </w:tcBorders>
            <w:noWrap/>
            <w:hideMark/>
          </w:tcPr>
          <w:p w14:paraId="7CF18889" w14:textId="79C1C3B5"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43.00</w:t>
            </w:r>
            <w:r w:rsidR="00383C62" w:rsidRPr="0057092E">
              <w:rPr>
                <w:rFonts w:asciiTheme="minorHAnsi" w:hAnsiTheme="minorHAnsi" w:cstheme="minorHAnsi"/>
                <w:color w:val="auto"/>
                <w:szCs w:val="22"/>
              </w:rPr>
              <w:t>%</w:t>
            </w:r>
          </w:p>
        </w:tc>
        <w:tc>
          <w:tcPr>
            <w:tcW w:w="1003" w:type="dxa"/>
            <w:tcBorders>
              <w:top w:val="nil"/>
              <w:left w:val="nil"/>
              <w:bottom w:val="nil"/>
              <w:right w:val="nil"/>
            </w:tcBorders>
            <w:noWrap/>
            <w:hideMark/>
          </w:tcPr>
          <w:p w14:paraId="590FE448" w14:textId="2FF6F1C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38.00</w:t>
            </w:r>
            <w:r w:rsidR="00383C62" w:rsidRPr="0057092E">
              <w:rPr>
                <w:rFonts w:asciiTheme="minorHAnsi" w:hAnsiTheme="minorHAnsi" w:cstheme="minorHAnsi"/>
                <w:color w:val="auto"/>
                <w:szCs w:val="22"/>
              </w:rPr>
              <w:t>%</w:t>
            </w:r>
          </w:p>
        </w:tc>
        <w:tc>
          <w:tcPr>
            <w:tcW w:w="1236" w:type="dxa"/>
            <w:tcBorders>
              <w:top w:val="nil"/>
              <w:left w:val="nil"/>
              <w:bottom w:val="nil"/>
              <w:right w:val="nil"/>
            </w:tcBorders>
            <w:noWrap/>
            <w:hideMark/>
          </w:tcPr>
          <w:p w14:paraId="51B58961" w14:textId="3A0123A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40.50</w:t>
            </w:r>
            <w:r w:rsidR="00147529" w:rsidRPr="0057092E">
              <w:rPr>
                <w:rFonts w:asciiTheme="minorHAnsi" w:hAnsiTheme="minorHAnsi" w:cstheme="minorHAnsi"/>
                <w:color w:val="auto"/>
                <w:szCs w:val="22"/>
              </w:rPr>
              <w:t>%</w:t>
            </w:r>
          </w:p>
        </w:tc>
      </w:tr>
      <w:tr w:rsidR="0057092E" w:rsidRPr="0057092E" w14:paraId="2E5413FC" w14:textId="77777777" w:rsidTr="00860E63">
        <w:trPr>
          <w:trHeight w:val="255"/>
        </w:trPr>
        <w:tc>
          <w:tcPr>
            <w:tcW w:w="5310" w:type="dxa"/>
            <w:tcBorders>
              <w:top w:val="nil"/>
              <w:left w:val="nil"/>
              <w:bottom w:val="single" w:sz="4" w:space="0" w:color="auto"/>
              <w:right w:val="nil"/>
            </w:tcBorders>
            <w:noWrap/>
            <w:vAlign w:val="center"/>
            <w:hideMark/>
          </w:tcPr>
          <w:p w14:paraId="68F7FDB8" w14:textId="411D1526"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Stress-tolerant varieties</w:t>
            </w:r>
          </w:p>
        </w:tc>
        <w:tc>
          <w:tcPr>
            <w:tcW w:w="1157" w:type="dxa"/>
            <w:tcBorders>
              <w:top w:val="nil"/>
              <w:left w:val="nil"/>
              <w:bottom w:val="single" w:sz="4" w:space="0" w:color="auto"/>
              <w:right w:val="nil"/>
            </w:tcBorders>
            <w:noWrap/>
            <w:hideMark/>
          </w:tcPr>
          <w:p w14:paraId="0CCD7AA0" w14:textId="79DC0D2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13.26</w:t>
            </w:r>
            <w:r w:rsidR="00383C62" w:rsidRPr="0057092E">
              <w:rPr>
                <w:rFonts w:asciiTheme="minorHAnsi" w:hAnsiTheme="minorHAnsi" w:cstheme="minorHAnsi"/>
                <w:color w:val="auto"/>
                <w:szCs w:val="22"/>
              </w:rPr>
              <w:t>%</w:t>
            </w:r>
          </w:p>
        </w:tc>
        <w:tc>
          <w:tcPr>
            <w:tcW w:w="1003" w:type="dxa"/>
            <w:tcBorders>
              <w:top w:val="nil"/>
              <w:left w:val="nil"/>
              <w:bottom w:val="single" w:sz="4" w:space="0" w:color="auto"/>
              <w:right w:val="nil"/>
            </w:tcBorders>
            <w:noWrap/>
            <w:hideMark/>
          </w:tcPr>
          <w:p w14:paraId="41E60C7D" w14:textId="4A96284A"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13.16</w:t>
            </w:r>
            <w:r w:rsidR="00383C62" w:rsidRPr="0057092E">
              <w:rPr>
                <w:rFonts w:asciiTheme="minorHAnsi" w:hAnsiTheme="minorHAnsi" w:cstheme="minorHAnsi"/>
                <w:color w:val="auto"/>
                <w:szCs w:val="22"/>
              </w:rPr>
              <w:t>%</w:t>
            </w:r>
          </w:p>
        </w:tc>
        <w:tc>
          <w:tcPr>
            <w:tcW w:w="1236" w:type="dxa"/>
            <w:tcBorders>
              <w:top w:val="nil"/>
              <w:left w:val="nil"/>
              <w:bottom w:val="single" w:sz="4" w:space="0" w:color="auto"/>
              <w:right w:val="nil"/>
            </w:tcBorders>
            <w:noWrap/>
            <w:hideMark/>
          </w:tcPr>
          <w:p w14:paraId="3179F260" w14:textId="1F010AFA"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13.21</w:t>
            </w:r>
            <w:r w:rsidR="00147529" w:rsidRPr="0057092E">
              <w:rPr>
                <w:rFonts w:asciiTheme="minorHAnsi" w:hAnsiTheme="minorHAnsi" w:cstheme="minorHAnsi"/>
                <w:color w:val="auto"/>
                <w:szCs w:val="22"/>
              </w:rPr>
              <w:t>%</w:t>
            </w:r>
          </w:p>
        </w:tc>
      </w:tr>
      <w:tr w:rsidR="0057092E" w:rsidRPr="0057092E" w14:paraId="2136D9D1"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6A8F6C7B" w14:textId="77777777" w:rsidR="003072C1" w:rsidRPr="0057092E" w:rsidRDefault="003072C1" w:rsidP="002B4B6D">
            <w:pPr>
              <w:autoSpaceDE/>
              <w:autoSpaceDN/>
              <w:adjustRightInd/>
              <w:spacing w:after="0"/>
              <w:rPr>
                <w:rFonts w:asciiTheme="minorHAnsi" w:eastAsia="Times New Roman" w:hAnsiTheme="minorHAnsi" w:cstheme="minorHAnsi"/>
                <w:b/>
                <w:bCs/>
                <w:noProof w:val="0"/>
                <w:color w:val="auto"/>
                <w:szCs w:val="22"/>
              </w:rPr>
            </w:pPr>
            <w:r w:rsidRPr="0057092E">
              <w:rPr>
                <w:rFonts w:asciiTheme="minorHAnsi" w:eastAsia="Times New Roman" w:hAnsiTheme="minorHAnsi" w:cstheme="minorHAnsi"/>
                <w:b/>
                <w:bCs/>
                <w:noProof w:val="0"/>
                <w:color w:val="auto"/>
                <w:szCs w:val="22"/>
              </w:rPr>
              <w:t>Climate-smart cultivation techniques</w:t>
            </w:r>
          </w:p>
        </w:tc>
        <w:tc>
          <w:tcPr>
            <w:tcW w:w="1157" w:type="dxa"/>
            <w:tcBorders>
              <w:top w:val="single" w:sz="4" w:space="0" w:color="auto"/>
              <w:left w:val="nil"/>
              <w:bottom w:val="single" w:sz="4" w:space="0" w:color="auto"/>
              <w:right w:val="nil"/>
            </w:tcBorders>
            <w:shd w:val="clear" w:color="000000" w:fill="F2F2F2"/>
            <w:noWrap/>
            <w:hideMark/>
          </w:tcPr>
          <w:p w14:paraId="1B41A4E5" w14:textId="13C12E7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405FA27C" w14:textId="751F848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2FE938DA" w14:textId="552B58C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r>
      <w:tr w:rsidR="0057092E" w:rsidRPr="0057092E" w14:paraId="436CD53B" w14:textId="77777777" w:rsidTr="00860E63">
        <w:trPr>
          <w:trHeight w:val="255"/>
        </w:trPr>
        <w:tc>
          <w:tcPr>
            <w:tcW w:w="5310" w:type="dxa"/>
            <w:tcBorders>
              <w:top w:val="single" w:sz="4" w:space="0" w:color="auto"/>
              <w:left w:val="nil"/>
              <w:bottom w:val="nil"/>
              <w:right w:val="nil"/>
            </w:tcBorders>
            <w:noWrap/>
            <w:vAlign w:val="center"/>
            <w:hideMark/>
          </w:tcPr>
          <w:p w14:paraId="504ED980" w14:textId="7AFA87C3"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Raised-bed for planting</w:t>
            </w:r>
          </w:p>
        </w:tc>
        <w:tc>
          <w:tcPr>
            <w:tcW w:w="1157" w:type="dxa"/>
            <w:tcBorders>
              <w:top w:val="single" w:sz="4" w:space="0" w:color="auto"/>
              <w:left w:val="nil"/>
              <w:bottom w:val="nil"/>
              <w:right w:val="nil"/>
            </w:tcBorders>
            <w:noWrap/>
            <w:hideMark/>
          </w:tcPr>
          <w:p w14:paraId="7BFAF4A3" w14:textId="2A05257F"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83.33</w:t>
            </w:r>
            <w:r w:rsidR="00383C62" w:rsidRPr="0057092E">
              <w:rPr>
                <w:rFonts w:asciiTheme="minorHAnsi" w:hAnsiTheme="minorHAnsi" w:cstheme="minorHAnsi"/>
                <w:color w:val="auto"/>
                <w:szCs w:val="22"/>
              </w:rPr>
              <w:t>%</w:t>
            </w:r>
          </w:p>
        </w:tc>
        <w:tc>
          <w:tcPr>
            <w:tcW w:w="1003" w:type="dxa"/>
            <w:tcBorders>
              <w:top w:val="single" w:sz="4" w:space="0" w:color="auto"/>
              <w:left w:val="nil"/>
              <w:bottom w:val="nil"/>
              <w:right w:val="nil"/>
            </w:tcBorders>
            <w:noWrap/>
            <w:hideMark/>
          </w:tcPr>
          <w:p w14:paraId="65881C0E" w14:textId="01CB066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65.79</w:t>
            </w:r>
            <w:r w:rsidR="00383C62" w:rsidRPr="0057092E">
              <w:rPr>
                <w:rFonts w:asciiTheme="minorHAnsi" w:hAnsiTheme="minorHAnsi" w:cstheme="minorHAnsi"/>
                <w:color w:val="auto"/>
                <w:szCs w:val="22"/>
              </w:rPr>
              <w:t>%</w:t>
            </w:r>
          </w:p>
        </w:tc>
        <w:tc>
          <w:tcPr>
            <w:tcW w:w="1236" w:type="dxa"/>
            <w:tcBorders>
              <w:top w:val="single" w:sz="4" w:space="0" w:color="auto"/>
              <w:left w:val="nil"/>
              <w:bottom w:val="nil"/>
              <w:right w:val="nil"/>
            </w:tcBorders>
            <w:noWrap/>
            <w:hideMark/>
          </w:tcPr>
          <w:p w14:paraId="31A93541" w14:textId="2C5D17C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74.56</w:t>
            </w:r>
            <w:r w:rsidR="00147529" w:rsidRPr="0057092E">
              <w:rPr>
                <w:rFonts w:asciiTheme="minorHAnsi" w:hAnsiTheme="minorHAnsi" w:cstheme="minorHAnsi"/>
                <w:color w:val="auto"/>
                <w:szCs w:val="22"/>
              </w:rPr>
              <w:t>%</w:t>
            </w:r>
          </w:p>
        </w:tc>
      </w:tr>
      <w:tr w:rsidR="0057092E" w:rsidRPr="0057092E" w14:paraId="21C04B6C" w14:textId="77777777" w:rsidTr="00860E63">
        <w:trPr>
          <w:trHeight w:val="255"/>
        </w:trPr>
        <w:tc>
          <w:tcPr>
            <w:tcW w:w="5310" w:type="dxa"/>
            <w:tcBorders>
              <w:top w:val="nil"/>
              <w:left w:val="nil"/>
              <w:bottom w:val="nil"/>
              <w:right w:val="nil"/>
            </w:tcBorders>
            <w:noWrap/>
            <w:vAlign w:val="center"/>
            <w:hideMark/>
          </w:tcPr>
          <w:p w14:paraId="413D1160"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Mulching to retain soil moisture</w:t>
            </w:r>
          </w:p>
        </w:tc>
        <w:tc>
          <w:tcPr>
            <w:tcW w:w="1157" w:type="dxa"/>
            <w:tcBorders>
              <w:top w:val="nil"/>
              <w:left w:val="nil"/>
              <w:bottom w:val="nil"/>
              <w:right w:val="nil"/>
            </w:tcBorders>
            <w:noWrap/>
            <w:hideMark/>
          </w:tcPr>
          <w:p w14:paraId="5ED05AA7" w14:textId="578946F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28.03</w:t>
            </w:r>
            <w:r w:rsidR="00383C62" w:rsidRPr="0057092E">
              <w:rPr>
                <w:rFonts w:asciiTheme="minorHAnsi" w:hAnsiTheme="minorHAnsi" w:cstheme="minorHAnsi"/>
                <w:color w:val="auto"/>
                <w:szCs w:val="22"/>
              </w:rPr>
              <w:t>%</w:t>
            </w:r>
          </w:p>
        </w:tc>
        <w:tc>
          <w:tcPr>
            <w:tcW w:w="1003" w:type="dxa"/>
            <w:tcBorders>
              <w:top w:val="nil"/>
              <w:left w:val="nil"/>
              <w:bottom w:val="nil"/>
              <w:right w:val="nil"/>
            </w:tcBorders>
            <w:noWrap/>
            <w:hideMark/>
          </w:tcPr>
          <w:p w14:paraId="7A329D25" w14:textId="0E7EDA5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44.74</w:t>
            </w:r>
            <w:r w:rsidR="00383C62" w:rsidRPr="0057092E">
              <w:rPr>
                <w:rFonts w:asciiTheme="minorHAnsi" w:hAnsiTheme="minorHAnsi" w:cstheme="minorHAnsi"/>
                <w:color w:val="auto"/>
                <w:szCs w:val="22"/>
              </w:rPr>
              <w:t>%</w:t>
            </w:r>
          </w:p>
        </w:tc>
        <w:tc>
          <w:tcPr>
            <w:tcW w:w="1236" w:type="dxa"/>
            <w:tcBorders>
              <w:top w:val="nil"/>
              <w:left w:val="nil"/>
              <w:bottom w:val="nil"/>
              <w:right w:val="nil"/>
            </w:tcBorders>
            <w:noWrap/>
            <w:hideMark/>
          </w:tcPr>
          <w:p w14:paraId="02C3848A" w14:textId="0356F787"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36.38</w:t>
            </w:r>
            <w:r w:rsidR="00147529" w:rsidRPr="0057092E">
              <w:rPr>
                <w:rFonts w:asciiTheme="minorHAnsi" w:hAnsiTheme="minorHAnsi" w:cstheme="minorHAnsi"/>
                <w:color w:val="auto"/>
                <w:szCs w:val="22"/>
              </w:rPr>
              <w:t>%</w:t>
            </w:r>
          </w:p>
        </w:tc>
      </w:tr>
      <w:tr w:rsidR="0057092E" w:rsidRPr="0057092E" w14:paraId="25826967" w14:textId="77777777" w:rsidTr="00860E63">
        <w:trPr>
          <w:trHeight w:val="255"/>
        </w:trPr>
        <w:tc>
          <w:tcPr>
            <w:tcW w:w="5310" w:type="dxa"/>
            <w:tcBorders>
              <w:top w:val="nil"/>
              <w:left w:val="nil"/>
              <w:bottom w:val="single" w:sz="4" w:space="0" w:color="auto"/>
              <w:right w:val="nil"/>
            </w:tcBorders>
            <w:noWrap/>
            <w:vAlign w:val="center"/>
            <w:hideMark/>
          </w:tcPr>
          <w:p w14:paraId="691A24EF" w14:textId="78373521"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Drip irrigation kits for water efficiency</w:t>
            </w:r>
          </w:p>
        </w:tc>
        <w:tc>
          <w:tcPr>
            <w:tcW w:w="1157" w:type="dxa"/>
            <w:tcBorders>
              <w:top w:val="nil"/>
              <w:left w:val="nil"/>
              <w:bottom w:val="single" w:sz="4" w:space="0" w:color="auto"/>
              <w:right w:val="nil"/>
            </w:tcBorders>
            <w:noWrap/>
            <w:hideMark/>
          </w:tcPr>
          <w:p w14:paraId="2B07C63C" w14:textId="0E5855B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43.94</w:t>
            </w:r>
            <w:r w:rsidR="00383C62" w:rsidRPr="0057092E">
              <w:rPr>
                <w:rFonts w:asciiTheme="minorHAnsi" w:hAnsiTheme="minorHAnsi" w:cstheme="minorHAnsi"/>
                <w:color w:val="auto"/>
                <w:szCs w:val="22"/>
              </w:rPr>
              <w:t>%</w:t>
            </w:r>
          </w:p>
        </w:tc>
        <w:tc>
          <w:tcPr>
            <w:tcW w:w="1003" w:type="dxa"/>
            <w:tcBorders>
              <w:top w:val="nil"/>
              <w:left w:val="nil"/>
              <w:bottom w:val="single" w:sz="4" w:space="0" w:color="auto"/>
              <w:right w:val="nil"/>
            </w:tcBorders>
            <w:noWrap/>
            <w:hideMark/>
          </w:tcPr>
          <w:p w14:paraId="644CA45E" w14:textId="2EE09D1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61.40</w:t>
            </w:r>
            <w:r w:rsidR="00383C62" w:rsidRPr="0057092E">
              <w:rPr>
                <w:rFonts w:asciiTheme="minorHAnsi" w:hAnsiTheme="minorHAnsi" w:cstheme="minorHAnsi"/>
                <w:color w:val="auto"/>
                <w:szCs w:val="22"/>
              </w:rPr>
              <w:t>%</w:t>
            </w:r>
          </w:p>
        </w:tc>
        <w:tc>
          <w:tcPr>
            <w:tcW w:w="1236" w:type="dxa"/>
            <w:tcBorders>
              <w:top w:val="nil"/>
              <w:left w:val="nil"/>
              <w:bottom w:val="single" w:sz="4" w:space="0" w:color="auto"/>
              <w:right w:val="nil"/>
            </w:tcBorders>
            <w:noWrap/>
            <w:hideMark/>
          </w:tcPr>
          <w:p w14:paraId="6B4A894E" w14:textId="4227FD3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52.67</w:t>
            </w:r>
            <w:r w:rsidR="00147529" w:rsidRPr="0057092E">
              <w:rPr>
                <w:rFonts w:asciiTheme="minorHAnsi" w:hAnsiTheme="minorHAnsi" w:cstheme="minorHAnsi"/>
                <w:color w:val="auto"/>
                <w:szCs w:val="22"/>
              </w:rPr>
              <w:t>%</w:t>
            </w:r>
          </w:p>
        </w:tc>
      </w:tr>
      <w:tr w:rsidR="0057092E" w:rsidRPr="0057092E" w14:paraId="092A9E4B"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171255D5" w14:textId="77777777" w:rsidR="003072C1" w:rsidRPr="0057092E" w:rsidRDefault="003072C1" w:rsidP="002B4B6D">
            <w:pPr>
              <w:autoSpaceDE/>
              <w:autoSpaceDN/>
              <w:adjustRightInd/>
              <w:spacing w:after="0"/>
              <w:rPr>
                <w:rFonts w:asciiTheme="minorHAnsi" w:eastAsia="Times New Roman" w:hAnsiTheme="minorHAnsi" w:cstheme="minorHAnsi"/>
                <w:b/>
                <w:bCs/>
                <w:noProof w:val="0"/>
                <w:color w:val="auto"/>
                <w:szCs w:val="22"/>
              </w:rPr>
            </w:pPr>
            <w:r w:rsidRPr="0057092E">
              <w:rPr>
                <w:rFonts w:asciiTheme="minorHAnsi" w:eastAsia="Times New Roman" w:hAnsiTheme="minorHAnsi" w:cstheme="minorHAnsi"/>
                <w:b/>
                <w:bCs/>
                <w:noProof w:val="0"/>
                <w:color w:val="auto"/>
                <w:szCs w:val="22"/>
              </w:rPr>
              <w:t>Soil fertility and input management</w:t>
            </w:r>
          </w:p>
        </w:tc>
        <w:tc>
          <w:tcPr>
            <w:tcW w:w="1157" w:type="dxa"/>
            <w:tcBorders>
              <w:top w:val="single" w:sz="4" w:space="0" w:color="auto"/>
              <w:left w:val="nil"/>
              <w:bottom w:val="single" w:sz="4" w:space="0" w:color="auto"/>
              <w:right w:val="nil"/>
            </w:tcBorders>
            <w:shd w:val="clear" w:color="000000" w:fill="F2F2F2"/>
            <w:noWrap/>
            <w:hideMark/>
          </w:tcPr>
          <w:p w14:paraId="357395CF" w14:textId="78FE2567"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2E470057" w14:textId="48EDC85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74E4D0C9" w14:textId="652BAF6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r>
      <w:tr w:rsidR="0057092E" w:rsidRPr="0057092E" w14:paraId="60A5CF70" w14:textId="77777777" w:rsidTr="00860E63">
        <w:trPr>
          <w:trHeight w:val="255"/>
        </w:trPr>
        <w:tc>
          <w:tcPr>
            <w:tcW w:w="5310" w:type="dxa"/>
            <w:tcBorders>
              <w:top w:val="single" w:sz="4" w:space="0" w:color="auto"/>
              <w:left w:val="nil"/>
              <w:bottom w:val="nil"/>
              <w:right w:val="nil"/>
            </w:tcBorders>
            <w:vAlign w:val="center"/>
            <w:hideMark/>
          </w:tcPr>
          <w:p w14:paraId="43074CAE"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Soil treatment</w:t>
            </w:r>
          </w:p>
        </w:tc>
        <w:tc>
          <w:tcPr>
            <w:tcW w:w="1157" w:type="dxa"/>
            <w:tcBorders>
              <w:top w:val="single" w:sz="4" w:space="0" w:color="auto"/>
              <w:left w:val="nil"/>
              <w:bottom w:val="nil"/>
              <w:right w:val="nil"/>
            </w:tcBorders>
            <w:noWrap/>
            <w:hideMark/>
          </w:tcPr>
          <w:p w14:paraId="0A159A36" w14:textId="7D7A934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31.82</w:t>
            </w:r>
            <w:r w:rsidR="00383C62" w:rsidRPr="0057092E">
              <w:rPr>
                <w:rFonts w:asciiTheme="minorHAnsi" w:hAnsiTheme="minorHAnsi" w:cstheme="minorHAnsi"/>
                <w:color w:val="auto"/>
                <w:szCs w:val="22"/>
              </w:rPr>
              <w:t>%</w:t>
            </w:r>
          </w:p>
        </w:tc>
        <w:tc>
          <w:tcPr>
            <w:tcW w:w="1003" w:type="dxa"/>
            <w:tcBorders>
              <w:top w:val="single" w:sz="4" w:space="0" w:color="auto"/>
              <w:left w:val="nil"/>
              <w:bottom w:val="nil"/>
              <w:right w:val="nil"/>
            </w:tcBorders>
            <w:noWrap/>
            <w:hideMark/>
          </w:tcPr>
          <w:p w14:paraId="79C9CBC7" w14:textId="631D595F"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44.74</w:t>
            </w:r>
            <w:r w:rsidR="00383C62" w:rsidRPr="0057092E">
              <w:rPr>
                <w:rFonts w:asciiTheme="minorHAnsi" w:hAnsiTheme="minorHAnsi" w:cstheme="minorHAnsi"/>
                <w:color w:val="auto"/>
                <w:szCs w:val="22"/>
              </w:rPr>
              <w:t>%</w:t>
            </w:r>
          </w:p>
        </w:tc>
        <w:tc>
          <w:tcPr>
            <w:tcW w:w="1236" w:type="dxa"/>
            <w:tcBorders>
              <w:top w:val="single" w:sz="4" w:space="0" w:color="auto"/>
              <w:left w:val="nil"/>
              <w:bottom w:val="nil"/>
              <w:right w:val="nil"/>
            </w:tcBorders>
            <w:noWrap/>
            <w:hideMark/>
          </w:tcPr>
          <w:p w14:paraId="4D9B7A0B" w14:textId="4D147A46"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38.28</w:t>
            </w:r>
            <w:r w:rsidR="00147529" w:rsidRPr="0057092E">
              <w:rPr>
                <w:rFonts w:asciiTheme="minorHAnsi" w:hAnsiTheme="minorHAnsi" w:cstheme="minorHAnsi"/>
                <w:color w:val="auto"/>
                <w:szCs w:val="22"/>
              </w:rPr>
              <w:t>%</w:t>
            </w:r>
          </w:p>
        </w:tc>
      </w:tr>
      <w:tr w:rsidR="0057092E" w:rsidRPr="0057092E" w14:paraId="05A4031F" w14:textId="77777777" w:rsidTr="00860E63">
        <w:trPr>
          <w:trHeight w:val="255"/>
        </w:trPr>
        <w:tc>
          <w:tcPr>
            <w:tcW w:w="5310" w:type="dxa"/>
            <w:tcBorders>
              <w:top w:val="nil"/>
              <w:left w:val="nil"/>
              <w:bottom w:val="nil"/>
              <w:right w:val="nil"/>
            </w:tcBorders>
            <w:noWrap/>
            <w:vAlign w:val="center"/>
            <w:hideMark/>
          </w:tcPr>
          <w:p w14:paraId="5413D48D" w14:textId="57F52802"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Use of organic</w:t>
            </w:r>
          </w:p>
        </w:tc>
        <w:tc>
          <w:tcPr>
            <w:tcW w:w="1157" w:type="dxa"/>
            <w:tcBorders>
              <w:top w:val="nil"/>
              <w:left w:val="nil"/>
              <w:bottom w:val="nil"/>
              <w:right w:val="nil"/>
            </w:tcBorders>
            <w:noWrap/>
            <w:hideMark/>
          </w:tcPr>
          <w:p w14:paraId="17CE0F66" w14:textId="68DB50BB"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48.48</w:t>
            </w:r>
            <w:r w:rsidR="00383C62" w:rsidRPr="0057092E">
              <w:rPr>
                <w:rFonts w:asciiTheme="minorHAnsi" w:hAnsiTheme="minorHAnsi" w:cstheme="minorHAnsi"/>
                <w:color w:val="auto"/>
                <w:szCs w:val="22"/>
              </w:rPr>
              <w:t>%</w:t>
            </w:r>
          </w:p>
        </w:tc>
        <w:tc>
          <w:tcPr>
            <w:tcW w:w="1003" w:type="dxa"/>
            <w:tcBorders>
              <w:top w:val="nil"/>
              <w:left w:val="nil"/>
              <w:bottom w:val="nil"/>
              <w:right w:val="nil"/>
            </w:tcBorders>
            <w:noWrap/>
            <w:hideMark/>
          </w:tcPr>
          <w:p w14:paraId="57317E4A" w14:textId="344B7F36"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73.68</w:t>
            </w:r>
            <w:r w:rsidR="00383C62" w:rsidRPr="0057092E">
              <w:rPr>
                <w:rFonts w:asciiTheme="minorHAnsi" w:hAnsiTheme="minorHAnsi" w:cstheme="minorHAnsi"/>
                <w:color w:val="auto"/>
                <w:szCs w:val="22"/>
              </w:rPr>
              <w:t>%</w:t>
            </w:r>
          </w:p>
        </w:tc>
        <w:tc>
          <w:tcPr>
            <w:tcW w:w="1236" w:type="dxa"/>
            <w:tcBorders>
              <w:top w:val="nil"/>
              <w:left w:val="nil"/>
              <w:bottom w:val="nil"/>
              <w:right w:val="nil"/>
            </w:tcBorders>
            <w:noWrap/>
            <w:hideMark/>
          </w:tcPr>
          <w:p w14:paraId="20C6CC9A" w14:textId="718ECA9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61.08</w:t>
            </w:r>
            <w:r w:rsidR="00147529" w:rsidRPr="0057092E">
              <w:rPr>
                <w:rFonts w:asciiTheme="minorHAnsi" w:hAnsiTheme="minorHAnsi" w:cstheme="minorHAnsi"/>
                <w:color w:val="auto"/>
                <w:szCs w:val="22"/>
              </w:rPr>
              <w:t>%</w:t>
            </w:r>
          </w:p>
        </w:tc>
      </w:tr>
      <w:tr w:rsidR="0057092E" w:rsidRPr="0057092E" w14:paraId="138485E1" w14:textId="77777777" w:rsidTr="00860E63">
        <w:trPr>
          <w:trHeight w:val="255"/>
        </w:trPr>
        <w:tc>
          <w:tcPr>
            <w:tcW w:w="5310" w:type="dxa"/>
            <w:tcBorders>
              <w:top w:val="nil"/>
              <w:left w:val="nil"/>
              <w:bottom w:val="nil"/>
              <w:right w:val="nil"/>
            </w:tcBorders>
            <w:noWrap/>
            <w:vAlign w:val="center"/>
            <w:hideMark/>
          </w:tcPr>
          <w:p w14:paraId="00186135"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Balanced fertilizer</w:t>
            </w:r>
          </w:p>
        </w:tc>
        <w:tc>
          <w:tcPr>
            <w:tcW w:w="1157" w:type="dxa"/>
            <w:tcBorders>
              <w:top w:val="nil"/>
              <w:left w:val="nil"/>
              <w:bottom w:val="nil"/>
              <w:right w:val="nil"/>
            </w:tcBorders>
            <w:noWrap/>
            <w:hideMark/>
          </w:tcPr>
          <w:p w14:paraId="4255D06C" w14:textId="7FBE26F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45.08</w:t>
            </w:r>
            <w:r w:rsidR="00383C62" w:rsidRPr="0057092E">
              <w:rPr>
                <w:rFonts w:asciiTheme="minorHAnsi" w:hAnsiTheme="minorHAnsi" w:cstheme="minorHAnsi"/>
                <w:color w:val="auto"/>
                <w:szCs w:val="22"/>
              </w:rPr>
              <w:t>%</w:t>
            </w:r>
          </w:p>
        </w:tc>
        <w:tc>
          <w:tcPr>
            <w:tcW w:w="1003" w:type="dxa"/>
            <w:tcBorders>
              <w:top w:val="nil"/>
              <w:left w:val="nil"/>
              <w:bottom w:val="nil"/>
              <w:right w:val="nil"/>
            </w:tcBorders>
            <w:noWrap/>
            <w:hideMark/>
          </w:tcPr>
          <w:p w14:paraId="7129927A" w14:textId="4C6970A4"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33.33</w:t>
            </w:r>
            <w:r w:rsidR="00383C62" w:rsidRPr="0057092E">
              <w:rPr>
                <w:rFonts w:asciiTheme="minorHAnsi" w:hAnsiTheme="minorHAnsi" w:cstheme="minorHAnsi"/>
                <w:color w:val="auto"/>
                <w:szCs w:val="22"/>
              </w:rPr>
              <w:t>%</w:t>
            </w:r>
          </w:p>
        </w:tc>
        <w:tc>
          <w:tcPr>
            <w:tcW w:w="1236" w:type="dxa"/>
            <w:tcBorders>
              <w:top w:val="nil"/>
              <w:left w:val="nil"/>
              <w:bottom w:val="nil"/>
              <w:right w:val="nil"/>
            </w:tcBorders>
            <w:noWrap/>
            <w:hideMark/>
          </w:tcPr>
          <w:p w14:paraId="62E55897" w14:textId="3B53486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39.20</w:t>
            </w:r>
            <w:r w:rsidR="00147529" w:rsidRPr="0057092E">
              <w:rPr>
                <w:rFonts w:asciiTheme="minorHAnsi" w:hAnsiTheme="minorHAnsi" w:cstheme="minorHAnsi"/>
                <w:color w:val="auto"/>
                <w:szCs w:val="22"/>
              </w:rPr>
              <w:t>%</w:t>
            </w:r>
          </w:p>
        </w:tc>
      </w:tr>
      <w:tr w:rsidR="0057092E" w:rsidRPr="0057092E" w14:paraId="4073C3D8" w14:textId="77777777" w:rsidTr="00860E63">
        <w:trPr>
          <w:trHeight w:val="255"/>
        </w:trPr>
        <w:tc>
          <w:tcPr>
            <w:tcW w:w="5310" w:type="dxa"/>
            <w:tcBorders>
              <w:top w:val="nil"/>
              <w:left w:val="nil"/>
              <w:bottom w:val="single" w:sz="4" w:space="0" w:color="auto"/>
              <w:right w:val="nil"/>
            </w:tcBorders>
            <w:noWrap/>
            <w:vAlign w:val="center"/>
            <w:hideMark/>
          </w:tcPr>
          <w:p w14:paraId="5E10C73A" w14:textId="730CBEE6"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Reduced chemical</w:t>
            </w:r>
          </w:p>
        </w:tc>
        <w:tc>
          <w:tcPr>
            <w:tcW w:w="1157" w:type="dxa"/>
            <w:tcBorders>
              <w:top w:val="nil"/>
              <w:left w:val="nil"/>
              <w:bottom w:val="single" w:sz="4" w:space="0" w:color="auto"/>
              <w:right w:val="nil"/>
            </w:tcBorders>
            <w:noWrap/>
            <w:hideMark/>
          </w:tcPr>
          <w:p w14:paraId="44B7E8A4" w14:textId="3F61D187"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52.00</w:t>
            </w:r>
            <w:r w:rsidR="00383C62" w:rsidRPr="0057092E">
              <w:rPr>
                <w:rFonts w:asciiTheme="minorHAnsi" w:hAnsiTheme="minorHAnsi" w:cstheme="minorHAnsi"/>
                <w:color w:val="auto"/>
                <w:szCs w:val="22"/>
              </w:rPr>
              <w:t>%</w:t>
            </w:r>
          </w:p>
        </w:tc>
        <w:tc>
          <w:tcPr>
            <w:tcW w:w="1003" w:type="dxa"/>
            <w:tcBorders>
              <w:top w:val="nil"/>
              <w:left w:val="nil"/>
              <w:bottom w:val="single" w:sz="4" w:space="0" w:color="auto"/>
              <w:right w:val="nil"/>
            </w:tcBorders>
            <w:noWrap/>
            <w:hideMark/>
          </w:tcPr>
          <w:p w14:paraId="5E64BCFC" w14:textId="4EB502E3"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57.00</w:t>
            </w:r>
            <w:r w:rsidR="00383C62" w:rsidRPr="0057092E">
              <w:rPr>
                <w:rFonts w:asciiTheme="minorHAnsi" w:hAnsiTheme="minorHAnsi" w:cstheme="minorHAnsi"/>
                <w:color w:val="auto"/>
                <w:szCs w:val="22"/>
              </w:rPr>
              <w:t>%</w:t>
            </w:r>
          </w:p>
        </w:tc>
        <w:tc>
          <w:tcPr>
            <w:tcW w:w="1236" w:type="dxa"/>
            <w:tcBorders>
              <w:top w:val="nil"/>
              <w:left w:val="nil"/>
              <w:bottom w:val="single" w:sz="4" w:space="0" w:color="auto"/>
              <w:right w:val="nil"/>
            </w:tcBorders>
            <w:noWrap/>
            <w:hideMark/>
          </w:tcPr>
          <w:p w14:paraId="59B2EE7B" w14:textId="0FA99C89"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54.50</w:t>
            </w:r>
            <w:r w:rsidR="00147529" w:rsidRPr="0057092E">
              <w:rPr>
                <w:rFonts w:asciiTheme="minorHAnsi" w:hAnsiTheme="minorHAnsi" w:cstheme="minorHAnsi"/>
                <w:color w:val="auto"/>
                <w:szCs w:val="22"/>
              </w:rPr>
              <w:t>%</w:t>
            </w:r>
          </w:p>
        </w:tc>
      </w:tr>
      <w:tr w:rsidR="0057092E" w:rsidRPr="0057092E" w14:paraId="21DE4D6B"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342D032C" w14:textId="77777777" w:rsidR="003072C1" w:rsidRPr="0057092E" w:rsidRDefault="003072C1" w:rsidP="002B4B6D">
            <w:pPr>
              <w:autoSpaceDE/>
              <w:autoSpaceDN/>
              <w:adjustRightInd/>
              <w:spacing w:after="0"/>
              <w:rPr>
                <w:rFonts w:asciiTheme="minorHAnsi" w:eastAsia="Times New Roman" w:hAnsiTheme="minorHAnsi" w:cstheme="minorHAnsi"/>
                <w:b/>
                <w:bCs/>
                <w:noProof w:val="0"/>
                <w:color w:val="auto"/>
                <w:szCs w:val="22"/>
              </w:rPr>
            </w:pPr>
            <w:r w:rsidRPr="0057092E">
              <w:rPr>
                <w:rFonts w:asciiTheme="minorHAnsi" w:eastAsia="Times New Roman" w:hAnsiTheme="minorHAnsi" w:cstheme="minorHAnsi"/>
                <w:b/>
                <w:bCs/>
                <w:noProof w:val="0"/>
                <w:color w:val="auto"/>
                <w:szCs w:val="22"/>
              </w:rPr>
              <w:t>Safe food production technologies</w:t>
            </w:r>
          </w:p>
        </w:tc>
        <w:tc>
          <w:tcPr>
            <w:tcW w:w="1157" w:type="dxa"/>
            <w:tcBorders>
              <w:top w:val="single" w:sz="4" w:space="0" w:color="auto"/>
              <w:left w:val="nil"/>
              <w:bottom w:val="single" w:sz="4" w:space="0" w:color="auto"/>
              <w:right w:val="nil"/>
            </w:tcBorders>
            <w:shd w:val="clear" w:color="000000" w:fill="F2F2F2"/>
            <w:noWrap/>
            <w:hideMark/>
          </w:tcPr>
          <w:p w14:paraId="3DDF7053" w14:textId="4B046627"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3FE4E29D" w14:textId="02CFD5E4"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4AD67F4B" w14:textId="7A4D38A2"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r>
      <w:tr w:rsidR="0057092E" w:rsidRPr="0057092E" w14:paraId="72C3513B" w14:textId="77777777" w:rsidTr="00860E63">
        <w:trPr>
          <w:trHeight w:val="255"/>
        </w:trPr>
        <w:tc>
          <w:tcPr>
            <w:tcW w:w="5310" w:type="dxa"/>
            <w:tcBorders>
              <w:top w:val="single" w:sz="4" w:space="0" w:color="auto"/>
              <w:left w:val="nil"/>
              <w:bottom w:val="nil"/>
              <w:right w:val="nil"/>
            </w:tcBorders>
            <w:noWrap/>
            <w:vAlign w:val="center"/>
            <w:hideMark/>
          </w:tcPr>
          <w:p w14:paraId="684CCE4C"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Safe pesticide use</w:t>
            </w:r>
          </w:p>
        </w:tc>
        <w:tc>
          <w:tcPr>
            <w:tcW w:w="1157" w:type="dxa"/>
            <w:tcBorders>
              <w:top w:val="single" w:sz="4" w:space="0" w:color="auto"/>
              <w:left w:val="nil"/>
              <w:bottom w:val="nil"/>
              <w:right w:val="nil"/>
            </w:tcBorders>
            <w:noWrap/>
            <w:hideMark/>
          </w:tcPr>
          <w:p w14:paraId="65931DF0" w14:textId="55C458D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65.50</w:t>
            </w:r>
            <w:r w:rsidR="00383C62" w:rsidRPr="0057092E">
              <w:rPr>
                <w:rFonts w:asciiTheme="minorHAnsi" w:hAnsiTheme="minorHAnsi" w:cstheme="minorHAnsi"/>
                <w:color w:val="auto"/>
                <w:szCs w:val="22"/>
              </w:rPr>
              <w:t>%</w:t>
            </w:r>
          </w:p>
        </w:tc>
        <w:tc>
          <w:tcPr>
            <w:tcW w:w="1003" w:type="dxa"/>
            <w:tcBorders>
              <w:top w:val="single" w:sz="4" w:space="0" w:color="auto"/>
              <w:left w:val="nil"/>
              <w:bottom w:val="nil"/>
              <w:right w:val="nil"/>
            </w:tcBorders>
            <w:noWrap/>
            <w:hideMark/>
          </w:tcPr>
          <w:p w14:paraId="57F06258" w14:textId="3B0FCB75"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59.80</w:t>
            </w:r>
            <w:r w:rsidR="00383C62" w:rsidRPr="0057092E">
              <w:rPr>
                <w:rFonts w:asciiTheme="minorHAnsi" w:hAnsiTheme="minorHAnsi" w:cstheme="minorHAnsi"/>
                <w:color w:val="auto"/>
                <w:szCs w:val="22"/>
              </w:rPr>
              <w:t>%</w:t>
            </w:r>
          </w:p>
        </w:tc>
        <w:tc>
          <w:tcPr>
            <w:tcW w:w="1236" w:type="dxa"/>
            <w:tcBorders>
              <w:top w:val="single" w:sz="4" w:space="0" w:color="auto"/>
              <w:left w:val="nil"/>
              <w:bottom w:val="nil"/>
              <w:right w:val="nil"/>
            </w:tcBorders>
            <w:noWrap/>
            <w:hideMark/>
          </w:tcPr>
          <w:p w14:paraId="3BF9A1DC" w14:textId="05345FB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62.65</w:t>
            </w:r>
            <w:r w:rsidR="00147529" w:rsidRPr="0057092E">
              <w:rPr>
                <w:rFonts w:asciiTheme="minorHAnsi" w:hAnsiTheme="minorHAnsi" w:cstheme="minorHAnsi"/>
                <w:color w:val="auto"/>
                <w:szCs w:val="22"/>
              </w:rPr>
              <w:t>%</w:t>
            </w:r>
          </w:p>
        </w:tc>
      </w:tr>
      <w:tr w:rsidR="0057092E" w:rsidRPr="0057092E" w14:paraId="6E0DC363" w14:textId="77777777" w:rsidTr="00860E63">
        <w:trPr>
          <w:trHeight w:val="255"/>
        </w:trPr>
        <w:tc>
          <w:tcPr>
            <w:tcW w:w="5310" w:type="dxa"/>
            <w:tcBorders>
              <w:top w:val="nil"/>
              <w:left w:val="nil"/>
              <w:bottom w:val="single" w:sz="4" w:space="0" w:color="auto"/>
              <w:right w:val="nil"/>
            </w:tcBorders>
            <w:noWrap/>
            <w:vAlign w:val="center"/>
            <w:hideMark/>
          </w:tcPr>
          <w:p w14:paraId="4A103C3E"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Biological pest control</w:t>
            </w:r>
          </w:p>
        </w:tc>
        <w:tc>
          <w:tcPr>
            <w:tcW w:w="1157" w:type="dxa"/>
            <w:tcBorders>
              <w:top w:val="nil"/>
              <w:left w:val="nil"/>
              <w:bottom w:val="single" w:sz="4" w:space="0" w:color="auto"/>
              <w:right w:val="nil"/>
            </w:tcBorders>
            <w:noWrap/>
            <w:hideMark/>
          </w:tcPr>
          <w:p w14:paraId="6BE40172" w14:textId="5BA641E9"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28.65</w:t>
            </w:r>
            <w:r w:rsidR="00383C62" w:rsidRPr="0057092E">
              <w:rPr>
                <w:rFonts w:asciiTheme="minorHAnsi" w:hAnsiTheme="minorHAnsi" w:cstheme="minorHAnsi"/>
                <w:color w:val="auto"/>
                <w:szCs w:val="22"/>
              </w:rPr>
              <w:t>%</w:t>
            </w:r>
          </w:p>
        </w:tc>
        <w:tc>
          <w:tcPr>
            <w:tcW w:w="1003" w:type="dxa"/>
            <w:tcBorders>
              <w:top w:val="nil"/>
              <w:left w:val="nil"/>
              <w:bottom w:val="single" w:sz="4" w:space="0" w:color="auto"/>
              <w:right w:val="nil"/>
            </w:tcBorders>
            <w:noWrap/>
            <w:hideMark/>
          </w:tcPr>
          <w:p w14:paraId="251853F9" w14:textId="07BF77C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36.75</w:t>
            </w:r>
            <w:r w:rsidR="00383C62" w:rsidRPr="0057092E">
              <w:rPr>
                <w:rFonts w:asciiTheme="minorHAnsi" w:hAnsiTheme="minorHAnsi" w:cstheme="minorHAnsi"/>
                <w:color w:val="auto"/>
                <w:szCs w:val="22"/>
              </w:rPr>
              <w:t>%</w:t>
            </w:r>
          </w:p>
        </w:tc>
        <w:tc>
          <w:tcPr>
            <w:tcW w:w="1236" w:type="dxa"/>
            <w:tcBorders>
              <w:top w:val="nil"/>
              <w:left w:val="nil"/>
              <w:bottom w:val="single" w:sz="4" w:space="0" w:color="auto"/>
              <w:right w:val="nil"/>
            </w:tcBorders>
            <w:noWrap/>
            <w:hideMark/>
          </w:tcPr>
          <w:p w14:paraId="315A3E1E" w14:textId="512A36B0"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32.70</w:t>
            </w:r>
            <w:r w:rsidR="00147529" w:rsidRPr="0057092E">
              <w:rPr>
                <w:rFonts w:asciiTheme="minorHAnsi" w:hAnsiTheme="minorHAnsi" w:cstheme="minorHAnsi"/>
                <w:color w:val="auto"/>
                <w:szCs w:val="22"/>
              </w:rPr>
              <w:t>%</w:t>
            </w:r>
          </w:p>
        </w:tc>
      </w:tr>
      <w:tr w:rsidR="0057092E" w:rsidRPr="0057092E" w14:paraId="1ABAE155" w14:textId="77777777" w:rsidTr="00860E63">
        <w:trPr>
          <w:trHeight w:val="255"/>
        </w:trPr>
        <w:tc>
          <w:tcPr>
            <w:tcW w:w="5310" w:type="dxa"/>
            <w:tcBorders>
              <w:top w:val="single" w:sz="4" w:space="0" w:color="auto"/>
              <w:left w:val="nil"/>
              <w:bottom w:val="single" w:sz="4" w:space="0" w:color="auto"/>
              <w:right w:val="nil"/>
            </w:tcBorders>
            <w:shd w:val="clear" w:color="000000" w:fill="F2F2F2"/>
            <w:noWrap/>
            <w:vAlign w:val="center"/>
            <w:hideMark/>
          </w:tcPr>
          <w:p w14:paraId="210D998A" w14:textId="77777777" w:rsidR="003072C1" w:rsidRPr="0057092E" w:rsidRDefault="003072C1" w:rsidP="002B4B6D">
            <w:pPr>
              <w:autoSpaceDE/>
              <w:autoSpaceDN/>
              <w:adjustRightInd/>
              <w:spacing w:after="0"/>
              <w:rPr>
                <w:rFonts w:asciiTheme="minorHAnsi" w:eastAsia="Times New Roman" w:hAnsiTheme="minorHAnsi" w:cstheme="minorHAnsi"/>
                <w:b/>
                <w:bCs/>
                <w:noProof w:val="0"/>
                <w:color w:val="auto"/>
                <w:szCs w:val="22"/>
              </w:rPr>
            </w:pPr>
            <w:r w:rsidRPr="0057092E">
              <w:rPr>
                <w:rFonts w:asciiTheme="minorHAnsi" w:eastAsia="Times New Roman" w:hAnsiTheme="minorHAnsi" w:cstheme="minorHAnsi"/>
                <w:b/>
                <w:bCs/>
                <w:noProof w:val="0"/>
                <w:color w:val="auto"/>
                <w:szCs w:val="22"/>
              </w:rPr>
              <w:lastRenderedPageBreak/>
              <w:t>Post-harvest handling and storage</w:t>
            </w:r>
          </w:p>
        </w:tc>
        <w:tc>
          <w:tcPr>
            <w:tcW w:w="1157" w:type="dxa"/>
            <w:tcBorders>
              <w:top w:val="single" w:sz="4" w:space="0" w:color="auto"/>
              <w:left w:val="nil"/>
              <w:bottom w:val="single" w:sz="4" w:space="0" w:color="auto"/>
              <w:right w:val="nil"/>
            </w:tcBorders>
            <w:shd w:val="clear" w:color="000000" w:fill="F2F2F2"/>
            <w:noWrap/>
            <w:hideMark/>
          </w:tcPr>
          <w:p w14:paraId="21C7FE41" w14:textId="7F829084"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003" w:type="dxa"/>
            <w:tcBorders>
              <w:top w:val="single" w:sz="4" w:space="0" w:color="auto"/>
              <w:left w:val="nil"/>
              <w:bottom w:val="single" w:sz="4" w:space="0" w:color="auto"/>
              <w:right w:val="nil"/>
            </w:tcBorders>
            <w:shd w:val="clear" w:color="000000" w:fill="F2F2F2"/>
            <w:noWrap/>
            <w:hideMark/>
          </w:tcPr>
          <w:p w14:paraId="1071C328" w14:textId="4EEF1DD9"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c>
          <w:tcPr>
            <w:tcW w:w="1236" w:type="dxa"/>
            <w:tcBorders>
              <w:top w:val="single" w:sz="4" w:space="0" w:color="auto"/>
              <w:left w:val="nil"/>
              <w:bottom w:val="single" w:sz="4" w:space="0" w:color="auto"/>
              <w:right w:val="nil"/>
            </w:tcBorders>
            <w:shd w:val="clear" w:color="000000" w:fill="F2F2F2"/>
            <w:noWrap/>
            <w:hideMark/>
          </w:tcPr>
          <w:p w14:paraId="77588A34" w14:textId="4658FE73"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p>
        </w:tc>
      </w:tr>
      <w:tr w:rsidR="0057092E" w:rsidRPr="0057092E" w14:paraId="4761BAA6" w14:textId="77777777" w:rsidTr="00860E63">
        <w:trPr>
          <w:trHeight w:val="255"/>
        </w:trPr>
        <w:tc>
          <w:tcPr>
            <w:tcW w:w="5310" w:type="dxa"/>
            <w:tcBorders>
              <w:top w:val="single" w:sz="4" w:space="0" w:color="auto"/>
              <w:left w:val="nil"/>
              <w:bottom w:val="nil"/>
              <w:right w:val="nil"/>
            </w:tcBorders>
            <w:noWrap/>
            <w:vAlign w:val="center"/>
            <w:hideMark/>
          </w:tcPr>
          <w:p w14:paraId="0E6337D9"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Safe transportation of vegetables</w:t>
            </w:r>
          </w:p>
        </w:tc>
        <w:tc>
          <w:tcPr>
            <w:tcW w:w="1157" w:type="dxa"/>
            <w:tcBorders>
              <w:top w:val="single" w:sz="4" w:space="0" w:color="auto"/>
              <w:left w:val="nil"/>
              <w:bottom w:val="nil"/>
              <w:right w:val="nil"/>
            </w:tcBorders>
            <w:noWrap/>
            <w:hideMark/>
          </w:tcPr>
          <w:p w14:paraId="0F623BA1" w14:textId="6560FD3C"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89.40</w:t>
            </w:r>
            <w:r w:rsidR="00383C62" w:rsidRPr="0057092E">
              <w:rPr>
                <w:rFonts w:asciiTheme="minorHAnsi" w:hAnsiTheme="minorHAnsi" w:cstheme="minorHAnsi"/>
                <w:color w:val="auto"/>
                <w:szCs w:val="22"/>
              </w:rPr>
              <w:t>%</w:t>
            </w:r>
          </w:p>
        </w:tc>
        <w:tc>
          <w:tcPr>
            <w:tcW w:w="1003" w:type="dxa"/>
            <w:tcBorders>
              <w:top w:val="single" w:sz="4" w:space="0" w:color="auto"/>
              <w:left w:val="nil"/>
              <w:bottom w:val="nil"/>
              <w:right w:val="nil"/>
            </w:tcBorders>
            <w:noWrap/>
            <w:hideMark/>
          </w:tcPr>
          <w:p w14:paraId="46964104" w14:textId="6D5B331E"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92.20</w:t>
            </w:r>
            <w:r w:rsidR="00383C62" w:rsidRPr="0057092E">
              <w:rPr>
                <w:rFonts w:asciiTheme="minorHAnsi" w:hAnsiTheme="minorHAnsi" w:cstheme="minorHAnsi"/>
                <w:color w:val="auto"/>
                <w:szCs w:val="22"/>
              </w:rPr>
              <w:t>%</w:t>
            </w:r>
          </w:p>
        </w:tc>
        <w:tc>
          <w:tcPr>
            <w:tcW w:w="1236" w:type="dxa"/>
            <w:tcBorders>
              <w:top w:val="single" w:sz="4" w:space="0" w:color="auto"/>
              <w:left w:val="nil"/>
              <w:bottom w:val="nil"/>
              <w:right w:val="nil"/>
            </w:tcBorders>
            <w:noWrap/>
            <w:hideMark/>
          </w:tcPr>
          <w:p w14:paraId="0D4912C5" w14:textId="4CBDF5A3"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90.81</w:t>
            </w:r>
            <w:r w:rsidR="00147529" w:rsidRPr="0057092E">
              <w:rPr>
                <w:rFonts w:asciiTheme="minorHAnsi" w:hAnsiTheme="minorHAnsi" w:cstheme="minorHAnsi"/>
                <w:color w:val="auto"/>
                <w:szCs w:val="22"/>
              </w:rPr>
              <w:t>%</w:t>
            </w:r>
          </w:p>
        </w:tc>
      </w:tr>
      <w:tr w:rsidR="0057092E" w:rsidRPr="0057092E" w14:paraId="6DD654BD" w14:textId="77777777" w:rsidTr="00860E63">
        <w:trPr>
          <w:trHeight w:val="255"/>
        </w:trPr>
        <w:tc>
          <w:tcPr>
            <w:tcW w:w="5310" w:type="dxa"/>
            <w:tcBorders>
              <w:top w:val="nil"/>
              <w:left w:val="nil"/>
              <w:right w:val="nil"/>
            </w:tcBorders>
            <w:noWrap/>
            <w:vAlign w:val="center"/>
            <w:hideMark/>
          </w:tcPr>
          <w:p w14:paraId="0B425D28" w14:textId="5F265BD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Low-cost improved storage</w:t>
            </w:r>
          </w:p>
        </w:tc>
        <w:tc>
          <w:tcPr>
            <w:tcW w:w="1157" w:type="dxa"/>
            <w:tcBorders>
              <w:top w:val="nil"/>
              <w:left w:val="nil"/>
              <w:right w:val="nil"/>
            </w:tcBorders>
            <w:noWrap/>
            <w:hideMark/>
          </w:tcPr>
          <w:p w14:paraId="0BFC7BC3" w14:textId="0FC9B5BB"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17.65</w:t>
            </w:r>
            <w:r w:rsidR="00383C62" w:rsidRPr="0057092E">
              <w:rPr>
                <w:rFonts w:asciiTheme="minorHAnsi" w:hAnsiTheme="minorHAnsi" w:cstheme="minorHAnsi"/>
                <w:color w:val="auto"/>
                <w:szCs w:val="22"/>
              </w:rPr>
              <w:t>%</w:t>
            </w:r>
          </w:p>
        </w:tc>
        <w:tc>
          <w:tcPr>
            <w:tcW w:w="1003" w:type="dxa"/>
            <w:tcBorders>
              <w:top w:val="nil"/>
              <w:left w:val="nil"/>
              <w:right w:val="nil"/>
            </w:tcBorders>
            <w:noWrap/>
            <w:hideMark/>
          </w:tcPr>
          <w:p w14:paraId="70248C1A" w14:textId="25B8347E"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26.50</w:t>
            </w:r>
            <w:r w:rsidR="00383C62" w:rsidRPr="0057092E">
              <w:rPr>
                <w:rFonts w:asciiTheme="minorHAnsi" w:hAnsiTheme="minorHAnsi" w:cstheme="minorHAnsi"/>
                <w:color w:val="auto"/>
                <w:szCs w:val="22"/>
              </w:rPr>
              <w:t>%</w:t>
            </w:r>
          </w:p>
        </w:tc>
        <w:tc>
          <w:tcPr>
            <w:tcW w:w="1236" w:type="dxa"/>
            <w:tcBorders>
              <w:top w:val="nil"/>
              <w:left w:val="nil"/>
              <w:right w:val="nil"/>
            </w:tcBorders>
            <w:noWrap/>
            <w:hideMark/>
          </w:tcPr>
          <w:p w14:paraId="451FBE5A" w14:textId="75B01E9D"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22.08</w:t>
            </w:r>
            <w:r w:rsidR="00147529" w:rsidRPr="0057092E">
              <w:rPr>
                <w:rFonts w:asciiTheme="minorHAnsi" w:hAnsiTheme="minorHAnsi" w:cstheme="minorHAnsi"/>
                <w:color w:val="auto"/>
                <w:szCs w:val="22"/>
              </w:rPr>
              <w:t>%</w:t>
            </w:r>
          </w:p>
        </w:tc>
      </w:tr>
      <w:tr w:rsidR="00DE3E05" w:rsidRPr="0057092E" w14:paraId="43EFADF9" w14:textId="77777777" w:rsidTr="00860E63">
        <w:trPr>
          <w:trHeight w:val="255"/>
        </w:trPr>
        <w:tc>
          <w:tcPr>
            <w:tcW w:w="5310" w:type="dxa"/>
            <w:tcBorders>
              <w:top w:val="nil"/>
              <w:left w:val="nil"/>
              <w:bottom w:val="single" w:sz="4" w:space="0" w:color="auto"/>
              <w:right w:val="nil"/>
            </w:tcBorders>
            <w:noWrap/>
            <w:vAlign w:val="center"/>
            <w:hideMark/>
          </w:tcPr>
          <w:p w14:paraId="527DD2E4" w14:textId="77777777" w:rsidR="003072C1" w:rsidRPr="0057092E" w:rsidRDefault="003072C1" w:rsidP="002B4B6D">
            <w:pPr>
              <w:autoSpaceDE/>
              <w:autoSpaceDN/>
              <w:adjustRightInd/>
              <w:spacing w:after="0"/>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Local preservation methods to reduce nutrient losses</w:t>
            </w:r>
          </w:p>
        </w:tc>
        <w:tc>
          <w:tcPr>
            <w:tcW w:w="1157" w:type="dxa"/>
            <w:tcBorders>
              <w:top w:val="nil"/>
              <w:left w:val="nil"/>
              <w:bottom w:val="single" w:sz="4" w:space="0" w:color="auto"/>
              <w:right w:val="nil"/>
            </w:tcBorders>
            <w:noWrap/>
            <w:hideMark/>
          </w:tcPr>
          <w:p w14:paraId="401054F6" w14:textId="50882368"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13.30</w:t>
            </w:r>
            <w:r w:rsidR="00383C62" w:rsidRPr="0057092E">
              <w:rPr>
                <w:rFonts w:asciiTheme="minorHAnsi" w:hAnsiTheme="minorHAnsi" w:cstheme="minorHAnsi"/>
                <w:color w:val="auto"/>
                <w:szCs w:val="22"/>
              </w:rPr>
              <w:t>%</w:t>
            </w:r>
          </w:p>
        </w:tc>
        <w:tc>
          <w:tcPr>
            <w:tcW w:w="1003" w:type="dxa"/>
            <w:tcBorders>
              <w:top w:val="nil"/>
              <w:left w:val="nil"/>
              <w:bottom w:val="single" w:sz="4" w:space="0" w:color="auto"/>
              <w:right w:val="nil"/>
            </w:tcBorders>
            <w:noWrap/>
            <w:hideMark/>
          </w:tcPr>
          <w:p w14:paraId="4D983CEE" w14:textId="27C2EE54"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21.60</w:t>
            </w:r>
            <w:r w:rsidR="00383C62" w:rsidRPr="0057092E">
              <w:rPr>
                <w:rFonts w:asciiTheme="minorHAnsi" w:hAnsiTheme="minorHAnsi" w:cstheme="minorHAnsi"/>
                <w:color w:val="auto"/>
                <w:szCs w:val="22"/>
              </w:rPr>
              <w:t>%</w:t>
            </w:r>
          </w:p>
        </w:tc>
        <w:tc>
          <w:tcPr>
            <w:tcW w:w="1236" w:type="dxa"/>
            <w:tcBorders>
              <w:top w:val="nil"/>
              <w:left w:val="nil"/>
              <w:bottom w:val="single" w:sz="4" w:space="0" w:color="auto"/>
              <w:right w:val="nil"/>
            </w:tcBorders>
            <w:noWrap/>
            <w:hideMark/>
          </w:tcPr>
          <w:p w14:paraId="64664EF3" w14:textId="1BF3773E" w:rsidR="003072C1" w:rsidRPr="0057092E" w:rsidRDefault="003072C1"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17.45</w:t>
            </w:r>
            <w:r w:rsidR="00147529" w:rsidRPr="0057092E">
              <w:rPr>
                <w:rFonts w:asciiTheme="minorHAnsi" w:hAnsiTheme="minorHAnsi" w:cstheme="minorHAnsi"/>
                <w:color w:val="auto"/>
                <w:szCs w:val="22"/>
              </w:rPr>
              <w:t>%</w:t>
            </w:r>
          </w:p>
        </w:tc>
      </w:tr>
    </w:tbl>
    <w:p w14:paraId="730D000F" w14:textId="77777777" w:rsidR="008B7F31" w:rsidRPr="0057092E" w:rsidRDefault="008B7F31" w:rsidP="002B4B6D">
      <w:pPr>
        <w:spacing w:after="0"/>
        <w:rPr>
          <w:rFonts w:asciiTheme="minorHAnsi" w:eastAsiaTheme="majorEastAsia" w:hAnsiTheme="minorHAnsi" w:cstheme="minorHAnsi"/>
          <w:color w:val="auto"/>
          <w:szCs w:val="22"/>
          <w:lang w:bidi="en-US"/>
        </w:rPr>
      </w:pPr>
    </w:p>
    <w:p w14:paraId="34262BBC" w14:textId="77777777" w:rsidR="00065912" w:rsidRPr="0057092E" w:rsidRDefault="009C3FFF" w:rsidP="002B4B6D">
      <w:pPr>
        <w:tabs>
          <w:tab w:val="left" w:pos="930"/>
        </w:tabs>
        <w:spacing w:after="0"/>
        <w:rPr>
          <w:rFonts w:asciiTheme="minorHAnsi" w:hAnsiTheme="minorHAnsi" w:cstheme="minorHAnsi"/>
          <w:color w:val="auto"/>
          <w:szCs w:val="22"/>
        </w:rPr>
      </w:pPr>
      <w:r w:rsidRPr="0057092E">
        <w:rPr>
          <w:rFonts w:asciiTheme="minorHAnsi" w:eastAsiaTheme="majorEastAsia" w:hAnsiTheme="minorHAnsi" w:cstheme="minorHAnsi"/>
          <w:color w:val="auto"/>
          <w:szCs w:val="22"/>
          <w:lang w:bidi="en-US"/>
        </w:rPr>
        <w:t>A comparative analysis of farmers in Faridpur and Khulna shows varying levels of adoption of modern agricultural technologies. In seed improvement, about 69</w:t>
      </w:r>
      <w:r w:rsidR="008B7F31" w:rsidRPr="0057092E">
        <w:rPr>
          <w:rFonts w:asciiTheme="minorHAnsi" w:eastAsiaTheme="majorEastAsia" w:hAnsiTheme="minorHAnsi" w:cstheme="minorHAnsi"/>
          <w:color w:val="auto"/>
          <w:szCs w:val="22"/>
          <w:lang w:bidi="en-US"/>
        </w:rPr>
        <w:t>.32</w:t>
      </w:r>
      <w:r w:rsidRPr="0057092E">
        <w:rPr>
          <w:rFonts w:asciiTheme="minorHAnsi" w:eastAsiaTheme="majorEastAsia" w:hAnsiTheme="minorHAnsi" w:cstheme="minorHAnsi"/>
          <w:color w:val="auto"/>
          <w:szCs w:val="22"/>
          <w:lang w:bidi="en-US"/>
        </w:rPr>
        <w:t>% of farmers in both districts used high-yielding varieties, while 43</w:t>
      </w:r>
      <w:r w:rsidR="008B7F31" w:rsidRPr="0057092E">
        <w:rPr>
          <w:rFonts w:asciiTheme="minorHAnsi" w:eastAsiaTheme="majorEastAsia" w:hAnsiTheme="minorHAnsi" w:cstheme="minorHAnsi"/>
          <w:color w:val="auto"/>
          <w:szCs w:val="22"/>
          <w:lang w:bidi="en-US"/>
        </w:rPr>
        <w:t>.00</w:t>
      </w:r>
      <w:r w:rsidRPr="0057092E">
        <w:rPr>
          <w:rFonts w:asciiTheme="minorHAnsi" w:eastAsiaTheme="majorEastAsia" w:hAnsiTheme="minorHAnsi" w:cstheme="minorHAnsi"/>
          <w:color w:val="auto"/>
          <w:szCs w:val="22"/>
          <w:lang w:bidi="en-US"/>
        </w:rPr>
        <w:t>% in Faridpur and 38</w:t>
      </w:r>
      <w:r w:rsidR="008B7F31" w:rsidRPr="0057092E">
        <w:rPr>
          <w:rFonts w:asciiTheme="minorHAnsi" w:eastAsiaTheme="majorEastAsia" w:hAnsiTheme="minorHAnsi" w:cstheme="minorHAnsi"/>
          <w:color w:val="auto"/>
          <w:szCs w:val="22"/>
          <w:lang w:bidi="en-US"/>
        </w:rPr>
        <w:t>.00</w:t>
      </w:r>
      <w:r w:rsidRPr="0057092E">
        <w:rPr>
          <w:rFonts w:asciiTheme="minorHAnsi" w:eastAsiaTheme="majorEastAsia" w:hAnsiTheme="minorHAnsi" w:cstheme="minorHAnsi"/>
          <w:color w:val="auto"/>
          <w:szCs w:val="22"/>
          <w:lang w:bidi="en-US"/>
        </w:rPr>
        <w:t>% in Khulna adopted nutrient-rich seeds. Climate-smart practices were more common in Faridpur</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with raised-bed planting at 83.33</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whereas Khulna led in mulching at 44.74</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and drip irrigation at 61.40</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Khulna also showed higher use of organic inputs at 73.68</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and soil treatment at </w:t>
      </w:r>
      <w:r w:rsidR="008B7F31" w:rsidRPr="0057092E">
        <w:rPr>
          <w:rFonts w:asciiTheme="minorHAnsi" w:eastAsiaTheme="majorEastAsia" w:hAnsiTheme="minorHAnsi" w:cstheme="minorHAnsi"/>
          <w:color w:val="auto"/>
          <w:szCs w:val="22"/>
          <w:lang w:bidi="en-US"/>
        </w:rPr>
        <w:t>44.74%</w:t>
      </w:r>
      <w:r w:rsidRPr="0057092E">
        <w:rPr>
          <w:rFonts w:asciiTheme="minorHAnsi" w:eastAsiaTheme="majorEastAsia" w:hAnsiTheme="minorHAnsi" w:cstheme="minorHAnsi"/>
          <w:color w:val="auto"/>
          <w:szCs w:val="22"/>
          <w:lang w:bidi="en-US"/>
        </w:rPr>
        <w:t xml:space="preserve">. Safe food and post-harvest practices were widely applied, especially </w:t>
      </w:r>
      <w:r w:rsidR="008B7F31" w:rsidRPr="0057092E">
        <w:rPr>
          <w:rFonts w:asciiTheme="minorHAnsi" w:eastAsiaTheme="majorEastAsia" w:hAnsiTheme="minorHAnsi" w:cstheme="minorHAnsi"/>
          <w:color w:val="auto"/>
          <w:szCs w:val="22"/>
          <w:lang w:bidi="en-US"/>
        </w:rPr>
        <w:t xml:space="preserve">the </w:t>
      </w:r>
      <w:r w:rsidRPr="0057092E">
        <w:rPr>
          <w:rFonts w:asciiTheme="minorHAnsi" w:eastAsiaTheme="majorEastAsia" w:hAnsiTheme="minorHAnsi" w:cstheme="minorHAnsi"/>
          <w:color w:val="auto"/>
          <w:szCs w:val="22"/>
          <w:lang w:bidi="en-US"/>
        </w:rPr>
        <w:t>safe transportation of vegetables</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over 89</w:t>
      </w:r>
      <w:r w:rsidR="008B7F31"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in both regions, indicating growing awareness of sustainable farming.</w:t>
      </w:r>
      <w:r w:rsidR="00065912" w:rsidRPr="0057092E">
        <w:rPr>
          <w:rFonts w:asciiTheme="minorHAnsi" w:eastAsiaTheme="majorEastAsia" w:hAnsiTheme="minorHAnsi" w:cstheme="minorHAnsi"/>
          <w:color w:val="auto"/>
          <w:szCs w:val="22"/>
          <w:lang w:bidi="en-US"/>
        </w:rPr>
        <w:t xml:space="preserve"> </w:t>
      </w:r>
      <w:r w:rsidR="00065912" w:rsidRPr="0057092E">
        <w:rPr>
          <w:rFonts w:asciiTheme="minorHAnsi" w:hAnsiTheme="minorHAnsi" w:cstheme="minorHAnsi"/>
          <w:color w:val="auto"/>
          <w:szCs w:val="22"/>
        </w:rPr>
        <w:t>The adoption of new agricultural technologies varied significantly in both districts. Khulna farmers showed higher adoption of mulching, drip irrigation, organic use, and improved storage, while Faridpur farmers led in raised-bed planting and balanced fertilizer use. These differences indicate location-specific technology preferences and resource availability.</w:t>
      </w:r>
    </w:p>
    <w:p w14:paraId="0654DCD4" w14:textId="77777777" w:rsidR="00FE67E9" w:rsidRDefault="00FE67E9" w:rsidP="002B4B6D">
      <w:pPr>
        <w:spacing w:after="0"/>
        <w:rPr>
          <w:rFonts w:asciiTheme="minorHAnsi" w:eastAsiaTheme="majorEastAsia" w:hAnsiTheme="minorHAnsi" w:cstheme="minorHAnsi"/>
          <w:color w:val="auto"/>
          <w:szCs w:val="22"/>
          <w:lang w:bidi="en-US"/>
        </w:rPr>
      </w:pPr>
    </w:p>
    <w:p w14:paraId="66678D45" w14:textId="1CF5373D" w:rsidR="007D5779" w:rsidRPr="00962857" w:rsidRDefault="00892BF8"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t xml:space="preserve">A study by </w:t>
      </w:r>
      <w:r w:rsidR="00663ADF" w:rsidRPr="00962857">
        <w:rPr>
          <w:rFonts w:asciiTheme="minorHAnsi" w:eastAsiaTheme="majorEastAsia" w:hAnsiTheme="minorHAnsi" w:cstheme="minorHAnsi"/>
          <w:color w:val="auto"/>
          <w:szCs w:val="22"/>
          <w:lang w:bidi="en-US"/>
        </w:rPr>
        <w:t>Islam, M.K.</w:t>
      </w:r>
      <w:r w:rsidR="00722624" w:rsidRPr="00962857">
        <w:rPr>
          <w:rFonts w:asciiTheme="minorHAnsi" w:eastAsiaTheme="majorEastAsia" w:hAnsiTheme="minorHAnsi" w:cstheme="minorHAnsi"/>
          <w:color w:val="auto"/>
          <w:szCs w:val="22"/>
          <w:lang w:bidi="en-US"/>
        </w:rPr>
        <w:t>,</w:t>
      </w:r>
      <w:r w:rsidR="00663ADF" w:rsidRPr="00962857">
        <w:rPr>
          <w:rFonts w:asciiTheme="minorHAnsi" w:eastAsiaTheme="majorEastAsia" w:hAnsiTheme="minorHAnsi" w:cstheme="minorHAnsi"/>
          <w:color w:val="auto"/>
          <w:szCs w:val="22"/>
          <w:lang w:bidi="en-US"/>
        </w:rPr>
        <w:t xml:space="preserve"> and Farjana, F. </w:t>
      </w:r>
      <w:r w:rsidRPr="00962857">
        <w:rPr>
          <w:rFonts w:asciiTheme="minorHAnsi" w:eastAsiaTheme="majorEastAsia" w:hAnsiTheme="minorHAnsi" w:cstheme="minorHAnsi"/>
          <w:color w:val="auto"/>
          <w:szCs w:val="22"/>
          <w:lang w:bidi="en-US"/>
        </w:rPr>
        <w:t>(2024)</w:t>
      </w:r>
      <w:r w:rsidRPr="0057092E">
        <w:rPr>
          <w:rFonts w:asciiTheme="minorHAnsi" w:eastAsiaTheme="majorEastAsia" w:hAnsiTheme="minorHAnsi" w:cstheme="minorHAnsi"/>
          <w:b/>
          <w:bCs/>
          <w:color w:val="auto"/>
          <w:szCs w:val="22"/>
          <w:lang w:bidi="en-US"/>
        </w:rPr>
        <w:t xml:space="preserve"> </w:t>
      </w:r>
      <w:r w:rsidRPr="0057092E">
        <w:rPr>
          <w:rFonts w:asciiTheme="minorHAnsi" w:eastAsiaTheme="majorEastAsia" w:hAnsiTheme="minorHAnsi" w:cstheme="minorHAnsi"/>
          <w:color w:val="auto"/>
          <w:szCs w:val="22"/>
          <w:lang w:bidi="en-US"/>
        </w:rPr>
        <w:t>highlighted the adoption rates of various practices, including raised-bed planting and mulching, which align with your findings. This study underscores the importance of such practices in enhancing agricultural resilience in the region.</w:t>
      </w:r>
      <w:r w:rsidR="00663ADF" w:rsidRPr="0057092E">
        <w:rPr>
          <w:rFonts w:asciiTheme="minorHAnsi" w:eastAsiaTheme="majorEastAsia" w:hAnsiTheme="minorHAnsi" w:cstheme="minorHAnsi"/>
          <w:color w:val="auto"/>
          <w:szCs w:val="22"/>
          <w:lang w:bidi="en-US"/>
        </w:rPr>
        <w:t xml:space="preserve"> </w:t>
      </w:r>
      <w:r w:rsidRPr="0057092E">
        <w:rPr>
          <w:rFonts w:asciiTheme="minorHAnsi" w:eastAsiaTheme="majorEastAsia" w:hAnsiTheme="minorHAnsi" w:cstheme="minorHAnsi"/>
          <w:color w:val="auto"/>
          <w:szCs w:val="22"/>
          <w:lang w:bidi="en-US"/>
        </w:rPr>
        <w:t xml:space="preserve">Research by </w:t>
      </w:r>
      <w:r w:rsidR="00663ADF" w:rsidRPr="00962857">
        <w:rPr>
          <w:rFonts w:asciiTheme="minorHAnsi" w:hAnsiTheme="minorHAnsi" w:cstheme="minorHAnsi"/>
          <w:color w:val="auto"/>
          <w:szCs w:val="22"/>
        </w:rPr>
        <w:t>Babu</w:t>
      </w:r>
      <w:r w:rsidR="00663ADF" w:rsidRPr="00962857">
        <w:rPr>
          <w:rFonts w:asciiTheme="minorHAnsi" w:eastAsiaTheme="majorEastAsia" w:hAnsiTheme="minorHAnsi" w:cstheme="minorHAnsi"/>
          <w:color w:val="auto"/>
          <w:szCs w:val="22"/>
          <w:lang w:bidi="en-US"/>
        </w:rPr>
        <w:t xml:space="preserve"> et al. </w:t>
      </w:r>
      <w:r w:rsidRPr="00962857">
        <w:rPr>
          <w:rFonts w:asciiTheme="minorHAnsi" w:eastAsiaTheme="majorEastAsia" w:hAnsiTheme="minorHAnsi" w:cstheme="minorHAnsi"/>
          <w:color w:val="auto"/>
          <w:szCs w:val="22"/>
          <w:lang w:bidi="en-US"/>
        </w:rPr>
        <w:t>(2025)</w:t>
      </w:r>
      <w:r w:rsidRPr="0057092E">
        <w:rPr>
          <w:rFonts w:asciiTheme="minorHAnsi" w:eastAsiaTheme="majorEastAsia" w:hAnsiTheme="minorHAnsi" w:cstheme="minorHAnsi"/>
          <w:color w:val="auto"/>
          <w:szCs w:val="22"/>
          <w:lang w:bidi="en-US"/>
        </w:rPr>
        <w:t xml:space="preserve"> identified key determinants such as education level, farm size, and access to training, which are crucial for understanding the adoption of safe food production technologies like biological pest control methods.</w:t>
      </w:r>
      <w:r w:rsidR="00663ADF" w:rsidRPr="0057092E">
        <w:rPr>
          <w:rFonts w:asciiTheme="minorHAnsi" w:eastAsiaTheme="majorEastAsia" w:hAnsiTheme="minorHAnsi" w:cstheme="minorHAnsi"/>
          <w:color w:val="auto"/>
          <w:szCs w:val="22"/>
          <w:lang w:bidi="en-US"/>
        </w:rPr>
        <w:t xml:space="preserve"> </w:t>
      </w:r>
      <w:r w:rsidRPr="00962857">
        <w:rPr>
          <w:rFonts w:asciiTheme="minorHAnsi" w:eastAsiaTheme="majorEastAsia" w:hAnsiTheme="minorHAnsi" w:cstheme="minorHAnsi"/>
          <w:color w:val="auto"/>
          <w:szCs w:val="22"/>
          <w:lang w:bidi="en-US"/>
        </w:rPr>
        <w:t>Billah et al.</w:t>
      </w:r>
      <w:r w:rsidR="005B4C8A">
        <w:rPr>
          <w:rFonts w:asciiTheme="minorHAnsi" w:eastAsiaTheme="majorEastAsia" w:hAnsiTheme="minorHAnsi" w:cstheme="minorHAnsi"/>
          <w:color w:val="auto"/>
          <w:szCs w:val="22"/>
          <w:lang w:bidi="en-US"/>
        </w:rPr>
        <w:t>,</w:t>
      </w:r>
      <w:r w:rsidRPr="00962857">
        <w:rPr>
          <w:rFonts w:asciiTheme="minorHAnsi" w:eastAsiaTheme="majorEastAsia" w:hAnsiTheme="minorHAnsi" w:cstheme="minorHAnsi"/>
          <w:color w:val="auto"/>
          <w:szCs w:val="22"/>
          <w:lang w:bidi="en-US"/>
        </w:rPr>
        <w:t xml:space="preserve"> (2025)</w:t>
      </w:r>
      <w:r w:rsidRPr="0057092E">
        <w:rPr>
          <w:rFonts w:asciiTheme="minorHAnsi" w:eastAsiaTheme="majorEastAsia" w:hAnsiTheme="minorHAnsi" w:cstheme="minorHAnsi"/>
          <w:color w:val="auto"/>
          <w:szCs w:val="22"/>
          <w:lang w:bidi="en-US"/>
        </w:rPr>
        <w:t xml:space="preserve"> study highlights challenges such as high input costs and limited access to resources, which may affect the adoption of technologies like drip irrigation and organic fertilizers.</w:t>
      </w:r>
      <w:r w:rsidR="00663ADF" w:rsidRPr="0057092E">
        <w:rPr>
          <w:rFonts w:asciiTheme="minorHAnsi" w:eastAsiaTheme="majorEastAsia" w:hAnsiTheme="minorHAnsi" w:cstheme="minorHAnsi"/>
          <w:color w:val="auto"/>
          <w:szCs w:val="22"/>
          <w:lang w:bidi="en-US"/>
        </w:rPr>
        <w:t xml:space="preserve"> </w:t>
      </w:r>
      <w:r w:rsidR="00DA4A4A" w:rsidRPr="0057092E">
        <w:rPr>
          <w:rFonts w:asciiTheme="minorHAnsi" w:eastAsiaTheme="majorEastAsia" w:hAnsiTheme="minorHAnsi" w:cstheme="minorHAnsi"/>
          <w:color w:val="auto"/>
          <w:szCs w:val="22"/>
          <w:lang w:bidi="en-US"/>
        </w:rPr>
        <w:t>Key insights from key informant interviews, the a</w:t>
      </w:r>
      <w:r w:rsidR="00C83C9F" w:rsidRPr="0057092E">
        <w:rPr>
          <w:rFonts w:asciiTheme="minorHAnsi" w:eastAsiaTheme="majorEastAsia" w:hAnsiTheme="minorHAnsi" w:cstheme="minorHAnsi"/>
          <w:color w:val="auto"/>
          <w:szCs w:val="22"/>
          <w:lang w:bidi="en-US"/>
        </w:rPr>
        <w:t>doption of productivity-enhancing technologies (e.g., high-yielding seeds, raised-bed planting, safe transportation) was consistently high</w:t>
      </w:r>
      <w:r w:rsidR="00663ADF" w:rsidRPr="0057092E">
        <w:rPr>
          <w:rFonts w:asciiTheme="minorHAnsi" w:eastAsiaTheme="majorEastAsia" w:hAnsiTheme="minorHAnsi" w:cstheme="minorHAnsi"/>
          <w:color w:val="auto"/>
          <w:szCs w:val="22"/>
          <w:lang w:bidi="en-US"/>
        </w:rPr>
        <w:t xml:space="preserve">. </w:t>
      </w:r>
      <w:r w:rsidR="00C83C9F" w:rsidRPr="0057092E">
        <w:rPr>
          <w:rFonts w:asciiTheme="minorHAnsi" w:eastAsiaTheme="majorEastAsia" w:hAnsiTheme="minorHAnsi" w:cstheme="minorHAnsi"/>
          <w:color w:val="auto"/>
          <w:szCs w:val="22"/>
          <w:lang w:bidi="en-US"/>
        </w:rPr>
        <w:t xml:space="preserve">While the </w:t>
      </w:r>
      <w:r w:rsidR="00DA4A4A" w:rsidRPr="0057092E">
        <w:rPr>
          <w:rFonts w:asciiTheme="minorHAnsi" w:eastAsiaTheme="majorEastAsia" w:hAnsiTheme="minorHAnsi" w:cstheme="minorHAnsi"/>
          <w:color w:val="auto"/>
          <w:szCs w:val="22"/>
          <w:lang w:bidi="en-US"/>
        </w:rPr>
        <w:t>agro-inputs companies</w:t>
      </w:r>
      <w:r w:rsidR="00C83C9F" w:rsidRPr="0057092E">
        <w:rPr>
          <w:rFonts w:asciiTheme="minorHAnsi" w:eastAsiaTheme="majorEastAsia" w:hAnsiTheme="minorHAnsi" w:cstheme="minorHAnsi"/>
          <w:color w:val="auto"/>
          <w:szCs w:val="22"/>
          <w:lang w:bidi="en-US"/>
        </w:rPr>
        <w:t xml:space="preserve"> </w:t>
      </w:r>
      <w:r w:rsidR="00DA4A4A" w:rsidRPr="0057092E">
        <w:rPr>
          <w:rFonts w:asciiTheme="minorHAnsi" w:eastAsiaTheme="majorEastAsia" w:hAnsiTheme="minorHAnsi" w:cstheme="minorHAnsi"/>
          <w:color w:val="auto"/>
          <w:szCs w:val="22"/>
          <w:lang w:bidi="en-US"/>
        </w:rPr>
        <w:t>have</w:t>
      </w:r>
      <w:r w:rsidR="00C83C9F" w:rsidRPr="0057092E">
        <w:rPr>
          <w:rFonts w:asciiTheme="minorHAnsi" w:eastAsiaTheme="majorEastAsia" w:hAnsiTheme="minorHAnsi" w:cstheme="minorHAnsi"/>
          <w:color w:val="auto"/>
          <w:szCs w:val="22"/>
          <w:lang w:bidi="en-US"/>
        </w:rPr>
        <w:t xml:space="preserve"> successfully promoted </w:t>
      </w:r>
      <w:r w:rsidR="00DA4A4A" w:rsidRPr="0057092E">
        <w:rPr>
          <w:rFonts w:asciiTheme="minorHAnsi" w:eastAsiaTheme="majorEastAsia" w:hAnsiTheme="minorHAnsi" w:cstheme="minorHAnsi"/>
          <w:color w:val="auto"/>
          <w:szCs w:val="22"/>
          <w:lang w:bidi="en-US"/>
        </w:rPr>
        <w:t xml:space="preserve">the </w:t>
      </w:r>
      <w:r w:rsidR="00C83C9F" w:rsidRPr="0057092E">
        <w:rPr>
          <w:rFonts w:asciiTheme="minorHAnsi" w:eastAsiaTheme="majorEastAsia" w:hAnsiTheme="minorHAnsi" w:cstheme="minorHAnsi"/>
          <w:color w:val="auto"/>
          <w:szCs w:val="22"/>
          <w:lang w:bidi="en-US"/>
        </w:rPr>
        <w:t>adoption of several technologies</w:t>
      </w:r>
      <w:r w:rsidR="00DA4A4A" w:rsidRPr="0057092E">
        <w:rPr>
          <w:rFonts w:asciiTheme="minorHAnsi" w:eastAsiaTheme="majorEastAsia" w:hAnsiTheme="minorHAnsi" w:cstheme="minorHAnsi"/>
          <w:color w:val="auto"/>
          <w:szCs w:val="22"/>
          <w:lang w:bidi="en-US"/>
        </w:rPr>
        <w:t xml:space="preserve"> to produce nutritious and diverse food for consumption.</w:t>
      </w:r>
      <w:r w:rsidR="008B7F31" w:rsidRPr="0057092E">
        <w:rPr>
          <w:rFonts w:asciiTheme="minorHAnsi" w:eastAsiaTheme="majorEastAsia" w:hAnsiTheme="minorHAnsi" w:cstheme="minorHAnsi"/>
          <w:color w:val="auto"/>
          <w:szCs w:val="22"/>
          <w:lang w:bidi="en-US"/>
        </w:rPr>
        <w:t xml:space="preserve"> A</w:t>
      </w:r>
      <w:r w:rsidR="002B5B52" w:rsidRPr="0057092E">
        <w:rPr>
          <w:rFonts w:asciiTheme="minorHAnsi" w:eastAsiaTheme="majorEastAsia" w:hAnsiTheme="minorHAnsi" w:cstheme="minorHAnsi"/>
          <w:color w:val="auto"/>
          <w:szCs w:val="22"/>
        </w:rPr>
        <w:t xml:space="preserve"> study in Chapainawabganj reported that 90.5% of vegetable farmers occasionally adopted farming technologies, including inorganic fertilizers, tractors, and smartphones </w:t>
      </w:r>
      <w:r w:rsidR="002B5B52" w:rsidRPr="00962857">
        <w:rPr>
          <w:rFonts w:asciiTheme="minorHAnsi" w:eastAsiaTheme="majorEastAsia" w:hAnsiTheme="minorHAnsi" w:cstheme="minorHAnsi"/>
          <w:color w:val="auto"/>
          <w:szCs w:val="22"/>
        </w:rPr>
        <w:t>(Khan et al., 2022).</w:t>
      </w:r>
      <w:r w:rsidR="002B5B52" w:rsidRPr="0057092E">
        <w:rPr>
          <w:rFonts w:asciiTheme="minorHAnsi" w:eastAsiaTheme="majorEastAsia" w:hAnsiTheme="minorHAnsi" w:cstheme="minorHAnsi"/>
          <w:color w:val="auto"/>
          <w:szCs w:val="22"/>
        </w:rPr>
        <w:t xml:space="preserve"> Similarly, participation in Farmer Field School (FFS) programs revealed that 59.3% of farmers adopted technologies such as farm yard manure </w:t>
      </w:r>
      <w:r w:rsidR="002B5B52" w:rsidRPr="00962857">
        <w:rPr>
          <w:rFonts w:asciiTheme="minorHAnsi" w:eastAsiaTheme="majorEastAsia" w:hAnsiTheme="minorHAnsi" w:cstheme="minorHAnsi"/>
          <w:color w:val="auto"/>
          <w:szCs w:val="22"/>
        </w:rPr>
        <w:t>(Islam et al., 2023).</w:t>
      </w:r>
    </w:p>
    <w:p w14:paraId="4C95B9E7" w14:textId="77777777" w:rsidR="002B5B52" w:rsidRPr="0057092E" w:rsidRDefault="002B5B52" w:rsidP="002B4B6D">
      <w:pPr>
        <w:spacing w:after="0"/>
        <w:rPr>
          <w:rFonts w:asciiTheme="minorHAnsi" w:eastAsiaTheme="majorEastAsia" w:hAnsiTheme="minorHAnsi" w:cstheme="minorHAnsi"/>
          <w:color w:val="auto"/>
          <w:szCs w:val="22"/>
          <w:lang w:bidi="en-US"/>
        </w:rPr>
      </w:pPr>
    </w:p>
    <w:p w14:paraId="2DA36CFB" w14:textId="45DCC2D6" w:rsidR="007D5779" w:rsidRPr="0057092E" w:rsidRDefault="00B9594B"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Households</w:t>
      </w:r>
      <w:r w:rsidR="000E2A16" w:rsidRPr="0057092E">
        <w:rPr>
          <w:rFonts w:asciiTheme="minorHAnsi" w:eastAsia="Gill Sans" w:hAnsiTheme="minorHAnsi" w:cstheme="minorHAnsi"/>
          <w:b/>
          <w:bCs/>
          <w:color w:val="auto"/>
          <w:sz w:val="22"/>
          <w:szCs w:val="22"/>
        </w:rPr>
        <w:t xml:space="preserve"> utilized the harvested vegetables</w:t>
      </w:r>
    </w:p>
    <w:p w14:paraId="36720EFA" w14:textId="7D231DA6" w:rsidR="00FA5983" w:rsidRPr="0057092E" w:rsidRDefault="00FA5983"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t xml:space="preserve">The utilization of harvested vegetables by households in Faridpur and Khulna districts shows distinct patterns, reflecting both consumption habits and local market engagement. In Faridpur, </w:t>
      </w:r>
      <w:r w:rsidR="005B2DC8" w:rsidRPr="0057092E">
        <w:rPr>
          <w:rFonts w:asciiTheme="minorHAnsi" w:eastAsiaTheme="majorEastAsia" w:hAnsiTheme="minorHAnsi" w:cstheme="minorHAnsi"/>
          <w:color w:val="auto"/>
          <w:szCs w:val="22"/>
          <w:lang w:bidi="en-US"/>
        </w:rPr>
        <w:t>52</w:t>
      </w:r>
      <w:r w:rsidRPr="0057092E">
        <w:rPr>
          <w:rFonts w:asciiTheme="minorHAnsi" w:eastAsiaTheme="majorEastAsia" w:hAnsiTheme="minorHAnsi" w:cstheme="minorHAnsi"/>
          <w:color w:val="auto"/>
          <w:szCs w:val="22"/>
          <w:lang w:bidi="en-US"/>
        </w:rPr>
        <w:t xml:space="preserve">.40% of households consumed all their harvested vegetables, while </w:t>
      </w:r>
      <w:r w:rsidR="005B2DC8" w:rsidRPr="0057092E">
        <w:rPr>
          <w:rFonts w:asciiTheme="minorHAnsi" w:eastAsiaTheme="majorEastAsia" w:hAnsiTheme="minorHAnsi" w:cstheme="minorHAnsi"/>
          <w:color w:val="auto"/>
          <w:szCs w:val="22"/>
          <w:lang w:bidi="en-US"/>
        </w:rPr>
        <w:t>32.60</w:t>
      </w:r>
      <w:r w:rsidRPr="0057092E">
        <w:rPr>
          <w:rFonts w:asciiTheme="minorHAnsi" w:eastAsiaTheme="majorEastAsia" w:hAnsiTheme="minorHAnsi" w:cstheme="minorHAnsi"/>
          <w:color w:val="auto"/>
          <w:szCs w:val="22"/>
          <w:lang w:bidi="en-US"/>
        </w:rPr>
        <w:t xml:space="preserve">% sold the surplus produce, and </w:t>
      </w:r>
      <w:r w:rsidR="005B2DC8" w:rsidRPr="0057092E">
        <w:rPr>
          <w:rFonts w:asciiTheme="minorHAnsi" w:eastAsiaTheme="majorEastAsia" w:hAnsiTheme="minorHAnsi" w:cstheme="minorHAnsi"/>
          <w:color w:val="auto"/>
          <w:szCs w:val="22"/>
          <w:lang w:bidi="en-US"/>
        </w:rPr>
        <w:t>15</w:t>
      </w:r>
      <w:r w:rsidRPr="0057092E">
        <w:rPr>
          <w:rFonts w:asciiTheme="minorHAnsi" w:eastAsiaTheme="majorEastAsia" w:hAnsiTheme="minorHAnsi" w:cstheme="minorHAnsi"/>
          <w:color w:val="auto"/>
          <w:szCs w:val="22"/>
          <w:lang w:bidi="en-US"/>
        </w:rPr>
        <w:t xml:space="preserve">.00% shared excess with neighbors. In Khulna, a higher proportion of households, </w:t>
      </w:r>
      <w:r w:rsidR="005B2DC8" w:rsidRPr="0057092E">
        <w:rPr>
          <w:rFonts w:asciiTheme="minorHAnsi" w:eastAsiaTheme="majorEastAsia" w:hAnsiTheme="minorHAnsi" w:cstheme="minorHAnsi"/>
          <w:color w:val="auto"/>
          <w:szCs w:val="22"/>
          <w:lang w:bidi="en-US"/>
        </w:rPr>
        <w:t>53</w:t>
      </w:r>
      <w:r w:rsidRPr="0057092E">
        <w:rPr>
          <w:rFonts w:asciiTheme="minorHAnsi" w:eastAsiaTheme="majorEastAsia" w:hAnsiTheme="minorHAnsi" w:cstheme="minorHAnsi"/>
          <w:color w:val="auto"/>
          <w:szCs w:val="22"/>
          <w:lang w:bidi="en-US"/>
        </w:rPr>
        <w:t xml:space="preserve">.30%, consumed all harvested vegetables, while </w:t>
      </w:r>
      <w:r w:rsidR="005B2DC8" w:rsidRPr="0057092E">
        <w:rPr>
          <w:rFonts w:asciiTheme="minorHAnsi" w:eastAsiaTheme="majorEastAsia" w:hAnsiTheme="minorHAnsi" w:cstheme="minorHAnsi"/>
          <w:color w:val="auto"/>
          <w:szCs w:val="22"/>
          <w:lang w:bidi="en-US"/>
        </w:rPr>
        <w:t>30</w:t>
      </w:r>
      <w:r w:rsidRPr="0057092E">
        <w:rPr>
          <w:rFonts w:asciiTheme="minorHAnsi" w:eastAsiaTheme="majorEastAsia" w:hAnsiTheme="minorHAnsi" w:cstheme="minorHAnsi"/>
          <w:color w:val="auto"/>
          <w:szCs w:val="22"/>
          <w:lang w:bidi="en-US"/>
        </w:rPr>
        <w:t>.35% sold surplus and 14.</w:t>
      </w:r>
      <w:r w:rsidR="005B2DC8" w:rsidRPr="0057092E">
        <w:rPr>
          <w:rFonts w:asciiTheme="minorHAnsi" w:eastAsiaTheme="majorEastAsia" w:hAnsiTheme="minorHAnsi" w:cstheme="minorHAnsi"/>
          <w:color w:val="auto"/>
          <w:szCs w:val="22"/>
          <w:lang w:bidi="en-US"/>
        </w:rPr>
        <w:t>35</w:t>
      </w:r>
      <w:r w:rsidRPr="0057092E">
        <w:rPr>
          <w:rFonts w:asciiTheme="minorHAnsi" w:eastAsiaTheme="majorEastAsia" w:hAnsiTheme="minorHAnsi" w:cstheme="minorHAnsi"/>
          <w:color w:val="auto"/>
          <w:szCs w:val="22"/>
          <w:lang w:bidi="en-US"/>
        </w:rPr>
        <w:t xml:space="preserve">% shared with neighbors. Overall, across both districts, </w:t>
      </w:r>
      <w:r w:rsidR="005B2DC8" w:rsidRPr="0057092E">
        <w:rPr>
          <w:rFonts w:asciiTheme="minorHAnsi" w:eastAsiaTheme="majorEastAsia" w:hAnsiTheme="minorHAnsi" w:cstheme="minorHAnsi"/>
          <w:color w:val="auto"/>
          <w:szCs w:val="22"/>
          <w:lang w:bidi="en-US"/>
        </w:rPr>
        <w:t>53</w:t>
      </w:r>
      <w:r w:rsidRPr="0057092E">
        <w:rPr>
          <w:rFonts w:asciiTheme="minorHAnsi" w:eastAsiaTheme="majorEastAsia" w:hAnsiTheme="minorHAnsi" w:cstheme="minorHAnsi"/>
          <w:color w:val="auto"/>
          <w:szCs w:val="22"/>
          <w:lang w:bidi="en-US"/>
        </w:rPr>
        <w:t xml:space="preserve">.85% of households consumed all harvested vegetables, </w:t>
      </w:r>
      <w:r w:rsidR="005B2DC8" w:rsidRPr="0057092E">
        <w:rPr>
          <w:rFonts w:asciiTheme="minorHAnsi" w:eastAsiaTheme="majorEastAsia" w:hAnsiTheme="minorHAnsi" w:cstheme="minorHAnsi"/>
          <w:color w:val="auto"/>
          <w:szCs w:val="22"/>
          <w:lang w:bidi="en-US"/>
        </w:rPr>
        <w:t>31.48</w:t>
      </w:r>
      <w:r w:rsidR="003D04E6"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sold surplus produce, and </w:t>
      </w:r>
      <w:r w:rsidR="005B2DC8" w:rsidRPr="0057092E">
        <w:rPr>
          <w:rFonts w:asciiTheme="minorHAnsi" w:eastAsiaTheme="majorEastAsia" w:hAnsiTheme="minorHAnsi" w:cstheme="minorHAnsi"/>
          <w:color w:val="auto"/>
          <w:szCs w:val="22"/>
          <w:lang w:bidi="en-US"/>
        </w:rPr>
        <w:t>14.67</w:t>
      </w:r>
      <w:r w:rsidR="003D04E6" w:rsidRPr="0057092E">
        <w:rPr>
          <w:rFonts w:asciiTheme="minorHAnsi" w:eastAsiaTheme="majorEastAsia" w:hAnsiTheme="minorHAnsi" w:cstheme="minorHAnsi"/>
          <w:color w:val="auto"/>
          <w:szCs w:val="22"/>
          <w:lang w:bidi="en-US"/>
        </w:rPr>
        <w:t>%</w:t>
      </w:r>
      <w:r w:rsidRPr="0057092E">
        <w:rPr>
          <w:rFonts w:asciiTheme="minorHAnsi" w:eastAsiaTheme="majorEastAsia" w:hAnsiTheme="minorHAnsi" w:cstheme="minorHAnsi"/>
          <w:color w:val="auto"/>
          <w:szCs w:val="22"/>
          <w:lang w:bidi="en-US"/>
        </w:rPr>
        <w:t xml:space="preserve"> shared excess with neighbors. These results indicate that while the majority of households prioritize household consumption, there is also </w:t>
      </w:r>
      <w:r w:rsidR="00A11916">
        <w:rPr>
          <w:rFonts w:asciiTheme="minorHAnsi" w:eastAsiaTheme="majorEastAsia" w:hAnsiTheme="minorHAnsi" w:cstheme="minorHAnsi"/>
          <w:color w:val="auto"/>
          <w:szCs w:val="22"/>
          <w:lang w:bidi="en-US"/>
        </w:rPr>
        <w:t>an</w:t>
      </w:r>
      <w:r w:rsidRPr="0057092E">
        <w:rPr>
          <w:rFonts w:asciiTheme="minorHAnsi" w:eastAsiaTheme="majorEastAsia" w:hAnsiTheme="minorHAnsi" w:cstheme="minorHAnsi"/>
          <w:color w:val="auto"/>
          <w:szCs w:val="22"/>
          <w:lang w:bidi="en-US"/>
        </w:rPr>
        <w:t xml:space="preserve"> </w:t>
      </w:r>
      <w:r w:rsidR="00FF403E" w:rsidRPr="0057092E">
        <w:rPr>
          <w:rFonts w:asciiTheme="minorHAnsi" w:eastAsiaTheme="majorEastAsia" w:hAnsiTheme="minorHAnsi" w:cstheme="minorHAnsi"/>
          <w:color w:val="auto"/>
          <w:szCs w:val="22"/>
          <w:lang w:bidi="en-US"/>
        </w:rPr>
        <w:t>important</w:t>
      </w:r>
      <w:r w:rsidRPr="0057092E">
        <w:rPr>
          <w:rFonts w:asciiTheme="minorHAnsi" w:eastAsiaTheme="majorEastAsia" w:hAnsiTheme="minorHAnsi" w:cstheme="minorHAnsi"/>
          <w:color w:val="auto"/>
          <w:szCs w:val="22"/>
          <w:lang w:bidi="en-US"/>
        </w:rPr>
        <w:t xml:space="preserve"> portion engaging in market sales or community sharing. The higher percentage of vegetable sales and sharing in Khulna suggests a stronger link to local markets and community networks compared to Faridpur. Such utilization patterns are important for understanding household food security, income generation, and social cohesion. The findings highlight the need for targeted interventions to support post-harvest management, market access, and community-based sharing mechanisms, which can enhance both nutritional outcomes and economic benefits for smallholder vegetable farmers.</w:t>
      </w:r>
    </w:p>
    <w:p w14:paraId="44C5BE64" w14:textId="77777777" w:rsidR="00B241E5" w:rsidRPr="0057092E" w:rsidRDefault="00B241E5" w:rsidP="002B4B6D">
      <w:pPr>
        <w:spacing w:after="0"/>
        <w:rPr>
          <w:rFonts w:asciiTheme="minorHAnsi" w:eastAsiaTheme="majorEastAsia" w:hAnsiTheme="minorHAnsi" w:cstheme="minorHAnsi"/>
          <w:color w:val="auto"/>
          <w:szCs w:val="22"/>
          <w:lang w:bidi="en-US"/>
        </w:rPr>
      </w:pPr>
    </w:p>
    <w:p w14:paraId="5611490B" w14:textId="77777777" w:rsidR="00B241E5" w:rsidRPr="0057092E" w:rsidRDefault="00B241E5" w:rsidP="002B4B6D">
      <w:pPr>
        <w:keepNext/>
        <w:spacing w:after="0"/>
        <w:rPr>
          <w:color w:val="auto"/>
        </w:rPr>
      </w:pPr>
      <w:r w:rsidRPr="0057092E">
        <w:rPr>
          <w:color w:val="auto"/>
        </w:rPr>
        <w:lastRenderedPageBreak/>
        <w:drawing>
          <wp:inline distT="0" distB="0" distL="0" distR="0" wp14:anchorId="6C4BA13E" wp14:editId="21D5732F">
            <wp:extent cx="5729468" cy="2812648"/>
            <wp:effectExtent l="0" t="0" r="5080" b="6985"/>
            <wp:docPr id="564832838" name="Chart 1">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8AF38D" w14:textId="651D2018" w:rsidR="00B241E5" w:rsidRPr="0057092E" w:rsidRDefault="00B241E5" w:rsidP="002B4B6D">
      <w:pPr>
        <w:pStyle w:val="Caption"/>
        <w:spacing w:after="0"/>
        <w:rPr>
          <w:rFonts w:asciiTheme="minorHAnsi" w:eastAsiaTheme="majorEastAsia" w:hAnsiTheme="minorHAnsi" w:cstheme="minorHAnsi"/>
          <w:szCs w:val="22"/>
          <w:lang w:bidi="en-US"/>
        </w:rPr>
      </w:pPr>
      <w:r w:rsidRPr="0057092E">
        <w:rPr>
          <w:rFonts w:asciiTheme="minorHAnsi" w:hAnsiTheme="minorHAnsi" w:cstheme="minorHAnsi"/>
        </w:rPr>
        <w:t xml:space="preserve">Figure </w:t>
      </w:r>
      <w:r w:rsidR="00B779F7">
        <w:rPr>
          <w:rFonts w:asciiTheme="minorHAnsi" w:hAnsiTheme="minorHAnsi" w:cstheme="minorHAnsi"/>
        </w:rPr>
        <w:t xml:space="preserve">4: </w:t>
      </w:r>
      <w:r w:rsidRPr="0057092E">
        <w:rPr>
          <w:rFonts w:asciiTheme="minorHAnsi" w:hAnsiTheme="minorHAnsi" w:cstheme="minorHAnsi"/>
        </w:rPr>
        <w:t>Households utilized the harvested vegetables</w:t>
      </w:r>
    </w:p>
    <w:p w14:paraId="268B4AFE" w14:textId="24C734F6" w:rsidR="008B7F31" w:rsidRPr="0057092E" w:rsidRDefault="008B7F31"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t xml:space="preserve">These findings align with prior studies in Bangladesh, which show that home gardeners often retain the majority of their produce for household use </w:t>
      </w:r>
      <w:r w:rsidRPr="00394801">
        <w:rPr>
          <w:rFonts w:asciiTheme="minorHAnsi" w:eastAsiaTheme="majorEastAsia" w:hAnsiTheme="minorHAnsi" w:cstheme="minorHAnsi"/>
          <w:color w:val="auto"/>
          <w:szCs w:val="22"/>
          <w:lang w:bidi="en-US"/>
        </w:rPr>
        <w:t>(Khan et al., 2022).</w:t>
      </w:r>
      <w:r w:rsidRPr="0057092E">
        <w:rPr>
          <w:rFonts w:asciiTheme="minorHAnsi" w:eastAsiaTheme="majorEastAsia" w:hAnsiTheme="minorHAnsi" w:cstheme="minorHAnsi"/>
          <w:color w:val="auto"/>
          <w:szCs w:val="22"/>
          <w:lang w:bidi="en-US"/>
        </w:rPr>
        <w:t xml:space="preserve"> Sharing behavior reflects social capital practices documented in food security literature, where surplus food exchanged within social networks serves as a safety net for those facing food shortages </w:t>
      </w:r>
      <w:r w:rsidRPr="00394801">
        <w:rPr>
          <w:rFonts w:asciiTheme="minorHAnsi" w:eastAsiaTheme="majorEastAsia" w:hAnsiTheme="minorHAnsi" w:cstheme="minorHAnsi"/>
          <w:color w:val="auto"/>
          <w:szCs w:val="22"/>
          <w:lang w:bidi="en-US"/>
        </w:rPr>
        <w:t>(Nosratabadi et al., 2020).</w:t>
      </w:r>
      <w:r w:rsidRPr="0057092E">
        <w:rPr>
          <w:rFonts w:asciiTheme="minorHAnsi" w:eastAsiaTheme="majorEastAsia" w:hAnsiTheme="minorHAnsi" w:cstheme="minorHAnsi"/>
          <w:color w:val="auto"/>
          <w:szCs w:val="22"/>
          <w:lang w:bidi="en-US"/>
        </w:rPr>
        <w:t xml:space="preserve"> Similarly, </w:t>
      </w:r>
      <w:r w:rsidRPr="00394801">
        <w:rPr>
          <w:rFonts w:asciiTheme="minorHAnsi" w:eastAsiaTheme="majorEastAsia" w:hAnsiTheme="minorHAnsi" w:cstheme="minorHAnsi"/>
          <w:color w:val="auto"/>
          <w:szCs w:val="22"/>
          <w:lang w:bidi="en-US"/>
        </w:rPr>
        <w:t>Baliki et al. (2022)</w:t>
      </w:r>
      <w:r w:rsidRPr="0057092E">
        <w:rPr>
          <w:rFonts w:asciiTheme="minorHAnsi" w:eastAsiaTheme="majorEastAsia" w:hAnsiTheme="minorHAnsi" w:cstheme="minorHAnsi"/>
          <w:color w:val="auto"/>
          <w:szCs w:val="22"/>
          <w:lang w:bidi="en-US"/>
        </w:rPr>
        <w:t xml:space="preserve"> report that home garden interventions can improve both production and consumption of vegetables among households. </w:t>
      </w:r>
      <w:r w:rsidRPr="00394801">
        <w:rPr>
          <w:rFonts w:asciiTheme="minorHAnsi" w:eastAsiaTheme="majorEastAsia" w:hAnsiTheme="minorHAnsi" w:cstheme="minorHAnsi"/>
          <w:color w:val="auto"/>
          <w:szCs w:val="22"/>
          <w:lang w:bidi="en-US"/>
        </w:rPr>
        <w:t>Akter (2019)</w:t>
      </w:r>
      <w:r w:rsidRPr="0057092E">
        <w:rPr>
          <w:rFonts w:asciiTheme="minorHAnsi" w:eastAsiaTheme="majorEastAsia" w:hAnsiTheme="minorHAnsi" w:cstheme="minorHAnsi"/>
          <w:color w:val="auto"/>
          <w:szCs w:val="22"/>
          <w:lang w:bidi="en-US"/>
        </w:rPr>
        <w:t xml:space="preserve"> also found that rural women showed high acceptance of home gardening, with households primarily viewing their gardens as a source of nutrition rather than income generation. This supports the idea that subsistence consumption dominates over sales or sharing. Overall, the results indicate that vegetable production serves multiple purposes, providing not only nutritional benefits for households but also opportunities for economic gain and community strengthening. The majority of households prioritized self-consumption, highlighting the importance of subsistence farming in addressing dietary needs and reducing household dependence on external food sources.</w:t>
      </w:r>
    </w:p>
    <w:p w14:paraId="7A8947E6" w14:textId="77777777" w:rsidR="00ED2BF0" w:rsidRPr="0057092E" w:rsidRDefault="00ED2BF0" w:rsidP="002B4B6D">
      <w:pPr>
        <w:spacing w:after="0"/>
        <w:rPr>
          <w:rFonts w:asciiTheme="minorHAnsi" w:eastAsiaTheme="majorEastAsia" w:hAnsiTheme="minorHAnsi" w:cstheme="minorHAnsi"/>
          <w:color w:val="auto"/>
          <w:szCs w:val="22"/>
          <w:lang w:bidi="en-US"/>
        </w:rPr>
      </w:pPr>
    </w:p>
    <w:p w14:paraId="3CD0D2A1" w14:textId="18F37DCB" w:rsidR="006C4D0C" w:rsidRPr="0057092E" w:rsidRDefault="006C4D0C"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Households increased sales of nutritious foods</w:t>
      </w:r>
    </w:p>
    <w:p w14:paraId="3ADD6AE9" w14:textId="02097EBE" w:rsidR="006A7D92" w:rsidRPr="0057092E" w:rsidRDefault="006C4D0C"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t xml:space="preserve">The study found that households in both Faridpur and Khulna reported an increase in the sale of nutritious foods compared to the previous year, though the scale of growth varied across regions. </w:t>
      </w:r>
      <w:r w:rsidR="006A7D92" w:rsidRPr="0057092E">
        <w:rPr>
          <w:rFonts w:asciiTheme="minorHAnsi" w:eastAsiaTheme="majorEastAsia" w:hAnsiTheme="minorHAnsi" w:cstheme="minorHAnsi"/>
          <w:color w:val="auto"/>
          <w:szCs w:val="22"/>
          <w:lang w:bidi="en-US"/>
        </w:rPr>
        <w:t xml:space="preserve">In both </w:t>
      </w:r>
      <w:r w:rsidR="00464CEC" w:rsidRPr="0057092E">
        <w:rPr>
          <w:rFonts w:asciiTheme="minorHAnsi" w:eastAsiaTheme="majorEastAsia" w:hAnsiTheme="minorHAnsi" w:cstheme="minorHAnsi"/>
          <w:color w:val="auto"/>
          <w:szCs w:val="22"/>
          <w:lang w:bidi="en-US"/>
        </w:rPr>
        <w:t>districts</w:t>
      </w:r>
      <w:r w:rsidR="006A7D92" w:rsidRPr="0057092E">
        <w:rPr>
          <w:rFonts w:asciiTheme="minorHAnsi" w:eastAsiaTheme="majorEastAsia" w:hAnsiTheme="minorHAnsi" w:cstheme="minorHAnsi"/>
          <w:color w:val="auto"/>
          <w:szCs w:val="22"/>
          <w:lang w:bidi="en-US"/>
        </w:rPr>
        <w:t xml:space="preserve">, the largest proportion of households reported sales increases of less than 30%, with 14.00% in Faridpur and 15.00% in Khulna. </w:t>
      </w:r>
      <w:r w:rsidR="004010E8" w:rsidRPr="0057092E">
        <w:rPr>
          <w:rFonts w:asciiTheme="minorHAnsi" w:eastAsiaTheme="majorEastAsia" w:hAnsiTheme="minorHAnsi" w:cstheme="minorHAnsi"/>
          <w:color w:val="auto"/>
          <w:szCs w:val="22"/>
          <w:lang w:bidi="en-US"/>
        </w:rPr>
        <w:t xml:space="preserve">15% of households reported that </w:t>
      </w:r>
      <w:r w:rsidR="00D51C97" w:rsidRPr="0057092E">
        <w:rPr>
          <w:rFonts w:asciiTheme="minorHAnsi" w:eastAsiaTheme="majorEastAsia" w:hAnsiTheme="minorHAnsi" w:cstheme="minorHAnsi"/>
          <w:color w:val="auto"/>
          <w:szCs w:val="22"/>
          <w:lang w:bidi="en-US"/>
        </w:rPr>
        <w:t>30</w:t>
      </w:r>
      <w:r w:rsidR="00E56D52" w:rsidRPr="0057092E">
        <w:rPr>
          <w:rFonts w:asciiTheme="minorHAnsi" w:eastAsiaTheme="majorEastAsia" w:hAnsiTheme="minorHAnsi" w:cstheme="minorHAnsi"/>
          <w:color w:val="auto"/>
          <w:szCs w:val="22"/>
          <w:lang w:bidi="en-US"/>
        </w:rPr>
        <w:t>-39% sales</w:t>
      </w:r>
      <w:r w:rsidR="004010E8" w:rsidRPr="0057092E">
        <w:rPr>
          <w:rFonts w:asciiTheme="minorHAnsi" w:eastAsiaTheme="majorEastAsia" w:hAnsiTheme="minorHAnsi" w:cstheme="minorHAnsi"/>
          <w:color w:val="auto"/>
          <w:szCs w:val="22"/>
          <w:lang w:bidi="en-US"/>
        </w:rPr>
        <w:t xml:space="preserve"> </w:t>
      </w:r>
      <w:r w:rsidR="00F06CCC" w:rsidRPr="0057092E">
        <w:rPr>
          <w:rFonts w:asciiTheme="minorHAnsi" w:eastAsiaTheme="majorEastAsia" w:hAnsiTheme="minorHAnsi" w:cstheme="minorHAnsi"/>
          <w:color w:val="auto"/>
          <w:szCs w:val="22"/>
          <w:lang w:bidi="en-US"/>
        </w:rPr>
        <w:t>have</w:t>
      </w:r>
      <w:r w:rsidR="00E56D52" w:rsidRPr="0057092E">
        <w:rPr>
          <w:rFonts w:asciiTheme="minorHAnsi" w:eastAsiaTheme="majorEastAsia" w:hAnsiTheme="minorHAnsi" w:cstheme="minorHAnsi"/>
          <w:color w:val="auto"/>
          <w:szCs w:val="22"/>
          <w:lang w:bidi="en-US"/>
        </w:rPr>
        <w:t xml:space="preserve"> increased</w:t>
      </w:r>
      <w:r w:rsidR="00F06CCC" w:rsidRPr="0057092E">
        <w:rPr>
          <w:rFonts w:asciiTheme="minorHAnsi" w:eastAsiaTheme="majorEastAsia" w:hAnsiTheme="minorHAnsi" w:cstheme="minorHAnsi"/>
          <w:color w:val="auto"/>
          <w:szCs w:val="22"/>
          <w:lang w:bidi="en-US"/>
        </w:rPr>
        <w:t xml:space="preserve"> in Khulna</w:t>
      </w:r>
      <w:r w:rsidR="00BF1D46" w:rsidRPr="0057092E">
        <w:rPr>
          <w:rFonts w:asciiTheme="minorHAnsi" w:eastAsiaTheme="majorEastAsia" w:hAnsiTheme="minorHAnsi" w:cstheme="minorHAnsi"/>
          <w:color w:val="auto"/>
          <w:szCs w:val="22"/>
          <w:lang w:bidi="en-US"/>
        </w:rPr>
        <w:t>,</w:t>
      </w:r>
      <w:r w:rsidR="004010E8" w:rsidRPr="0057092E">
        <w:rPr>
          <w:rFonts w:asciiTheme="minorHAnsi" w:eastAsiaTheme="majorEastAsia" w:hAnsiTheme="minorHAnsi" w:cstheme="minorHAnsi"/>
          <w:color w:val="auto"/>
          <w:szCs w:val="22"/>
          <w:lang w:bidi="en-US"/>
        </w:rPr>
        <w:t xml:space="preserve"> where </w:t>
      </w:r>
      <w:r w:rsidR="00164777" w:rsidRPr="0057092E">
        <w:rPr>
          <w:rFonts w:asciiTheme="minorHAnsi" w:eastAsiaTheme="majorEastAsia" w:hAnsiTheme="minorHAnsi" w:cstheme="minorHAnsi"/>
          <w:color w:val="auto"/>
          <w:szCs w:val="22"/>
          <w:lang w:bidi="en-US"/>
        </w:rPr>
        <w:t>m</w:t>
      </w:r>
      <w:r w:rsidR="006A7D92" w:rsidRPr="0057092E">
        <w:rPr>
          <w:rFonts w:asciiTheme="minorHAnsi" w:eastAsiaTheme="majorEastAsia" w:hAnsiTheme="minorHAnsi" w:cstheme="minorHAnsi"/>
          <w:color w:val="auto"/>
          <w:szCs w:val="22"/>
          <w:lang w:bidi="en-US"/>
        </w:rPr>
        <w:t>oderate increases between 30–39% were observed in only 3.00% of households in Faridpur</w:t>
      </w:r>
      <w:r w:rsidR="00164777" w:rsidRPr="0057092E">
        <w:rPr>
          <w:rFonts w:asciiTheme="minorHAnsi" w:eastAsiaTheme="majorEastAsia" w:hAnsiTheme="minorHAnsi" w:cstheme="minorHAnsi"/>
          <w:color w:val="auto"/>
          <w:szCs w:val="22"/>
          <w:lang w:bidi="en-US"/>
        </w:rPr>
        <w:t xml:space="preserve">. </w:t>
      </w:r>
      <w:r w:rsidR="006A7D92" w:rsidRPr="0057092E">
        <w:rPr>
          <w:rFonts w:asciiTheme="minorHAnsi" w:eastAsiaTheme="majorEastAsia" w:hAnsiTheme="minorHAnsi" w:cstheme="minorHAnsi"/>
          <w:color w:val="auto"/>
          <w:szCs w:val="22"/>
          <w:lang w:bidi="en-US"/>
        </w:rPr>
        <w:t>Similarly, 2.00% of households in Faridpur and 9.00% in Khulna reported increases between 40–49%, with a total of 6.97%.</w:t>
      </w:r>
      <w:r w:rsidR="00464CEC" w:rsidRPr="0057092E">
        <w:rPr>
          <w:rFonts w:asciiTheme="minorHAnsi" w:eastAsiaTheme="majorEastAsia" w:hAnsiTheme="minorHAnsi" w:cstheme="minorHAnsi"/>
          <w:color w:val="auto"/>
          <w:szCs w:val="22"/>
          <w:lang w:bidi="en-US"/>
        </w:rPr>
        <w:t xml:space="preserve"> </w:t>
      </w:r>
      <w:r w:rsidR="006A7D92" w:rsidRPr="0057092E">
        <w:rPr>
          <w:rFonts w:asciiTheme="minorHAnsi" w:eastAsiaTheme="majorEastAsia" w:hAnsiTheme="minorHAnsi" w:cstheme="minorHAnsi"/>
          <w:color w:val="auto"/>
          <w:szCs w:val="22"/>
          <w:lang w:bidi="en-US"/>
        </w:rPr>
        <w:t>Higher increments in sales were less common. For increases of 50–59%, 4.91% of households in Faridpur and 6.84% in Khulna (5.47% overall) reported such changes. Increases between 60–69% were observed among 4.56% of households in Faridpur and 8.00% in Khulna, averaging 6.00%. The proportion of households reporting more than 70% sales growth was minimal, with only 2.00% in Faridpur and 3.42% in Khulna, amounting to 3.00% overall.</w:t>
      </w:r>
    </w:p>
    <w:p w14:paraId="4B2C5DA0" w14:textId="77777777" w:rsidR="00E0399C" w:rsidRPr="0057092E" w:rsidRDefault="00E0399C" w:rsidP="002B4B6D">
      <w:pPr>
        <w:spacing w:after="0"/>
        <w:rPr>
          <w:rFonts w:asciiTheme="minorHAnsi" w:eastAsiaTheme="majorEastAsia" w:hAnsiTheme="minorHAnsi" w:cstheme="minorHAnsi"/>
          <w:color w:val="auto"/>
          <w:szCs w:val="22"/>
          <w:lang w:bidi="en-US"/>
        </w:rPr>
      </w:pPr>
    </w:p>
    <w:p w14:paraId="68EA46BF" w14:textId="77777777" w:rsidR="00887BEC" w:rsidRPr="0057092E" w:rsidRDefault="00E0399C" w:rsidP="002B4B6D">
      <w:pPr>
        <w:keepNext/>
        <w:spacing w:after="0"/>
        <w:rPr>
          <w:color w:val="auto"/>
        </w:rPr>
      </w:pPr>
      <w:r w:rsidRPr="0057092E">
        <w:rPr>
          <w:color w:val="auto"/>
        </w:rPr>
        <w:lastRenderedPageBreak/>
        <w:drawing>
          <wp:inline distT="0" distB="0" distL="0" distR="0" wp14:anchorId="2852DA9D" wp14:editId="433C00B6">
            <wp:extent cx="5594350" cy="2984500"/>
            <wp:effectExtent l="0" t="0" r="6350" b="6350"/>
            <wp:docPr id="1854416611" name="Chart 1">
              <a:extLst xmlns:a="http://schemas.openxmlformats.org/drawingml/2006/main">
                <a:ext uri="{FF2B5EF4-FFF2-40B4-BE49-F238E27FC236}">
                  <a16:creationId xmlns:a16="http://schemas.microsoft.com/office/drawing/2014/main" id="{421A642E-611A-85F0-4A28-46AA5AFCF1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3ABB16" w14:textId="2A962F4C" w:rsidR="002242FC" w:rsidRPr="00E209BA" w:rsidRDefault="00887BEC" w:rsidP="002B4B6D">
      <w:pPr>
        <w:spacing w:after="0"/>
        <w:rPr>
          <w:rFonts w:asciiTheme="minorHAnsi" w:eastAsiaTheme="majorEastAsia" w:hAnsiTheme="minorHAnsi" w:cstheme="minorHAnsi"/>
          <w:color w:val="auto"/>
          <w:szCs w:val="22"/>
          <w:lang w:bidi="en-US"/>
        </w:rPr>
      </w:pPr>
      <w:r w:rsidRPr="00E209BA">
        <w:rPr>
          <w:rFonts w:asciiTheme="minorHAnsi" w:hAnsiTheme="minorHAnsi" w:cstheme="minorHAnsi"/>
          <w:color w:val="auto"/>
        </w:rPr>
        <w:t xml:space="preserve">Figure </w:t>
      </w:r>
      <w:r w:rsidR="00B779F7" w:rsidRPr="00E209BA">
        <w:rPr>
          <w:rFonts w:asciiTheme="minorHAnsi" w:hAnsiTheme="minorHAnsi" w:cstheme="minorHAnsi"/>
          <w:color w:val="auto"/>
        </w:rPr>
        <w:t>5</w:t>
      </w:r>
      <w:r w:rsidRPr="00E209BA">
        <w:rPr>
          <w:rFonts w:asciiTheme="minorHAnsi" w:hAnsiTheme="minorHAnsi" w:cstheme="minorHAnsi"/>
          <w:color w:val="auto"/>
        </w:rPr>
        <w:t>: Households increased sales of nutritious food</w:t>
      </w:r>
    </w:p>
    <w:p w14:paraId="752AF6E0" w14:textId="77777777" w:rsidR="00394801" w:rsidRDefault="00394801" w:rsidP="002B4B6D">
      <w:pPr>
        <w:spacing w:after="0"/>
        <w:rPr>
          <w:rFonts w:asciiTheme="minorHAnsi" w:eastAsiaTheme="majorEastAsia" w:hAnsiTheme="minorHAnsi" w:cstheme="minorHAnsi"/>
          <w:color w:val="auto"/>
          <w:szCs w:val="22"/>
          <w:lang w:bidi="en-US"/>
        </w:rPr>
      </w:pPr>
    </w:p>
    <w:p w14:paraId="14804E50" w14:textId="4EF70295" w:rsidR="002242FC" w:rsidRPr="0057092E" w:rsidRDefault="002242FC"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t xml:space="preserve">Previous studies in Bangladesh have similarly noted that while homestead and smallholder production improves household food availability, the transition from subsistence to commercial sales is often constrained by structural and institutional factors </w:t>
      </w:r>
      <w:r w:rsidRPr="00394801">
        <w:rPr>
          <w:rFonts w:asciiTheme="minorHAnsi" w:eastAsiaTheme="majorEastAsia" w:hAnsiTheme="minorHAnsi" w:cstheme="minorHAnsi"/>
          <w:color w:val="auto"/>
          <w:szCs w:val="22"/>
          <w:lang w:bidi="en-US"/>
        </w:rPr>
        <w:t>(Baliki et al., 2022; Akter, 2019).</w:t>
      </w:r>
      <w:r w:rsidRPr="0057092E">
        <w:rPr>
          <w:rFonts w:asciiTheme="minorHAnsi" w:eastAsiaTheme="majorEastAsia" w:hAnsiTheme="minorHAnsi" w:cstheme="minorHAnsi"/>
          <w:color w:val="auto"/>
          <w:szCs w:val="22"/>
          <w:lang w:bidi="en-US"/>
        </w:rPr>
        <w:t xml:space="preserve"> Overall, the results indicate that nutritious food production primarily serves household consumption needs, but with growing potential for income generation. Regional differences underscore the importance of context-specific strategies that address local barriers while leveraging opportunities for commercialization.</w:t>
      </w:r>
    </w:p>
    <w:p w14:paraId="068AC3A5" w14:textId="77777777" w:rsidR="002242FC" w:rsidRPr="0057092E" w:rsidRDefault="002242FC" w:rsidP="002B4B6D">
      <w:pPr>
        <w:pStyle w:val="Heading1"/>
        <w:spacing w:before="0"/>
        <w:rPr>
          <w:rFonts w:asciiTheme="minorHAnsi" w:eastAsia="Gill Sans" w:hAnsiTheme="minorHAnsi" w:cstheme="minorHAnsi"/>
          <w:b/>
          <w:bCs/>
          <w:color w:val="auto"/>
          <w:sz w:val="22"/>
          <w:szCs w:val="22"/>
        </w:rPr>
      </w:pPr>
    </w:p>
    <w:p w14:paraId="5D5E53F7" w14:textId="7DD59A3B" w:rsidR="000E2A16" w:rsidRPr="0057092E" w:rsidRDefault="00A4066F"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 xml:space="preserve">Increase in household nutritious food consumption </w:t>
      </w:r>
      <w:r w:rsidR="000E2A16" w:rsidRPr="0057092E">
        <w:rPr>
          <w:rFonts w:asciiTheme="minorHAnsi" w:eastAsia="Gill Sans" w:hAnsiTheme="minorHAnsi" w:cstheme="minorHAnsi"/>
          <w:b/>
          <w:bCs/>
          <w:color w:val="auto"/>
          <w:sz w:val="22"/>
          <w:szCs w:val="22"/>
        </w:rPr>
        <w:t>compared to the previous year.</w:t>
      </w:r>
    </w:p>
    <w:p w14:paraId="23B78BA4" w14:textId="5E928953" w:rsidR="00A4066F" w:rsidRPr="0057092E" w:rsidRDefault="00A4066F"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t xml:space="preserve">The study examined changes in household vegetable consumption in Faridpur and Khulna, comparing this year’s consumption to the previous year. </w:t>
      </w:r>
      <w:r w:rsidR="00464CEC" w:rsidRPr="0057092E">
        <w:rPr>
          <w:rFonts w:asciiTheme="minorHAnsi" w:eastAsiaTheme="majorEastAsia" w:hAnsiTheme="minorHAnsi" w:cstheme="minorHAnsi"/>
          <w:color w:val="auto"/>
          <w:szCs w:val="22"/>
          <w:lang w:bidi="en-US"/>
        </w:rPr>
        <w:t>The findings indicate a clear upward trend in household vegetable consumption in both Faridpur and Khulna, with nearly half of households (44.78%) reporting increases exceeding 70% compared to the previous year. Faridpur showed notable improvements, but Khulna outperformed with over 60% of households reporting very high increases, likely reflecting better access to extension services, markets, and nutrition-awareness initiatives. Moderate increases (30–59%) were less common, suggesting that once households adopt improved practices or expand production, consumption gains tend to be substantial.</w:t>
      </w:r>
    </w:p>
    <w:p w14:paraId="18AF7E6E" w14:textId="77777777" w:rsidR="00AC79C6" w:rsidRPr="0057092E" w:rsidRDefault="00695F68" w:rsidP="002B4B6D">
      <w:pPr>
        <w:keepNext/>
        <w:spacing w:after="0"/>
        <w:rPr>
          <w:rFonts w:asciiTheme="minorHAnsi" w:hAnsiTheme="minorHAnsi" w:cstheme="minorHAnsi"/>
          <w:color w:val="auto"/>
          <w:szCs w:val="22"/>
        </w:rPr>
      </w:pPr>
      <w:r w:rsidRPr="0057092E">
        <w:rPr>
          <w:rFonts w:asciiTheme="minorHAnsi" w:hAnsiTheme="minorHAnsi" w:cstheme="minorHAnsi"/>
          <w:color w:val="auto"/>
          <w:szCs w:val="22"/>
        </w:rPr>
        <w:drawing>
          <wp:inline distT="0" distB="0" distL="0" distR="0" wp14:anchorId="4378FF5A" wp14:editId="429E6649">
            <wp:extent cx="5594350" cy="2527300"/>
            <wp:effectExtent l="0" t="0" r="6350" b="6350"/>
            <wp:docPr id="57836596" name="Chart 1">
              <a:extLst xmlns:a="http://schemas.openxmlformats.org/drawingml/2006/main">
                <a:ext uri="{FF2B5EF4-FFF2-40B4-BE49-F238E27FC236}">
                  <a16:creationId xmlns:a16="http://schemas.microsoft.com/office/drawing/2014/main" id="{00000000-0008-0000-02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7AC740" w14:textId="01FCEE4C" w:rsidR="00A4066F" w:rsidRPr="0057092E" w:rsidRDefault="00AC79C6" w:rsidP="002B4B6D">
      <w:pPr>
        <w:pStyle w:val="Caption"/>
        <w:spacing w:after="0"/>
        <w:rPr>
          <w:rFonts w:asciiTheme="minorHAnsi" w:eastAsiaTheme="majorEastAsia" w:hAnsiTheme="minorHAnsi" w:cstheme="minorHAnsi"/>
          <w:szCs w:val="22"/>
          <w:lang w:bidi="en-US"/>
        </w:rPr>
      </w:pPr>
      <w:r w:rsidRPr="0057092E">
        <w:rPr>
          <w:rFonts w:asciiTheme="minorHAnsi" w:hAnsiTheme="minorHAnsi" w:cstheme="minorHAnsi"/>
          <w:szCs w:val="22"/>
        </w:rPr>
        <w:t xml:space="preserve">Figure </w:t>
      </w:r>
      <w:r w:rsidR="00E209BA">
        <w:rPr>
          <w:rFonts w:asciiTheme="minorHAnsi" w:hAnsiTheme="minorHAnsi" w:cstheme="minorHAnsi"/>
          <w:szCs w:val="22"/>
        </w:rPr>
        <w:t>6</w:t>
      </w:r>
      <w:r w:rsidRPr="0057092E">
        <w:rPr>
          <w:rFonts w:asciiTheme="minorHAnsi" w:hAnsiTheme="minorHAnsi" w:cstheme="minorHAnsi"/>
          <w:szCs w:val="22"/>
        </w:rPr>
        <w:t>: Increase in household nutritious food consumption compared to the previous year</w:t>
      </w:r>
    </w:p>
    <w:p w14:paraId="4BC587E4" w14:textId="6AA14F0C" w:rsidR="006C2703" w:rsidRPr="0057092E" w:rsidRDefault="000E3A6C" w:rsidP="002B4B6D">
      <w:pPr>
        <w:spacing w:after="0"/>
        <w:rPr>
          <w:rFonts w:asciiTheme="minorHAnsi" w:eastAsiaTheme="majorEastAsia" w:hAnsiTheme="minorHAnsi" w:cstheme="minorHAnsi"/>
          <w:color w:val="auto"/>
          <w:szCs w:val="22"/>
          <w:lang w:bidi="en-US"/>
        </w:rPr>
      </w:pPr>
      <w:r w:rsidRPr="0057092E">
        <w:rPr>
          <w:rFonts w:asciiTheme="minorHAnsi" w:eastAsiaTheme="majorEastAsia" w:hAnsiTheme="minorHAnsi" w:cstheme="minorHAnsi"/>
          <w:color w:val="auto"/>
          <w:szCs w:val="22"/>
          <w:lang w:bidi="en-US"/>
        </w:rPr>
        <w:lastRenderedPageBreak/>
        <w:t xml:space="preserve">These results align with previous studies in Bangladesh. Homestead gardening and smallholder vegetable cultivation have been shown to enhance dietary diversity and micronutrient intake </w:t>
      </w:r>
      <w:r w:rsidRPr="00081FF4">
        <w:rPr>
          <w:rFonts w:asciiTheme="minorHAnsi" w:eastAsiaTheme="majorEastAsia" w:hAnsiTheme="minorHAnsi" w:cstheme="minorHAnsi"/>
          <w:color w:val="auto"/>
          <w:szCs w:val="22"/>
          <w:lang w:bidi="en-US"/>
        </w:rPr>
        <w:t xml:space="preserve">(Khan et al., 2022; Baliki et al., 2022). </w:t>
      </w:r>
      <w:r w:rsidRPr="0057092E">
        <w:rPr>
          <w:rFonts w:asciiTheme="minorHAnsi" w:eastAsiaTheme="majorEastAsia" w:hAnsiTheme="minorHAnsi" w:cstheme="minorHAnsi"/>
          <w:color w:val="auto"/>
          <w:szCs w:val="22"/>
          <w:lang w:bidi="en-US"/>
        </w:rPr>
        <w:t xml:space="preserve">The concentration of high consumption of effective nutrition-sensitive agriculture interventions, which improve household diets and reduce dependence on purchased foods </w:t>
      </w:r>
      <w:r w:rsidRPr="00081FF4">
        <w:rPr>
          <w:rFonts w:asciiTheme="minorHAnsi" w:eastAsiaTheme="majorEastAsia" w:hAnsiTheme="minorHAnsi" w:cstheme="minorHAnsi"/>
          <w:color w:val="auto"/>
          <w:szCs w:val="22"/>
          <w:lang w:bidi="en-US"/>
        </w:rPr>
        <w:t>(Baliki et al., 2022).</w:t>
      </w:r>
      <w:r w:rsidRPr="0057092E">
        <w:rPr>
          <w:rFonts w:asciiTheme="minorHAnsi" w:eastAsiaTheme="majorEastAsia" w:hAnsiTheme="minorHAnsi" w:cstheme="minorHAnsi"/>
          <w:color w:val="auto"/>
          <w:szCs w:val="22"/>
          <w:lang w:bidi="en-US"/>
        </w:rPr>
        <w:t xml:space="preserve"> Community-level knowledge sharing and social capital further support these gains </w:t>
      </w:r>
      <w:r w:rsidRPr="00081FF4">
        <w:rPr>
          <w:rFonts w:asciiTheme="minorHAnsi" w:eastAsiaTheme="majorEastAsia" w:hAnsiTheme="minorHAnsi" w:cstheme="minorHAnsi"/>
          <w:color w:val="auto"/>
          <w:szCs w:val="22"/>
          <w:lang w:bidi="en-US"/>
        </w:rPr>
        <w:t>(Nosratabadi et al., 2020).</w:t>
      </w:r>
      <w:r w:rsidRPr="0057092E">
        <w:rPr>
          <w:rFonts w:asciiTheme="minorHAnsi" w:eastAsiaTheme="majorEastAsia" w:hAnsiTheme="minorHAnsi" w:cstheme="minorHAnsi"/>
          <w:color w:val="auto"/>
          <w:szCs w:val="22"/>
          <w:lang w:bidi="en-US"/>
        </w:rPr>
        <w:t xml:space="preserve"> </w:t>
      </w:r>
      <w:r w:rsidR="006C2703" w:rsidRPr="0057092E">
        <w:rPr>
          <w:rFonts w:asciiTheme="minorHAnsi" w:eastAsiaTheme="majorEastAsia" w:hAnsiTheme="minorHAnsi" w:cstheme="minorHAnsi"/>
          <w:color w:val="auto"/>
          <w:szCs w:val="22"/>
          <w:lang w:bidi="en-US"/>
        </w:rPr>
        <w:t>Overall, households are moving toward greater self-sufficiency in vegetable consumption, with important implications for nutrition security. To sustain and scale these gains, policies should strengthen home garden programs, improve access to agricultural inputs, and expand nutrition-awareness campaigns. Regional differences, such as Khulna’s stronger performance, indicate the need for localized approaches that address specific production constraints while leveraging community practices.</w:t>
      </w:r>
    </w:p>
    <w:p w14:paraId="71725CD1" w14:textId="77777777" w:rsidR="00E56535" w:rsidRPr="0057092E" w:rsidRDefault="00E56535" w:rsidP="002B4B6D">
      <w:pPr>
        <w:spacing w:after="0"/>
        <w:rPr>
          <w:rFonts w:asciiTheme="minorHAnsi" w:eastAsiaTheme="majorEastAsia" w:hAnsiTheme="minorHAnsi" w:cstheme="minorHAnsi"/>
          <w:color w:val="auto"/>
          <w:szCs w:val="22"/>
          <w:lang w:bidi="en-US"/>
        </w:rPr>
      </w:pPr>
    </w:p>
    <w:p w14:paraId="5A4F0046" w14:textId="754DAC6D" w:rsidR="009D411A" w:rsidRPr="0057092E" w:rsidRDefault="004D6351"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Households reported on the availability of agricultural inputs</w:t>
      </w:r>
    </w:p>
    <w:p w14:paraId="2DC70F97" w14:textId="0B4BC530" w:rsidR="0044217E" w:rsidRPr="0057092E" w:rsidRDefault="003C586F" w:rsidP="002B4B6D">
      <w:pPr>
        <w:spacing w:after="0"/>
        <w:rPr>
          <w:rFonts w:asciiTheme="minorHAnsi" w:eastAsiaTheme="majorEastAsia" w:hAnsiTheme="minorHAnsi" w:cstheme="minorHAnsi"/>
          <w:bCs/>
          <w:color w:val="auto"/>
          <w:szCs w:val="22"/>
          <w:lang w:bidi="en-US"/>
        </w:rPr>
      </w:pPr>
      <w:r w:rsidRPr="0057092E">
        <w:rPr>
          <w:rFonts w:asciiTheme="minorHAnsi" w:eastAsiaTheme="majorEastAsia" w:hAnsiTheme="minorHAnsi" w:cstheme="minorHAnsi"/>
          <w:bCs/>
          <w:color w:val="auto"/>
          <w:szCs w:val="22"/>
          <w:lang w:bidi="en-US"/>
        </w:rPr>
        <w:t xml:space="preserve">Households in Faridpur and Khulna reported high levels of access to agricultural </w:t>
      </w:r>
      <w:r w:rsidRPr="00E209BA">
        <w:rPr>
          <w:rFonts w:asciiTheme="minorHAnsi" w:eastAsiaTheme="majorEastAsia" w:hAnsiTheme="minorHAnsi" w:cstheme="minorHAnsi"/>
          <w:bCs/>
          <w:color w:val="auto"/>
          <w:szCs w:val="22"/>
          <w:lang w:bidi="en-US"/>
        </w:rPr>
        <w:t xml:space="preserve">inputs (Table </w:t>
      </w:r>
      <w:r w:rsidR="00E209BA" w:rsidRPr="00E209BA">
        <w:rPr>
          <w:rFonts w:asciiTheme="minorHAnsi" w:eastAsiaTheme="majorEastAsia" w:hAnsiTheme="minorHAnsi" w:cstheme="minorHAnsi"/>
          <w:bCs/>
          <w:color w:val="auto"/>
          <w:szCs w:val="22"/>
          <w:lang w:bidi="en-US"/>
        </w:rPr>
        <w:t>3</w:t>
      </w:r>
      <w:r w:rsidRPr="00E209BA">
        <w:rPr>
          <w:rFonts w:asciiTheme="minorHAnsi" w:eastAsiaTheme="majorEastAsia" w:hAnsiTheme="minorHAnsi" w:cstheme="minorHAnsi"/>
          <w:bCs/>
          <w:color w:val="auto"/>
          <w:szCs w:val="22"/>
          <w:lang w:bidi="en-US"/>
        </w:rPr>
        <w:t>). In</w:t>
      </w:r>
      <w:r w:rsidRPr="0057092E">
        <w:rPr>
          <w:rFonts w:asciiTheme="minorHAnsi" w:eastAsiaTheme="majorEastAsia" w:hAnsiTheme="minorHAnsi" w:cstheme="minorHAnsi"/>
          <w:bCs/>
          <w:color w:val="auto"/>
          <w:szCs w:val="22"/>
          <w:lang w:bidi="en-US"/>
        </w:rPr>
        <w:t xml:space="preserve"> Faridpur, 82.45% of households confirmed availability of inputs, slightly lower than 85.50% in Khulna, with an overall rate of 83.98% across both districts. Only 15.09% of households in Faridpur and 8.55% in Khulna reported lacking access, while a small proportion indicated “don’t know” (1.32% in Faridpur and 3.75% in Khulna) or “other” responses (1.14% in Faridpur and 2.21% in Khulna), representing 2.54% and 1.67% overall, respectively. </w:t>
      </w:r>
    </w:p>
    <w:p w14:paraId="1A173294" w14:textId="77777777" w:rsidR="00F65D55" w:rsidRPr="0057092E" w:rsidRDefault="00F65D55" w:rsidP="002B4B6D">
      <w:pPr>
        <w:spacing w:after="0"/>
        <w:rPr>
          <w:rFonts w:asciiTheme="minorHAnsi" w:eastAsiaTheme="majorEastAsia" w:hAnsiTheme="minorHAnsi" w:cstheme="minorHAnsi"/>
          <w:bCs/>
          <w:color w:val="auto"/>
          <w:szCs w:val="22"/>
          <w:lang w:bidi="en-US"/>
        </w:rPr>
      </w:pPr>
    </w:p>
    <w:p w14:paraId="59A12D9D" w14:textId="48D1C3A6" w:rsidR="0044217E" w:rsidRPr="0057092E" w:rsidRDefault="0044217E" w:rsidP="002B4B6D">
      <w:pPr>
        <w:pStyle w:val="Caption"/>
        <w:keepNext/>
        <w:spacing w:after="0"/>
        <w:rPr>
          <w:rFonts w:asciiTheme="minorHAnsi" w:hAnsiTheme="minorHAnsi" w:cstheme="minorHAnsi"/>
          <w:szCs w:val="22"/>
        </w:rPr>
      </w:pPr>
      <w:r w:rsidRPr="0057092E">
        <w:rPr>
          <w:rFonts w:asciiTheme="minorHAnsi" w:hAnsiTheme="minorHAnsi" w:cstheme="minorHAnsi"/>
          <w:szCs w:val="22"/>
        </w:rPr>
        <w:t xml:space="preserve">Table </w:t>
      </w:r>
      <w:r w:rsidR="00F65D55" w:rsidRPr="0057092E">
        <w:rPr>
          <w:rFonts w:asciiTheme="minorHAnsi" w:hAnsiTheme="minorHAnsi" w:cstheme="minorHAnsi"/>
          <w:szCs w:val="22"/>
        </w:rPr>
        <w:t>3</w:t>
      </w:r>
      <w:r w:rsidRPr="0057092E">
        <w:rPr>
          <w:rFonts w:asciiTheme="minorHAnsi" w:hAnsiTheme="minorHAnsi" w:cstheme="minorHAnsi"/>
          <w:szCs w:val="22"/>
        </w:rPr>
        <w:t>: Households reported on the availability of agricultural inputs</w:t>
      </w:r>
    </w:p>
    <w:tbl>
      <w:tblPr>
        <w:tblW w:w="8963" w:type="dxa"/>
        <w:tblLook w:val="04A0" w:firstRow="1" w:lastRow="0" w:firstColumn="1" w:lastColumn="0" w:noHBand="0" w:noVBand="1"/>
      </w:tblPr>
      <w:tblGrid>
        <w:gridCol w:w="4590"/>
        <w:gridCol w:w="1710"/>
        <w:gridCol w:w="1440"/>
        <w:gridCol w:w="1223"/>
      </w:tblGrid>
      <w:tr w:rsidR="0057092E" w:rsidRPr="0057092E" w14:paraId="335E2916" w14:textId="77777777" w:rsidTr="003C2C20">
        <w:trPr>
          <w:trHeight w:val="256"/>
        </w:trPr>
        <w:tc>
          <w:tcPr>
            <w:tcW w:w="4590" w:type="dxa"/>
            <w:tcBorders>
              <w:top w:val="single" w:sz="4" w:space="0" w:color="auto"/>
              <w:left w:val="nil"/>
              <w:bottom w:val="single" w:sz="4" w:space="0" w:color="auto"/>
              <w:right w:val="nil"/>
            </w:tcBorders>
            <w:noWrap/>
            <w:vAlign w:val="center"/>
            <w:hideMark/>
          </w:tcPr>
          <w:p w14:paraId="68F88DFE"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Households reported on the availability of agricultural inputs</w:t>
            </w:r>
          </w:p>
        </w:tc>
        <w:tc>
          <w:tcPr>
            <w:tcW w:w="1710" w:type="dxa"/>
            <w:tcBorders>
              <w:top w:val="single" w:sz="4" w:space="0" w:color="auto"/>
              <w:left w:val="nil"/>
              <w:bottom w:val="single" w:sz="4" w:space="0" w:color="auto"/>
              <w:right w:val="nil"/>
            </w:tcBorders>
            <w:noWrap/>
            <w:vAlign w:val="center"/>
            <w:hideMark/>
          </w:tcPr>
          <w:p w14:paraId="226C3120" w14:textId="1EBB362A"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Faridpur (</w:t>
            </w:r>
            <w:r w:rsidR="00043085" w:rsidRPr="0057092E">
              <w:rPr>
                <w:rFonts w:asciiTheme="minorHAnsi" w:eastAsia="Times New Roman" w:hAnsiTheme="minorHAnsi" w:cstheme="minorHAnsi"/>
                <w:noProof w:val="0"/>
                <w:color w:val="auto"/>
                <w:szCs w:val="22"/>
              </w:rPr>
              <w:t>n=</w:t>
            </w:r>
            <w:r w:rsidR="001B5465" w:rsidRPr="0057092E">
              <w:rPr>
                <w:rFonts w:asciiTheme="minorHAnsi" w:eastAsia="Times New Roman" w:hAnsiTheme="minorHAnsi" w:cstheme="minorHAnsi"/>
                <w:noProof w:val="0"/>
                <w:color w:val="auto"/>
                <w:szCs w:val="22"/>
              </w:rPr>
              <w:t>192</w:t>
            </w:r>
            <w:r w:rsidRPr="0057092E">
              <w:rPr>
                <w:rFonts w:asciiTheme="minorHAnsi" w:eastAsia="Times New Roman" w:hAnsiTheme="minorHAnsi" w:cstheme="minorHAnsi"/>
                <w:noProof w:val="0"/>
                <w:color w:val="auto"/>
                <w:szCs w:val="22"/>
              </w:rPr>
              <w:t>)</w:t>
            </w:r>
          </w:p>
        </w:tc>
        <w:tc>
          <w:tcPr>
            <w:tcW w:w="1440" w:type="dxa"/>
            <w:tcBorders>
              <w:top w:val="single" w:sz="4" w:space="0" w:color="auto"/>
              <w:left w:val="nil"/>
              <w:bottom w:val="single" w:sz="4" w:space="0" w:color="auto"/>
              <w:right w:val="nil"/>
            </w:tcBorders>
            <w:noWrap/>
            <w:vAlign w:val="center"/>
            <w:hideMark/>
          </w:tcPr>
          <w:p w14:paraId="2BA56906" w14:textId="0F19A102"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Khulna (</w:t>
            </w:r>
            <w:r w:rsidR="001B5465" w:rsidRPr="0057092E">
              <w:rPr>
                <w:rFonts w:asciiTheme="minorHAnsi" w:eastAsia="Times New Roman" w:hAnsiTheme="minorHAnsi" w:cstheme="minorHAnsi"/>
                <w:noProof w:val="0"/>
                <w:color w:val="auto"/>
                <w:szCs w:val="22"/>
              </w:rPr>
              <w:t>n=193</w:t>
            </w:r>
            <w:r w:rsidRPr="0057092E">
              <w:rPr>
                <w:rFonts w:asciiTheme="minorHAnsi" w:eastAsia="Times New Roman" w:hAnsiTheme="minorHAnsi" w:cstheme="minorHAnsi"/>
                <w:noProof w:val="0"/>
                <w:color w:val="auto"/>
                <w:szCs w:val="22"/>
              </w:rPr>
              <w:t>)</w:t>
            </w:r>
          </w:p>
        </w:tc>
        <w:tc>
          <w:tcPr>
            <w:tcW w:w="1223" w:type="dxa"/>
            <w:tcBorders>
              <w:top w:val="single" w:sz="4" w:space="0" w:color="auto"/>
              <w:left w:val="nil"/>
              <w:bottom w:val="single" w:sz="4" w:space="0" w:color="auto"/>
              <w:right w:val="nil"/>
            </w:tcBorders>
            <w:noWrap/>
            <w:vAlign w:val="center"/>
            <w:hideMark/>
          </w:tcPr>
          <w:p w14:paraId="03BAE134" w14:textId="65428298"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Total (</w:t>
            </w:r>
            <w:r w:rsidR="001B5465" w:rsidRPr="0057092E">
              <w:rPr>
                <w:rFonts w:asciiTheme="minorHAnsi" w:eastAsia="Times New Roman" w:hAnsiTheme="minorHAnsi" w:cstheme="minorHAnsi"/>
                <w:noProof w:val="0"/>
                <w:color w:val="auto"/>
                <w:szCs w:val="22"/>
              </w:rPr>
              <w:t>n=385</w:t>
            </w:r>
            <w:r w:rsidRPr="0057092E">
              <w:rPr>
                <w:rFonts w:asciiTheme="minorHAnsi" w:eastAsia="Times New Roman" w:hAnsiTheme="minorHAnsi" w:cstheme="minorHAnsi"/>
                <w:noProof w:val="0"/>
                <w:color w:val="auto"/>
                <w:szCs w:val="22"/>
              </w:rPr>
              <w:t>)</w:t>
            </w:r>
          </w:p>
        </w:tc>
      </w:tr>
      <w:tr w:rsidR="0057092E" w:rsidRPr="0057092E" w14:paraId="559E2DDB" w14:textId="77777777" w:rsidTr="003C2C20">
        <w:trPr>
          <w:trHeight w:val="256"/>
        </w:trPr>
        <w:tc>
          <w:tcPr>
            <w:tcW w:w="4590" w:type="dxa"/>
            <w:tcBorders>
              <w:top w:val="single" w:sz="4" w:space="0" w:color="auto"/>
              <w:left w:val="nil"/>
              <w:bottom w:val="nil"/>
              <w:right w:val="nil"/>
            </w:tcBorders>
            <w:noWrap/>
            <w:vAlign w:val="bottom"/>
            <w:hideMark/>
          </w:tcPr>
          <w:p w14:paraId="3E5AF660"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Yes</w:t>
            </w:r>
          </w:p>
        </w:tc>
        <w:tc>
          <w:tcPr>
            <w:tcW w:w="1710" w:type="dxa"/>
            <w:tcBorders>
              <w:top w:val="single" w:sz="4" w:space="0" w:color="auto"/>
              <w:left w:val="nil"/>
              <w:bottom w:val="nil"/>
              <w:right w:val="nil"/>
            </w:tcBorders>
            <w:noWrap/>
            <w:hideMark/>
          </w:tcPr>
          <w:p w14:paraId="42AAA25B" w14:textId="0C700536"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82.45</w:t>
            </w:r>
            <w:r w:rsidR="00043085" w:rsidRPr="0057092E">
              <w:rPr>
                <w:rFonts w:asciiTheme="minorHAnsi" w:hAnsiTheme="minorHAnsi" w:cstheme="minorHAnsi"/>
                <w:color w:val="auto"/>
                <w:szCs w:val="22"/>
              </w:rPr>
              <w:t>%</w:t>
            </w:r>
          </w:p>
        </w:tc>
        <w:tc>
          <w:tcPr>
            <w:tcW w:w="1440" w:type="dxa"/>
            <w:tcBorders>
              <w:top w:val="single" w:sz="4" w:space="0" w:color="auto"/>
              <w:left w:val="nil"/>
              <w:bottom w:val="nil"/>
              <w:right w:val="nil"/>
            </w:tcBorders>
            <w:noWrap/>
            <w:hideMark/>
          </w:tcPr>
          <w:p w14:paraId="272362F7" w14:textId="3A24D770"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85.50</w:t>
            </w:r>
            <w:r w:rsidR="00043085" w:rsidRPr="0057092E">
              <w:rPr>
                <w:rFonts w:asciiTheme="minorHAnsi" w:hAnsiTheme="minorHAnsi" w:cstheme="minorHAnsi"/>
                <w:color w:val="auto"/>
                <w:szCs w:val="22"/>
              </w:rPr>
              <w:t>%</w:t>
            </w:r>
          </w:p>
        </w:tc>
        <w:tc>
          <w:tcPr>
            <w:tcW w:w="1223" w:type="dxa"/>
            <w:tcBorders>
              <w:top w:val="single" w:sz="4" w:space="0" w:color="auto"/>
              <w:left w:val="nil"/>
              <w:bottom w:val="nil"/>
              <w:right w:val="nil"/>
            </w:tcBorders>
            <w:noWrap/>
            <w:hideMark/>
          </w:tcPr>
          <w:p w14:paraId="13985268" w14:textId="15127F34"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83.98</w:t>
            </w:r>
            <w:r w:rsidR="00043085" w:rsidRPr="0057092E">
              <w:rPr>
                <w:rFonts w:asciiTheme="minorHAnsi" w:hAnsiTheme="minorHAnsi" w:cstheme="minorHAnsi"/>
                <w:color w:val="auto"/>
                <w:szCs w:val="22"/>
              </w:rPr>
              <w:t>%</w:t>
            </w:r>
          </w:p>
        </w:tc>
      </w:tr>
      <w:tr w:rsidR="0057092E" w:rsidRPr="0057092E" w14:paraId="758308E4" w14:textId="77777777" w:rsidTr="003C2C20">
        <w:trPr>
          <w:trHeight w:val="256"/>
        </w:trPr>
        <w:tc>
          <w:tcPr>
            <w:tcW w:w="4590" w:type="dxa"/>
            <w:tcBorders>
              <w:top w:val="nil"/>
              <w:left w:val="nil"/>
              <w:bottom w:val="nil"/>
              <w:right w:val="nil"/>
            </w:tcBorders>
            <w:noWrap/>
            <w:vAlign w:val="bottom"/>
            <w:hideMark/>
          </w:tcPr>
          <w:p w14:paraId="30520EBD"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No</w:t>
            </w:r>
          </w:p>
        </w:tc>
        <w:tc>
          <w:tcPr>
            <w:tcW w:w="1710" w:type="dxa"/>
            <w:tcBorders>
              <w:top w:val="nil"/>
              <w:left w:val="nil"/>
              <w:bottom w:val="nil"/>
              <w:right w:val="nil"/>
            </w:tcBorders>
            <w:noWrap/>
            <w:hideMark/>
          </w:tcPr>
          <w:p w14:paraId="570C3CE1" w14:textId="2194D118"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15.09</w:t>
            </w:r>
            <w:r w:rsidR="00043085" w:rsidRPr="0057092E">
              <w:rPr>
                <w:rFonts w:asciiTheme="minorHAnsi" w:hAnsiTheme="minorHAnsi" w:cstheme="minorHAnsi"/>
                <w:color w:val="auto"/>
                <w:szCs w:val="22"/>
              </w:rPr>
              <w:t>%</w:t>
            </w:r>
          </w:p>
        </w:tc>
        <w:tc>
          <w:tcPr>
            <w:tcW w:w="1440" w:type="dxa"/>
            <w:tcBorders>
              <w:top w:val="nil"/>
              <w:left w:val="nil"/>
              <w:bottom w:val="nil"/>
              <w:right w:val="nil"/>
            </w:tcBorders>
            <w:noWrap/>
            <w:hideMark/>
          </w:tcPr>
          <w:p w14:paraId="0B8863E0" w14:textId="74AEFB33"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8.55</w:t>
            </w:r>
            <w:r w:rsidR="00043085" w:rsidRPr="0057092E">
              <w:rPr>
                <w:rFonts w:asciiTheme="minorHAnsi" w:hAnsiTheme="minorHAnsi" w:cstheme="minorHAnsi"/>
                <w:color w:val="auto"/>
                <w:szCs w:val="22"/>
              </w:rPr>
              <w:t>%</w:t>
            </w:r>
          </w:p>
        </w:tc>
        <w:tc>
          <w:tcPr>
            <w:tcW w:w="1223" w:type="dxa"/>
            <w:tcBorders>
              <w:top w:val="nil"/>
              <w:left w:val="nil"/>
              <w:bottom w:val="nil"/>
              <w:right w:val="nil"/>
            </w:tcBorders>
            <w:noWrap/>
            <w:hideMark/>
          </w:tcPr>
          <w:p w14:paraId="0A6C3D94" w14:textId="01ACCD56"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11.82</w:t>
            </w:r>
            <w:r w:rsidR="00043085" w:rsidRPr="0057092E">
              <w:rPr>
                <w:rFonts w:asciiTheme="minorHAnsi" w:hAnsiTheme="minorHAnsi" w:cstheme="minorHAnsi"/>
                <w:color w:val="auto"/>
                <w:szCs w:val="22"/>
              </w:rPr>
              <w:t>%</w:t>
            </w:r>
          </w:p>
        </w:tc>
      </w:tr>
      <w:tr w:rsidR="0057092E" w:rsidRPr="0057092E" w14:paraId="002B03D5" w14:textId="77777777" w:rsidTr="003C2C20">
        <w:trPr>
          <w:trHeight w:val="256"/>
        </w:trPr>
        <w:tc>
          <w:tcPr>
            <w:tcW w:w="4590" w:type="dxa"/>
            <w:tcBorders>
              <w:top w:val="nil"/>
              <w:left w:val="nil"/>
              <w:right w:val="nil"/>
            </w:tcBorders>
            <w:noWrap/>
            <w:vAlign w:val="bottom"/>
            <w:hideMark/>
          </w:tcPr>
          <w:p w14:paraId="3EF90086"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Don’t know</w:t>
            </w:r>
          </w:p>
        </w:tc>
        <w:tc>
          <w:tcPr>
            <w:tcW w:w="1710" w:type="dxa"/>
            <w:tcBorders>
              <w:top w:val="nil"/>
              <w:left w:val="nil"/>
              <w:right w:val="nil"/>
            </w:tcBorders>
            <w:noWrap/>
            <w:hideMark/>
          </w:tcPr>
          <w:p w14:paraId="7195EB85" w14:textId="43FF3190"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1.32</w:t>
            </w:r>
            <w:r w:rsidR="00043085" w:rsidRPr="0057092E">
              <w:rPr>
                <w:rFonts w:asciiTheme="minorHAnsi" w:hAnsiTheme="minorHAnsi" w:cstheme="minorHAnsi"/>
                <w:color w:val="auto"/>
                <w:szCs w:val="22"/>
              </w:rPr>
              <w:t>%</w:t>
            </w:r>
          </w:p>
        </w:tc>
        <w:tc>
          <w:tcPr>
            <w:tcW w:w="1440" w:type="dxa"/>
            <w:tcBorders>
              <w:top w:val="nil"/>
              <w:left w:val="nil"/>
              <w:right w:val="nil"/>
            </w:tcBorders>
            <w:noWrap/>
            <w:hideMark/>
          </w:tcPr>
          <w:p w14:paraId="1F793B2A" w14:textId="54AE1D7E"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3.75</w:t>
            </w:r>
            <w:r w:rsidR="00043085" w:rsidRPr="0057092E">
              <w:rPr>
                <w:rFonts w:asciiTheme="minorHAnsi" w:hAnsiTheme="minorHAnsi" w:cstheme="minorHAnsi"/>
                <w:color w:val="auto"/>
                <w:szCs w:val="22"/>
              </w:rPr>
              <w:t>%</w:t>
            </w:r>
          </w:p>
        </w:tc>
        <w:tc>
          <w:tcPr>
            <w:tcW w:w="1223" w:type="dxa"/>
            <w:tcBorders>
              <w:top w:val="nil"/>
              <w:left w:val="nil"/>
              <w:right w:val="nil"/>
            </w:tcBorders>
            <w:noWrap/>
            <w:hideMark/>
          </w:tcPr>
          <w:p w14:paraId="08DF78D4" w14:textId="5E604004"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2.54</w:t>
            </w:r>
            <w:r w:rsidR="00043085" w:rsidRPr="0057092E">
              <w:rPr>
                <w:rFonts w:asciiTheme="minorHAnsi" w:hAnsiTheme="minorHAnsi" w:cstheme="minorHAnsi"/>
                <w:color w:val="auto"/>
                <w:szCs w:val="22"/>
              </w:rPr>
              <w:t>%</w:t>
            </w:r>
          </w:p>
        </w:tc>
      </w:tr>
      <w:tr w:rsidR="00DE3E05" w:rsidRPr="0057092E" w14:paraId="347E2049" w14:textId="77777777" w:rsidTr="003C2C20">
        <w:trPr>
          <w:trHeight w:val="256"/>
        </w:trPr>
        <w:tc>
          <w:tcPr>
            <w:tcW w:w="4590" w:type="dxa"/>
            <w:tcBorders>
              <w:top w:val="nil"/>
              <w:left w:val="nil"/>
              <w:bottom w:val="single" w:sz="4" w:space="0" w:color="auto"/>
              <w:right w:val="nil"/>
            </w:tcBorders>
            <w:noWrap/>
            <w:vAlign w:val="bottom"/>
            <w:hideMark/>
          </w:tcPr>
          <w:p w14:paraId="0D3EB94E"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Other</w:t>
            </w:r>
          </w:p>
        </w:tc>
        <w:tc>
          <w:tcPr>
            <w:tcW w:w="1710" w:type="dxa"/>
            <w:tcBorders>
              <w:top w:val="nil"/>
              <w:left w:val="nil"/>
              <w:bottom w:val="single" w:sz="4" w:space="0" w:color="auto"/>
              <w:right w:val="nil"/>
            </w:tcBorders>
            <w:noWrap/>
            <w:hideMark/>
          </w:tcPr>
          <w:p w14:paraId="3A579E49" w14:textId="401C50CD"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1.14</w:t>
            </w:r>
            <w:r w:rsidR="00043085" w:rsidRPr="0057092E">
              <w:rPr>
                <w:rFonts w:asciiTheme="minorHAnsi" w:hAnsiTheme="minorHAnsi" w:cstheme="minorHAnsi"/>
                <w:color w:val="auto"/>
                <w:szCs w:val="22"/>
              </w:rPr>
              <w:t>%</w:t>
            </w:r>
          </w:p>
        </w:tc>
        <w:tc>
          <w:tcPr>
            <w:tcW w:w="1440" w:type="dxa"/>
            <w:tcBorders>
              <w:top w:val="nil"/>
              <w:left w:val="nil"/>
              <w:bottom w:val="single" w:sz="4" w:space="0" w:color="auto"/>
              <w:right w:val="nil"/>
            </w:tcBorders>
            <w:noWrap/>
            <w:hideMark/>
          </w:tcPr>
          <w:p w14:paraId="4E601A2B" w14:textId="3A4320BD"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2.21</w:t>
            </w:r>
            <w:r w:rsidR="00043085" w:rsidRPr="0057092E">
              <w:rPr>
                <w:rFonts w:asciiTheme="minorHAnsi" w:hAnsiTheme="minorHAnsi" w:cstheme="minorHAnsi"/>
                <w:color w:val="auto"/>
                <w:szCs w:val="22"/>
              </w:rPr>
              <w:t>%</w:t>
            </w:r>
          </w:p>
        </w:tc>
        <w:tc>
          <w:tcPr>
            <w:tcW w:w="1223" w:type="dxa"/>
            <w:tcBorders>
              <w:top w:val="nil"/>
              <w:left w:val="nil"/>
              <w:bottom w:val="single" w:sz="4" w:space="0" w:color="auto"/>
              <w:right w:val="nil"/>
            </w:tcBorders>
            <w:noWrap/>
            <w:hideMark/>
          </w:tcPr>
          <w:p w14:paraId="57D8D55C" w14:textId="1FE6B4A6"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1.67</w:t>
            </w:r>
            <w:r w:rsidR="00043085" w:rsidRPr="0057092E">
              <w:rPr>
                <w:rFonts w:asciiTheme="minorHAnsi" w:hAnsiTheme="minorHAnsi" w:cstheme="minorHAnsi"/>
                <w:color w:val="auto"/>
                <w:szCs w:val="22"/>
              </w:rPr>
              <w:t>%</w:t>
            </w:r>
          </w:p>
        </w:tc>
      </w:tr>
    </w:tbl>
    <w:p w14:paraId="5C7609E4" w14:textId="77777777" w:rsidR="00AC79C6" w:rsidRPr="0057092E" w:rsidRDefault="00AC79C6" w:rsidP="002B4B6D">
      <w:pPr>
        <w:spacing w:after="0"/>
        <w:rPr>
          <w:rFonts w:asciiTheme="minorHAnsi" w:eastAsiaTheme="majorEastAsia" w:hAnsiTheme="minorHAnsi" w:cstheme="minorHAnsi"/>
          <w:bCs/>
          <w:color w:val="auto"/>
          <w:szCs w:val="22"/>
          <w:lang w:bidi="en-US"/>
        </w:rPr>
      </w:pPr>
    </w:p>
    <w:p w14:paraId="4B327DC0" w14:textId="44B469E8" w:rsidR="003C586F" w:rsidRPr="0057092E" w:rsidRDefault="00A31FAB" w:rsidP="002B4B6D">
      <w:pPr>
        <w:spacing w:after="0"/>
        <w:rPr>
          <w:rFonts w:asciiTheme="minorHAnsi" w:eastAsiaTheme="majorEastAsia" w:hAnsiTheme="minorHAnsi" w:cstheme="minorHAnsi"/>
          <w:bCs/>
          <w:color w:val="auto"/>
          <w:szCs w:val="22"/>
          <w:lang w:bidi="en-US"/>
        </w:rPr>
      </w:pPr>
      <w:r w:rsidRPr="0057092E">
        <w:rPr>
          <w:rFonts w:asciiTheme="minorHAnsi" w:eastAsiaTheme="majorEastAsia" w:hAnsiTheme="minorHAnsi" w:cstheme="minorHAnsi"/>
          <w:bCs/>
          <w:color w:val="auto"/>
          <w:szCs w:val="22"/>
          <w:lang w:bidi="en-US"/>
        </w:rPr>
        <w:t xml:space="preserve">These findings highlight disparities in access to agricultural inputs, which are critical for improving productivity, supporting diversified cropping systems, and enhancing household nutrition </w:t>
      </w:r>
      <w:r w:rsidRPr="00081FF4">
        <w:rPr>
          <w:rFonts w:asciiTheme="minorHAnsi" w:eastAsiaTheme="majorEastAsia" w:hAnsiTheme="minorHAnsi" w:cstheme="minorHAnsi"/>
          <w:bCs/>
          <w:color w:val="auto"/>
          <w:szCs w:val="22"/>
          <w:lang w:bidi="en-US"/>
        </w:rPr>
        <w:t>(FAO, 2019; Ahmed et al., 2021).</w:t>
      </w:r>
      <w:r w:rsidRPr="0057092E">
        <w:rPr>
          <w:rFonts w:asciiTheme="minorHAnsi" w:eastAsiaTheme="majorEastAsia" w:hAnsiTheme="minorHAnsi" w:cstheme="minorHAnsi"/>
          <w:bCs/>
          <w:color w:val="auto"/>
          <w:szCs w:val="22"/>
          <w:lang w:bidi="en-US"/>
        </w:rPr>
        <w:t xml:space="preserve"> The higher reported availability in Khulna may reflect better market connectivity, local extension services, or targeted agricultural programs, while the substantial “don’t know” responses suggest limited awareness or insufficient outreach in both districts. Such gaps can constrain the adoption of improved seeds, fertilizers, and other inputs, ultimately affecting smallholder productivity and food security </w:t>
      </w:r>
      <w:r w:rsidRPr="00081FF4">
        <w:rPr>
          <w:rFonts w:asciiTheme="minorHAnsi" w:eastAsiaTheme="majorEastAsia" w:hAnsiTheme="minorHAnsi" w:cstheme="minorHAnsi"/>
          <w:bCs/>
          <w:color w:val="auto"/>
          <w:szCs w:val="22"/>
          <w:lang w:bidi="en-US"/>
        </w:rPr>
        <w:t>(World Bank, 2020).</w:t>
      </w:r>
      <w:r w:rsidRPr="0057092E">
        <w:rPr>
          <w:rFonts w:asciiTheme="minorHAnsi" w:eastAsiaTheme="majorEastAsia" w:hAnsiTheme="minorHAnsi" w:cstheme="minorHAnsi"/>
          <w:bCs/>
          <w:color w:val="auto"/>
          <w:szCs w:val="22"/>
          <w:lang w:bidi="en-US"/>
        </w:rPr>
        <w:t xml:space="preserve"> </w:t>
      </w:r>
      <w:r w:rsidR="0044217E" w:rsidRPr="0057092E">
        <w:rPr>
          <w:rFonts w:asciiTheme="minorHAnsi" w:eastAsiaTheme="majorEastAsia" w:hAnsiTheme="minorHAnsi" w:cstheme="minorHAnsi"/>
          <w:bCs/>
          <w:color w:val="auto"/>
          <w:szCs w:val="22"/>
          <w:lang w:bidi="en-US"/>
        </w:rPr>
        <w:t>Addressing</w:t>
      </w:r>
      <w:r w:rsidR="003C586F" w:rsidRPr="0057092E">
        <w:rPr>
          <w:rFonts w:asciiTheme="minorHAnsi" w:eastAsiaTheme="majorEastAsia" w:hAnsiTheme="minorHAnsi" w:cstheme="minorHAnsi"/>
          <w:bCs/>
          <w:color w:val="auto"/>
          <w:szCs w:val="22"/>
          <w:lang w:bidi="en-US"/>
        </w:rPr>
        <w:t xml:space="preserve"> these disparities requires strengthening local input supply chains, enhancing farmer awareness through extension services, and promoting equitable access to quality agricultural inputs, enabling households to effectively utilize them to improve yields, diversify production, and support nutritional outcomes </w:t>
      </w:r>
      <w:r w:rsidR="003C586F" w:rsidRPr="00081FF4">
        <w:rPr>
          <w:rFonts w:asciiTheme="minorHAnsi" w:eastAsiaTheme="majorEastAsia" w:hAnsiTheme="minorHAnsi" w:cstheme="minorHAnsi"/>
          <w:bCs/>
          <w:color w:val="auto"/>
          <w:szCs w:val="22"/>
          <w:lang w:bidi="en-US"/>
        </w:rPr>
        <w:t xml:space="preserve">(FAO, 2019; Ahmed et al., 2021). </w:t>
      </w:r>
      <w:r w:rsidR="003C586F" w:rsidRPr="0057092E">
        <w:rPr>
          <w:rFonts w:asciiTheme="minorHAnsi" w:eastAsiaTheme="majorEastAsia" w:hAnsiTheme="minorHAnsi" w:cstheme="minorHAnsi"/>
          <w:bCs/>
          <w:color w:val="auto"/>
          <w:szCs w:val="22"/>
          <w:lang w:bidi="en-US"/>
        </w:rPr>
        <w:t xml:space="preserve">While some households, particularly in Khulna, reported better access to agricultural inputs, </w:t>
      </w:r>
      <w:r w:rsidR="00081FF4">
        <w:rPr>
          <w:rFonts w:asciiTheme="minorHAnsi" w:eastAsiaTheme="majorEastAsia" w:hAnsiTheme="minorHAnsi" w:cstheme="minorHAnsi"/>
          <w:bCs/>
          <w:color w:val="auto"/>
          <w:szCs w:val="22"/>
          <w:lang w:bidi="en-US"/>
        </w:rPr>
        <w:t>an</w:t>
      </w:r>
      <w:r w:rsidR="003C586F" w:rsidRPr="0057092E">
        <w:rPr>
          <w:rFonts w:asciiTheme="minorHAnsi" w:eastAsiaTheme="majorEastAsia" w:hAnsiTheme="minorHAnsi" w:cstheme="minorHAnsi"/>
          <w:bCs/>
          <w:color w:val="auto"/>
          <w:szCs w:val="22"/>
          <w:lang w:bidi="en-US"/>
        </w:rPr>
        <w:t xml:space="preserve"> </w:t>
      </w:r>
      <w:r w:rsidR="00FE117D" w:rsidRPr="0057092E">
        <w:rPr>
          <w:rFonts w:asciiTheme="minorHAnsi" w:eastAsiaTheme="majorEastAsia" w:hAnsiTheme="minorHAnsi" w:cstheme="minorHAnsi"/>
          <w:bCs/>
          <w:color w:val="auto"/>
          <w:szCs w:val="22"/>
          <w:lang w:bidi="en-US"/>
        </w:rPr>
        <w:t>important</w:t>
      </w:r>
      <w:r w:rsidR="003C586F" w:rsidRPr="0057092E">
        <w:rPr>
          <w:rFonts w:asciiTheme="minorHAnsi" w:eastAsiaTheme="majorEastAsia" w:hAnsiTheme="minorHAnsi" w:cstheme="minorHAnsi"/>
          <w:bCs/>
          <w:color w:val="auto"/>
          <w:szCs w:val="22"/>
          <w:lang w:bidi="en-US"/>
        </w:rPr>
        <w:t xml:space="preserve"> proportion either lacked access or were unaware of their availability. These findings underline the need for improved information dissemination, more efficient supply chains, and targeted support to ensure equitable access</w:t>
      </w:r>
      <w:r w:rsidR="00081FF4">
        <w:rPr>
          <w:rFonts w:asciiTheme="minorHAnsi" w:eastAsiaTheme="majorEastAsia" w:hAnsiTheme="minorHAnsi" w:cstheme="minorHAnsi"/>
          <w:bCs/>
          <w:color w:val="auto"/>
          <w:szCs w:val="22"/>
          <w:lang w:bidi="en-US"/>
        </w:rPr>
        <w:t xml:space="preserve"> to </w:t>
      </w:r>
      <w:r w:rsidR="00081FF4" w:rsidRPr="0057092E">
        <w:rPr>
          <w:rFonts w:asciiTheme="minorHAnsi" w:eastAsiaTheme="majorEastAsia" w:hAnsiTheme="minorHAnsi" w:cstheme="minorHAnsi"/>
          <w:bCs/>
          <w:color w:val="auto"/>
          <w:szCs w:val="22"/>
          <w:lang w:bidi="en-US"/>
        </w:rPr>
        <w:t>input</w:t>
      </w:r>
      <w:r w:rsidR="00081FF4">
        <w:rPr>
          <w:rFonts w:asciiTheme="minorHAnsi" w:eastAsiaTheme="majorEastAsia" w:hAnsiTheme="minorHAnsi" w:cstheme="minorHAnsi"/>
          <w:bCs/>
          <w:color w:val="auto"/>
          <w:szCs w:val="22"/>
          <w:lang w:bidi="en-US"/>
        </w:rPr>
        <w:t>s</w:t>
      </w:r>
      <w:r w:rsidR="00081FF4" w:rsidRPr="0057092E">
        <w:rPr>
          <w:rFonts w:asciiTheme="minorHAnsi" w:eastAsiaTheme="majorEastAsia" w:hAnsiTheme="minorHAnsi" w:cstheme="minorHAnsi"/>
          <w:bCs/>
          <w:color w:val="auto"/>
          <w:szCs w:val="22"/>
          <w:lang w:bidi="en-US"/>
        </w:rPr>
        <w:t xml:space="preserve"> </w:t>
      </w:r>
      <w:r w:rsidR="003C586F" w:rsidRPr="0057092E">
        <w:rPr>
          <w:rFonts w:asciiTheme="minorHAnsi" w:eastAsiaTheme="majorEastAsia" w:hAnsiTheme="minorHAnsi" w:cstheme="minorHAnsi"/>
          <w:bCs/>
          <w:color w:val="auto"/>
          <w:szCs w:val="22"/>
          <w:lang w:bidi="en-US"/>
        </w:rPr>
        <w:t>across regions.</w:t>
      </w:r>
    </w:p>
    <w:p w14:paraId="05808562" w14:textId="2CFEE71A" w:rsidR="00302267" w:rsidRPr="0057092E" w:rsidRDefault="00302267" w:rsidP="002B4B6D">
      <w:pPr>
        <w:spacing w:after="0"/>
        <w:rPr>
          <w:rFonts w:asciiTheme="minorHAnsi" w:eastAsiaTheme="majorEastAsia" w:hAnsiTheme="minorHAnsi" w:cstheme="minorHAnsi"/>
          <w:bCs/>
          <w:color w:val="auto"/>
          <w:szCs w:val="22"/>
          <w:lang w:bidi="en-US"/>
        </w:rPr>
      </w:pPr>
    </w:p>
    <w:p w14:paraId="6B255875" w14:textId="1E067ACD" w:rsidR="0044217E" w:rsidRPr="0057092E" w:rsidRDefault="004D6351" w:rsidP="002B4B6D">
      <w:pPr>
        <w:pStyle w:val="Heading1"/>
        <w:numPr>
          <w:ilvl w:val="1"/>
          <w:numId w:val="2"/>
        </w:numPr>
        <w:spacing w:before="0"/>
        <w:rPr>
          <w:rFonts w:asciiTheme="minorHAnsi" w:eastAsia="Gill Sans" w:hAnsiTheme="minorHAnsi" w:cstheme="minorHAnsi"/>
          <w:b/>
          <w:bCs/>
          <w:color w:val="auto"/>
          <w:sz w:val="22"/>
          <w:szCs w:val="22"/>
        </w:rPr>
      </w:pPr>
      <w:r w:rsidRPr="0057092E">
        <w:rPr>
          <w:rFonts w:asciiTheme="minorHAnsi" w:eastAsia="Gill Sans" w:hAnsiTheme="minorHAnsi" w:cstheme="minorHAnsi"/>
          <w:b/>
          <w:bCs/>
          <w:color w:val="auto"/>
          <w:sz w:val="22"/>
          <w:szCs w:val="22"/>
        </w:rPr>
        <w:t>Households reported access to agricultural inputs</w:t>
      </w:r>
    </w:p>
    <w:p w14:paraId="703B09AE" w14:textId="30FF2EDC" w:rsidR="0044217E" w:rsidRPr="0057092E" w:rsidRDefault="0044217E"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Households in Faridpur and Khulna reported high levels of access to agricultural inputs, although some regional differences were </w:t>
      </w:r>
      <w:r w:rsidRPr="00E209BA">
        <w:rPr>
          <w:rFonts w:asciiTheme="minorHAnsi" w:hAnsiTheme="minorHAnsi" w:cstheme="minorHAnsi"/>
          <w:color w:val="auto"/>
          <w:szCs w:val="22"/>
        </w:rPr>
        <w:t xml:space="preserve">evident (Table </w:t>
      </w:r>
      <w:r w:rsidR="00E209BA" w:rsidRPr="00E209BA">
        <w:rPr>
          <w:rFonts w:asciiTheme="minorHAnsi" w:hAnsiTheme="minorHAnsi" w:cstheme="minorHAnsi"/>
          <w:color w:val="auto"/>
          <w:szCs w:val="22"/>
        </w:rPr>
        <w:t>4</w:t>
      </w:r>
      <w:r w:rsidRPr="00E209BA">
        <w:rPr>
          <w:rFonts w:asciiTheme="minorHAnsi" w:hAnsiTheme="minorHAnsi" w:cstheme="minorHAnsi"/>
          <w:color w:val="auto"/>
          <w:szCs w:val="22"/>
        </w:rPr>
        <w:t>). In</w:t>
      </w:r>
      <w:r w:rsidRPr="0057092E">
        <w:rPr>
          <w:rFonts w:asciiTheme="minorHAnsi" w:hAnsiTheme="minorHAnsi" w:cstheme="minorHAnsi"/>
          <w:color w:val="auto"/>
          <w:szCs w:val="22"/>
        </w:rPr>
        <w:t xml:space="preserve"> Faridpur, 76.25% of households indicated access to inputs, compared to 81.55% in Khulna, with an overall rate of 78.90% across both districts. Households without access comprised 13.09% in Faridpur and 8.55% in Khulna, totaling 10.82%. A small proportion reported being unaware of availability (3.32% in Faridpur and 3.70% in Khulna, 3.51% overall), while “other” responses, possibly reflecting alternative access arrangements or informal sources, accounted for 7.34% in Faridpur and 6.21% in Khulna.</w:t>
      </w:r>
    </w:p>
    <w:p w14:paraId="10CBFE3B" w14:textId="77777777" w:rsidR="00F65D55" w:rsidRPr="0057092E" w:rsidRDefault="00F65D55" w:rsidP="002B4B6D">
      <w:pPr>
        <w:spacing w:after="0"/>
        <w:rPr>
          <w:rFonts w:asciiTheme="minorHAnsi" w:hAnsiTheme="minorHAnsi" w:cstheme="minorHAnsi"/>
          <w:color w:val="auto"/>
          <w:szCs w:val="22"/>
        </w:rPr>
      </w:pPr>
    </w:p>
    <w:p w14:paraId="251BAA8F" w14:textId="2814B6AC" w:rsidR="00F65D55" w:rsidRPr="0057092E" w:rsidRDefault="00F65D55" w:rsidP="002B4B6D">
      <w:pPr>
        <w:pStyle w:val="Caption"/>
        <w:keepNext/>
        <w:spacing w:after="0"/>
        <w:rPr>
          <w:rFonts w:asciiTheme="minorHAnsi" w:hAnsiTheme="minorHAnsi" w:cstheme="minorHAnsi"/>
        </w:rPr>
      </w:pPr>
      <w:r w:rsidRPr="0057092E">
        <w:rPr>
          <w:rFonts w:asciiTheme="minorHAnsi" w:hAnsiTheme="minorHAnsi" w:cstheme="minorHAnsi"/>
        </w:rPr>
        <w:t>Table 4: Households reported access to agricultural inputs.</w:t>
      </w:r>
    </w:p>
    <w:tbl>
      <w:tblPr>
        <w:tblW w:w="8910" w:type="dxa"/>
        <w:tblLook w:val="04A0" w:firstRow="1" w:lastRow="0" w:firstColumn="1" w:lastColumn="0" w:noHBand="0" w:noVBand="1"/>
      </w:tblPr>
      <w:tblGrid>
        <w:gridCol w:w="4680"/>
        <w:gridCol w:w="1620"/>
        <w:gridCol w:w="1350"/>
        <w:gridCol w:w="1260"/>
      </w:tblGrid>
      <w:tr w:rsidR="0057092E" w:rsidRPr="0057092E" w14:paraId="1E61614A" w14:textId="77777777" w:rsidTr="003C2C20">
        <w:trPr>
          <w:trHeight w:val="290"/>
        </w:trPr>
        <w:tc>
          <w:tcPr>
            <w:tcW w:w="4680" w:type="dxa"/>
            <w:tcBorders>
              <w:top w:val="single" w:sz="4" w:space="0" w:color="auto"/>
              <w:left w:val="nil"/>
              <w:bottom w:val="single" w:sz="4" w:space="0" w:color="auto"/>
              <w:right w:val="nil"/>
            </w:tcBorders>
            <w:noWrap/>
            <w:vAlign w:val="center"/>
            <w:hideMark/>
          </w:tcPr>
          <w:p w14:paraId="55D77377" w14:textId="77777777" w:rsidR="00E67415" w:rsidRPr="0057092E" w:rsidRDefault="00E67415"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Households reported access to agricultural inputs.</w:t>
            </w:r>
          </w:p>
        </w:tc>
        <w:tc>
          <w:tcPr>
            <w:tcW w:w="1620" w:type="dxa"/>
            <w:tcBorders>
              <w:top w:val="single" w:sz="4" w:space="0" w:color="auto"/>
              <w:left w:val="nil"/>
              <w:bottom w:val="single" w:sz="4" w:space="0" w:color="auto"/>
              <w:right w:val="nil"/>
            </w:tcBorders>
            <w:noWrap/>
            <w:vAlign w:val="center"/>
            <w:hideMark/>
          </w:tcPr>
          <w:p w14:paraId="4575849B" w14:textId="7AACB58D" w:rsidR="00E67415" w:rsidRPr="0057092E" w:rsidRDefault="00E67415"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Faridpur (n=192)</w:t>
            </w:r>
          </w:p>
        </w:tc>
        <w:tc>
          <w:tcPr>
            <w:tcW w:w="1350" w:type="dxa"/>
            <w:tcBorders>
              <w:top w:val="single" w:sz="4" w:space="0" w:color="auto"/>
              <w:left w:val="nil"/>
              <w:bottom w:val="single" w:sz="4" w:space="0" w:color="auto"/>
              <w:right w:val="nil"/>
            </w:tcBorders>
            <w:noWrap/>
            <w:vAlign w:val="center"/>
            <w:hideMark/>
          </w:tcPr>
          <w:p w14:paraId="486D091F" w14:textId="4EBDCD5F" w:rsidR="00E67415" w:rsidRPr="0057092E" w:rsidRDefault="00E67415"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Khulna (n=193)</w:t>
            </w:r>
          </w:p>
        </w:tc>
        <w:tc>
          <w:tcPr>
            <w:tcW w:w="1260" w:type="dxa"/>
            <w:tcBorders>
              <w:top w:val="single" w:sz="4" w:space="0" w:color="auto"/>
              <w:left w:val="nil"/>
              <w:bottom w:val="single" w:sz="4" w:space="0" w:color="auto"/>
              <w:right w:val="nil"/>
            </w:tcBorders>
            <w:noWrap/>
            <w:vAlign w:val="center"/>
            <w:hideMark/>
          </w:tcPr>
          <w:p w14:paraId="1A03C9CC" w14:textId="627C85C2" w:rsidR="00E67415" w:rsidRPr="0057092E" w:rsidRDefault="00E67415"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Total (n=385)</w:t>
            </w:r>
          </w:p>
        </w:tc>
      </w:tr>
      <w:tr w:rsidR="0057092E" w:rsidRPr="0057092E" w14:paraId="69315A85" w14:textId="77777777" w:rsidTr="003C2C20">
        <w:trPr>
          <w:trHeight w:val="290"/>
        </w:trPr>
        <w:tc>
          <w:tcPr>
            <w:tcW w:w="4680" w:type="dxa"/>
            <w:tcBorders>
              <w:top w:val="single" w:sz="4" w:space="0" w:color="auto"/>
              <w:left w:val="nil"/>
              <w:bottom w:val="nil"/>
              <w:right w:val="nil"/>
            </w:tcBorders>
            <w:noWrap/>
            <w:vAlign w:val="bottom"/>
            <w:hideMark/>
          </w:tcPr>
          <w:p w14:paraId="18DE26FB"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Yes</w:t>
            </w:r>
          </w:p>
        </w:tc>
        <w:tc>
          <w:tcPr>
            <w:tcW w:w="1620" w:type="dxa"/>
            <w:tcBorders>
              <w:top w:val="single" w:sz="4" w:space="0" w:color="auto"/>
              <w:left w:val="nil"/>
              <w:bottom w:val="nil"/>
              <w:right w:val="nil"/>
            </w:tcBorders>
            <w:noWrap/>
            <w:hideMark/>
          </w:tcPr>
          <w:p w14:paraId="1D8A2F85" w14:textId="0C97B913"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76.25</w:t>
            </w:r>
            <w:r w:rsidR="00E67415" w:rsidRPr="0057092E">
              <w:rPr>
                <w:rFonts w:asciiTheme="minorHAnsi" w:hAnsiTheme="minorHAnsi" w:cstheme="minorHAnsi"/>
                <w:color w:val="auto"/>
                <w:szCs w:val="22"/>
              </w:rPr>
              <w:t>%</w:t>
            </w:r>
          </w:p>
        </w:tc>
        <w:tc>
          <w:tcPr>
            <w:tcW w:w="1350" w:type="dxa"/>
            <w:tcBorders>
              <w:top w:val="single" w:sz="4" w:space="0" w:color="auto"/>
              <w:left w:val="nil"/>
              <w:bottom w:val="nil"/>
              <w:right w:val="nil"/>
            </w:tcBorders>
            <w:noWrap/>
            <w:hideMark/>
          </w:tcPr>
          <w:p w14:paraId="594DCDF8" w14:textId="69897A8B"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81.55</w:t>
            </w:r>
            <w:r w:rsidR="00E67415" w:rsidRPr="0057092E">
              <w:rPr>
                <w:rFonts w:asciiTheme="minorHAnsi" w:hAnsiTheme="minorHAnsi" w:cstheme="minorHAnsi"/>
                <w:color w:val="auto"/>
                <w:szCs w:val="22"/>
              </w:rPr>
              <w:t>%</w:t>
            </w:r>
          </w:p>
        </w:tc>
        <w:tc>
          <w:tcPr>
            <w:tcW w:w="1260" w:type="dxa"/>
            <w:tcBorders>
              <w:top w:val="single" w:sz="4" w:space="0" w:color="auto"/>
              <w:left w:val="nil"/>
              <w:bottom w:val="nil"/>
              <w:right w:val="nil"/>
            </w:tcBorders>
            <w:noWrap/>
            <w:hideMark/>
          </w:tcPr>
          <w:p w14:paraId="18E375F8" w14:textId="536BBA82"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78.90</w:t>
            </w:r>
            <w:r w:rsidR="00E67415" w:rsidRPr="0057092E">
              <w:rPr>
                <w:rFonts w:asciiTheme="minorHAnsi" w:hAnsiTheme="minorHAnsi" w:cstheme="minorHAnsi"/>
                <w:color w:val="auto"/>
                <w:szCs w:val="22"/>
              </w:rPr>
              <w:t>%</w:t>
            </w:r>
          </w:p>
        </w:tc>
      </w:tr>
      <w:tr w:rsidR="0057092E" w:rsidRPr="0057092E" w14:paraId="152D9D39" w14:textId="77777777" w:rsidTr="003C2C20">
        <w:trPr>
          <w:trHeight w:val="290"/>
        </w:trPr>
        <w:tc>
          <w:tcPr>
            <w:tcW w:w="4680" w:type="dxa"/>
            <w:tcBorders>
              <w:top w:val="nil"/>
              <w:left w:val="nil"/>
              <w:bottom w:val="nil"/>
              <w:right w:val="nil"/>
            </w:tcBorders>
            <w:noWrap/>
            <w:vAlign w:val="bottom"/>
            <w:hideMark/>
          </w:tcPr>
          <w:p w14:paraId="256A9FB2"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No</w:t>
            </w:r>
          </w:p>
        </w:tc>
        <w:tc>
          <w:tcPr>
            <w:tcW w:w="1620" w:type="dxa"/>
            <w:tcBorders>
              <w:top w:val="nil"/>
              <w:left w:val="nil"/>
              <w:bottom w:val="nil"/>
              <w:right w:val="nil"/>
            </w:tcBorders>
            <w:noWrap/>
            <w:hideMark/>
          </w:tcPr>
          <w:p w14:paraId="067D416A" w14:textId="24BCB5C7"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13.09</w:t>
            </w:r>
            <w:r w:rsidR="00E67415" w:rsidRPr="0057092E">
              <w:rPr>
                <w:rFonts w:asciiTheme="minorHAnsi" w:hAnsiTheme="minorHAnsi" w:cstheme="minorHAnsi"/>
                <w:color w:val="auto"/>
                <w:szCs w:val="22"/>
              </w:rPr>
              <w:t>%</w:t>
            </w:r>
          </w:p>
        </w:tc>
        <w:tc>
          <w:tcPr>
            <w:tcW w:w="1350" w:type="dxa"/>
            <w:tcBorders>
              <w:top w:val="nil"/>
              <w:left w:val="nil"/>
              <w:bottom w:val="nil"/>
              <w:right w:val="nil"/>
            </w:tcBorders>
            <w:noWrap/>
            <w:hideMark/>
          </w:tcPr>
          <w:p w14:paraId="0E433981" w14:textId="67ECA652"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8.55</w:t>
            </w:r>
            <w:r w:rsidR="00E67415" w:rsidRPr="0057092E">
              <w:rPr>
                <w:rFonts w:asciiTheme="minorHAnsi" w:hAnsiTheme="minorHAnsi" w:cstheme="minorHAnsi"/>
                <w:color w:val="auto"/>
                <w:szCs w:val="22"/>
              </w:rPr>
              <w:t>%</w:t>
            </w:r>
          </w:p>
        </w:tc>
        <w:tc>
          <w:tcPr>
            <w:tcW w:w="1260" w:type="dxa"/>
            <w:tcBorders>
              <w:top w:val="nil"/>
              <w:left w:val="nil"/>
              <w:bottom w:val="nil"/>
              <w:right w:val="nil"/>
            </w:tcBorders>
            <w:noWrap/>
            <w:hideMark/>
          </w:tcPr>
          <w:p w14:paraId="4401D3F8" w14:textId="437DDE18"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10.82</w:t>
            </w:r>
            <w:r w:rsidR="00E67415" w:rsidRPr="0057092E">
              <w:rPr>
                <w:rFonts w:asciiTheme="minorHAnsi" w:hAnsiTheme="minorHAnsi" w:cstheme="minorHAnsi"/>
                <w:color w:val="auto"/>
                <w:szCs w:val="22"/>
              </w:rPr>
              <w:t>%</w:t>
            </w:r>
          </w:p>
        </w:tc>
      </w:tr>
      <w:tr w:rsidR="0057092E" w:rsidRPr="0057092E" w14:paraId="1E82E464" w14:textId="77777777" w:rsidTr="003C2C20">
        <w:trPr>
          <w:trHeight w:val="290"/>
        </w:trPr>
        <w:tc>
          <w:tcPr>
            <w:tcW w:w="4680" w:type="dxa"/>
            <w:tcBorders>
              <w:top w:val="nil"/>
              <w:left w:val="nil"/>
              <w:right w:val="nil"/>
            </w:tcBorders>
            <w:noWrap/>
            <w:vAlign w:val="bottom"/>
            <w:hideMark/>
          </w:tcPr>
          <w:p w14:paraId="11F55C2A"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Don’t know</w:t>
            </w:r>
          </w:p>
        </w:tc>
        <w:tc>
          <w:tcPr>
            <w:tcW w:w="1620" w:type="dxa"/>
            <w:tcBorders>
              <w:top w:val="nil"/>
              <w:left w:val="nil"/>
              <w:right w:val="nil"/>
            </w:tcBorders>
            <w:noWrap/>
            <w:hideMark/>
          </w:tcPr>
          <w:p w14:paraId="0CDD838A" w14:textId="4789AA99"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3.32</w:t>
            </w:r>
            <w:r w:rsidR="00E67415" w:rsidRPr="0057092E">
              <w:rPr>
                <w:rFonts w:asciiTheme="minorHAnsi" w:hAnsiTheme="minorHAnsi" w:cstheme="minorHAnsi"/>
                <w:color w:val="auto"/>
                <w:szCs w:val="22"/>
              </w:rPr>
              <w:t>%</w:t>
            </w:r>
          </w:p>
        </w:tc>
        <w:tc>
          <w:tcPr>
            <w:tcW w:w="1350" w:type="dxa"/>
            <w:tcBorders>
              <w:top w:val="nil"/>
              <w:left w:val="nil"/>
              <w:right w:val="nil"/>
            </w:tcBorders>
            <w:noWrap/>
            <w:hideMark/>
          </w:tcPr>
          <w:p w14:paraId="290BF52A" w14:textId="74D59349"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3.70</w:t>
            </w:r>
            <w:r w:rsidR="00E67415" w:rsidRPr="0057092E">
              <w:rPr>
                <w:rFonts w:asciiTheme="minorHAnsi" w:hAnsiTheme="minorHAnsi" w:cstheme="minorHAnsi"/>
                <w:color w:val="auto"/>
                <w:szCs w:val="22"/>
              </w:rPr>
              <w:t>%</w:t>
            </w:r>
          </w:p>
        </w:tc>
        <w:tc>
          <w:tcPr>
            <w:tcW w:w="1260" w:type="dxa"/>
            <w:tcBorders>
              <w:top w:val="nil"/>
              <w:left w:val="nil"/>
              <w:right w:val="nil"/>
            </w:tcBorders>
            <w:noWrap/>
            <w:hideMark/>
          </w:tcPr>
          <w:p w14:paraId="4AC9104B" w14:textId="0D814755"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3.51</w:t>
            </w:r>
            <w:r w:rsidR="00E67415" w:rsidRPr="0057092E">
              <w:rPr>
                <w:rFonts w:asciiTheme="minorHAnsi" w:hAnsiTheme="minorHAnsi" w:cstheme="minorHAnsi"/>
                <w:color w:val="auto"/>
                <w:szCs w:val="22"/>
              </w:rPr>
              <w:t>%</w:t>
            </w:r>
          </w:p>
        </w:tc>
      </w:tr>
      <w:tr w:rsidR="00DE3E05" w:rsidRPr="0057092E" w14:paraId="36D2A3BE" w14:textId="77777777" w:rsidTr="003C2C20">
        <w:trPr>
          <w:trHeight w:val="290"/>
        </w:trPr>
        <w:tc>
          <w:tcPr>
            <w:tcW w:w="4680" w:type="dxa"/>
            <w:tcBorders>
              <w:top w:val="nil"/>
              <w:left w:val="nil"/>
              <w:bottom w:val="single" w:sz="4" w:space="0" w:color="auto"/>
              <w:right w:val="nil"/>
            </w:tcBorders>
            <w:noWrap/>
            <w:vAlign w:val="bottom"/>
            <w:hideMark/>
          </w:tcPr>
          <w:p w14:paraId="1E808D52" w14:textId="77777777" w:rsidR="0044217E" w:rsidRPr="0057092E" w:rsidRDefault="0044217E" w:rsidP="002B4B6D">
            <w:pPr>
              <w:autoSpaceDE/>
              <w:autoSpaceDN/>
              <w:adjustRightInd/>
              <w:spacing w:after="0"/>
              <w:jc w:val="left"/>
              <w:rPr>
                <w:rFonts w:asciiTheme="minorHAnsi" w:eastAsia="Times New Roman" w:hAnsiTheme="minorHAnsi" w:cstheme="minorHAnsi"/>
                <w:noProof w:val="0"/>
                <w:color w:val="auto"/>
                <w:szCs w:val="22"/>
              </w:rPr>
            </w:pPr>
            <w:r w:rsidRPr="0057092E">
              <w:rPr>
                <w:rFonts w:asciiTheme="minorHAnsi" w:eastAsia="Times New Roman" w:hAnsiTheme="minorHAnsi" w:cstheme="minorHAnsi"/>
                <w:noProof w:val="0"/>
                <w:color w:val="auto"/>
                <w:szCs w:val="22"/>
              </w:rPr>
              <w:t>Other</w:t>
            </w:r>
          </w:p>
        </w:tc>
        <w:tc>
          <w:tcPr>
            <w:tcW w:w="1620" w:type="dxa"/>
            <w:tcBorders>
              <w:top w:val="nil"/>
              <w:left w:val="nil"/>
              <w:bottom w:val="single" w:sz="4" w:space="0" w:color="auto"/>
              <w:right w:val="nil"/>
            </w:tcBorders>
            <w:noWrap/>
            <w:hideMark/>
          </w:tcPr>
          <w:p w14:paraId="44BA5715" w14:textId="30876E0B"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7.34</w:t>
            </w:r>
            <w:r w:rsidR="00E67415" w:rsidRPr="0057092E">
              <w:rPr>
                <w:rFonts w:asciiTheme="minorHAnsi" w:hAnsiTheme="minorHAnsi" w:cstheme="minorHAnsi"/>
                <w:color w:val="auto"/>
                <w:szCs w:val="22"/>
              </w:rPr>
              <w:t>%</w:t>
            </w:r>
          </w:p>
        </w:tc>
        <w:tc>
          <w:tcPr>
            <w:tcW w:w="1350" w:type="dxa"/>
            <w:tcBorders>
              <w:top w:val="nil"/>
              <w:left w:val="nil"/>
              <w:bottom w:val="single" w:sz="4" w:space="0" w:color="auto"/>
              <w:right w:val="nil"/>
            </w:tcBorders>
            <w:noWrap/>
            <w:hideMark/>
          </w:tcPr>
          <w:p w14:paraId="3BABA7BB" w14:textId="3683B596"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6.21</w:t>
            </w:r>
            <w:r w:rsidR="00E67415" w:rsidRPr="0057092E">
              <w:rPr>
                <w:rFonts w:asciiTheme="minorHAnsi" w:hAnsiTheme="minorHAnsi" w:cstheme="minorHAnsi"/>
                <w:color w:val="auto"/>
                <w:szCs w:val="22"/>
              </w:rPr>
              <w:t>%</w:t>
            </w:r>
          </w:p>
        </w:tc>
        <w:tc>
          <w:tcPr>
            <w:tcW w:w="1260" w:type="dxa"/>
            <w:tcBorders>
              <w:top w:val="nil"/>
              <w:left w:val="nil"/>
              <w:bottom w:val="single" w:sz="4" w:space="0" w:color="auto"/>
              <w:right w:val="nil"/>
            </w:tcBorders>
            <w:noWrap/>
            <w:hideMark/>
          </w:tcPr>
          <w:p w14:paraId="434E8860" w14:textId="395C516B" w:rsidR="0044217E" w:rsidRPr="0057092E" w:rsidRDefault="0044217E" w:rsidP="002B4B6D">
            <w:pPr>
              <w:autoSpaceDE/>
              <w:autoSpaceDN/>
              <w:adjustRightInd/>
              <w:spacing w:after="0"/>
              <w:jc w:val="center"/>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6.77</w:t>
            </w:r>
            <w:r w:rsidR="00E67415" w:rsidRPr="0057092E">
              <w:rPr>
                <w:rFonts w:asciiTheme="minorHAnsi" w:hAnsiTheme="minorHAnsi" w:cstheme="minorHAnsi"/>
                <w:color w:val="auto"/>
                <w:szCs w:val="22"/>
              </w:rPr>
              <w:t>%</w:t>
            </w:r>
          </w:p>
        </w:tc>
      </w:tr>
    </w:tbl>
    <w:p w14:paraId="3CE0ADAE" w14:textId="77777777" w:rsidR="00CB1F78" w:rsidRPr="0057092E" w:rsidRDefault="00CB1F78" w:rsidP="002B4B6D">
      <w:pPr>
        <w:spacing w:after="0"/>
        <w:rPr>
          <w:rFonts w:asciiTheme="minorHAnsi" w:hAnsiTheme="minorHAnsi" w:cstheme="minorHAnsi"/>
          <w:color w:val="auto"/>
          <w:szCs w:val="22"/>
        </w:rPr>
      </w:pPr>
    </w:p>
    <w:p w14:paraId="6E805F52" w14:textId="43FEE9B6" w:rsidR="00CB1F78" w:rsidRPr="0057092E" w:rsidRDefault="0044217E"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These findings highlight that the majority of smallholder households have access to key agricultural inputs, which are essential for enhancing productivity, supporting crop diversification, and improving household nutrition </w:t>
      </w:r>
      <w:r w:rsidRPr="00081FF4">
        <w:rPr>
          <w:rFonts w:asciiTheme="minorHAnsi" w:hAnsiTheme="minorHAnsi" w:cstheme="minorHAnsi"/>
          <w:color w:val="auto"/>
          <w:szCs w:val="22"/>
        </w:rPr>
        <w:t>(FAO, 2019; Ahmed et al., 2021).</w:t>
      </w:r>
      <w:r w:rsidRPr="0057092E">
        <w:rPr>
          <w:rFonts w:asciiTheme="minorHAnsi" w:hAnsiTheme="minorHAnsi" w:cstheme="minorHAnsi"/>
          <w:color w:val="auto"/>
          <w:szCs w:val="22"/>
        </w:rPr>
        <w:t xml:space="preserve"> The slightly higher access reported in Khulna may be attributed to better extension services, more efficient supply chains, or regional development initiatives. Nevertheless, the existence of households without access or uncertain about input availability underscores the need for targeted outreach, improved information dissemination, and strengthened input supply systems to ensure equitable access across regions </w:t>
      </w:r>
      <w:r w:rsidRPr="00081FF4">
        <w:rPr>
          <w:rFonts w:asciiTheme="minorHAnsi" w:hAnsiTheme="minorHAnsi" w:cstheme="minorHAnsi"/>
          <w:color w:val="auto"/>
          <w:szCs w:val="22"/>
        </w:rPr>
        <w:t>(World Bank, 2020).</w:t>
      </w:r>
      <w:r w:rsidRPr="0057092E">
        <w:rPr>
          <w:rFonts w:asciiTheme="minorHAnsi" w:hAnsiTheme="minorHAnsi" w:cstheme="minorHAnsi"/>
          <w:color w:val="auto"/>
          <w:szCs w:val="22"/>
        </w:rPr>
        <w:t xml:space="preserve"> Enhancing availability and awareness of quality inputs, including improved seeds, fertilizers, and pest management tools, can support smallholders in improving yields, diversifying production, and ultimately contributing to better food security and nutritional outcomes </w:t>
      </w:r>
      <w:r w:rsidRPr="00081FF4">
        <w:rPr>
          <w:rFonts w:asciiTheme="minorHAnsi" w:hAnsiTheme="minorHAnsi" w:cstheme="minorHAnsi"/>
          <w:color w:val="auto"/>
          <w:szCs w:val="22"/>
        </w:rPr>
        <w:t xml:space="preserve">(FAO, 2019; Ahmed et al., 2021). </w:t>
      </w:r>
      <w:r w:rsidR="004D6351" w:rsidRPr="0057092E">
        <w:rPr>
          <w:rFonts w:asciiTheme="minorHAnsi" w:hAnsiTheme="minorHAnsi" w:cstheme="minorHAnsi"/>
          <w:color w:val="auto"/>
          <w:szCs w:val="22"/>
        </w:rPr>
        <w:t>This may represent regular access</w:t>
      </w:r>
      <w:r w:rsidR="00CB1F78" w:rsidRPr="0057092E">
        <w:rPr>
          <w:rFonts w:asciiTheme="minorHAnsi" w:hAnsiTheme="minorHAnsi" w:cstheme="minorHAnsi"/>
          <w:color w:val="auto"/>
          <w:szCs w:val="22"/>
        </w:rPr>
        <w:t xml:space="preserve"> and</w:t>
      </w:r>
      <w:r w:rsidR="004D6351" w:rsidRPr="0057092E">
        <w:rPr>
          <w:rFonts w:asciiTheme="minorHAnsi" w:hAnsiTheme="minorHAnsi" w:cstheme="minorHAnsi"/>
          <w:color w:val="auto"/>
          <w:szCs w:val="22"/>
        </w:rPr>
        <w:t xml:space="preserve"> availability</w:t>
      </w:r>
      <w:r w:rsidR="00CB1F78" w:rsidRPr="0057092E">
        <w:rPr>
          <w:rFonts w:asciiTheme="minorHAnsi" w:hAnsiTheme="minorHAnsi" w:cstheme="minorHAnsi"/>
          <w:color w:val="auto"/>
          <w:szCs w:val="22"/>
        </w:rPr>
        <w:t xml:space="preserve"> of agricultural inputs, with agro-input companies playing a crucial role in promoting quality inputs within the community. Overall, these companies' initiatives can empower households to adopt sustainable agricultural practices, increase yields, diversify production, and improve food security and nutrition outcomes.</w:t>
      </w:r>
    </w:p>
    <w:p w14:paraId="4B5FAE05" w14:textId="77777777" w:rsidR="00E56535" w:rsidRPr="0057092E" w:rsidRDefault="00E56535" w:rsidP="002B4B6D">
      <w:pPr>
        <w:spacing w:after="0"/>
        <w:rPr>
          <w:rFonts w:asciiTheme="minorHAnsi" w:hAnsiTheme="minorHAnsi" w:cstheme="minorHAnsi"/>
          <w:color w:val="auto"/>
          <w:szCs w:val="22"/>
        </w:rPr>
      </w:pPr>
    </w:p>
    <w:p w14:paraId="666D28E3" w14:textId="5BA6A61F" w:rsidR="009D411A" w:rsidRPr="0057092E" w:rsidRDefault="00AB225B" w:rsidP="002B4B6D">
      <w:pPr>
        <w:pStyle w:val="ListParagraph"/>
        <w:numPr>
          <w:ilvl w:val="0"/>
          <w:numId w:val="1"/>
        </w:numPr>
        <w:spacing w:after="0"/>
        <w:rPr>
          <w:rFonts w:asciiTheme="minorHAnsi" w:eastAsia="Gill Sans" w:hAnsiTheme="minorHAnsi" w:cstheme="minorHAnsi"/>
          <w:b/>
          <w:bCs/>
          <w:color w:val="auto"/>
          <w:szCs w:val="22"/>
        </w:rPr>
      </w:pPr>
      <w:bookmarkStart w:id="6" w:name="_Toc91661333"/>
      <w:r w:rsidRPr="0057092E">
        <w:rPr>
          <w:rFonts w:asciiTheme="minorHAnsi" w:eastAsia="Gill Sans" w:hAnsiTheme="minorHAnsi" w:cstheme="minorHAnsi"/>
          <w:b/>
          <w:bCs/>
          <w:color w:val="auto"/>
          <w:szCs w:val="22"/>
        </w:rPr>
        <w:t>CONCLUSION</w:t>
      </w:r>
      <w:bookmarkEnd w:id="6"/>
    </w:p>
    <w:p w14:paraId="2F9DA080" w14:textId="3C6CA58A" w:rsidR="006C2703" w:rsidRPr="0057092E" w:rsidRDefault="006C2703" w:rsidP="002B4B6D">
      <w:pPr>
        <w:spacing w:after="0"/>
        <w:rPr>
          <w:rFonts w:asciiTheme="minorHAnsi" w:eastAsia="Times New Roman" w:hAnsiTheme="minorHAnsi" w:cstheme="minorHAnsi"/>
          <w:noProof w:val="0"/>
          <w:color w:val="auto"/>
          <w:szCs w:val="22"/>
        </w:rPr>
      </w:pPr>
      <w:r w:rsidRPr="0057092E">
        <w:rPr>
          <w:rFonts w:asciiTheme="minorHAnsi" w:hAnsiTheme="minorHAnsi" w:cstheme="minorHAnsi"/>
          <w:color w:val="auto"/>
          <w:szCs w:val="22"/>
        </w:rPr>
        <w:t xml:space="preserve">This study provides clear evidence that agro-input companies play a vital role in strengthening nutrition-sensitive agriculture and enhancing farmers’ capacity to produce and consume diverse and nutritious food in Faridpur and Khulna districts. The findings demonstrate that farmers have benefited from knowledge dissemination, technical support, and improved access to agricultural inputs facilitated by these companies. </w:t>
      </w:r>
      <w:r w:rsidRPr="0057092E">
        <w:rPr>
          <w:rFonts w:asciiTheme="minorHAnsi" w:eastAsia="Times New Roman" w:hAnsiTheme="minorHAnsi" w:cstheme="minorHAnsi"/>
          <w:noProof w:val="0"/>
          <w:color w:val="auto"/>
          <w:szCs w:val="22"/>
        </w:rPr>
        <w:t xml:space="preserve">The findings of this study confirm that agro-input companies are making an important contribution to nutrition-sensitive agriculture in Faridpur and Khulna districts by promoting improved practices, enhancing access to inputs, and encouraging the adoption of new technologies. Evidence shows that 89.00% of farmers reported </w:t>
      </w:r>
      <w:r w:rsidR="00C73E49" w:rsidRPr="0057092E">
        <w:rPr>
          <w:rFonts w:asciiTheme="minorHAnsi" w:eastAsia="Times New Roman" w:hAnsiTheme="minorHAnsi" w:cstheme="minorHAnsi"/>
          <w:noProof w:val="0"/>
          <w:color w:val="auto"/>
          <w:szCs w:val="22"/>
        </w:rPr>
        <w:t xml:space="preserve">substantial </w:t>
      </w:r>
      <w:r w:rsidRPr="0057092E">
        <w:rPr>
          <w:rFonts w:asciiTheme="minorHAnsi" w:eastAsia="Times New Roman" w:hAnsiTheme="minorHAnsi" w:cstheme="minorHAnsi"/>
          <w:noProof w:val="0"/>
          <w:color w:val="auto"/>
          <w:szCs w:val="22"/>
        </w:rPr>
        <w:t xml:space="preserve">learning </w:t>
      </w:r>
      <w:r w:rsidR="00C73E49" w:rsidRPr="0057092E">
        <w:rPr>
          <w:rFonts w:asciiTheme="minorHAnsi" w:eastAsia="Times New Roman" w:hAnsiTheme="minorHAnsi" w:cstheme="minorHAnsi"/>
          <w:noProof w:val="0"/>
          <w:color w:val="auto"/>
          <w:szCs w:val="22"/>
        </w:rPr>
        <w:t>gain</w:t>
      </w:r>
      <w:r w:rsidR="002F71BF" w:rsidRPr="0057092E">
        <w:rPr>
          <w:rFonts w:asciiTheme="minorHAnsi" w:eastAsia="Times New Roman" w:hAnsiTheme="minorHAnsi" w:cstheme="minorHAnsi"/>
          <w:noProof w:val="0"/>
          <w:color w:val="auto"/>
          <w:szCs w:val="22"/>
        </w:rPr>
        <w:t xml:space="preserve">s </w:t>
      </w:r>
      <w:r w:rsidRPr="0057092E">
        <w:rPr>
          <w:rFonts w:asciiTheme="minorHAnsi" w:eastAsia="Times New Roman" w:hAnsiTheme="minorHAnsi" w:cstheme="minorHAnsi"/>
          <w:noProof w:val="0"/>
          <w:color w:val="auto"/>
          <w:szCs w:val="22"/>
        </w:rPr>
        <w:t xml:space="preserve">about homestead gardening, 80.71% about nutritious food production and consumption, and 74.50% about improved vegetable varieties through company engagement. </w:t>
      </w:r>
      <w:r w:rsidR="00375F4D" w:rsidRPr="0057092E">
        <w:rPr>
          <w:rFonts w:asciiTheme="minorHAnsi" w:eastAsia="Times New Roman" w:hAnsiTheme="minorHAnsi" w:cstheme="minorHAnsi"/>
          <w:noProof w:val="0"/>
          <w:color w:val="auto"/>
          <w:szCs w:val="22"/>
        </w:rPr>
        <w:t xml:space="preserve">Notably, </w:t>
      </w:r>
      <w:r w:rsidR="00D04135" w:rsidRPr="0057092E">
        <w:rPr>
          <w:rFonts w:asciiTheme="minorHAnsi" w:eastAsia="Times New Roman" w:hAnsiTheme="minorHAnsi" w:cstheme="minorHAnsi"/>
          <w:noProof w:val="0"/>
          <w:color w:val="auto"/>
          <w:szCs w:val="22"/>
        </w:rPr>
        <w:t>Khulna</w:t>
      </w:r>
      <w:r w:rsidR="00E6146A">
        <w:rPr>
          <w:rFonts w:asciiTheme="minorHAnsi" w:eastAsia="Times New Roman" w:hAnsiTheme="minorHAnsi" w:cstheme="minorHAnsi"/>
          <w:noProof w:val="0"/>
          <w:color w:val="auto"/>
          <w:szCs w:val="22"/>
        </w:rPr>
        <w:t>,</w:t>
      </w:r>
      <w:r w:rsidR="00D04135" w:rsidRPr="0057092E">
        <w:rPr>
          <w:rFonts w:asciiTheme="minorHAnsi" w:eastAsia="Times New Roman" w:hAnsiTheme="minorHAnsi" w:cstheme="minorHAnsi"/>
          <w:noProof w:val="0"/>
          <w:color w:val="auto"/>
          <w:szCs w:val="22"/>
        </w:rPr>
        <w:t xml:space="preserve"> with higher </w:t>
      </w:r>
      <w:r w:rsidRPr="0057092E">
        <w:rPr>
          <w:rFonts w:asciiTheme="minorHAnsi" w:eastAsia="Times New Roman" w:hAnsiTheme="minorHAnsi" w:cstheme="minorHAnsi"/>
          <w:noProof w:val="0"/>
          <w:color w:val="auto"/>
          <w:szCs w:val="22"/>
        </w:rPr>
        <w:t xml:space="preserve">Knowledge </w:t>
      </w:r>
      <w:r w:rsidR="00D04135" w:rsidRPr="0057092E">
        <w:rPr>
          <w:rFonts w:asciiTheme="minorHAnsi" w:eastAsia="Times New Roman" w:hAnsiTheme="minorHAnsi" w:cstheme="minorHAnsi"/>
          <w:noProof w:val="0"/>
          <w:color w:val="auto"/>
          <w:szCs w:val="22"/>
        </w:rPr>
        <w:t xml:space="preserve">uptake </w:t>
      </w:r>
      <w:r w:rsidR="00A92623" w:rsidRPr="0057092E">
        <w:rPr>
          <w:rFonts w:asciiTheme="minorHAnsi" w:eastAsia="Times New Roman" w:hAnsiTheme="minorHAnsi" w:cstheme="minorHAnsi"/>
          <w:noProof w:val="0"/>
          <w:color w:val="auto"/>
          <w:szCs w:val="22"/>
        </w:rPr>
        <w:t>in nutritious food production</w:t>
      </w:r>
      <w:r w:rsidR="00F05B49" w:rsidRPr="0057092E">
        <w:rPr>
          <w:rFonts w:asciiTheme="minorHAnsi" w:eastAsia="Times New Roman" w:hAnsiTheme="minorHAnsi" w:cstheme="minorHAnsi"/>
          <w:noProof w:val="0"/>
          <w:color w:val="auto"/>
          <w:szCs w:val="22"/>
        </w:rPr>
        <w:t>,</w:t>
      </w:r>
      <w:r w:rsidR="00A92623" w:rsidRPr="0057092E">
        <w:rPr>
          <w:rFonts w:asciiTheme="minorHAnsi" w:eastAsia="Times New Roman" w:hAnsiTheme="minorHAnsi" w:cstheme="minorHAnsi"/>
          <w:noProof w:val="0"/>
          <w:color w:val="auto"/>
          <w:szCs w:val="22"/>
        </w:rPr>
        <w:t xml:space="preserve"> </w:t>
      </w:r>
      <w:r w:rsidR="00F05B49" w:rsidRPr="0057092E">
        <w:rPr>
          <w:rFonts w:asciiTheme="minorHAnsi" w:eastAsia="Times New Roman" w:hAnsiTheme="minorHAnsi" w:cstheme="minorHAnsi"/>
          <w:noProof w:val="0"/>
          <w:color w:val="auto"/>
          <w:szCs w:val="22"/>
        </w:rPr>
        <w:t>had</w:t>
      </w:r>
      <w:r w:rsidR="00A92623" w:rsidRPr="0057092E">
        <w:rPr>
          <w:rFonts w:asciiTheme="minorHAnsi" w:eastAsia="Times New Roman" w:hAnsiTheme="minorHAnsi" w:cstheme="minorHAnsi"/>
          <w:noProof w:val="0"/>
          <w:color w:val="auto"/>
          <w:szCs w:val="22"/>
        </w:rPr>
        <w:t xml:space="preserve"> </w:t>
      </w:r>
      <w:r w:rsidR="00F05B49" w:rsidRPr="0057092E">
        <w:rPr>
          <w:rFonts w:asciiTheme="minorHAnsi" w:eastAsia="Times New Roman" w:hAnsiTheme="minorHAnsi" w:cstheme="minorHAnsi"/>
          <w:noProof w:val="0"/>
          <w:color w:val="auto"/>
          <w:szCs w:val="22"/>
        </w:rPr>
        <w:t xml:space="preserve">an </w:t>
      </w:r>
      <w:r w:rsidR="00A92623" w:rsidRPr="0057092E">
        <w:rPr>
          <w:rFonts w:asciiTheme="minorHAnsi" w:eastAsia="Times New Roman" w:hAnsiTheme="minorHAnsi" w:cstheme="minorHAnsi"/>
          <w:noProof w:val="0"/>
          <w:color w:val="auto"/>
          <w:szCs w:val="22"/>
        </w:rPr>
        <w:t xml:space="preserve">86.32% </w:t>
      </w:r>
      <w:r w:rsidRPr="0057092E">
        <w:rPr>
          <w:rFonts w:asciiTheme="minorHAnsi" w:eastAsia="Times New Roman" w:hAnsiTheme="minorHAnsi" w:cstheme="minorHAnsi"/>
          <w:noProof w:val="0"/>
          <w:color w:val="auto"/>
          <w:szCs w:val="22"/>
        </w:rPr>
        <w:t>compared to 75.09% in Faridpur, and 80.34% learned about safe food production compared to 53.68% in Faridpur. This demonstrates both the scale and geographic variation in the effectiveness of private sector engagement.</w:t>
      </w:r>
      <w:r w:rsidR="00716A77" w:rsidRPr="0057092E">
        <w:rPr>
          <w:rFonts w:asciiTheme="minorHAnsi" w:hAnsiTheme="minorHAnsi" w:cstheme="minorHAnsi"/>
          <w:color w:val="auto"/>
          <w:szCs w:val="22"/>
        </w:rPr>
        <w:t xml:space="preserve"> </w:t>
      </w:r>
      <w:r w:rsidR="00E8357D" w:rsidRPr="0057092E">
        <w:rPr>
          <w:rFonts w:asciiTheme="minorHAnsi" w:eastAsia="Times New Roman" w:hAnsiTheme="minorHAnsi" w:cstheme="minorHAnsi"/>
          <w:noProof w:val="0"/>
          <w:color w:val="auto"/>
          <w:szCs w:val="22"/>
        </w:rPr>
        <w:t>Support from agro-input companies enabled farmers to enhance food diversity and nutrition, with homestead gardening benefiting 67.23%, new technologies 61.40%, and improved vegetable varieties 49.65%. Support for safe food production of 42.50% and diversified techniques of 40.50% was limited. Adoption trends</w:t>
      </w:r>
      <w:r w:rsidR="00D85E8F">
        <w:rPr>
          <w:rFonts w:asciiTheme="minorHAnsi" w:eastAsia="Times New Roman" w:hAnsiTheme="minorHAnsi" w:cstheme="minorHAnsi"/>
          <w:noProof w:val="0"/>
          <w:color w:val="auto"/>
          <w:szCs w:val="22"/>
        </w:rPr>
        <w:t xml:space="preserve"> are</w:t>
      </w:r>
      <w:r w:rsidR="00E8357D" w:rsidRPr="0057092E">
        <w:rPr>
          <w:rFonts w:asciiTheme="minorHAnsi" w:eastAsia="Times New Roman" w:hAnsiTheme="minorHAnsi" w:cstheme="minorHAnsi"/>
          <w:noProof w:val="0"/>
          <w:color w:val="auto"/>
          <w:szCs w:val="22"/>
        </w:rPr>
        <w:t xml:space="preserve"> 69.31% used hybrid/improved seeds, 41.50% nutrient-rich varieties, and only 13.21% stress-tolerant varieties. Organic fertilizer use was higher in Khulna </w:t>
      </w:r>
      <w:r w:rsidR="00716A77" w:rsidRPr="0057092E">
        <w:rPr>
          <w:rFonts w:asciiTheme="minorHAnsi" w:eastAsia="Times New Roman" w:hAnsiTheme="minorHAnsi" w:cstheme="minorHAnsi"/>
          <w:noProof w:val="0"/>
          <w:color w:val="auto"/>
          <w:szCs w:val="22"/>
        </w:rPr>
        <w:t>at</w:t>
      </w:r>
      <w:r w:rsidR="00E8357D" w:rsidRPr="0057092E">
        <w:rPr>
          <w:rFonts w:asciiTheme="minorHAnsi" w:eastAsia="Times New Roman" w:hAnsiTheme="minorHAnsi" w:cstheme="minorHAnsi"/>
          <w:noProof w:val="0"/>
          <w:color w:val="auto"/>
          <w:szCs w:val="22"/>
        </w:rPr>
        <w:t xml:space="preserve"> 73.68% than in Faridpur </w:t>
      </w:r>
      <w:r w:rsidR="00716A77" w:rsidRPr="0057092E">
        <w:rPr>
          <w:rFonts w:asciiTheme="minorHAnsi" w:eastAsia="Times New Roman" w:hAnsiTheme="minorHAnsi" w:cstheme="minorHAnsi"/>
          <w:noProof w:val="0"/>
          <w:color w:val="auto"/>
          <w:szCs w:val="22"/>
        </w:rPr>
        <w:t xml:space="preserve">at </w:t>
      </w:r>
      <w:r w:rsidR="00E8357D" w:rsidRPr="0057092E">
        <w:rPr>
          <w:rFonts w:asciiTheme="minorHAnsi" w:eastAsia="Times New Roman" w:hAnsiTheme="minorHAnsi" w:cstheme="minorHAnsi"/>
          <w:noProof w:val="0"/>
          <w:color w:val="auto"/>
          <w:szCs w:val="22"/>
        </w:rPr>
        <w:t xml:space="preserve">48.48%. Post-harvest safe transport was 90.81%, but low-cost storage of 22.08% and traditional preservation of 17.45% were limited. </w:t>
      </w:r>
      <w:r w:rsidRPr="0057092E">
        <w:rPr>
          <w:rFonts w:asciiTheme="minorHAnsi" w:eastAsia="Times New Roman" w:hAnsiTheme="minorHAnsi" w:cstheme="minorHAnsi"/>
          <w:noProof w:val="0"/>
          <w:color w:val="auto"/>
          <w:szCs w:val="22"/>
        </w:rPr>
        <w:t>Overall, 83.98% of households reported the availability of agricultural inputs, and 78.90% confirmed access</w:t>
      </w:r>
      <w:r w:rsidR="00E56535" w:rsidRPr="0057092E">
        <w:rPr>
          <w:rFonts w:asciiTheme="minorHAnsi" w:eastAsia="Times New Roman" w:hAnsiTheme="minorHAnsi" w:cstheme="minorHAnsi"/>
          <w:noProof w:val="0"/>
          <w:color w:val="auto"/>
          <w:szCs w:val="22"/>
        </w:rPr>
        <w:t xml:space="preserve"> in </w:t>
      </w:r>
      <w:r w:rsidR="00B71848" w:rsidRPr="0057092E">
        <w:rPr>
          <w:rFonts w:asciiTheme="minorHAnsi" w:eastAsia="Times New Roman" w:hAnsiTheme="minorHAnsi" w:cstheme="minorHAnsi"/>
          <w:noProof w:val="0"/>
          <w:color w:val="auto"/>
          <w:szCs w:val="22"/>
        </w:rPr>
        <w:t xml:space="preserve">the </w:t>
      </w:r>
      <w:r w:rsidR="00E56535" w:rsidRPr="0057092E">
        <w:rPr>
          <w:rFonts w:asciiTheme="minorHAnsi" w:eastAsia="Times New Roman" w:hAnsiTheme="minorHAnsi" w:cstheme="minorHAnsi"/>
          <w:noProof w:val="0"/>
          <w:color w:val="auto"/>
          <w:szCs w:val="22"/>
        </w:rPr>
        <w:t>input supply chain</w:t>
      </w:r>
      <w:r w:rsidR="00FF0F52" w:rsidRPr="0057092E">
        <w:rPr>
          <w:rFonts w:asciiTheme="minorHAnsi" w:eastAsia="Times New Roman" w:hAnsiTheme="minorHAnsi" w:cstheme="minorHAnsi"/>
          <w:noProof w:val="0"/>
          <w:color w:val="auto"/>
          <w:szCs w:val="22"/>
        </w:rPr>
        <w:t xml:space="preserve">, </w:t>
      </w:r>
      <w:r w:rsidR="00FF0F52" w:rsidRPr="0057092E">
        <w:rPr>
          <w:rFonts w:asciiTheme="minorHAnsi" w:hAnsiTheme="minorHAnsi" w:cstheme="minorHAnsi"/>
          <w:color w:val="auto"/>
          <w:szCs w:val="22"/>
        </w:rPr>
        <w:t>indicating the critical role of agro-input companies in facilitating both productivity and nutrition outcomes</w:t>
      </w:r>
      <w:r w:rsidR="00E56535" w:rsidRPr="0057092E">
        <w:rPr>
          <w:rFonts w:asciiTheme="minorHAnsi" w:eastAsia="Times New Roman" w:hAnsiTheme="minorHAnsi" w:cstheme="minorHAnsi"/>
          <w:noProof w:val="0"/>
          <w:color w:val="auto"/>
          <w:szCs w:val="22"/>
        </w:rPr>
        <w:t>. A</w:t>
      </w:r>
      <w:r w:rsidRPr="0057092E">
        <w:rPr>
          <w:rFonts w:asciiTheme="minorHAnsi" w:eastAsia="Times New Roman" w:hAnsiTheme="minorHAnsi" w:cstheme="minorHAnsi"/>
          <w:noProof w:val="0"/>
          <w:color w:val="auto"/>
          <w:szCs w:val="22"/>
        </w:rPr>
        <w:t xml:space="preserve">gro-input companies </w:t>
      </w:r>
      <w:r w:rsidR="00B71848" w:rsidRPr="0057092E">
        <w:rPr>
          <w:rFonts w:asciiTheme="minorHAnsi" w:eastAsia="Times New Roman" w:hAnsiTheme="minorHAnsi" w:cstheme="minorHAnsi"/>
          <w:noProof w:val="0"/>
          <w:color w:val="auto"/>
          <w:szCs w:val="22"/>
        </w:rPr>
        <w:t>are</w:t>
      </w:r>
      <w:r w:rsidRPr="0057092E">
        <w:rPr>
          <w:rFonts w:asciiTheme="minorHAnsi" w:eastAsia="Times New Roman" w:hAnsiTheme="minorHAnsi" w:cstheme="minorHAnsi"/>
          <w:noProof w:val="0"/>
          <w:color w:val="auto"/>
          <w:szCs w:val="22"/>
        </w:rPr>
        <w:t xml:space="preserve"> driving both productivity and nutrition outcomes, while also highlighting the need to expand support for stress-tolerant varieties, storage innovations, and sustainable pest management. Strengthened partnerships among agro-input providers, government agencies, and development actors are essential to scaling </w:t>
      </w:r>
      <w:r w:rsidRPr="0057092E">
        <w:rPr>
          <w:rFonts w:asciiTheme="minorHAnsi" w:eastAsia="Times New Roman" w:hAnsiTheme="minorHAnsi" w:cstheme="minorHAnsi"/>
          <w:noProof w:val="0"/>
          <w:color w:val="auto"/>
          <w:szCs w:val="22"/>
        </w:rPr>
        <w:lastRenderedPageBreak/>
        <w:t>these impacts and ensuring long-term improvements in nutritious food production and consumption in southern Bangladesh.</w:t>
      </w:r>
    </w:p>
    <w:p w14:paraId="4E85E597" w14:textId="77777777" w:rsidR="00470B83" w:rsidRPr="0057092E" w:rsidRDefault="00470B83" w:rsidP="002B4B6D">
      <w:pPr>
        <w:spacing w:after="0"/>
        <w:rPr>
          <w:rFonts w:asciiTheme="minorHAnsi" w:hAnsiTheme="minorHAnsi" w:cstheme="minorHAnsi"/>
          <w:color w:val="auto"/>
          <w:szCs w:val="22"/>
        </w:rPr>
      </w:pPr>
    </w:p>
    <w:p w14:paraId="7A03D6DC" w14:textId="77777777" w:rsidR="00F03267" w:rsidRPr="0057092E" w:rsidRDefault="00F03267" w:rsidP="002B4B6D">
      <w:pPr>
        <w:pStyle w:val="ListParagraph"/>
        <w:numPr>
          <w:ilvl w:val="0"/>
          <w:numId w:val="1"/>
        </w:numPr>
        <w:spacing w:after="0"/>
        <w:rPr>
          <w:rFonts w:asciiTheme="minorHAnsi" w:hAnsiTheme="minorHAnsi" w:cstheme="minorHAnsi"/>
          <w:b/>
          <w:color w:val="auto"/>
          <w:szCs w:val="22"/>
        </w:rPr>
      </w:pPr>
      <w:bookmarkStart w:id="7" w:name="_Toc91661332"/>
      <w:r w:rsidRPr="0057092E">
        <w:rPr>
          <w:rFonts w:asciiTheme="minorHAnsi" w:eastAsia="Gill Sans" w:hAnsiTheme="minorHAnsi" w:cstheme="minorHAnsi"/>
          <w:b/>
          <w:bCs/>
          <w:color w:val="auto"/>
          <w:szCs w:val="22"/>
        </w:rPr>
        <w:t>RECOMMENDATION</w:t>
      </w:r>
      <w:bookmarkEnd w:id="7"/>
    </w:p>
    <w:p w14:paraId="0056C1AB"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Agro-input companies should expand training on diversified production techniques, stress-tolerant varieties, and safe food practices, which showed relatively low farmer uptake despite their importance for nutrition and climate resilience.</w:t>
      </w:r>
    </w:p>
    <w:p w14:paraId="1B506775"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Promoting stress-tolerant seed varieties and water-efficient technologies like drip irrigation should be scaled up through targeted awareness campaigns, demonstration plots, and farmer field schools.</w:t>
      </w:r>
    </w:p>
    <w:p w14:paraId="769DBF08"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Support should be provided for improved storage, preservation, and value addition techniques to reduce food loss and extend the shelf life of vegetables.</w:t>
      </w:r>
    </w:p>
    <w:p w14:paraId="1CB681BB"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Increase promotion of biological control methods by ensuring affordable supply and farmer training, reducing reliance on chemical pesticides, and improving food safety.</w:t>
      </w:r>
    </w:p>
    <w:p w14:paraId="209BA519"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Promote cost-efficient digital vegetable production technologies to produce nutritious foods and encourage commercialization.</w:t>
      </w:r>
    </w:p>
    <w:p w14:paraId="0E197279"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Improved input access through subsidies, last-mile distribution, and collaboration with local cooperatives, ensuring smallholders, women, and marginalized farmers benefit equally.</w:t>
      </w:r>
    </w:p>
    <w:p w14:paraId="01493CE4" w14:textId="77777777" w:rsidR="00F03267" w:rsidRPr="0057092E" w:rsidRDefault="00F03267" w:rsidP="002B4B6D">
      <w:pPr>
        <w:pStyle w:val="ListParagraph"/>
        <w:numPr>
          <w:ilvl w:val="0"/>
          <w:numId w:val="4"/>
        </w:numPr>
        <w:spacing w:after="0"/>
        <w:rPr>
          <w:rFonts w:asciiTheme="minorHAnsi" w:hAnsiTheme="minorHAnsi" w:cstheme="minorHAnsi"/>
          <w:color w:val="auto"/>
          <w:szCs w:val="22"/>
        </w:rPr>
      </w:pPr>
      <w:r w:rsidRPr="0057092E">
        <w:rPr>
          <w:rFonts w:asciiTheme="minorHAnsi" w:hAnsiTheme="minorHAnsi" w:cstheme="minorHAnsi"/>
          <w:color w:val="auto"/>
          <w:szCs w:val="22"/>
        </w:rPr>
        <w:t>Joint initiatives between agro-input companies, government, and NGOs can enhance household awareness on dietary diversity, boosting the consumption of nutritious foods.</w:t>
      </w:r>
    </w:p>
    <w:p w14:paraId="52C740C4" w14:textId="77777777" w:rsidR="0006446C" w:rsidRPr="0057092E" w:rsidRDefault="0006446C" w:rsidP="002B4B6D">
      <w:pPr>
        <w:spacing w:after="0"/>
        <w:rPr>
          <w:rFonts w:asciiTheme="minorHAnsi" w:hAnsiTheme="minorHAnsi" w:cstheme="minorHAnsi"/>
          <w:color w:val="auto"/>
          <w:szCs w:val="22"/>
        </w:rPr>
      </w:pPr>
    </w:p>
    <w:p w14:paraId="2B07A4A4" w14:textId="77777777" w:rsidR="00031CA6" w:rsidRPr="00031CA6" w:rsidRDefault="00031CA6" w:rsidP="00031CA6">
      <w:pPr>
        <w:spacing w:after="0"/>
        <w:rPr>
          <w:rFonts w:asciiTheme="minorHAnsi" w:hAnsiTheme="minorHAnsi" w:cstheme="minorHAnsi"/>
          <w:b/>
          <w:bCs/>
          <w:color w:val="auto"/>
          <w:szCs w:val="22"/>
        </w:rPr>
      </w:pPr>
      <w:r w:rsidRPr="00031CA6">
        <w:rPr>
          <w:rFonts w:asciiTheme="minorHAnsi" w:hAnsiTheme="minorHAnsi" w:cstheme="minorHAnsi"/>
          <w:b/>
          <w:bCs/>
          <w:color w:val="auto"/>
          <w:szCs w:val="22"/>
        </w:rPr>
        <w:t xml:space="preserve">Consent </w:t>
      </w:r>
    </w:p>
    <w:p w14:paraId="6B1AB0D2" w14:textId="4A934A1C" w:rsidR="00031CA6" w:rsidRPr="00031CA6" w:rsidRDefault="00031CA6" w:rsidP="00031CA6">
      <w:pPr>
        <w:spacing w:after="0"/>
        <w:rPr>
          <w:rFonts w:asciiTheme="minorHAnsi" w:hAnsiTheme="minorHAnsi" w:cstheme="minorHAnsi"/>
          <w:bCs/>
          <w:color w:val="auto"/>
          <w:szCs w:val="22"/>
        </w:rPr>
      </w:pPr>
      <w:r w:rsidRPr="00031CA6">
        <w:rPr>
          <w:rFonts w:asciiTheme="minorHAnsi" w:hAnsiTheme="minorHAnsi" w:cstheme="minorHAnsi"/>
          <w:bCs/>
          <w:color w:val="auto"/>
          <w:szCs w:val="22"/>
        </w:rPr>
        <w:t>As per international standards or university standards, Participants’ written consent has been collected and preserved by the author(s).</w:t>
      </w:r>
    </w:p>
    <w:p w14:paraId="0F8EEDA4" w14:textId="77777777" w:rsidR="00031CA6" w:rsidRDefault="00031CA6" w:rsidP="00031CA6">
      <w:pPr>
        <w:spacing w:after="0"/>
        <w:rPr>
          <w:rFonts w:asciiTheme="minorHAnsi" w:hAnsiTheme="minorHAnsi" w:cstheme="minorHAnsi"/>
          <w:b/>
          <w:bCs/>
          <w:color w:val="auto"/>
          <w:szCs w:val="22"/>
        </w:rPr>
      </w:pPr>
    </w:p>
    <w:p w14:paraId="2F1E258E" w14:textId="77777777" w:rsidR="00031CA6" w:rsidRDefault="00031CA6" w:rsidP="002B4B6D">
      <w:pPr>
        <w:spacing w:after="0"/>
        <w:rPr>
          <w:rFonts w:asciiTheme="minorHAnsi" w:hAnsiTheme="minorHAnsi" w:cstheme="minorHAnsi"/>
          <w:b/>
          <w:bCs/>
          <w:color w:val="auto"/>
          <w:szCs w:val="22"/>
        </w:rPr>
      </w:pPr>
    </w:p>
    <w:p w14:paraId="240F3992" w14:textId="79FE62B8" w:rsidR="0006446C" w:rsidRPr="00E209BA" w:rsidRDefault="0006446C" w:rsidP="002B4B6D">
      <w:pPr>
        <w:spacing w:after="0"/>
        <w:rPr>
          <w:rFonts w:asciiTheme="minorHAnsi" w:hAnsiTheme="minorHAnsi" w:cstheme="minorHAnsi"/>
          <w:b/>
          <w:bCs/>
          <w:color w:val="auto"/>
          <w:szCs w:val="22"/>
        </w:rPr>
      </w:pPr>
      <w:r w:rsidRPr="00E209BA">
        <w:rPr>
          <w:rFonts w:asciiTheme="minorHAnsi" w:hAnsiTheme="minorHAnsi" w:cstheme="minorHAnsi"/>
          <w:b/>
          <w:bCs/>
          <w:color w:val="auto"/>
          <w:szCs w:val="22"/>
        </w:rPr>
        <w:t>COMPETING INTERESTS DISCLAIMER:</w:t>
      </w:r>
    </w:p>
    <w:p w14:paraId="6430D1F5" w14:textId="1E808289" w:rsidR="0006446C" w:rsidRPr="0057092E" w:rsidRDefault="0006446C" w:rsidP="002B4B6D">
      <w:pPr>
        <w:spacing w:after="0"/>
        <w:rPr>
          <w:rFonts w:asciiTheme="minorHAnsi" w:hAnsiTheme="minorHAnsi" w:cstheme="minorHAnsi"/>
          <w:color w:val="auto"/>
          <w:szCs w:val="22"/>
        </w:rPr>
      </w:pPr>
      <w:r w:rsidRPr="0057092E">
        <w:rPr>
          <w:rFonts w:asciiTheme="minorHAnsi" w:hAnsiTheme="minorHAnsi" w:cstheme="minorHAnsi"/>
          <w:color w:val="auto"/>
          <w:szCs w:val="22"/>
        </w:rPr>
        <w:t>Authors have declared that they have no known competing financial interests OR non-financial interests</w:t>
      </w:r>
      <w:r w:rsidR="00A768B3" w:rsidRPr="0057092E">
        <w:rPr>
          <w:rFonts w:asciiTheme="minorHAnsi" w:hAnsiTheme="minorHAnsi" w:cstheme="minorHAnsi"/>
          <w:color w:val="auto"/>
          <w:szCs w:val="22"/>
        </w:rPr>
        <w:t>,</w:t>
      </w:r>
      <w:r w:rsidRPr="0057092E">
        <w:rPr>
          <w:rFonts w:asciiTheme="minorHAnsi" w:hAnsiTheme="minorHAnsi" w:cstheme="minorHAnsi"/>
          <w:color w:val="auto"/>
          <w:szCs w:val="22"/>
        </w:rPr>
        <w:t xml:space="preserve"> OR personal relationships that could have appeared to influence the work reported in this paper.</w:t>
      </w:r>
    </w:p>
    <w:p w14:paraId="650FD3D0" w14:textId="2B3DCBCC" w:rsidR="00ED6F76" w:rsidRPr="0057092E" w:rsidRDefault="00ED6F76" w:rsidP="002B4B6D">
      <w:pPr>
        <w:spacing w:after="0"/>
        <w:rPr>
          <w:rFonts w:asciiTheme="minorHAnsi" w:hAnsiTheme="minorHAnsi" w:cstheme="minorHAnsi"/>
          <w:color w:val="auto"/>
          <w:szCs w:val="22"/>
        </w:rPr>
      </w:pPr>
    </w:p>
    <w:p w14:paraId="72A144EE" w14:textId="77777777" w:rsidR="00ED6F76" w:rsidRPr="00081FF4" w:rsidRDefault="00ED6F76" w:rsidP="002B4B6D">
      <w:pPr>
        <w:spacing w:after="0"/>
        <w:rPr>
          <w:rFonts w:ascii="Calibri" w:eastAsia="Calibri" w:hAnsi="Calibri" w:cs="Times New Roman"/>
          <w:b/>
          <w:bCs/>
          <w:color w:val="auto"/>
          <w:kern w:val="2"/>
        </w:rPr>
      </w:pPr>
      <w:bookmarkStart w:id="8" w:name="_Hlk197682619"/>
      <w:bookmarkStart w:id="9" w:name="_Hlk180402183"/>
      <w:bookmarkStart w:id="10" w:name="_Hlk183680988"/>
      <w:r w:rsidRPr="00081FF4">
        <w:rPr>
          <w:rFonts w:ascii="Calibri" w:eastAsia="Calibri" w:hAnsi="Calibri" w:cs="Times New Roman"/>
          <w:b/>
          <w:bCs/>
          <w:color w:val="auto"/>
          <w:kern w:val="2"/>
        </w:rPr>
        <w:t>Disclaimer (Artificial intelligence)</w:t>
      </w:r>
    </w:p>
    <w:p w14:paraId="07AC7911" w14:textId="6067454A" w:rsidR="00ED6F76" w:rsidRPr="00081FF4" w:rsidRDefault="00D2158A" w:rsidP="002B4B6D">
      <w:pPr>
        <w:spacing w:after="0"/>
        <w:rPr>
          <w:rFonts w:ascii="Calibri" w:eastAsia="Calibri" w:hAnsi="Calibri" w:cs="Times New Roman"/>
          <w:color w:val="auto"/>
          <w:kern w:val="2"/>
        </w:rPr>
      </w:pPr>
      <w:r>
        <w:rPr>
          <w:rFonts w:ascii="Calibri" w:eastAsia="Calibri" w:hAnsi="Calibri" w:cs="Times New Roman"/>
          <w:color w:val="auto"/>
          <w:kern w:val="2"/>
        </w:rPr>
        <w:t xml:space="preserve">The author </w:t>
      </w:r>
      <w:r w:rsidR="00ED6F76" w:rsidRPr="00081FF4">
        <w:rPr>
          <w:rFonts w:ascii="Calibri" w:eastAsia="Calibri" w:hAnsi="Calibri" w:cs="Times New Roman"/>
          <w:color w:val="auto"/>
          <w:kern w:val="2"/>
        </w:rPr>
        <w:t>(s) hereby declare that generative AI technologies such as Large Language Models, etc.</w:t>
      </w:r>
      <w:r w:rsidR="00570341" w:rsidRPr="00081FF4">
        <w:rPr>
          <w:rFonts w:ascii="Calibri" w:eastAsia="Calibri" w:hAnsi="Calibri" w:cs="Times New Roman"/>
          <w:color w:val="auto"/>
          <w:kern w:val="2"/>
        </w:rPr>
        <w:t>,</w:t>
      </w:r>
      <w:r w:rsidR="00ED6F76" w:rsidRPr="00081FF4">
        <w:rPr>
          <w:rFonts w:ascii="Calibri" w:eastAsia="Calibri" w:hAnsi="Calibri" w:cs="Times New Roman"/>
          <w:color w:val="auto"/>
          <w:kern w:val="2"/>
        </w:rPr>
        <w:t xml:space="preserve"> have been used during the writing or editing of manuscripts. This explanation will include the name, version, model, and source of the generative AI technology</w:t>
      </w:r>
      <w:r w:rsidR="00E209BA">
        <w:rPr>
          <w:rFonts w:ascii="Calibri" w:eastAsia="Calibri" w:hAnsi="Calibri" w:cs="Times New Roman"/>
          <w:color w:val="auto"/>
          <w:kern w:val="2"/>
        </w:rPr>
        <w:t>,</w:t>
      </w:r>
      <w:r w:rsidR="00ED6F76" w:rsidRPr="00081FF4">
        <w:rPr>
          <w:rFonts w:ascii="Calibri" w:eastAsia="Calibri" w:hAnsi="Calibri" w:cs="Times New Roman"/>
          <w:color w:val="auto"/>
          <w:kern w:val="2"/>
        </w:rPr>
        <w:t xml:space="preserve"> as well as all input prompts provided to the generative AI technology</w:t>
      </w:r>
    </w:p>
    <w:p w14:paraId="64B13E15" w14:textId="77777777" w:rsidR="00FE67E9" w:rsidRDefault="00FE67E9" w:rsidP="002B4B6D">
      <w:pPr>
        <w:spacing w:after="0"/>
        <w:rPr>
          <w:rFonts w:ascii="Calibri" w:eastAsia="Calibri" w:hAnsi="Calibri" w:cs="Times New Roman"/>
          <w:color w:val="auto"/>
          <w:kern w:val="2"/>
        </w:rPr>
      </w:pPr>
    </w:p>
    <w:p w14:paraId="7EAD3193" w14:textId="36BBFBA2" w:rsidR="00ED6F76" w:rsidRPr="00081FF4" w:rsidRDefault="00ED6F76" w:rsidP="002B4B6D">
      <w:pPr>
        <w:spacing w:after="0"/>
        <w:rPr>
          <w:rFonts w:ascii="Calibri" w:eastAsia="Calibri" w:hAnsi="Calibri" w:cs="Times New Roman"/>
          <w:color w:val="auto"/>
          <w:kern w:val="2"/>
        </w:rPr>
      </w:pPr>
      <w:r w:rsidRPr="00081FF4">
        <w:rPr>
          <w:rFonts w:ascii="Calibri" w:eastAsia="Calibri" w:hAnsi="Calibri" w:cs="Times New Roman"/>
          <w:color w:val="auto"/>
          <w:kern w:val="2"/>
        </w:rPr>
        <w:t>Details of the AI usage are given below:</w:t>
      </w:r>
    </w:p>
    <w:p w14:paraId="5553E1A4" w14:textId="1EFE3F20" w:rsidR="00ED6F76" w:rsidRPr="00081FF4" w:rsidRDefault="00ED6F76" w:rsidP="002B4B6D">
      <w:pPr>
        <w:spacing w:after="0"/>
        <w:rPr>
          <w:rFonts w:ascii="Calibri" w:eastAsia="Calibri" w:hAnsi="Calibri" w:cs="Times New Roman"/>
          <w:color w:val="auto"/>
          <w:kern w:val="2"/>
        </w:rPr>
      </w:pPr>
      <w:r w:rsidRPr="00081FF4">
        <w:rPr>
          <w:rFonts w:ascii="Calibri" w:eastAsia="Calibri" w:hAnsi="Calibri" w:cs="Times New Roman"/>
          <w:color w:val="auto"/>
          <w:kern w:val="2"/>
        </w:rPr>
        <w:t>1.</w:t>
      </w:r>
      <w:r w:rsidR="00596676" w:rsidRPr="00081FF4">
        <w:rPr>
          <w:rFonts w:ascii="Calibri" w:eastAsia="Calibri" w:hAnsi="Calibri" w:cs="Times New Roman"/>
          <w:color w:val="auto"/>
          <w:kern w:val="2"/>
        </w:rPr>
        <w:t xml:space="preserve"> </w:t>
      </w:r>
      <w:r w:rsidR="00C13361" w:rsidRPr="00081FF4">
        <w:rPr>
          <w:rFonts w:ascii="Calibri" w:eastAsia="Calibri" w:hAnsi="Calibri" w:cs="Times New Roman"/>
          <w:color w:val="auto"/>
          <w:kern w:val="2"/>
        </w:rPr>
        <w:t xml:space="preserve">Free version </w:t>
      </w:r>
      <w:r w:rsidR="00081FF4" w:rsidRPr="00081FF4">
        <w:rPr>
          <w:rFonts w:ascii="Calibri" w:eastAsia="Calibri" w:hAnsi="Calibri" w:cs="Times New Roman"/>
          <w:color w:val="auto"/>
          <w:kern w:val="2"/>
        </w:rPr>
        <w:t xml:space="preserve">of </w:t>
      </w:r>
      <w:r w:rsidR="00E34ED5" w:rsidRPr="00081FF4">
        <w:rPr>
          <w:rFonts w:ascii="Calibri" w:eastAsia="Calibri" w:hAnsi="Calibri" w:cs="Times New Roman"/>
          <w:color w:val="auto"/>
          <w:kern w:val="2"/>
        </w:rPr>
        <w:t>ChatGPT used for</w:t>
      </w:r>
      <w:r w:rsidR="00C13361" w:rsidRPr="00081FF4">
        <w:rPr>
          <w:rFonts w:ascii="Calibri" w:eastAsia="Calibri" w:hAnsi="Calibri" w:cs="Times New Roman"/>
          <w:color w:val="auto"/>
          <w:kern w:val="2"/>
        </w:rPr>
        <w:t xml:space="preserve"> grammar correction</w:t>
      </w:r>
      <w:r w:rsidR="00E34ED5" w:rsidRPr="00081FF4">
        <w:rPr>
          <w:rFonts w:ascii="Calibri" w:eastAsia="Calibri" w:hAnsi="Calibri" w:cs="Times New Roman"/>
          <w:color w:val="auto"/>
          <w:kern w:val="2"/>
        </w:rPr>
        <w:t xml:space="preserve"> </w:t>
      </w:r>
    </w:p>
    <w:bookmarkEnd w:id="8"/>
    <w:bookmarkEnd w:id="9"/>
    <w:bookmarkEnd w:id="10"/>
    <w:p w14:paraId="1B015ADB" w14:textId="77777777" w:rsidR="00E209BA" w:rsidRDefault="00E209BA" w:rsidP="002B4B6D">
      <w:pPr>
        <w:spacing w:after="0"/>
        <w:rPr>
          <w:rFonts w:asciiTheme="minorHAnsi" w:hAnsiTheme="minorHAnsi" w:cstheme="minorHAnsi"/>
          <w:b/>
          <w:color w:val="auto"/>
          <w:szCs w:val="22"/>
        </w:rPr>
      </w:pPr>
    </w:p>
    <w:p w14:paraId="6D6FC5C5" w14:textId="582B9509" w:rsidR="00B71848" w:rsidRPr="0057092E" w:rsidRDefault="00DE3E05" w:rsidP="002B4B6D">
      <w:pPr>
        <w:spacing w:after="0"/>
        <w:rPr>
          <w:rFonts w:asciiTheme="minorHAnsi" w:hAnsiTheme="minorHAnsi" w:cstheme="minorHAnsi"/>
          <w:b/>
          <w:color w:val="auto"/>
          <w:szCs w:val="22"/>
        </w:rPr>
      </w:pPr>
      <w:r w:rsidRPr="0057092E">
        <w:rPr>
          <w:rFonts w:asciiTheme="minorHAnsi" w:hAnsiTheme="minorHAnsi" w:cstheme="minorHAnsi"/>
          <w:b/>
          <w:color w:val="auto"/>
          <w:szCs w:val="22"/>
        </w:rPr>
        <w:t>REFERENCES</w:t>
      </w:r>
    </w:p>
    <w:bookmarkEnd w:id="5"/>
    <w:p w14:paraId="4EE3DC26"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Ahmed, A., Coleman, F., Ghostlaw, J., Hoddinott, J., Menon, P., Parvin, A., Pereira, A., Quisumbing, A., Roy, S., &amp; Younus, M. (2024). Increasing production diversity and diet quality: Evidence from Bangladesh. American Journal of Agricultural Economics, 106(3), 1089–110.</w:t>
      </w:r>
    </w:p>
    <w:p w14:paraId="16817F97"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Ahmed, S., Rahman, M., &amp; Kabir, M. (2021). Access to agricultural inputs and smallholder productivity in Bangladesh. Journal of Development Studies, 57(3), 435–452.</w:t>
      </w:r>
    </w:p>
    <w:p w14:paraId="010878E9"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Akter, A., Ahmad, N., Bagum, T., Islam, M.M., Rahma, M.M.</w:t>
      </w:r>
      <w:r>
        <w:rPr>
          <w:rFonts w:asciiTheme="minorHAnsi" w:hAnsiTheme="minorHAnsi" w:cstheme="minorHAnsi"/>
          <w:color w:val="auto"/>
          <w:szCs w:val="22"/>
        </w:rPr>
        <w:t>,</w:t>
      </w:r>
      <w:r w:rsidRPr="0057092E">
        <w:rPr>
          <w:rFonts w:asciiTheme="minorHAnsi" w:hAnsiTheme="minorHAnsi" w:cstheme="minorHAnsi"/>
          <w:color w:val="auto"/>
          <w:szCs w:val="22"/>
        </w:rPr>
        <w:t xml:space="preserve"> and Hossain, M.I., 2019. The impact of traditional homestead vegetable cultivation on the improvement of </w:t>
      </w:r>
      <w:r>
        <w:rPr>
          <w:rFonts w:asciiTheme="minorHAnsi" w:hAnsiTheme="minorHAnsi" w:cstheme="minorHAnsi"/>
          <w:color w:val="auto"/>
          <w:szCs w:val="22"/>
        </w:rPr>
        <w:t xml:space="preserve">the </w:t>
      </w:r>
      <w:r w:rsidRPr="0057092E">
        <w:rPr>
          <w:rFonts w:asciiTheme="minorHAnsi" w:hAnsiTheme="minorHAnsi" w:cstheme="minorHAnsi"/>
          <w:color w:val="auto"/>
          <w:szCs w:val="22"/>
        </w:rPr>
        <w:t xml:space="preserve">livelihood of rural women in Bangladesh. Asian Journal of Agriculture and </w:t>
      </w:r>
      <w:r>
        <w:rPr>
          <w:rFonts w:asciiTheme="minorHAnsi" w:hAnsiTheme="minorHAnsi" w:cstheme="minorHAnsi"/>
          <w:color w:val="auto"/>
          <w:szCs w:val="22"/>
        </w:rPr>
        <w:t>Rural Development</w:t>
      </w:r>
      <w:r w:rsidRPr="0057092E">
        <w:rPr>
          <w:rFonts w:asciiTheme="minorHAnsi" w:hAnsiTheme="minorHAnsi" w:cstheme="minorHAnsi"/>
          <w:color w:val="auto"/>
          <w:szCs w:val="22"/>
        </w:rPr>
        <w:t>, 9(2), pp.242-254.</w:t>
      </w:r>
    </w:p>
    <w:p w14:paraId="3D1326D6"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Alam, M., Sarker, M.R., Haque, A. and Bhandari, H., 2024. Scaling Homestead Gardening for Food Security and Dietary Diversity in Two Climate Hotspot Regions of Bangladesh.</w:t>
      </w:r>
    </w:p>
    <w:p w14:paraId="22C5AF52"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lastRenderedPageBreak/>
        <w:t>Babu, M.G.U., Rashid, M., Khan, B.</w:t>
      </w:r>
      <w:r>
        <w:rPr>
          <w:rFonts w:asciiTheme="minorHAnsi" w:hAnsiTheme="minorHAnsi" w:cstheme="minorHAnsi"/>
          <w:color w:val="auto"/>
          <w:szCs w:val="22"/>
        </w:rPr>
        <w:t>,</w:t>
      </w:r>
      <w:r w:rsidRPr="0057092E">
        <w:rPr>
          <w:rFonts w:asciiTheme="minorHAnsi" w:hAnsiTheme="minorHAnsi" w:cstheme="minorHAnsi"/>
          <w:color w:val="auto"/>
          <w:szCs w:val="22"/>
        </w:rPr>
        <w:t xml:space="preserve"> and Islam, M.S., 2025. Awareness of the Usage of Pesticides and Fertilizers among the Paddy Farmers of Khulna District: Awareness of the Usage of Pesticides and Fertilizers. South Asian Journal of Agriculture, 11(1), pp.45-56.</w:t>
      </w:r>
    </w:p>
    <w:p w14:paraId="14E397FC"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Baliki, G., Schreinemachers, P., Brück, T. and Uddin, N.M., 2022. Impacts of a home garden intervention in Bangladesh after one, three</w:t>
      </w:r>
      <w:r>
        <w:rPr>
          <w:rFonts w:asciiTheme="minorHAnsi" w:hAnsiTheme="minorHAnsi" w:cstheme="minorHAnsi"/>
          <w:color w:val="auto"/>
          <w:szCs w:val="22"/>
        </w:rPr>
        <w:t>,</w:t>
      </w:r>
      <w:r w:rsidRPr="0057092E">
        <w:rPr>
          <w:rFonts w:asciiTheme="minorHAnsi" w:hAnsiTheme="minorHAnsi" w:cstheme="minorHAnsi"/>
          <w:color w:val="auto"/>
          <w:szCs w:val="22"/>
        </w:rPr>
        <w:t xml:space="preserve"> and six years. Agriculture &amp; Food Security, 11(1), p.48.</w:t>
      </w:r>
    </w:p>
    <w:p w14:paraId="7A4A650D"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bookmarkStart w:id="11" w:name="_Hlk209722374"/>
      <w:r w:rsidRPr="0057092E">
        <w:rPr>
          <w:rFonts w:asciiTheme="minorHAnsi" w:hAnsiTheme="minorHAnsi" w:cstheme="minorHAnsi"/>
          <w:color w:val="auto"/>
          <w:szCs w:val="22"/>
        </w:rPr>
        <w:t xml:space="preserve">Barua, P., Rahman, S.H. and Barua, M., 2021. </w:t>
      </w:r>
      <w:bookmarkEnd w:id="11"/>
      <w:r w:rsidRPr="0057092E">
        <w:rPr>
          <w:rFonts w:asciiTheme="minorHAnsi" w:hAnsiTheme="minorHAnsi" w:cstheme="minorHAnsi"/>
          <w:color w:val="auto"/>
          <w:szCs w:val="22"/>
        </w:rPr>
        <w:t xml:space="preserve">Sustainable management of </w:t>
      </w:r>
      <w:r>
        <w:rPr>
          <w:rFonts w:asciiTheme="minorHAnsi" w:hAnsiTheme="minorHAnsi" w:cstheme="minorHAnsi"/>
          <w:color w:val="auto"/>
          <w:szCs w:val="22"/>
        </w:rPr>
        <w:t>the agricultural</w:t>
      </w:r>
      <w:r w:rsidRPr="0057092E">
        <w:rPr>
          <w:rFonts w:asciiTheme="minorHAnsi" w:hAnsiTheme="minorHAnsi" w:cstheme="minorHAnsi"/>
          <w:color w:val="auto"/>
          <w:szCs w:val="22"/>
        </w:rPr>
        <w:t xml:space="preserve"> products value chain in </w:t>
      </w:r>
      <w:r>
        <w:rPr>
          <w:rFonts w:asciiTheme="minorHAnsi" w:hAnsiTheme="minorHAnsi" w:cstheme="minorHAnsi"/>
          <w:color w:val="auto"/>
          <w:szCs w:val="22"/>
        </w:rPr>
        <w:t>response</w:t>
      </w:r>
      <w:r w:rsidRPr="0057092E">
        <w:rPr>
          <w:rFonts w:asciiTheme="minorHAnsi" w:hAnsiTheme="minorHAnsi" w:cstheme="minorHAnsi"/>
          <w:color w:val="auto"/>
          <w:szCs w:val="22"/>
        </w:rPr>
        <w:t xml:space="preserve"> to climate change for </w:t>
      </w:r>
      <w:r>
        <w:rPr>
          <w:rFonts w:asciiTheme="minorHAnsi" w:hAnsiTheme="minorHAnsi" w:cstheme="minorHAnsi"/>
          <w:color w:val="auto"/>
          <w:szCs w:val="22"/>
        </w:rPr>
        <w:t xml:space="preserve">the </w:t>
      </w:r>
      <w:r w:rsidRPr="0057092E">
        <w:rPr>
          <w:rFonts w:asciiTheme="minorHAnsi" w:hAnsiTheme="minorHAnsi" w:cstheme="minorHAnsi"/>
          <w:color w:val="auto"/>
          <w:szCs w:val="22"/>
        </w:rPr>
        <w:t>South-Eastern coast of Bangladesh. Modern Supply Chain Research and Applications, 3(2), pp.98-126.</w:t>
      </w:r>
    </w:p>
    <w:p w14:paraId="1313A101" w14:textId="628F9580"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Billah, M.M., Rahman, M.M., Mahimairaja, S., Lal, A., Srinivasulu, A.</w:t>
      </w:r>
      <w:r w:rsidR="00987DC9">
        <w:rPr>
          <w:rFonts w:asciiTheme="minorHAnsi" w:hAnsiTheme="minorHAnsi" w:cstheme="minorHAnsi"/>
          <w:color w:val="auto"/>
          <w:szCs w:val="22"/>
        </w:rPr>
        <w:t>,</w:t>
      </w:r>
      <w:r w:rsidRPr="0057092E">
        <w:rPr>
          <w:rFonts w:asciiTheme="minorHAnsi" w:hAnsiTheme="minorHAnsi" w:cstheme="minorHAnsi"/>
          <w:color w:val="auto"/>
          <w:szCs w:val="22"/>
        </w:rPr>
        <w:t xml:space="preserve"> and Naidu, R., 2025. Constraints and prospects of adoption of </w:t>
      </w:r>
      <w:r>
        <w:rPr>
          <w:rFonts w:asciiTheme="minorHAnsi" w:hAnsiTheme="minorHAnsi" w:cstheme="minorHAnsi"/>
          <w:color w:val="auto"/>
          <w:szCs w:val="22"/>
        </w:rPr>
        <w:t>climate-smart</w:t>
      </w:r>
      <w:r w:rsidRPr="0057092E">
        <w:rPr>
          <w:rFonts w:asciiTheme="minorHAnsi" w:hAnsiTheme="minorHAnsi" w:cstheme="minorHAnsi"/>
          <w:color w:val="auto"/>
          <w:szCs w:val="22"/>
        </w:rPr>
        <w:t xml:space="preserve"> agriculture interventions: </w:t>
      </w:r>
      <w:r>
        <w:rPr>
          <w:rFonts w:asciiTheme="minorHAnsi" w:hAnsiTheme="minorHAnsi" w:cstheme="minorHAnsi"/>
          <w:color w:val="auto"/>
          <w:szCs w:val="22"/>
        </w:rPr>
        <w:t>Implications</w:t>
      </w:r>
      <w:r w:rsidRPr="0057092E">
        <w:rPr>
          <w:rFonts w:asciiTheme="minorHAnsi" w:hAnsiTheme="minorHAnsi" w:cstheme="minorHAnsi"/>
          <w:color w:val="auto"/>
          <w:szCs w:val="22"/>
        </w:rPr>
        <w:t xml:space="preserve"> for farm sustainability. Climate Smart Agriculture, 2(3), p.100066.</w:t>
      </w:r>
    </w:p>
    <w:p w14:paraId="731471CF"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FAO. (2019). The state of food and agriculture: Moving forward on food loss and waste reduction. Rome: Food and Agriculture Organization of the United Nations.</w:t>
      </w:r>
    </w:p>
    <w:p w14:paraId="725F1938"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Feed the Future Bangladesh Climate Smart Agriculture Project. (2023). Project Overview.</w:t>
      </w:r>
    </w:p>
    <w:p w14:paraId="45575F79"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Feed the Future Bangladesh Rice and Diversified Crops Activity. (2021). </w:t>
      </w:r>
      <w:r w:rsidRPr="0057092E">
        <w:rPr>
          <w:rStyle w:val="Emphasis"/>
          <w:rFonts w:asciiTheme="minorHAnsi" w:hAnsiTheme="minorHAnsi" w:cstheme="minorHAnsi"/>
          <w:color w:val="auto"/>
          <w:szCs w:val="22"/>
        </w:rPr>
        <w:t>Annual Progress and Final Performance Report</w:t>
      </w:r>
      <w:r w:rsidRPr="0057092E">
        <w:rPr>
          <w:rFonts w:asciiTheme="minorHAnsi" w:hAnsiTheme="minorHAnsi" w:cstheme="minorHAnsi"/>
          <w:color w:val="auto"/>
          <w:szCs w:val="22"/>
        </w:rPr>
        <w:t xml:space="preserve">. ACDI/VOCA. </w:t>
      </w:r>
    </w:p>
    <w:bookmarkStart w:id="12" w:name="_Hlk209907095"/>
    <w:p w14:paraId="55798178" w14:textId="67107828" w:rsidR="002B22EA" w:rsidRDefault="002B22EA" w:rsidP="002B4B6D">
      <w:pPr>
        <w:pStyle w:val="ListParagraph"/>
        <w:numPr>
          <w:ilvl w:val="0"/>
          <w:numId w:val="3"/>
        </w:numPr>
        <w:spacing w:after="0"/>
      </w:pPr>
      <w:r>
        <w:fldChar w:fldCharType="begin"/>
      </w:r>
      <w:r>
        <w:instrText>HYPERLINK "</w:instrText>
      </w:r>
      <w:r w:rsidRPr="0038058C">
        <w:instrText>https://research.fit.edu/media/site-specific/researchfitedu/coast-climate-adaptation-library/asia-amp-indian-ocean/bangladesh/CFI.--2022.--Catalyzing-Private-Sector-Participation-to-Champion-Climate-Resilient-Agriculture-and-Food-Security.pdf?utm_source=chatgpt.com</w:instrText>
      </w:r>
      <w:r>
        <w:instrText>"</w:instrText>
      </w:r>
      <w:r>
        <w:fldChar w:fldCharType="separate"/>
      </w:r>
      <w:r w:rsidRPr="00A37DC6">
        <w:rPr>
          <w:rStyle w:val="Hyperlink"/>
        </w:rPr>
        <w:t>https://research.fit.edu/media/site-specific/researchfitedu/coast-climate-adaptation-library/asia-amp-indian-ocean/bangladesh/CFI.--2022.--Catalyzing-Private-Sector-Participation-to-Champion-Climate-Resilient-Agriculture-and-Food-Security.pdf?utm_source=chatgpt.com</w:t>
      </w:r>
      <w:r>
        <w:fldChar w:fldCharType="end"/>
      </w:r>
    </w:p>
    <w:p w14:paraId="6EF8F468" w14:textId="05603505" w:rsidR="002B4B6D" w:rsidRPr="002B22EA" w:rsidRDefault="00734439" w:rsidP="002B4B6D">
      <w:pPr>
        <w:pStyle w:val="ListParagraph"/>
        <w:numPr>
          <w:ilvl w:val="0"/>
          <w:numId w:val="3"/>
        </w:numPr>
        <w:autoSpaceDE/>
        <w:autoSpaceDN/>
        <w:adjustRightInd/>
        <w:spacing w:after="0"/>
        <w:jc w:val="left"/>
      </w:pPr>
      <w:r w:rsidRPr="00B13D26">
        <w:t>https://www.aci-bd.com/csv/climate-resilient-agriculture-food-security-project.html?utm_source=chatgpt.com</w:t>
      </w:r>
    </w:p>
    <w:p w14:paraId="43F66E9D" w14:textId="1C1E679C"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Islam, M.K. and Farjana, F., 2024</w:t>
      </w:r>
      <w:bookmarkEnd w:id="12"/>
      <w:r w:rsidRPr="0057092E">
        <w:rPr>
          <w:rFonts w:asciiTheme="minorHAnsi" w:hAnsiTheme="minorHAnsi" w:cstheme="minorHAnsi"/>
          <w:color w:val="auto"/>
          <w:szCs w:val="22"/>
        </w:rPr>
        <w:t>. Impact of climate-smart agriculture practices on multidimensional poverty among coastal farmers in Bangladesh. Communications Earth &amp; Environment, 5(1), p.417.</w:t>
      </w:r>
    </w:p>
    <w:p w14:paraId="5FFE45B7"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Islam, M.N., Rahman, M.H.</w:t>
      </w:r>
      <w:r>
        <w:rPr>
          <w:rFonts w:asciiTheme="minorHAnsi" w:hAnsiTheme="minorHAnsi" w:cstheme="minorHAnsi"/>
          <w:color w:val="auto"/>
          <w:szCs w:val="22"/>
        </w:rPr>
        <w:t>,</w:t>
      </w:r>
      <w:r w:rsidRPr="0057092E">
        <w:rPr>
          <w:rFonts w:asciiTheme="minorHAnsi" w:hAnsiTheme="minorHAnsi" w:cstheme="minorHAnsi"/>
          <w:color w:val="auto"/>
          <w:szCs w:val="22"/>
        </w:rPr>
        <w:t xml:space="preserve"> and Rahman, M.Z., 2023. Adoption of rice production technologies: Experience from farmer field schools in Bangladesh. Bangladesh Rural Dev. Stud, 26(1), pp.49-60.</w:t>
      </w:r>
    </w:p>
    <w:p w14:paraId="38C55EAA"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Khan, M.A.H., Roy, S., Naher, Q., Hossain, M.A. and Sultana, N., 2022. Homestead vegetable production: A means of livelihood and nutritional security for </w:t>
      </w:r>
      <w:r>
        <w:rPr>
          <w:rFonts w:asciiTheme="minorHAnsi" w:hAnsiTheme="minorHAnsi" w:cstheme="minorHAnsi"/>
          <w:color w:val="auto"/>
          <w:szCs w:val="22"/>
        </w:rPr>
        <w:t>resource-poor</w:t>
      </w:r>
      <w:r w:rsidRPr="0057092E">
        <w:rPr>
          <w:rFonts w:asciiTheme="minorHAnsi" w:hAnsiTheme="minorHAnsi" w:cstheme="minorHAnsi"/>
          <w:color w:val="auto"/>
          <w:szCs w:val="22"/>
        </w:rPr>
        <w:t xml:space="preserve"> households in Bangladesh. Bangladesh Journal of Agricultural Research, 47(1), pp.51-68.</w:t>
      </w:r>
    </w:p>
    <w:p w14:paraId="06CD69CA"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bookmarkStart w:id="13" w:name="_Hlk209730344"/>
      <w:r w:rsidRPr="0057092E">
        <w:rPr>
          <w:rFonts w:asciiTheme="minorHAnsi" w:hAnsiTheme="minorHAnsi" w:cstheme="minorHAnsi"/>
          <w:color w:val="auto"/>
          <w:szCs w:val="22"/>
        </w:rPr>
        <w:t>Khan, M.R., Parvez, M.F., Haque, M.S., Tassaine, F.M., Ali, M.M.</w:t>
      </w:r>
      <w:r>
        <w:rPr>
          <w:rFonts w:asciiTheme="minorHAnsi" w:hAnsiTheme="minorHAnsi" w:cstheme="minorHAnsi"/>
          <w:color w:val="auto"/>
          <w:szCs w:val="22"/>
        </w:rPr>
        <w:t>,</w:t>
      </w:r>
      <w:r w:rsidRPr="0057092E">
        <w:rPr>
          <w:rFonts w:asciiTheme="minorHAnsi" w:hAnsiTheme="minorHAnsi" w:cstheme="minorHAnsi"/>
          <w:color w:val="auto"/>
          <w:szCs w:val="22"/>
        </w:rPr>
        <w:t xml:space="preserve"> and Khatun, T., 2022</w:t>
      </w:r>
      <w:bookmarkEnd w:id="13"/>
      <w:r w:rsidRPr="0057092E">
        <w:rPr>
          <w:rFonts w:asciiTheme="minorHAnsi" w:hAnsiTheme="minorHAnsi" w:cstheme="minorHAnsi"/>
          <w:color w:val="auto"/>
          <w:szCs w:val="22"/>
        </w:rPr>
        <w:t>. Adoption of different farming technologies by the vegetable farmers of Chapainawabganj, Bangladesh. </w:t>
      </w:r>
      <w:r w:rsidRPr="0057092E">
        <w:rPr>
          <w:rFonts w:asciiTheme="minorHAnsi" w:hAnsiTheme="minorHAnsi" w:cstheme="minorHAnsi"/>
          <w:i/>
          <w:iCs/>
          <w:color w:val="auto"/>
          <w:szCs w:val="22"/>
        </w:rPr>
        <w:t>EXIM Bank Agricultural University Bangladesh Journal</w:t>
      </w:r>
      <w:r w:rsidRPr="0057092E">
        <w:rPr>
          <w:rFonts w:asciiTheme="minorHAnsi" w:hAnsiTheme="minorHAnsi" w:cstheme="minorHAnsi"/>
          <w:color w:val="auto"/>
          <w:szCs w:val="22"/>
        </w:rPr>
        <w:t>, </w:t>
      </w:r>
      <w:r w:rsidRPr="0057092E">
        <w:rPr>
          <w:rFonts w:asciiTheme="minorHAnsi" w:hAnsiTheme="minorHAnsi" w:cstheme="minorHAnsi"/>
          <w:i/>
          <w:iCs/>
          <w:color w:val="auto"/>
          <w:szCs w:val="22"/>
        </w:rPr>
        <w:t>4</w:t>
      </w:r>
      <w:r w:rsidRPr="0057092E">
        <w:rPr>
          <w:rFonts w:asciiTheme="minorHAnsi" w:hAnsiTheme="minorHAnsi" w:cstheme="minorHAnsi"/>
          <w:color w:val="auto"/>
          <w:szCs w:val="22"/>
        </w:rPr>
        <w:t>, pp.90-95.</w:t>
      </w:r>
    </w:p>
    <w:p w14:paraId="11602F8B" w14:textId="77777777" w:rsidR="00EB666A"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Khan, T. H. (2023). Bangladesh's food security under input problems: An analysis of constraints and implications. </w:t>
      </w:r>
    </w:p>
    <w:p w14:paraId="69B83E74" w14:textId="38BCCC5F" w:rsidR="000F00FD" w:rsidRPr="000F00FD" w:rsidRDefault="000F00FD" w:rsidP="002B4B6D">
      <w:pPr>
        <w:pStyle w:val="ListParagraph"/>
        <w:numPr>
          <w:ilvl w:val="0"/>
          <w:numId w:val="3"/>
        </w:numPr>
        <w:autoSpaceDE/>
        <w:autoSpaceDN/>
        <w:adjustRightInd/>
        <w:spacing w:after="0"/>
        <w:jc w:val="left"/>
      </w:pPr>
      <w:r w:rsidRPr="000B34C9">
        <w:t>Kolady, D.E. and Awal, M.A., 2018. Seed industry and seed policy reforms in Bangladesh: impacts and implications. </w:t>
      </w:r>
      <w:r w:rsidRPr="000B34C9">
        <w:rPr>
          <w:i/>
          <w:iCs/>
        </w:rPr>
        <w:t>International Food and Agribusiness Management Review</w:t>
      </w:r>
      <w:r w:rsidRPr="000B34C9">
        <w:t>, </w:t>
      </w:r>
      <w:r w:rsidRPr="000B34C9">
        <w:rPr>
          <w:i/>
          <w:iCs/>
        </w:rPr>
        <w:t>21</w:t>
      </w:r>
      <w:r w:rsidRPr="000B34C9">
        <w:t>(7), pp.989-1002.</w:t>
      </w:r>
    </w:p>
    <w:p w14:paraId="320CB413"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shd w:val="clear" w:color="auto" w:fill="FFFFFF"/>
        </w:rPr>
      </w:pPr>
      <w:r w:rsidRPr="0057092E">
        <w:rPr>
          <w:rFonts w:asciiTheme="minorHAnsi" w:hAnsiTheme="minorHAnsi" w:cstheme="minorHAnsi"/>
          <w:color w:val="auto"/>
          <w:szCs w:val="22"/>
          <w:shd w:val="clear" w:color="auto" w:fill="FFFFFF"/>
        </w:rPr>
        <w:t>Margolies, A., Kemp, C.G., Choo, E.M., Levin, C., Olney, D., Kumar, N., Go, A., Alderman, H.</w:t>
      </w:r>
      <w:r>
        <w:rPr>
          <w:rFonts w:asciiTheme="minorHAnsi" w:hAnsiTheme="minorHAnsi" w:cstheme="minorHAnsi"/>
          <w:color w:val="auto"/>
          <w:szCs w:val="22"/>
          <w:shd w:val="clear" w:color="auto" w:fill="FFFFFF"/>
        </w:rPr>
        <w:t>,</w:t>
      </w:r>
      <w:r w:rsidRPr="0057092E">
        <w:rPr>
          <w:rFonts w:asciiTheme="minorHAnsi" w:hAnsiTheme="minorHAnsi" w:cstheme="minorHAnsi"/>
          <w:color w:val="auto"/>
          <w:szCs w:val="22"/>
          <w:shd w:val="clear" w:color="auto" w:fill="FFFFFF"/>
        </w:rPr>
        <w:t xml:space="preserve"> and Gelli, A., 2022. Nutrition-sensitive agriculture programs increase dietary diversity in children under 5 years: a review and meta-analysis. Journal of global health, 12, p.08001.</w:t>
      </w:r>
    </w:p>
    <w:p w14:paraId="2C6508CE"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shd w:val="clear" w:color="auto" w:fill="FFFFFF"/>
        </w:rPr>
      </w:pPr>
      <w:r w:rsidRPr="0057092E">
        <w:rPr>
          <w:rFonts w:asciiTheme="minorHAnsi" w:hAnsiTheme="minorHAnsi" w:cstheme="minorHAnsi"/>
          <w:color w:val="auto"/>
          <w:szCs w:val="22"/>
          <w:shd w:val="clear" w:color="auto" w:fill="FFFFFF"/>
        </w:rPr>
        <w:t>Mbuthia, M., 2019. </w:t>
      </w:r>
      <w:r w:rsidRPr="0057092E">
        <w:rPr>
          <w:rFonts w:asciiTheme="minorHAnsi" w:hAnsiTheme="minorHAnsi" w:cstheme="minorHAnsi"/>
          <w:i/>
          <w:iCs/>
          <w:color w:val="auto"/>
          <w:szCs w:val="22"/>
          <w:shd w:val="clear" w:color="auto" w:fill="FFFFFF"/>
        </w:rPr>
        <w:t>The Role of the Business Sector in Nutrition Sensitive Agriculture in Developing Countries: An Explorative Systematic Review</w:t>
      </w:r>
      <w:r w:rsidRPr="0057092E">
        <w:rPr>
          <w:rFonts w:asciiTheme="minorHAnsi" w:hAnsiTheme="minorHAnsi" w:cstheme="minorHAnsi"/>
          <w:color w:val="auto"/>
          <w:szCs w:val="22"/>
          <w:shd w:val="clear" w:color="auto" w:fill="FFFFFF"/>
        </w:rPr>
        <w:t>.</w:t>
      </w:r>
    </w:p>
    <w:p w14:paraId="3B0FA0C0"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Mohammad, I. and Dey, N.C., 2025. Digital Agriculture Innovations in Bangladesh: A Situational Analysis and Pathways for Future Development. Thunderbird International Business Review, 67(3), pp.287-311.</w:t>
      </w:r>
    </w:p>
    <w:p w14:paraId="6196BE63"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Nosratabadi, S., Mosavi, A. and Lakner, Z., 2020. Food supply chain and business model innovation. Foods, 9(2), p.132.</w:t>
      </w:r>
    </w:p>
    <w:p w14:paraId="6F12D798" w14:textId="5A706115"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 xml:space="preserve">Ruel, M.T. and Alderman, H., 2013. Nutrition-sensitive interventions and </w:t>
      </w:r>
      <w:r>
        <w:rPr>
          <w:rFonts w:asciiTheme="minorHAnsi" w:hAnsiTheme="minorHAnsi" w:cstheme="minorHAnsi"/>
          <w:color w:val="auto"/>
          <w:szCs w:val="22"/>
        </w:rPr>
        <w:t>programs</w:t>
      </w:r>
      <w:r w:rsidRPr="0057092E">
        <w:rPr>
          <w:rFonts w:asciiTheme="minorHAnsi" w:hAnsiTheme="minorHAnsi" w:cstheme="minorHAnsi"/>
          <w:color w:val="auto"/>
          <w:szCs w:val="22"/>
        </w:rPr>
        <w:t>: how can they help to accelerate progress in improving maternal and child nutrition?. </w:t>
      </w:r>
      <w:r w:rsidRPr="0057092E">
        <w:rPr>
          <w:rFonts w:asciiTheme="minorHAnsi" w:hAnsiTheme="minorHAnsi" w:cstheme="minorHAnsi"/>
          <w:i/>
          <w:iCs/>
          <w:color w:val="auto"/>
          <w:szCs w:val="22"/>
        </w:rPr>
        <w:t xml:space="preserve">The </w:t>
      </w:r>
      <w:r>
        <w:rPr>
          <w:rFonts w:asciiTheme="minorHAnsi" w:hAnsiTheme="minorHAnsi" w:cstheme="minorHAnsi"/>
          <w:i/>
          <w:iCs/>
          <w:color w:val="auto"/>
          <w:szCs w:val="22"/>
        </w:rPr>
        <w:t>Lancet</w:t>
      </w:r>
      <w:r w:rsidRPr="0057092E">
        <w:rPr>
          <w:rFonts w:asciiTheme="minorHAnsi" w:hAnsiTheme="minorHAnsi" w:cstheme="minorHAnsi"/>
          <w:color w:val="auto"/>
          <w:szCs w:val="22"/>
        </w:rPr>
        <w:t>, </w:t>
      </w:r>
      <w:r w:rsidRPr="0057092E">
        <w:rPr>
          <w:rFonts w:asciiTheme="minorHAnsi" w:hAnsiTheme="minorHAnsi" w:cstheme="minorHAnsi"/>
          <w:i/>
          <w:iCs/>
          <w:color w:val="auto"/>
          <w:szCs w:val="22"/>
        </w:rPr>
        <w:t>382</w:t>
      </w:r>
      <w:r w:rsidRPr="0057092E">
        <w:rPr>
          <w:rFonts w:asciiTheme="minorHAnsi" w:hAnsiTheme="minorHAnsi" w:cstheme="minorHAnsi"/>
          <w:color w:val="auto"/>
          <w:szCs w:val="22"/>
        </w:rPr>
        <w:t>(9891), pp.536-551.</w:t>
      </w:r>
    </w:p>
    <w:p w14:paraId="40E5D72F" w14:textId="720E8F43"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Schreinemachers, P., Kumar, S.S.</w:t>
      </w:r>
      <w:r w:rsidR="00957E63">
        <w:rPr>
          <w:rFonts w:asciiTheme="minorHAnsi" w:hAnsiTheme="minorHAnsi" w:cstheme="minorHAnsi"/>
          <w:color w:val="auto"/>
          <w:szCs w:val="22"/>
        </w:rPr>
        <w:t>,</w:t>
      </w:r>
      <w:r w:rsidRPr="0057092E">
        <w:rPr>
          <w:rFonts w:asciiTheme="minorHAnsi" w:hAnsiTheme="minorHAnsi" w:cstheme="minorHAnsi"/>
          <w:color w:val="auto"/>
          <w:szCs w:val="22"/>
        </w:rPr>
        <w:t xml:space="preserve"> Uddin, N.M., 2025. Impact of home gardens promoted among urban residents in Dhaka, Bangladesh. Food Security, pp.1-14.</w:t>
      </w:r>
    </w:p>
    <w:p w14:paraId="4C7CEE61"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shd w:val="clear" w:color="auto" w:fill="FFFFFF"/>
        </w:rPr>
      </w:pPr>
      <w:r w:rsidRPr="0057092E">
        <w:rPr>
          <w:rFonts w:asciiTheme="minorHAnsi" w:hAnsiTheme="minorHAnsi" w:cstheme="minorHAnsi"/>
          <w:color w:val="auto"/>
          <w:szCs w:val="22"/>
          <w:shd w:val="clear" w:color="auto" w:fill="FFFFFF"/>
        </w:rPr>
        <w:lastRenderedPageBreak/>
        <w:t>Shankar, B., Poole, N. and Bird, F.A., 2019. Agricultural inputs and nutrition in South Asia. </w:t>
      </w:r>
      <w:r w:rsidRPr="0057092E">
        <w:rPr>
          <w:rFonts w:asciiTheme="minorHAnsi" w:hAnsiTheme="minorHAnsi" w:cstheme="minorHAnsi"/>
          <w:i/>
          <w:iCs/>
          <w:color w:val="auto"/>
          <w:szCs w:val="22"/>
          <w:shd w:val="clear" w:color="auto" w:fill="FFFFFF"/>
        </w:rPr>
        <w:t>Food Policy</w:t>
      </w:r>
      <w:r w:rsidRPr="0057092E">
        <w:rPr>
          <w:rFonts w:asciiTheme="minorHAnsi" w:hAnsiTheme="minorHAnsi" w:cstheme="minorHAnsi"/>
          <w:color w:val="auto"/>
          <w:szCs w:val="22"/>
          <w:shd w:val="clear" w:color="auto" w:fill="FFFFFF"/>
        </w:rPr>
        <w:t>, </w:t>
      </w:r>
      <w:r w:rsidRPr="0057092E">
        <w:rPr>
          <w:rFonts w:asciiTheme="minorHAnsi" w:hAnsiTheme="minorHAnsi" w:cstheme="minorHAnsi"/>
          <w:i/>
          <w:iCs/>
          <w:color w:val="auto"/>
          <w:szCs w:val="22"/>
          <w:shd w:val="clear" w:color="auto" w:fill="FFFFFF"/>
        </w:rPr>
        <w:t>82</w:t>
      </w:r>
      <w:r w:rsidRPr="0057092E">
        <w:rPr>
          <w:rFonts w:asciiTheme="minorHAnsi" w:hAnsiTheme="minorHAnsi" w:cstheme="minorHAnsi"/>
          <w:color w:val="auto"/>
          <w:szCs w:val="22"/>
          <w:shd w:val="clear" w:color="auto" w:fill="FFFFFF"/>
        </w:rPr>
        <w:t>, pp.28-38.</w:t>
      </w:r>
    </w:p>
    <w:p w14:paraId="6FD1E3F0"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shd w:val="clear" w:color="auto" w:fill="FFFFFF"/>
        </w:rPr>
      </w:pPr>
      <w:r w:rsidRPr="0057092E">
        <w:rPr>
          <w:rFonts w:asciiTheme="minorHAnsi" w:hAnsiTheme="minorHAnsi" w:cstheme="minorHAnsi"/>
          <w:color w:val="auto"/>
          <w:szCs w:val="22"/>
          <w:shd w:val="clear" w:color="auto" w:fill="FFFFFF"/>
        </w:rPr>
        <w:t>Sharma, I.K., Essink, D., Fumado, V., Mridha, M.K., Bhattacharjee, L. and Broerse, J.E., 2021. What influences the implementation and sustainability of nutrition-sensitive agriculture interventions? A case study from southern Bangladesh. Sustainability, 13(21), p.12049.</w:t>
      </w:r>
    </w:p>
    <w:p w14:paraId="6222732F"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bookmarkStart w:id="14" w:name="_Hlk209734475"/>
      <w:r w:rsidRPr="0057092E">
        <w:rPr>
          <w:rFonts w:asciiTheme="minorHAnsi" w:hAnsiTheme="minorHAnsi" w:cstheme="minorHAnsi"/>
          <w:color w:val="auto"/>
          <w:szCs w:val="22"/>
        </w:rPr>
        <w:t>Titumir, R.A.M., 2021</w:t>
      </w:r>
      <w:bookmarkEnd w:id="14"/>
      <w:r w:rsidRPr="0057092E">
        <w:rPr>
          <w:rFonts w:asciiTheme="minorHAnsi" w:hAnsiTheme="minorHAnsi" w:cstheme="minorHAnsi"/>
          <w:color w:val="auto"/>
          <w:szCs w:val="22"/>
        </w:rPr>
        <w:t>. Agriculture in Bangladesh. In Numbers and Narratives in Bangladesh's Economic Development (pp. 33-61). Singapore: Springer Singapore.</w:t>
      </w:r>
    </w:p>
    <w:p w14:paraId="5EA9BBCC" w14:textId="77777777" w:rsidR="00EB666A" w:rsidRPr="0057092E" w:rsidRDefault="00EB666A" w:rsidP="002B4B6D">
      <w:pPr>
        <w:pStyle w:val="ListParagraph"/>
        <w:numPr>
          <w:ilvl w:val="0"/>
          <w:numId w:val="3"/>
        </w:numPr>
        <w:autoSpaceDE/>
        <w:autoSpaceDN/>
        <w:adjustRightInd/>
        <w:spacing w:after="0"/>
        <w:rPr>
          <w:rFonts w:asciiTheme="minorHAnsi" w:hAnsiTheme="minorHAnsi" w:cstheme="minorHAnsi"/>
          <w:color w:val="auto"/>
          <w:szCs w:val="22"/>
        </w:rPr>
      </w:pPr>
      <w:r w:rsidRPr="0057092E">
        <w:rPr>
          <w:rFonts w:asciiTheme="minorHAnsi" w:hAnsiTheme="minorHAnsi" w:cstheme="minorHAnsi"/>
          <w:color w:val="auto"/>
          <w:szCs w:val="22"/>
        </w:rPr>
        <w:t>World Bank. (2020). Bangladesh agriculture, food security, and nutrition report. Washington, DC: World Bank Group.</w:t>
      </w:r>
    </w:p>
    <w:sectPr w:rsidR="00EB666A" w:rsidRPr="0057092E" w:rsidSect="003F1A4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17C24" w14:textId="77777777" w:rsidR="00827651" w:rsidRDefault="00827651" w:rsidP="008F1FF0">
      <w:pPr>
        <w:spacing w:after="0"/>
      </w:pPr>
      <w:r>
        <w:separator/>
      </w:r>
    </w:p>
  </w:endnote>
  <w:endnote w:type="continuationSeparator" w:id="0">
    <w:p w14:paraId="4CD192FD" w14:textId="77777777" w:rsidR="00827651" w:rsidRDefault="00827651" w:rsidP="008F1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Gill Sans">
    <w:altName w:val="Calibri"/>
    <w:charset w:val="B1"/>
    <w:family w:val="swiss"/>
    <w:pitch w:val="variable"/>
    <w:sig w:usb0="80000A67" w:usb1="00000000" w:usb2="00000000" w:usb3="00000000" w:csb0="000001F7"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4E26" w14:textId="77777777" w:rsidR="00B64A3B" w:rsidRDefault="00B64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2E95" w14:textId="77777777" w:rsidR="00B64A3B" w:rsidRDefault="00B64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A260" w14:textId="77777777" w:rsidR="00B64A3B" w:rsidRDefault="00B6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E4009" w14:textId="77777777" w:rsidR="00827651" w:rsidRDefault="00827651" w:rsidP="008F1FF0">
      <w:pPr>
        <w:spacing w:after="0"/>
      </w:pPr>
      <w:r>
        <w:separator/>
      </w:r>
    </w:p>
  </w:footnote>
  <w:footnote w:type="continuationSeparator" w:id="0">
    <w:p w14:paraId="585335A2" w14:textId="77777777" w:rsidR="00827651" w:rsidRDefault="00827651" w:rsidP="008F1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F98F" w14:textId="3797FA91" w:rsidR="00B64A3B" w:rsidRDefault="00827651">
    <w:pPr>
      <w:pStyle w:val="Header"/>
    </w:pPr>
    <w:r>
      <w:pict w14:anchorId="0FF4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622938" o:spid="_x0000_s2050" type="#_x0000_t136" style="position:absolute;left:0;text-align:left;margin-left:0;margin-top:0;width:578.4pt;height:57.8pt;rotation:315;z-index:-251655168;mso-position-horizontal:center;mso-position-horizontal-relative:margin;mso-position-vertical:center;mso-position-vertical-relative:margin" o:allowincell="f" fillcolor="silver" stroked="f">
          <v:fill opacity=".5"/>
          <v:textpath style="font-family:&quot;Gill Sans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695CE" w14:textId="4832117E" w:rsidR="00B64A3B" w:rsidRDefault="00827651">
    <w:pPr>
      <w:pStyle w:val="Header"/>
    </w:pPr>
    <w:r>
      <w:pict w14:anchorId="52169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622939" o:spid="_x0000_s2051" type="#_x0000_t136" style="position:absolute;left:0;text-align:left;margin-left:0;margin-top:0;width:578.4pt;height:57.8pt;rotation:315;z-index:-251653120;mso-position-horizontal:center;mso-position-horizontal-relative:margin;mso-position-vertical:center;mso-position-vertical-relative:margin" o:allowincell="f" fillcolor="silver" stroked="f">
          <v:fill opacity=".5"/>
          <v:textpath style="font-family:&quot;Gill Sans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0E20" w14:textId="1C690184" w:rsidR="00B64A3B" w:rsidRDefault="00827651">
    <w:pPr>
      <w:pStyle w:val="Header"/>
    </w:pPr>
    <w:r>
      <w:pict w14:anchorId="492E9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622937" o:spid="_x0000_s2049" type="#_x0000_t136" style="position:absolute;left:0;text-align:left;margin-left:0;margin-top:0;width:578.4pt;height:57.8pt;rotation:315;z-index:-251657216;mso-position-horizontal:center;mso-position-horizontal-relative:margin;mso-position-vertical:center;mso-position-vertical-relative:margin" o:allowincell="f" fillcolor="silver" stroked="f">
          <v:fill opacity=".5"/>
          <v:textpath style="font-family:&quot;Gill Sans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358"/>
    <w:multiLevelType w:val="hybridMultilevel"/>
    <w:tmpl w:val="EC1C7E7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B8466C"/>
    <w:multiLevelType w:val="hybridMultilevel"/>
    <w:tmpl w:val="9E64F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324EA"/>
    <w:multiLevelType w:val="hybridMultilevel"/>
    <w:tmpl w:val="9042CF88"/>
    <w:lvl w:ilvl="0" w:tplc="D78A43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62A1F"/>
    <w:multiLevelType w:val="multilevel"/>
    <w:tmpl w:val="8E2E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74164"/>
    <w:multiLevelType w:val="multilevel"/>
    <w:tmpl w:val="44FE55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EAE30AA"/>
    <w:multiLevelType w:val="hybridMultilevel"/>
    <w:tmpl w:val="7CF2F16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0"/>
  </w:num>
  <w:num w:numId="5">
    <w:abstractNumId w:val="3"/>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NLY0sjAwMzc2tjBR0lEKTi0uzszPAykwNKsFAKEGLUstAAAA"/>
  </w:docVars>
  <w:rsids>
    <w:rsidRoot w:val="008F1FF0"/>
    <w:rsid w:val="000005E5"/>
    <w:rsid w:val="000039FA"/>
    <w:rsid w:val="00006351"/>
    <w:rsid w:val="0002267C"/>
    <w:rsid w:val="00025EF4"/>
    <w:rsid w:val="00031CA6"/>
    <w:rsid w:val="00036F43"/>
    <w:rsid w:val="00041AA1"/>
    <w:rsid w:val="00043085"/>
    <w:rsid w:val="0004640A"/>
    <w:rsid w:val="0005094A"/>
    <w:rsid w:val="0006446C"/>
    <w:rsid w:val="0006577F"/>
    <w:rsid w:val="00065912"/>
    <w:rsid w:val="00074467"/>
    <w:rsid w:val="000750F3"/>
    <w:rsid w:val="00077536"/>
    <w:rsid w:val="00077AFF"/>
    <w:rsid w:val="00081FF4"/>
    <w:rsid w:val="000939DF"/>
    <w:rsid w:val="00095DC5"/>
    <w:rsid w:val="000A01B9"/>
    <w:rsid w:val="000A0F55"/>
    <w:rsid w:val="000A4E45"/>
    <w:rsid w:val="000B2D0B"/>
    <w:rsid w:val="000B6755"/>
    <w:rsid w:val="000B7D29"/>
    <w:rsid w:val="000C15DD"/>
    <w:rsid w:val="000C35A0"/>
    <w:rsid w:val="000C3E3A"/>
    <w:rsid w:val="000C48A3"/>
    <w:rsid w:val="000C6AD3"/>
    <w:rsid w:val="000D216A"/>
    <w:rsid w:val="000D5F9E"/>
    <w:rsid w:val="000E1AEF"/>
    <w:rsid w:val="000E2A16"/>
    <w:rsid w:val="000E2F54"/>
    <w:rsid w:val="000E3A6C"/>
    <w:rsid w:val="000F00FD"/>
    <w:rsid w:val="000F09D8"/>
    <w:rsid w:val="000F5049"/>
    <w:rsid w:val="000F7BF0"/>
    <w:rsid w:val="001046A7"/>
    <w:rsid w:val="0010492D"/>
    <w:rsid w:val="001068DF"/>
    <w:rsid w:val="00110BF3"/>
    <w:rsid w:val="001122D2"/>
    <w:rsid w:val="00124F39"/>
    <w:rsid w:val="00124FC4"/>
    <w:rsid w:val="001303CC"/>
    <w:rsid w:val="00130F95"/>
    <w:rsid w:val="0013169A"/>
    <w:rsid w:val="00141B7F"/>
    <w:rsid w:val="00141CDA"/>
    <w:rsid w:val="00143F7C"/>
    <w:rsid w:val="00144BE5"/>
    <w:rsid w:val="00147529"/>
    <w:rsid w:val="00151E4F"/>
    <w:rsid w:val="00152CF2"/>
    <w:rsid w:val="00156281"/>
    <w:rsid w:val="001630F9"/>
    <w:rsid w:val="00164777"/>
    <w:rsid w:val="0016682C"/>
    <w:rsid w:val="001705BE"/>
    <w:rsid w:val="00171BD7"/>
    <w:rsid w:val="00175B33"/>
    <w:rsid w:val="00177125"/>
    <w:rsid w:val="001924C6"/>
    <w:rsid w:val="00195F4E"/>
    <w:rsid w:val="001962E7"/>
    <w:rsid w:val="00197047"/>
    <w:rsid w:val="001A0485"/>
    <w:rsid w:val="001A1B59"/>
    <w:rsid w:val="001A2A60"/>
    <w:rsid w:val="001A3EC3"/>
    <w:rsid w:val="001B4F6E"/>
    <w:rsid w:val="001B5465"/>
    <w:rsid w:val="001B653A"/>
    <w:rsid w:val="001B6F2D"/>
    <w:rsid w:val="001C6E4B"/>
    <w:rsid w:val="001E1D53"/>
    <w:rsid w:val="001E2EC0"/>
    <w:rsid w:val="001E3ABE"/>
    <w:rsid w:val="001E637F"/>
    <w:rsid w:val="001F0450"/>
    <w:rsid w:val="001F39E8"/>
    <w:rsid w:val="001F5E34"/>
    <w:rsid w:val="001F6403"/>
    <w:rsid w:val="00201455"/>
    <w:rsid w:val="00204243"/>
    <w:rsid w:val="002060B5"/>
    <w:rsid w:val="00221F0D"/>
    <w:rsid w:val="00222965"/>
    <w:rsid w:val="002242FC"/>
    <w:rsid w:val="002255AC"/>
    <w:rsid w:val="00230CFD"/>
    <w:rsid w:val="0023243F"/>
    <w:rsid w:val="00233818"/>
    <w:rsid w:val="0023422F"/>
    <w:rsid w:val="00240EBC"/>
    <w:rsid w:val="0024458D"/>
    <w:rsid w:val="00245530"/>
    <w:rsid w:val="00256B10"/>
    <w:rsid w:val="00257ED4"/>
    <w:rsid w:val="00263D19"/>
    <w:rsid w:val="002664F7"/>
    <w:rsid w:val="00276623"/>
    <w:rsid w:val="0028054E"/>
    <w:rsid w:val="00281FA7"/>
    <w:rsid w:val="00290C1A"/>
    <w:rsid w:val="00296D08"/>
    <w:rsid w:val="0029762C"/>
    <w:rsid w:val="002A2BE1"/>
    <w:rsid w:val="002A3294"/>
    <w:rsid w:val="002A5293"/>
    <w:rsid w:val="002B12DC"/>
    <w:rsid w:val="002B22EA"/>
    <w:rsid w:val="002B4B6D"/>
    <w:rsid w:val="002B5B52"/>
    <w:rsid w:val="002C1F30"/>
    <w:rsid w:val="002C58A0"/>
    <w:rsid w:val="002C7A75"/>
    <w:rsid w:val="002E78D9"/>
    <w:rsid w:val="002F0DF7"/>
    <w:rsid w:val="002F3AED"/>
    <w:rsid w:val="002F48E6"/>
    <w:rsid w:val="002F71BF"/>
    <w:rsid w:val="002F73CD"/>
    <w:rsid w:val="00302267"/>
    <w:rsid w:val="00304D64"/>
    <w:rsid w:val="00304E91"/>
    <w:rsid w:val="00305DE9"/>
    <w:rsid w:val="003072C1"/>
    <w:rsid w:val="0031255A"/>
    <w:rsid w:val="00313B7D"/>
    <w:rsid w:val="00317A3D"/>
    <w:rsid w:val="00324545"/>
    <w:rsid w:val="00324D50"/>
    <w:rsid w:val="00326C4D"/>
    <w:rsid w:val="003335F2"/>
    <w:rsid w:val="00336C57"/>
    <w:rsid w:val="00340717"/>
    <w:rsid w:val="0034302E"/>
    <w:rsid w:val="00345E53"/>
    <w:rsid w:val="00346017"/>
    <w:rsid w:val="00360BE3"/>
    <w:rsid w:val="00362B43"/>
    <w:rsid w:val="00366D5A"/>
    <w:rsid w:val="00367AFC"/>
    <w:rsid w:val="00371858"/>
    <w:rsid w:val="00375F4D"/>
    <w:rsid w:val="00380FC1"/>
    <w:rsid w:val="00383C62"/>
    <w:rsid w:val="003840FA"/>
    <w:rsid w:val="003850AE"/>
    <w:rsid w:val="00391E36"/>
    <w:rsid w:val="00394801"/>
    <w:rsid w:val="003971CF"/>
    <w:rsid w:val="003A01E9"/>
    <w:rsid w:val="003A12F9"/>
    <w:rsid w:val="003A1D7C"/>
    <w:rsid w:val="003A5095"/>
    <w:rsid w:val="003B2112"/>
    <w:rsid w:val="003B2D77"/>
    <w:rsid w:val="003C4B02"/>
    <w:rsid w:val="003C5305"/>
    <w:rsid w:val="003C586F"/>
    <w:rsid w:val="003C5C33"/>
    <w:rsid w:val="003D04E6"/>
    <w:rsid w:val="003D6857"/>
    <w:rsid w:val="003E2721"/>
    <w:rsid w:val="003E2FD8"/>
    <w:rsid w:val="003E4C60"/>
    <w:rsid w:val="003E7FF0"/>
    <w:rsid w:val="003F151C"/>
    <w:rsid w:val="003F1A49"/>
    <w:rsid w:val="003F366D"/>
    <w:rsid w:val="003F370D"/>
    <w:rsid w:val="003F70FC"/>
    <w:rsid w:val="004010E8"/>
    <w:rsid w:val="00411C84"/>
    <w:rsid w:val="00412A50"/>
    <w:rsid w:val="004154F6"/>
    <w:rsid w:val="004156AC"/>
    <w:rsid w:val="00420D5E"/>
    <w:rsid w:val="004216A4"/>
    <w:rsid w:val="004224EE"/>
    <w:rsid w:val="00424B92"/>
    <w:rsid w:val="004255B7"/>
    <w:rsid w:val="00425C58"/>
    <w:rsid w:val="00427B72"/>
    <w:rsid w:val="00432926"/>
    <w:rsid w:val="00435870"/>
    <w:rsid w:val="0044217E"/>
    <w:rsid w:val="004454FE"/>
    <w:rsid w:val="00451C58"/>
    <w:rsid w:val="00453A4B"/>
    <w:rsid w:val="00461273"/>
    <w:rsid w:val="0046481E"/>
    <w:rsid w:val="00464CEC"/>
    <w:rsid w:val="00470B83"/>
    <w:rsid w:val="00482274"/>
    <w:rsid w:val="004837F4"/>
    <w:rsid w:val="004901AF"/>
    <w:rsid w:val="004A2886"/>
    <w:rsid w:val="004A3156"/>
    <w:rsid w:val="004A6BDD"/>
    <w:rsid w:val="004B23FA"/>
    <w:rsid w:val="004C125F"/>
    <w:rsid w:val="004C5E93"/>
    <w:rsid w:val="004C6DA3"/>
    <w:rsid w:val="004D08D6"/>
    <w:rsid w:val="004D15D9"/>
    <w:rsid w:val="004D6351"/>
    <w:rsid w:val="004E0C92"/>
    <w:rsid w:val="004E3DBF"/>
    <w:rsid w:val="004E50A8"/>
    <w:rsid w:val="004E7B03"/>
    <w:rsid w:val="00503C4D"/>
    <w:rsid w:val="00505508"/>
    <w:rsid w:val="00507F5E"/>
    <w:rsid w:val="00510BBF"/>
    <w:rsid w:val="00525629"/>
    <w:rsid w:val="00533F2D"/>
    <w:rsid w:val="005428CB"/>
    <w:rsid w:val="0055140A"/>
    <w:rsid w:val="0056436A"/>
    <w:rsid w:val="005679DD"/>
    <w:rsid w:val="00570157"/>
    <w:rsid w:val="00570341"/>
    <w:rsid w:val="0057092E"/>
    <w:rsid w:val="00571860"/>
    <w:rsid w:val="00576319"/>
    <w:rsid w:val="00592103"/>
    <w:rsid w:val="00596676"/>
    <w:rsid w:val="005A612E"/>
    <w:rsid w:val="005B2DC8"/>
    <w:rsid w:val="005B4C8A"/>
    <w:rsid w:val="005B5B2D"/>
    <w:rsid w:val="005C39FF"/>
    <w:rsid w:val="005C406A"/>
    <w:rsid w:val="005D180E"/>
    <w:rsid w:val="005D34F4"/>
    <w:rsid w:val="005D4058"/>
    <w:rsid w:val="005F51A2"/>
    <w:rsid w:val="00605379"/>
    <w:rsid w:val="006069DE"/>
    <w:rsid w:val="006074D0"/>
    <w:rsid w:val="0061252E"/>
    <w:rsid w:val="00614F0A"/>
    <w:rsid w:val="00616425"/>
    <w:rsid w:val="0062055D"/>
    <w:rsid w:val="0063125A"/>
    <w:rsid w:val="006317F7"/>
    <w:rsid w:val="006324E6"/>
    <w:rsid w:val="00633A04"/>
    <w:rsid w:val="00643EA5"/>
    <w:rsid w:val="00645E29"/>
    <w:rsid w:val="006462AC"/>
    <w:rsid w:val="00647E1D"/>
    <w:rsid w:val="00647EC5"/>
    <w:rsid w:val="006556C7"/>
    <w:rsid w:val="00663592"/>
    <w:rsid w:val="00663AB1"/>
    <w:rsid w:val="00663ADF"/>
    <w:rsid w:val="00664E55"/>
    <w:rsid w:val="0066587C"/>
    <w:rsid w:val="00673CAC"/>
    <w:rsid w:val="00674CB1"/>
    <w:rsid w:val="00675F70"/>
    <w:rsid w:val="00686A25"/>
    <w:rsid w:val="00695959"/>
    <w:rsid w:val="00695F68"/>
    <w:rsid w:val="00696913"/>
    <w:rsid w:val="006A0A7A"/>
    <w:rsid w:val="006A21B5"/>
    <w:rsid w:val="006A45B0"/>
    <w:rsid w:val="006A5DAD"/>
    <w:rsid w:val="006A7D92"/>
    <w:rsid w:val="006B0421"/>
    <w:rsid w:val="006B09D0"/>
    <w:rsid w:val="006B17B4"/>
    <w:rsid w:val="006B646C"/>
    <w:rsid w:val="006B6970"/>
    <w:rsid w:val="006B7A0A"/>
    <w:rsid w:val="006C19B4"/>
    <w:rsid w:val="006C23BE"/>
    <w:rsid w:val="006C2703"/>
    <w:rsid w:val="006C4D0C"/>
    <w:rsid w:val="006C6A71"/>
    <w:rsid w:val="006C78DB"/>
    <w:rsid w:val="006D3AD6"/>
    <w:rsid w:val="006D3F0E"/>
    <w:rsid w:val="006D76B4"/>
    <w:rsid w:val="006E4A68"/>
    <w:rsid w:val="006F0499"/>
    <w:rsid w:val="007155FC"/>
    <w:rsid w:val="00716A77"/>
    <w:rsid w:val="007170B1"/>
    <w:rsid w:val="00720765"/>
    <w:rsid w:val="007209C3"/>
    <w:rsid w:val="00722624"/>
    <w:rsid w:val="00723D1A"/>
    <w:rsid w:val="007242F7"/>
    <w:rsid w:val="00733AEF"/>
    <w:rsid w:val="00734439"/>
    <w:rsid w:val="007345DE"/>
    <w:rsid w:val="00745E7F"/>
    <w:rsid w:val="007522BD"/>
    <w:rsid w:val="00757A9E"/>
    <w:rsid w:val="0076234F"/>
    <w:rsid w:val="00773D00"/>
    <w:rsid w:val="007755D4"/>
    <w:rsid w:val="0078037F"/>
    <w:rsid w:val="00785A2A"/>
    <w:rsid w:val="0079070B"/>
    <w:rsid w:val="00792356"/>
    <w:rsid w:val="00795A68"/>
    <w:rsid w:val="007A1308"/>
    <w:rsid w:val="007A4D7C"/>
    <w:rsid w:val="007B15E6"/>
    <w:rsid w:val="007C0CAC"/>
    <w:rsid w:val="007C24C5"/>
    <w:rsid w:val="007C347A"/>
    <w:rsid w:val="007D226F"/>
    <w:rsid w:val="007D5779"/>
    <w:rsid w:val="007D57EF"/>
    <w:rsid w:val="007D719A"/>
    <w:rsid w:val="007E2692"/>
    <w:rsid w:val="007E41DB"/>
    <w:rsid w:val="007F0BD7"/>
    <w:rsid w:val="007F296C"/>
    <w:rsid w:val="007F3EC9"/>
    <w:rsid w:val="007F54BA"/>
    <w:rsid w:val="007F5E71"/>
    <w:rsid w:val="00802E3B"/>
    <w:rsid w:val="00803676"/>
    <w:rsid w:val="00803B34"/>
    <w:rsid w:val="0080464B"/>
    <w:rsid w:val="00806D7A"/>
    <w:rsid w:val="00811ACE"/>
    <w:rsid w:val="00814458"/>
    <w:rsid w:val="00820D30"/>
    <w:rsid w:val="00821466"/>
    <w:rsid w:val="00823B89"/>
    <w:rsid w:val="00827651"/>
    <w:rsid w:val="00831E90"/>
    <w:rsid w:val="0084184D"/>
    <w:rsid w:val="00845C6D"/>
    <w:rsid w:val="0085014E"/>
    <w:rsid w:val="00850260"/>
    <w:rsid w:val="00854C24"/>
    <w:rsid w:val="00860D8F"/>
    <w:rsid w:val="00860E63"/>
    <w:rsid w:val="00861802"/>
    <w:rsid w:val="00864109"/>
    <w:rsid w:val="008668A1"/>
    <w:rsid w:val="00870DAC"/>
    <w:rsid w:val="008730E2"/>
    <w:rsid w:val="00874F97"/>
    <w:rsid w:val="00877395"/>
    <w:rsid w:val="008820C2"/>
    <w:rsid w:val="00882614"/>
    <w:rsid w:val="00887BEC"/>
    <w:rsid w:val="00890C4F"/>
    <w:rsid w:val="00892BF8"/>
    <w:rsid w:val="00894B68"/>
    <w:rsid w:val="00895EAE"/>
    <w:rsid w:val="0089661C"/>
    <w:rsid w:val="008969F9"/>
    <w:rsid w:val="008A08FD"/>
    <w:rsid w:val="008A5632"/>
    <w:rsid w:val="008A633D"/>
    <w:rsid w:val="008B03BE"/>
    <w:rsid w:val="008B181E"/>
    <w:rsid w:val="008B458C"/>
    <w:rsid w:val="008B5B74"/>
    <w:rsid w:val="008B7F31"/>
    <w:rsid w:val="008C07D3"/>
    <w:rsid w:val="008D4CF8"/>
    <w:rsid w:val="008E1448"/>
    <w:rsid w:val="008E1B63"/>
    <w:rsid w:val="008E22E7"/>
    <w:rsid w:val="008E4BBC"/>
    <w:rsid w:val="008F1FF0"/>
    <w:rsid w:val="008F348F"/>
    <w:rsid w:val="00900920"/>
    <w:rsid w:val="00901A11"/>
    <w:rsid w:val="0090226D"/>
    <w:rsid w:val="0090298A"/>
    <w:rsid w:val="00902C52"/>
    <w:rsid w:val="00904A58"/>
    <w:rsid w:val="0091584E"/>
    <w:rsid w:val="00921954"/>
    <w:rsid w:val="00922534"/>
    <w:rsid w:val="00923863"/>
    <w:rsid w:val="00927A05"/>
    <w:rsid w:val="0093319E"/>
    <w:rsid w:val="0093753B"/>
    <w:rsid w:val="00942F1E"/>
    <w:rsid w:val="009432B9"/>
    <w:rsid w:val="00950D16"/>
    <w:rsid w:val="00954B3B"/>
    <w:rsid w:val="0095759A"/>
    <w:rsid w:val="00957E63"/>
    <w:rsid w:val="009616AA"/>
    <w:rsid w:val="00962857"/>
    <w:rsid w:val="00965443"/>
    <w:rsid w:val="00970843"/>
    <w:rsid w:val="00980407"/>
    <w:rsid w:val="00980B47"/>
    <w:rsid w:val="00987DC9"/>
    <w:rsid w:val="009906EB"/>
    <w:rsid w:val="0099325C"/>
    <w:rsid w:val="009A082C"/>
    <w:rsid w:val="009A0F76"/>
    <w:rsid w:val="009A198B"/>
    <w:rsid w:val="009A43E9"/>
    <w:rsid w:val="009A5CDA"/>
    <w:rsid w:val="009B28CE"/>
    <w:rsid w:val="009B37B2"/>
    <w:rsid w:val="009B3F59"/>
    <w:rsid w:val="009B5720"/>
    <w:rsid w:val="009B6FD7"/>
    <w:rsid w:val="009C3FFF"/>
    <w:rsid w:val="009D0729"/>
    <w:rsid w:val="009D39F8"/>
    <w:rsid w:val="009D3E4E"/>
    <w:rsid w:val="009D411A"/>
    <w:rsid w:val="009D5E88"/>
    <w:rsid w:val="009E5ED0"/>
    <w:rsid w:val="009E655E"/>
    <w:rsid w:val="009F0B3E"/>
    <w:rsid w:val="009F4DBC"/>
    <w:rsid w:val="00A03F22"/>
    <w:rsid w:val="00A044CA"/>
    <w:rsid w:val="00A11916"/>
    <w:rsid w:val="00A11A24"/>
    <w:rsid w:val="00A151C8"/>
    <w:rsid w:val="00A208B5"/>
    <w:rsid w:val="00A31FAB"/>
    <w:rsid w:val="00A35A6D"/>
    <w:rsid w:val="00A4066F"/>
    <w:rsid w:val="00A42BC5"/>
    <w:rsid w:val="00A47414"/>
    <w:rsid w:val="00A47693"/>
    <w:rsid w:val="00A54DAB"/>
    <w:rsid w:val="00A55332"/>
    <w:rsid w:val="00A55CBB"/>
    <w:rsid w:val="00A6024F"/>
    <w:rsid w:val="00A61CAE"/>
    <w:rsid w:val="00A62B7B"/>
    <w:rsid w:val="00A71380"/>
    <w:rsid w:val="00A768B3"/>
    <w:rsid w:val="00A87D64"/>
    <w:rsid w:val="00A913CB"/>
    <w:rsid w:val="00A92623"/>
    <w:rsid w:val="00A9542A"/>
    <w:rsid w:val="00A96F0D"/>
    <w:rsid w:val="00AA09DE"/>
    <w:rsid w:val="00AA2EBE"/>
    <w:rsid w:val="00AA4A82"/>
    <w:rsid w:val="00AA52EA"/>
    <w:rsid w:val="00AB225B"/>
    <w:rsid w:val="00AB5F26"/>
    <w:rsid w:val="00AC268F"/>
    <w:rsid w:val="00AC6D69"/>
    <w:rsid w:val="00AC79C6"/>
    <w:rsid w:val="00AD0922"/>
    <w:rsid w:val="00AD0951"/>
    <w:rsid w:val="00AD2750"/>
    <w:rsid w:val="00AD7CF6"/>
    <w:rsid w:val="00AE4C6C"/>
    <w:rsid w:val="00AF36CA"/>
    <w:rsid w:val="00AF7892"/>
    <w:rsid w:val="00B0135B"/>
    <w:rsid w:val="00B07299"/>
    <w:rsid w:val="00B23DE9"/>
    <w:rsid w:val="00B241E5"/>
    <w:rsid w:val="00B25635"/>
    <w:rsid w:val="00B317F2"/>
    <w:rsid w:val="00B4541A"/>
    <w:rsid w:val="00B47461"/>
    <w:rsid w:val="00B50EB5"/>
    <w:rsid w:val="00B51892"/>
    <w:rsid w:val="00B5440C"/>
    <w:rsid w:val="00B550DE"/>
    <w:rsid w:val="00B620B0"/>
    <w:rsid w:val="00B62CEC"/>
    <w:rsid w:val="00B642A8"/>
    <w:rsid w:val="00B64A3B"/>
    <w:rsid w:val="00B65646"/>
    <w:rsid w:val="00B65965"/>
    <w:rsid w:val="00B70D6A"/>
    <w:rsid w:val="00B71848"/>
    <w:rsid w:val="00B757C6"/>
    <w:rsid w:val="00B76CD3"/>
    <w:rsid w:val="00B76CFA"/>
    <w:rsid w:val="00B779F7"/>
    <w:rsid w:val="00B84726"/>
    <w:rsid w:val="00B84E66"/>
    <w:rsid w:val="00B93289"/>
    <w:rsid w:val="00B9594B"/>
    <w:rsid w:val="00B97DD8"/>
    <w:rsid w:val="00B97FB7"/>
    <w:rsid w:val="00BA6D81"/>
    <w:rsid w:val="00BB13AB"/>
    <w:rsid w:val="00BB3C99"/>
    <w:rsid w:val="00BB42A4"/>
    <w:rsid w:val="00BC2817"/>
    <w:rsid w:val="00BF1D46"/>
    <w:rsid w:val="00BF7104"/>
    <w:rsid w:val="00C00E29"/>
    <w:rsid w:val="00C11DF4"/>
    <w:rsid w:val="00C1231F"/>
    <w:rsid w:val="00C13361"/>
    <w:rsid w:val="00C13A45"/>
    <w:rsid w:val="00C15D4B"/>
    <w:rsid w:val="00C2447A"/>
    <w:rsid w:val="00C3226A"/>
    <w:rsid w:val="00C340B5"/>
    <w:rsid w:val="00C3516C"/>
    <w:rsid w:val="00C5300B"/>
    <w:rsid w:val="00C534D2"/>
    <w:rsid w:val="00C60DEC"/>
    <w:rsid w:val="00C62054"/>
    <w:rsid w:val="00C62F45"/>
    <w:rsid w:val="00C73E49"/>
    <w:rsid w:val="00C763FB"/>
    <w:rsid w:val="00C83C9F"/>
    <w:rsid w:val="00C878E0"/>
    <w:rsid w:val="00C87C34"/>
    <w:rsid w:val="00C90B98"/>
    <w:rsid w:val="00C9324A"/>
    <w:rsid w:val="00C967F0"/>
    <w:rsid w:val="00C96C0A"/>
    <w:rsid w:val="00CA52AE"/>
    <w:rsid w:val="00CA7908"/>
    <w:rsid w:val="00CB1977"/>
    <w:rsid w:val="00CB1F78"/>
    <w:rsid w:val="00CB5D40"/>
    <w:rsid w:val="00CC62C5"/>
    <w:rsid w:val="00CC7756"/>
    <w:rsid w:val="00CD59BF"/>
    <w:rsid w:val="00CD7AA1"/>
    <w:rsid w:val="00CF6D9F"/>
    <w:rsid w:val="00D000B6"/>
    <w:rsid w:val="00D02C8D"/>
    <w:rsid w:val="00D04135"/>
    <w:rsid w:val="00D0506E"/>
    <w:rsid w:val="00D13712"/>
    <w:rsid w:val="00D14856"/>
    <w:rsid w:val="00D154BD"/>
    <w:rsid w:val="00D15D27"/>
    <w:rsid w:val="00D167C9"/>
    <w:rsid w:val="00D2158A"/>
    <w:rsid w:val="00D2159C"/>
    <w:rsid w:val="00D21779"/>
    <w:rsid w:val="00D2379A"/>
    <w:rsid w:val="00D2693E"/>
    <w:rsid w:val="00D30D61"/>
    <w:rsid w:val="00D3194D"/>
    <w:rsid w:val="00D35896"/>
    <w:rsid w:val="00D43009"/>
    <w:rsid w:val="00D449D9"/>
    <w:rsid w:val="00D4698E"/>
    <w:rsid w:val="00D51C97"/>
    <w:rsid w:val="00D57EFE"/>
    <w:rsid w:val="00D6089B"/>
    <w:rsid w:val="00D6099F"/>
    <w:rsid w:val="00D61639"/>
    <w:rsid w:val="00D63593"/>
    <w:rsid w:val="00D72DCF"/>
    <w:rsid w:val="00D74E2C"/>
    <w:rsid w:val="00D75E92"/>
    <w:rsid w:val="00D763A0"/>
    <w:rsid w:val="00D80A56"/>
    <w:rsid w:val="00D82BBF"/>
    <w:rsid w:val="00D85E8F"/>
    <w:rsid w:val="00D90F3D"/>
    <w:rsid w:val="00D97791"/>
    <w:rsid w:val="00DA0C54"/>
    <w:rsid w:val="00DA4A4A"/>
    <w:rsid w:val="00DA5527"/>
    <w:rsid w:val="00DA67A6"/>
    <w:rsid w:val="00DA6F79"/>
    <w:rsid w:val="00DA7818"/>
    <w:rsid w:val="00DB3D2E"/>
    <w:rsid w:val="00DB5157"/>
    <w:rsid w:val="00DC0A1C"/>
    <w:rsid w:val="00DC7743"/>
    <w:rsid w:val="00DD0F20"/>
    <w:rsid w:val="00DD2500"/>
    <w:rsid w:val="00DD2AAE"/>
    <w:rsid w:val="00DE0A5A"/>
    <w:rsid w:val="00DE1019"/>
    <w:rsid w:val="00DE3E05"/>
    <w:rsid w:val="00DE7105"/>
    <w:rsid w:val="00DE755E"/>
    <w:rsid w:val="00DF000A"/>
    <w:rsid w:val="00DF20B2"/>
    <w:rsid w:val="00DF3D46"/>
    <w:rsid w:val="00DF76FE"/>
    <w:rsid w:val="00DF7F0B"/>
    <w:rsid w:val="00E0399C"/>
    <w:rsid w:val="00E140E4"/>
    <w:rsid w:val="00E167E4"/>
    <w:rsid w:val="00E209BA"/>
    <w:rsid w:val="00E3262D"/>
    <w:rsid w:val="00E330BC"/>
    <w:rsid w:val="00E33F42"/>
    <w:rsid w:val="00E34ED5"/>
    <w:rsid w:val="00E40C60"/>
    <w:rsid w:val="00E434E9"/>
    <w:rsid w:val="00E537D3"/>
    <w:rsid w:val="00E56535"/>
    <w:rsid w:val="00E56D52"/>
    <w:rsid w:val="00E6146A"/>
    <w:rsid w:val="00E61884"/>
    <w:rsid w:val="00E63B53"/>
    <w:rsid w:val="00E67415"/>
    <w:rsid w:val="00E738D8"/>
    <w:rsid w:val="00E8357D"/>
    <w:rsid w:val="00E846B3"/>
    <w:rsid w:val="00E96FE0"/>
    <w:rsid w:val="00EA0B8A"/>
    <w:rsid w:val="00EA1CC0"/>
    <w:rsid w:val="00EA43EB"/>
    <w:rsid w:val="00EA5671"/>
    <w:rsid w:val="00EA7251"/>
    <w:rsid w:val="00EB09B9"/>
    <w:rsid w:val="00EB2196"/>
    <w:rsid w:val="00EB2637"/>
    <w:rsid w:val="00EB666A"/>
    <w:rsid w:val="00EC4015"/>
    <w:rsid w:val="00ED2BF0"/>
    <w:rsid w:val="00ED6F76"/>
    <w:rsid w:val="00EE1103"/>
    <w:rsid w:val="00EE11A9"/>
    <w:rsid w:val="00EE48DB"/>
    <w:rsid w:val="00EF03BA"/>
    <w:rsid w:val="00EF132B"/>
    <w:rsid w:val="00EF244E"/>
    <w:rsid w:val="00EF35A7"/>
    <w:rsid w:val="00EF7B2B"/>
    <w:rsid w:val="00F03267"/>
    <w:rsid w:val="00F03E3B"/>
    <w:rsid w:val="00F05B49"/>
    <w:rsid w:val="00F06CCC"/>
    <w:rsid w:val="00F1445E"/>
    <w:rsid w:val="00F1703E"/>
    <w:rsid w:val="00F1721B"/>
    <w:rsid w:val="00F2150A"/>
    <w:rsid w:val="00F2559C"/>
    <w:rsid w:val="00F3128C"/>
    <w:rsid w:val="00F332B3"/>
    <w:rsid w:val="00F43149"/>
    <w:rsid w:val="00F4322E"/>
    <w:rsid w:val="00F4681A"/>
    <w:rsid w:val="00F520F7"/>
    <w:rsid w:val="00F5286D"/>
    <w:rsid w:val="00F55501"/>
    <w:rsid w:val="00F568E2"/>
    <w:rsid w:val="00F615B9"/>
    <w:rsid w:val="00F65D55"/>
    <w:rsid w:val="00F669F3"/>
    <w:rsid w:val="00F67322"/>
    <w:rsid w:val="00F702CF"/>
    <w:rsid w:val="00F743EC"/>
    <w:rsid w:val="00F74EB0"/>
    <w:rsid w:val="00F766B7"/>
    <w:rsid w:val="00F76977"/>
    <w:rsid w:val="00F779F2"/>
    <w:rsid w:val="00F8172E"/>
    <w:rsid w:val="00F83E1A"/>
    <w:rsid w:val="00F878F0"/>
    <w:rsid w:val="00F914A0"/>
    <w:rsid w:val="00F916E0"/>
    <w:rsid w:val="00F962A6"/>
    <w:rsid w:val="00FA1D9D"/>
    <w:rsid w:val="00FA2012"/>
    <w:rsid w:val="00FA449E"/>
    <w:rsid w:val="00FA5983"/>
    <w:rsid w:val="00FA6226"/>
    <w:rsid w:val="00FA7EBA"/>
    <w:rsid w:val="00FB2F5C"/>
    <w:rsid w:val="00FB3817"/>
    <w:rsid w:val="00FB469B"/>
    <w:rsid w:val="00FB5D04"/>
    <w:rsid w:val="00FC0E9C"/>
    <w:rsid w:val="00FC135A"/>
    <w:rsid w:val="00FC459D"/>
    <w:rsid w:val="00FC547C"/>
    <w:rsid w:val="00FC6008"/>
    <w:rsid w:val="00FD3700"/>
    <w:rsid w:val="00FD7A2A"/>
    <w:rsid w:val="00FE117D"/>
    <w:rsid w:val="00FE1FCA"/>
    <w:rsid w:val="00FE52DB"/>
    <w:rsid w:val="00FE67E9"/>
    <w:rsid w:val="00FE72C6"/>
    <w:rsid w:val="00FF0719"/>
    <w:rsid w:val="00FF0F52"/>
    <w:rsid w:val="00FF102E"/>
    <w:rsid w:val="00FF3814"/>
    <w:rsid w:val="00FF40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EE9197"/>
  <w15:chartTrackingRefBased/>
  <w15:docId w15:val="{9154658C-1A0D-475B-9BF2-43459067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818"/>
    <w:pPr>
      <w:autoSpaceDE w:val="0"/>
      <w:autoSpaceDN w:val="0"/>
      <w:adjustRightInd w:val="0"/>
      <w:spacing w:after="120" w:line="240" w:lineRule="auto"/>
      <w:jc w:val="both"/>
    </w:pPr>
    <w:rPr>
      <w:rFonts w:ascii="Gill Sans MT" w:hAnsi="Gill Sans MT" w:cs="Gill Sans MT"/>
      <w:noProof/>
      <w:color w:val="000000"/>
      <w:szCs w:val="24"/>
    </w:rPr>
  </w:style>
  <w:style w:type="paragraph" w:styleId="Heading1">
    <w:name w:val="heading 1"/>
    <w:basedOn w:val="Normal"/>
    <w:next w:val="Normal"/>
    <w:link w:val="Heading1Char"/>
    <w:uiPriority w:val="9"/>
    <w:qFormat/>
    <w:rsid w:val="008F1F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A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17F2"/>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464C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FF0"/>
    <w:pPr>
      <w:spacing w:after="0" w:line="204" w:lineRule="auto"/>
      <w:contextualSpacing/>
      <w:jc w:val="left"/>
    </w:pPr>
    <w:rPr>
      <w:rFonts w:eastAsiaTheme="majorEastAsia" w:cstheme="majorBidi"/>
      <w:caps/>
      <w:color w:val="44546A" w:themeColor="text2"/>
      <w:spacing w:val="-15"/>
      <w:sz w:val="72"/>
      <w:szCs w:val="72"/>
    </w:rPr>
  </w:style>
  <w:style w:type="character" w:customStyle="1" w:styleId="TitleChar">
    <w:name w:val="Title Char"/>
    <w:basedOn w:val="DefaultParagraphFont"/>
    <w:link w:val="Title"/>
    <w:uiPriority w:val="10"/>
    <w:rsid w:val="008F1FF0"/>
    <w:rPr>
      <w:rFonts w:ascii="Gill Sans MT" w:eastAsiaTheme="majorEastAsia" w:hAnsi="Gill Sans MT" w:cstheme="majorBidi"/>
      <w:caps/>
      <w:noProof/>
      <w:color w:val="44546A" w:themeColor="text2"/>
      <w:spacing w:val="-15"/>
      <w:sz w:val="72"/>
      <w:szCs w:val="72"/>
    </w:rPr>
  </w:style>
  <w:style w:type="character" w:styleId="CommentReference">
    <w:name w:val="annotation reference"/>
    <w:basedOn w:val="DefaultParagraphFont"/>
    <w:uiPriority w:val="99"/>
    <w:semiHidden/>
    <w:unhideWhenUsed/>
    <w:rsid w:val="008F1FF0"/>
    <w:rPr>
      <w:sz w:val="16"/>
      <w:szCs w:val="16"/>
    </w:rPr>
  </w:style>
  <w:style w:type="paragraph" w:styleId="CommentText">
    <w:name w:val="annotation text"/>
    <w:basedOn w:val="Normal"/>
    <w:link w:val="CommentTextChar"/>
    <w:uiPriority w:val="99"/>
    <w:unhideWhenUsed/>
    <w:rsid w:val="008F1FF0"/>
    <w:rPr>
      <w:sz w:val="20"/>
      <w:szCs w:val="20"/>
    </w:rPr>
  </w:style>
  <w:style w:type="character" w:customStyle="1" w:styleId="CommentTextChar">
    <w:name w:val="Comment Text Char"/>
    <w:basedOn w:val="DefaultParagraphFont"/>
    <w:link w:val="CommentText"/>
    <w:uiPriority w:val="99"/>
    <w:rsid w:val="008F1FF0"/>
    <w:rPr>
      <w:rFonts w:ascii="Gill Sans MT" w:hAnsi="Gill Sans MT" w:cs="Gill Sans MT"/>
      <w:noProof/>
      <w:color w:val="000000"/>
      <w:sz w:val="20"/>
      <w:szCs w:val="20"/>
    </w:rPr>
  </w:style>
  <w:style w:type="character" w:customStyle="1" w:styleId="Heading1Char">
    <w:name w:val="Heading 1 Char"/>
    <w:basedOn w:val="DefaultParagraphFont"/>
    <w:link w:val="Heading1"/>
    <w:uiPriority w:val="9"/>
    <w:rsid w:val="008F1FF0"/>
    <w:rPr>
      <w:rFonts w:asciiTheme="majorHAnsi" w:eastAsiaTheme="majorEastAsia" w:hAnsiTheme="majorHAnsi" w:cstheme="majorBidi"/>
      <w:noProof/>
      <w:color w:val="2F5496" w:themeColor="accent1" w:themeShade="BF"/>
      <w:sz w:val="32"/>
      <w:szCs w:val="32"/>
    </w:rPr>
  </w:style>
  <w:style w:type="paragraph" w:styleId="BodyText">
    <w:name w:val="Body Text"/>
    <w:basedOn w:val="Normal"/>
    <w:link w:val="BodyTextChar"/>
    <w:uiPriority w:val="1"/>
    <w:qFormat/>
    <w:rsid w:val="008F1FF0"/>
    <w:pPr>
      <w:autoSpaceDE/>
      <w:autoSpaceDN/>
      <w:adjustRightInd/>
      <w:spacing w:after="220"/>
    </w:pPr>
    <w:rPr>
      <w:rFonts w:ascii="Calibri" w:eastAsia="Times New Roman" w:hAnsi="Calibri" w:cs="Calibri"/>
      <w:color w:val="auto"/>
      <w:szCs w:val="22"/>
    </w:rPr>
  </w:style>
  <w:style w:type="character" w:customStyle="1" w:styleId="BodyTextChar">
    <w:name w:val="Body Text Char"/>
    <w:basedOn w:val="DefaultParagraphFont"/>
    <w:link w:val="BodyText"/>
    <w:uiPriority w:val="1"/>
    <w:rsid w:val="008F1FF0"/>
    <w:rPr>
      <w:rFonts w:ascii="Calibri" w:eastAsia="Times New Roman" w:hAnsi="Calibri" w:cs="Calibri"/>
      <w:noProof/>
    </w:rPr>
  </w:style>
  <w:style w:type="table" w:styleId="TableGrid">
    <w:name w:val="Table Grid"/>
    <w:basedOn w:val="TableNormal"/>
    <w:uiPriority w:val="39"/>
    <w:rsid w:val="008F1FF0"/>
    <w:pPr>
      <w:spacing w:after="120" w:line="240" w:lineRule="auto"/>
      <w:jc w:val="both"/>
    </w:pPr>
    <w:rPr>
      <w:rFonts w:ascii="Gill Sans" w:eastAsia="Gill Sans" w:hAnsi="Gill Sans" w:cs="Gill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8F1FF0"/>
    <w:rPr>
      <w:bCs/>
      <w:i/>
      <w:color w:val="auto"/>
    </w:rPr>
  </w:style>
  <w:style w:type="paragraph" w:styleId="ListParagraph">
    <w:name w:val="List Paragraph"/>
    <w:aliases w:val="Bullet-1,Bullet1,Citation List,List Paragraph (numbered (a)),List Paragraph 1,List Paragraph1,List-Bulleted,ListBullet Paragraph,MCHIP_list paragraph,Main numbered paragraph,Normal 2,Paragraph,Paragraph 2,References,Resume Title,T 1"/>
    <w:basedOn w:val="Normal"/>
    <w:link w:val="ListParagraphChar"/>
    <w:uiPriority w:val="34"/>
    <w:qFormat/>
    <w:rsid w:val="008F1FF0"/>
    <w:pPr>
      <w:ind w:left="720"/>
      <w:contextualSpacing/>
    </w:pPr>
  </w:style>
  <w:style w:type="character" w:customStyle="1" w:styleId="ListParagraphChar">
    <w:name w:val="List Paragraph Char"/>
    <w:aliases w:val="Bullet-1 Char,Bullet1 Char,Citation List Char,List Paragraph (numbered (a)) Char,List Paragraph 1 Char,List Paragraph1 Char,List-Bulleted Char,ListBullet Paragraph Char,MCHIP_list paragraph Char,Main numbered paragraph Char,T 1 Char"/>
    <w:link w:val="ListParagraph"/>
    <w:uiPriority w:val="34"/>
    <w:qFormat/>
    <w:locked/>
    <w:rsid w:val="008F1FF0"/>
    <w:rPr>
      <w:rFonts w:ascii="Gill Sans MT" w:hAnsi="Gill Sans MT" w:cs="Gill Sans MT"/>
      <w:noProof/>
      <w:color w:val="000000"/>
      <w:szCs w:val="24"/>
    </w:rPr>
  </w:style>
  <w:style w:type="paragraph" w:styleId="FootnoteText">
    <w:name w:val="footnote text"/>
    <w:aliases w:val="Car1 Car Car Car1,Car1 Car1,Car1 Car2 Car1,Char,Char Char Char,Nota a pie/Bibliog Car1,Texto nota pie Car Car Car1,Texto nota pie Car1 Car1,f,fn,footnote text,ft,ft Car,ft Car Car,ft Car Car Car,single space,texto de nota al pie Car1"/>
    <w:basedOn w:val="Normal"/>
    <w:link w:val="FootnoteTextChar"/>
    <w:uiPriority w:val="99"/>
    <w:unhideWhenUsed/>
    <w:rsid w:val="008F1FF0"/>
    <w:pPr>
      <w:spacing w:after="0"/>
    </w:pPr>
    <w:rPr>
      <w:sz w:val="20"/>
      <w:szCs w:val="20"/>
    </w:rPr>
  </w:style>
  <w:style w:type="character" w:customStyle="1" w:styleId="FootnoteTextChar">
    <w:name w:val="Footnote Text Char"/>
    <w:aliases w:val="Car1 Car Car Car1 Char,Car1 Car1 Char,Car1 Car2 Car1 Char,Char Char,Char Char Char Char,Nota a pie/Bibliog Car1 Char,Texto nota pie Car Car Car1 Char,Texto nota pie Car1 Car1 Char,f Char,fn Char,footnote text Char,ft Char,ft Car Char"/>
    <w:basedOn w:val="DefaultParagraphFont"/>
    <w:link w:val="FootnoteText"/>
    <w:uiPriority w:val="99"/>
    <w:rsid w:val="008F1FF0"/>
    <w:rPr>
      <w:rFonts w:ascii="Gill Sans MT" w:hAnsi="Gill Sans MT" w:cs="Gill Sans MT"/>
      <w:noProof/>
      <w:color w:val="000000"/>
      <w:sz w:val="20"/>
      <w:szCs w:val="20"/>
    </w:rPr>
  </w:style>
  <w:style w:type="character" w:styleId="FootnoteReference">
    <w:name w:val="footnote reference"/>
    <w:aliases w:val="ftref"/>
    <w:basedOn w:val="DefaultParagraphFont"/>
    <w:uiPriority w:val="99"/>
    <w:unhideWhenUsed/>
    <w:rsid w:val="008F1FF0"/>
    <w:rPr>
      <w:vertAlign w:val="superscript"/>
    </w:rPr>
  </w:style>
  <w:style w:type="character" w:customStyle="1" w:styleId="CaptionChar">
    <w:name w:val="Caption Char"/>
    <w:link w:val="Caption"/>
    <w:uiPriority w:val="35"/>
    <w:rsid w:val="008F1FF0"/>
    <w:rPr>
      <w:rFonts w:ascii="Gill Sans MT" w:hAnsi="Gill Sans MT" w:cs="Gill Sans MT"/>
      <w:bCs/>
      <w:i/>
      <w:noProof/>
      <w:szCs w:val="24"/>
    </w:rPr>
  </w:style>
  <w:style w:type="paragraph" w:customStyle="1" w:styleId="Normal1">
    <w:name w:val="Normal1"/>
    <w:rsid w:val="008F1FF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077AFF"/>
    <w:pPr>
      <w:spacing w:after="0" w:line="240" w:lineRule="auto"/>
      <w:jc w:val="both"/>
    </w:pPr>
    <w:rPr>
      <w:rFonts w:ascii="Gill Sans" w:eastAsia="Gill Sans" w:hAnsi="Gill Sans" w:cs="Gill Sans"/>
    </w:rPr>
  </w:style>
  <w:style w:type="character" w:customStyle="1" w:styleId="NoSpacingChar">
    <w:name w:val="No Spacing Char"/>
    <w:basedOn w:val="DefaultParagraphFont"/>
    <w:link w:val="NoSpacing"/>
    <w:uiPriority w:val="1"/>
    <w:locked/>
    <w:rsid w:val="00077AFF"/>
    <w:rPr>
      <w:rFonts w:ascii="Gill Sans" w:eastAsia="Gill Sans" w:hAnsi="Gill Sans" w:cs="Gill Sans"/>
    </w:rPr>
  </w:style>
  <w:style w:type="character" w:customStyle="1" w:styleId="Heading2Char">
    <w:name w:val="Heading 2 Char"/>
    <w:basedOn w:val="DefaultParagraphFont"/>
    <w:link w:val="Heading2"/>
    <w:uiPriority w:val="9"/>
    <w:rsid w:val="000C6AD3"/>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rsid w:val="00B317F2"/>
    <w:rPr>
      <w:rFonts w:asciiTheme="majorHAnsi" w:eastAsiaTheme="majorEastAsia" w:hAnsiTheme="majorHAnsi" w:cstheme="majorBidi"/>
      <w:noProof/>
      <w:color w:val="1F3763" w:themeColor="accent1" w:themeShade="7F"/>
      <w:sz w:val="24"/>
      <w:szCs w:val="24"/>
    </w:rPr>
  </w:style>
  <w:style w:type="paragraph" w:styleId="Subtitle">
    <w:name w:val="Subtitle"/>
    <w:basedOn w:val="Normal"/>
    <w:next w:val="Normal"/>
    <w:link w:val="SubtitleChar"/>
    <w:uiPriority w:val="11"/>
    <w:qFormat/>
    <w:rsid w:val="00B757C6"/>
    <w:pPr>
      <w:spacing w:after="240"/>
    </w:pPr>
    <w:rPr>
      <w:rFonts w:ascii="Calibri" w:eastAsia="Calibri" w:hAnsi="Calibri" w:cs="Calibri"/>
      <w:color w:val="94A545"/>
      <w:sz w:val="28"/>
      <w:szCs w:val="28"/>
    </w:rPr>
  </w:style>
  <w:style w:type="character" w:customStyle="1" w:styleId="SubtitleChar">
    <w:name w:val="Subtitle Char"/>
    <w:basedOn w:val="DefaultParagraphFont"/>
    <w:link w:val="Subtitle"/>
    <w:uiPriority w:val="11"/>
    <w:rsid w:val="00B757C6"/>
    <w:rPr>
      <w:rFonts w:ascii="Calibri" w:eastAsia="Calibri" w:hAnsi="Calibri" w:cs="Calibri"/>
      <w:noProof/>
      <w:color w:val="94A545"/>
      <w:sz w:val="28"/>
      <w:szCs w:val="28"/>
    </w:rPr>
  </w:style>
  <w:style w:type="paragraph" w:styleId="TOCHeading">
    <w:name w:val="TOC Heading"/>
    <w:basedOn w:val="Heading1"/>
    <w:next w:val="Normal"/>
    <w:uiPriority w:val="39"/>
    <w:unhideWhenUsed/>
    <w:qFormat/>
    <w:rsid w:val="00D90F3D"/>
    <w:pPr>
      <w:autoSpaceDE/>
      <w:autoSpaceDN/>
      <w:adjustRightInd/>
      <w:spacing w:line="259" w:lineRule="auto"/>
      <w:jc w:val="left"/>
      <w:outlineLvl w:val="9"/>
    </w:pPr>
    <w:rPr>
      <w:noProof w:val="0"/>
    </w:rPr>
  </w:style>
  <w:style w:type="paragraph" w:styleId="TOC1">
    <w:name w:val="toc 1"/>
    <w:basedOn w:val="Normal"/>
    <w:next w:val="Normal"/>
    <w:autoRedefine/>
    <w:uiPriority w:val="39"/>
    <w:unhideWhenUsed/>
    <w:rsid w:val="00D90F3D"/>
    <w:pPr>
      <w:spacing w:after="100"/>
    </w:pPr>
  </w:style>
  <w:style w:type="paragraph" w:styleId="TOC2">
    <w:name w:val="toc 2"/>
    <w:basedOn w:val="Normal"/>
    <w:next w:val="Normal"/>
    <w:autoRedefine/>
    <w:uiPriority w:val="39"/>
    <w:unhideWhenUsed/>
    <w:rsid w:val="00D90F3D"/>
    <w:pPr>
      <w:spacing w:after="100"/>
      <w:ind w:left="220"/>
    </w:pPr>
  </w:style>
  <w:style w:type="paragraph" w:styleId="TOC3">
    <w:name w:val="toc 3"/>
    <w:basedOn w:val="Normal"/>
    <w:next w:val="Normal"/>
    <w:autoRedefine/>
    <w:uiPriority w:val="39"/>
    <w:unhideWhenUsed/>
    <w:rsid w:val="00D90F3D"/>
    <w:pPr>
      <w:spacing w:after="100"/>
      <w:ind w:left="440"/>
    </w:pPr>
  </w:style>
  <w:style w:type="character" w:styleId="Hyperlink">
    <w:name w:val="Hyperlink"/>
    <w:basedOn w:val="DefaultParagraphFont"/>
    <w:uiPriority w:val="99"/>
    <w:unhideWhenUsed/>
    <w:rsid w:val="00D90F3D"/>
    <w:rPr>
      <w:color w:val="0563C1" w:themeColor="hyperlink"/>
      <w:u w:val="single"/>
    </w:rPr>
  </w:style>
  <w:style w:type="paragraph" w:styleId="TableofFigures">
    <w:name w:val="table of figures"/>
    <w:basedOn w:val="Normal"/>
    <w:next w:val="Normal"/>
    <w:uiPriority w:val="99"/>
    <w:unhideWhenUsed/>
    <w:rsid w:val="00CD59BF"/>
    <w:pPr>
      <w:spacing w:after="0"/>
    </w:pPr>
  </w:style>
  <w:style w:type="table" w:customStyle="1" w:styleId="PlainTable11">
    <w:name w:val="Plain Table 11"/>
    <w:basedOn w:val="TableNormal"/>
    <w:uiPriority w:val="99"/>
    <w:rsid w:val="006A0A7A"/>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23D1A"/>
    <w:pPr>
      <w:tabs>
        <w:tab w:val="center" w:pos="4680"/>
        <w:tab w:val="right" w:pos="9360"/>
      </w:tabs>
      <w:spacing w:after="0"/>
    </w:pPr>
  </w:style>
  <w:style w:type="character" w:customStyle="1" w:styleId="HeaderChar">
    <w:name w:val="Header Char"/>
    <w:basedOn w:val="DefaultParagraphFont"/>
    <w:link w:val="Header"/>
    <w:uiPriority w:val="99"/>
    <w:rsid w:val="00723D1A"/>
    <w:rPr>
      <w:rFonts w:ascii="Gill Sans MT" w:hAnsi="Gill Sans MT" w:cs="Gill Sans MT"/>
      <w:noProof/>
      <w:color w:val="000000"/>
      <w:szCs w:val="24"/>
    </w:rPr>
  </w:style>
  <w:style w:type="paragraph" w:styleId="Footer">
    <w:name w:val="footer"/>
    <w:basedOn w:val="Normal"/>
    <w:link w:val="FooterChar"/>
    <w:uiPriority w:val="99"/>
    <w:unhideWhenUsed/>
    <w:rsid w:val="00723D1A"/>
    <w:pPr>
      <w:tabs>
        <w:tab w:val="center" w:pos="4680"/>
        <w:tab w:val="right" w:pos="9360"/>
      </w:tabs>
      <w:spacing w:after="0"/>
    </w:pPr>
  </w:style>
  <w:style w:type="character" w:customStyle="1" w:styleId="FooterChar">
    <w:name w:val="Footer Char"/>
    <w:basedOn w:val="DefaultParagraphFont"/>
    <w:link w:val="Footer"/>
    <w:uiPriority w:val="99"/>
    <w:rsid w:val="00723D1A"/>
    <w:rPr>
      <w:rFonts w:ascii="Gill Sans MT" w:hAnsi="Gill Sans MT" w:cs="Gill Sans MT"/>
      <w:noProof/>
      <w:color w:val="000000"/>
      <w:szCs w:val="24"/>
    </w:rPr>
  </w:style>
  <w:style w:type="paragraph" w:styleId="NormalWeb">
    <w:name w:val="Normal (Web)"/>
    <w:basedOn w:val="Normal"/>
    <w:uiPriority w:val="99"/>
    <w:semiHidden/>
    <w:unhideWhenUsed/>
    <w:rsid w:val="00141B7F"/>
    <w:pPr>
      <w:autoSpaceDE/>
      <w:autoSpaceDN/>
      <w:adjustRightInd/>
      <w:spacing w:before="100" w:beforeAutospacing="1" w:after="100" w:afterAutospacing="1"/>
      <w:jc w:val="left"/>
    </w:pPr>
    <w:rPr>
      <w:rFonts w:ascii="Calibri" w:hAnsi="Calibri" w:cs="Calibri"/>
      <w:noProof w:val="0"/>
      <w:color w:val="auto"/>
      <w:szCs w:val="22"/>
      <w:lang w:eastAsia="en-GB" w:bidi="bn-BD"/>
    </w:rPr>
  </w:style>
  <w:style w:type="paragraph" w:customStyle="1" w:styleId="TableParagraph">
    <w:name w:val="Table Paragraph"/>
    <w:basedOn w:val="Normal"/>
    <w:uiPriority w:val="1"/>
    <w:qFormat/>
    <w:rsid w:val="00141B7F"/>
    <w:pPr>
      <w:widowControl w:val="0"/>
      <w:adjustRightInd/>
      <w:spacing w:after="0"/>
      <w:jc w:val="left"/>
    </w:pPr>
    <w:rPr>
      <w:rFonts w:ascii="Carlito" w:eastAsia="Carlito" w:hAnsi="Carlito" w:cs="Carlito"/>
      <w:noProof w:val="0"/>
      <w:color w:val="auto"/>
      <w:szCs w:val="22"/>
    </w:rPr>
  </w:style>
  <w:style w:type="numbering" w:customStyle="1" w:styleId="NoList1">
    <w:name w:val="No List1"/>
    <w:next w:val="NoList"/>
    <w:uiPriority w:val="99"/>
    <w:semiHidden/>
    <w:unhideWhenUsed/>
    <w:rsid w:val="000039FA"/>
  </w:style>
  <w:style w:type="table" w:customStyle="1" w:styleId="TableGrid1">
    <w:name w:val="Table Grid1"/>
    <w:basedOn w:val="TableNormal"/>
    <w:next w:val="TableGrid"/>
    <w:uiPriority w:val="39"/>
    <w:rsid w:val="0000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0039FA"/>
    <w:pPr>
      <w:spacing w:after="0" w:line="240" w:lineRule="auto"/>
    </w:pPr>
    <w:rPr>
      <w:rFonts w:ascii="Gill Sans" w:hAnsi="Gill Sans"/>
      <w:sz w:val="24"/>
    </w:rPr>
  </w:style>
  <w:style w:type="paragraph" w:customStyle="1" w:styleId="CommentSubject1">
    <w:name w:val="Comment Subject1"/>
    <w:basedOn w:val="CommentText"/>
    <w:next w:val="CommentText"/>
    <w:uiPriority w:val="99"/>
    <w:semiHidden/>
    <w:unhideWhenUsed/>
    <w:rsid w:val="000039FA"/>
    <w:pPr>
      <w:autoSpaceDE/>
      <w:autoSpaceDN/>
      <w:adjustRightInd/>
      <w:spacing w:after="160"/>
      <w:jc w:val="left"/>
    </w:pPr>
    <w:rPr>
      <w:rFonts w:ascii="Gill Sans" w:hAnsi="Gill Sans" w:cs="Arial"/>
      <w:b/>
      <w:bCs/>
      <w:noProof w:val="0"/>
      <w:color w:val="auto"/>
    </w:rPr>
  </w:style>
  <w:style w:type="character" w:customStyle="1" w:styleId="CommentSubjectChar">
    <w:name w:val="Comment Subject Char"/>
    <w:basedOn w:val="CommentTextChar"/>
    <w:link w:val="CommentSubject"/>
    <w:uiPriority w:val="99"/>
    <w:semiHidden/>
    <w:rsid w:val="000039FA"/>
    <w:rPr>
      <w:rFonts w:ascii="Gill Sans" w:hAnsi="Gill Sans" w:cs="Gill Sans MT"/>
      <w:b/>
      <w:bCs/>
      <w:noProof/>
      <w:color w:val="000000"/>
      <w:sz w:val="20"/>
      <w:szCs w:val="20"/>
    </w:rPr>
  </w:style>
  <w:style w:type="paragraph" w:styleId="Revision">
    <w:name w:val="Revision"/>
    <w:hidden/>
    <w:uiPriority w:val="99"/>
    <w:semiHidden/>
    <w:rsid w:val="000039FA"/>
    <w:pPr>
      <w:spacing w:after="0" w:line="240" w:lineRule="auto"/>
    </w:pPr>
    <w:rPr>
      <w:rFonts w:ascii="Gill Sans MT" w:hAnsi="Gill Sans MT" w:cs="Gill Sans MT"/>
      <w:noProof/>
      <w:color w:val="000000"/>
      <w:szCs w:val="24"/>
    </w:rPr>
  </w:style>
  <w:style w:type="paragraph" w:styleId="CommentSubject">
    <w:name w:val="annotation subject"/>
    <w:basedOn w:val="CommentText"/>
    <w:next w:val="CommentText"/>
    <w:link w:val="CommentSubjectChar"/>
    <w:uiPriority w:val="99"/>
    <w:semiHidden/>
    <w:unhideWhenUsed/>
    <w:rsid w:val="000039FA"/>
    <w:rPr>
      <w:rFonts w:ascii="Gill Sans" w:hAnsi="Gill Sans" w:cstheme="minorBidi"/>
      <w:b/>
      <w:bCs/>
      <w:noProof w:val="0"/>
      <w:color w:val="auto"/>
    </w:rPr>
  </w:style>
  <w:style w:type="character" w:customStyle="1" w:styleId="CommentSubjectChar1">
    <w:name w:val="Comment Subject Char1"/>
    <w:basedOn w:val="CommentTextChar"/>
    <w:uiPriority w:val="99"/>
    <w:semiHidden/>
    <w:rsid w:val="000039FA"/>
    <w:rPr>
      <w:rFonts w:ascii="Gill Sans MT" w:hAnsi="Gill Sans MT" w:cs="Gill Sans MT"/>
      <w:b/>
      <w:bCs/>
      <w:noProof/>
      <w:color w:val="000000"/>
      <w:sz w:val="20"/>
      <w:szCs w:val="20"/>
    </w:rPr>
  </w:style>
  <w:style w:type="character" w:styleId="FollowedHyperlink">
    <w:name w:val="FollowedHyperlink"/>
    <w:basedOn w:val="DefaultParagraphFont"/>
    <w:uiPriority w:val="99"/>
    <w:semiHidden/>
    <w:unhideWhenUsed/>
    <w:rsid w:val="000939DF"/>
    <w:rPr>
      <w:color w:val="800080"/>
      <w:u w:val="single"/>
    </w:rPr>
  </w:style>
  <w:style w:type="paragraph" w:customStyle="1" w:styleId="msonormal0">
    <w:name w:val="msonormal"/>
    <w:basedOn w:val="Normal"/>
    <w:rsid w:val="000939DF"/>
    <w:pPr>
      <w:autoSpaceDE/>
      <w:autoSpaceDN/>
      <w:adjustRightInd/>
      <w:spacing w:before="100" w:beforeAutospacing="1" w:after="100" w:afterAutospacing="1"/>
      <w:jc w:val="left"/>
    </w:pPr>
    <w:rPr>
      <w:rFonts w:ascii="Times New Roman" w:eastAsia="Times New Roman" w:hAnsi="Times New Roman" w:cs="Times New Roman"/>
      <w:noProof w:val="0"/>
      <w:color w:val="auto"/>
      <w:sz w:val="24"/>
    </w:rPr>
  </w:style>
  <w:style w:type="paragraph" w:customStyle="1" w:styleId="font5">
    <w:name w:val="font5"/>
    <w:basedOn w:val="Normal"/>
    <w:rsid w:val="000939DF"/>
    <w:pPr>
      <w:autoSpaceDE/>
      <w:autoSpaceDN/>
      <w:adjustRightInd/>
      <w:spacing w:before="100" w:beforeAutospacing="1" w:after="100" w:afterAutospacing="1"/>
      <w:jc w:val="left"/>
    </w:pPr>
    <w:rPr>
      <w:rFonts w:ascii="Tahoma" w:eastAsia="Times New Roman" w:hAnsi="Tahoma" w:cs="Tahoma"/>
      <w:noProof w:val="0"/>
      <w:sz w:val="18"/>
      <w:szCs w:val="18"/>
    </w:rPr>
  </w:style>
  <w:style w:type="paragraph" w:customStyle="1" w:styleId="font6">
    <w:name w:val="font6"/>
    <w:basedOn w:val="Normal"/>
    <w:rsid w:val="000939DF"/>
    <w:pPr>
      <w:autoSpaceDE/>
      <w:autoSpaceDN/>
      <w:adjustRightInd/>
      <w:spacing w:before="100" w:beforeAutospacing="1" w:after="100" w:afterAutospacing="1"/>
      <w:jc w:val="left"/>
    </w:pPr>
    <w:rPr>
      <w:rFonts w:ascii="Tahoma" w:eastAsia="Times New Roman" w:hAnsi="Tahoma" w:cs="Tahoma"/>
      <w:b/>
      <w:bCs/>
      <w:noProof w:val="0"/>
      <w:sz w:val="18"/>
      <w:szCs w:val="18"/>
    </w:rPr>
  </w:style>
  <w:style w:type="table" w:styleId="GridTable3-Accent4">
    <w:name w:val="Grid Table 3 Accent 4"/>
    <w:basedOn w:val="TableNormal"/>
    <w:uiPriority w:val="48"/>
    <w:rsid w:val="002C7A75"/>
    <w:pPr>
      <w:spacing w:after="0" w:line="240" w:lineRule="auto"/>
    </w:pPr>
    <w:rPr>
      <w:sz w:val="24"/>
      <w:szCs w:val="30"/>
      <w:lang w:bidi="bn-IN"/>
    </w:r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BalloonText">
    <w:name w:val="Balloon Text"/>
    <w:basedOn w:val="Normal"/>
    <w:link w:val="BalloonTextChar"/>
    <w:uiPriority w:val="99"/>
    <w:semiHidden/>
    <w:unhideWhenUsed/>
    <w:rsid w:val="009D411A"/>
    <w:pPr>
      <w:autoSpaceDE/>
      <w:autoSpaceDN/>
      <w:adjustRightInd/>
      <w:spacing w:after="0"/>
      <w:jc w:val="left"/>
    </w:pPr>
    <w:rPr>
      <w:rFonts w:ascii="Times New Roman" w:hAnsi="Times New Roman" w:cs="Times New Roman"/>
      <w:noProof w:val="0"/>
      <w:color w:val="auto"/>
      <w:sz w:val="18"/>
      <w:szCs w:val="18"/>
    </w:rPr>
  </w:style>
  <w:style w:type="character" w:customStyle="1" w:styleId="BalloonTextChar">
    <w:name w:val="Balloon Text Char"/>
    <w:basedOn w:val="DefaultParagraphFont"/>
    <w:link w:val="BalloonText"/>
    <w:uiPriority w:val="99"/>
    <w:semiHidden/>
    <w:rsid w:val="009D411A"/>
    <w:rPr>
      <w:rFonts w:ascii="Times New Roman" w:hAnsi="Times New Roman" w:cs="Times New Roman"/>
      <w:sz w:val="18"/>
      <w:szCs w:val="18"/>
    </w:rPr>
  </w:style>
  <w:style w:type="character" w:styleId="Strong">
    <w:name w:val="Strong"/>
    <w:basedOn w:val="DefaultParagraphFont"/>
    <w:uiPriority w:val="22"/>
    <w:qFormat/>
    <w:rsid w:val="003C5C33"/>
    <w:rPr>
      <w:b/>
      <w:bCs/>
    </w:rPr>
  </w:style>
  <w:style w:type="paragraph" w:customStyle="1" w:styleId="SSEAUTHORS">
    <w:name w:val="SSE AUTHORS"/>
    <w:basedOn w:val="Normal"/>
    <w:link w:val="SSEAUTHORSChar"/>
    <w:qFormat/>
    <w:rsid w:val="003B2112"/>
    <w:pPr>
      <w:autoSpaceDE/>
      <w:autoSpaceDN/>
      <w:adjustRightInd/>
      <w:spacing w:after="0"/>
      <w:jc w:val="center"/>
    </w:pPr>
    <w:rPr>
      <w:rFonts w:ascii="Calibri" w:eastAsia="SimSun" w:hAnsi="Calibri" w:cs="Times New Roman"/>
      <w:b/>
      <w:noProof w:val="0"/>
      <w:color w:val="auto"/>
    </w:rPr>
  </w:style>
  <w:style w:type="paragraph" w:customStyle="1" w:styleId="SSEAFFILIATION">
    <w:name w:val="SSE AFFILIATION"/>
    <w:basedOn w:val="Normal"/>
    <w:link w:val="SSEAFFILIATIONChar"/>
    <w:qFormat/>
    <w:rsid w:val="003B2112"/>
    <w:pPr>
      <w:autoSpaceDE/>
      <w:autoSpaceDN/>
      <w:adjustRightInd/>
      <w:spacing w:after="0"/>
      <w:jc w:val="center"/>
    </w:pPr>
    <w:rPr>
      <w:rFonts w:ascii="Calibri" w:eastAsia="SimSun" w:hAnsi="Calibri" w:cs="Times New Roman"/>
      <w:i/>
      <w:noProof w:val="0"/>
      <w:color w:val="auto"/>
    </w:rPr>
  </w:style>
  <w:style w:type="character" w:customStyle="1" w:styleId="SSEAUTHORSChar">
    <w:name w:val="SSE AUTHORS Char"/>
    <w:basedOn w:val="DefaultParagraphFont"/>
    <w:link w:val="SSEAUTHORS"/>
    <w:rsid w:val="003B2112"/>
    <w:rPr>
      <w:rFonts w:ascii="Calibri" w:eastAsia="SimSun" w:hAnsi="Calibri" w:cs="Times New Roman"/>
      <w:b/>
      <w:szCs w:val="24"/>
    </w:rPr>
  </w:style>
  <w:style w:type="paragraph" w:customStyle="1" w:styleId="SSEEMAILS">
    <w:name w:val="SSE EMAILS"/>
    <w:basedOn w:val="Normal"/>
    <w:link w:val="SSEEMAILSChar"/>
    <w:qFormat/>
    <w:rsid w:val="003B2112"/>
    <w:pPr>
      <w:autoSpaceDE/>
      <w:autoSpaceDN/>
      <w:adjustRightInd/>
      <w:spacing w:after="0"/>
      <w:jc w:val="center"/>
    </w:pPr>
    <w:rPr>
      <w:rFonts w:ascii="Calibri" w:eastAsia="SimSun" w:hAnsi="Calibri" w:cs="Times New Roman"/>
      <w:noProof w:val="0"/>
      <w:color w:val="44546A" w:themeColor="text2"/>
    </w:rPr>
  </w:style>
  <w:style w:type="character" w:customStyle="1" w:styleId="SSEAFFILIATIONChar">
    <w:name w:val="SSE AFFILIATION Char"/>
    <w:basedOn w:val="DefaultParagraphFont"/>
    <w:link w:val="SSEAFFILIATION"/>
    <w:rsid w:val="003B2112"/>
    <w:rPr>
      <w:rFonts w:ascii="Calibri" w:eastAsia="SimSun" w:hAnsi="Calibri" w:cs="Times New Roman"/>
      <w:i/>
      <w:szCs w:val="24"/>
    </w:rPr>
  </w:style>
  <w:style w:type="character" w:customStyle="1" w:styleId="SSEEMAILSChar">
    <w:name w:val="SSE EMAILS Char"/>
    <w:basedOn w:val="DefaultParagraphFont"/>
    <w:link w:val="SSEEMAILS"/>
    <w:rsid w:val="003B2112"/>
    <w:rPr>
      <w:rFonts w:ascii="Calibri" w:eastAsia="SimSun" w:hAnsi="Calibri" w:cs="Times New Roman"/>
      <w:color w:val="44546A" w:themeColor="text2"/>
      <w:szCs w:val="24"/>
    </w:rPr>
  </w:style>
  <w:style w:type="character" w:styleId="Emphasis">
    <w:name w:val="Emphasis"/>
    <w:basedOn w:val="DefaultParagraphFont"/>
    <w:uiPriority w:val="20"/>
    <w:qFormat/>
    <w:rsid w:val="00222965"/>
    <w:rPr>
      <w:i/>
      <w:iCs/>
    </w:rPr>
  </w:style>
  <w:style w:type="character" w:customStyle="1" w:styleId="UnresolvedMention1">
    <w:name w:val="Unresolved Mention1"/>
    <w:basedOn w:val="DefaultParagraphFont"/>
    <w:uiPriority w:val="99"/>
    <w:semiHidden/>
    <w:unhideWhenUsed/>
    <w:rsid w:val="00ED2BF0"/>
    <w:rPr>
      <w:color w:val="605E5C"/>
      <w:shd w:val="clear" w:color="auto" w:fill="E1DFDD"/>
    </w:rPr>
  </w:style>
  <w:style w:type="character" w:customStyle="1" w:styleId="Heading4Char">
    <w:name w:val="Heading 4 Char"/>
    <w:basedOn w:val="DefaultParagraphFont"/>
    <w:link w:val="Heading4"/>
    <w:uiPriority w:val="9"/>
    <w:semiHidden/>
    <w:rsid w:val="00464CEC"/>
    <w:rPr>
      <w:rFonts w:asciiTheme="majorHAnsi" w:eastAsiaTheme="majorEastAsia" w:hAnsiTheme="majorHAnsi" w:cstheme="majorBidi"/>
      <w:i/>
      <w:iCs/>
      <w:noProof/>
      <w:color w:val="2F5496" w:themeColor="accent1" w:themeShade="BF"/>
      <w:szCs w:val="24"/>
    </w:rPr>
  </w:style>
  <w:style w:type="character" w:customStyle="1" w:styleId="UnresolvedMention2">
    <w:name w:val="Unresolved Mention2"/>
    <w:basedOn w:val="DefaultParagraphFont"/>
    <w:uiPriority w:val="99"/>
    <w:semiHidden/>
    <w:unhideWhenUsed/>
    <w:rsid w:val="00A35A6D"/>
    <w:rPr>
      <w:color w:val="605E5C"/>
      <w:shd w:val="clear" w:color="auto" w:fill="E1DFDD"/>
    </w:rPr>
  </w:style>
  <w:style w:type="character" w:styleId="UnresolvedMention">
    <w:name w:val="Unresolved Mention"/>
    <w:basedOn w:val="DefaultParagraphFont"/>
    <w:uiPriority w:val="99"/>
    <w:semiHidden/>
    <w:unhideWhenUsed/>
    <w:rsid w:val="00F7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540">
      <w:bodyDiv w:val="1"/>
      <w:marLeft w:val="0"/>
      <w:marRight w:val="0"/>
      <w:marTop w:val="0"/>
      <w:marBottom w:val="0"/>
      <w:divBdr>
        <w:top w:val="none" w:sz="0" w:space="0" w:color="auto"/>
        <w:left w:val="none" w:sz="0" w:space="0" w:color="auto"/>
        <w:bottom w:val="none" w:sz="0" w:space="0" w:color="auto"/>
        <w:right w:val="none" w:sz="0" w:space="0" w:color="auto"/>
      </w:divBdr>
    </w:div>
    <w:div w:id="15891219">
      <w:bodyDiv w:val="1"/>
      <w:marLeft w:val="0"/>
      <w:marRight w:val="0"/>
      <w:marTop w:val="0"/>
      <w:marBottom w:val="0"/>
      <w:divBdr>
        <w:top w:val="none" w:sz="0" w:space="0" w:color="auto"/>
        <w:left w:val="none" w:sz="0" w:space="0" w:color="auto"/>
        <w:bottom w:val="none" w:sz="0" w:space="0" w:color="auto"/>
        <w:right w:val="none" w:sz="0" w:space="0" w:color="auto"/>
      </w:divBdr>
    </w:div>
    <w:div w:id="23481817">
      <w:bodyDiv w:val="1"/>
      <w:marLeft w:val="0"/>
      <w:marRight w:val="0"/>
      <w:marTop w:val="0"/>
      <w:marBottom w:val="0"/>
      <w:divBdr>
        <w:top w:val="none" w:sz="0" w:space="0" w:color="auto"/>
        <w:left w:val="none" w:sz="0" w:space="0" w:color="auto"/>
        <w:bottom w:val="none" w:sz="0" w:space="0" w:color="auto"/>
        <w:right w:val="none" w:sz="0" w:space="0" w:color="auto"/>
      </w:divBdr>
    </w:div>
    <w:div w:id="60063453">
      <w:bodyDiv w:val="1"/>
      <w:marLeft w:val="0"/>
      <w:marRight w:val="0"/>
      <w:marTop w:val="0"/>
      <w:marBottom w:val="0"/>
      <w:divBdr>
        <w:top w:val="none" w:sz="0" w:space="0" w:color="auto"/>
        <w:left w:val="none" w:sz="0" w:space="0" w:color="auto"/>
        <w:bottom w:val="none" w:sz="0" w:space="0" w:color="auto"/>
        <w:right w:val="none" w:sz="0" w:space="0" w:color="auto"/>
      </w:divBdr>
    </w:div>
    <w:div w:id="99683443">
      <w:bodyDiv w:val="1"/>
      <w:marLeft w:val="0"/>
      <w:marRight w:val="0"/>
      <w:marTop w:val="0"/>
      <w:marBottom w:val="0"/>
      <w:divBdr>
        <w:top w:val="none" w:sz="0" w:space="0" w:color="auto"/>
        <w:left w:val="none" w:sz="0" w:space="0" w:color="auto"/>
        <w:bottom w:val="none" w:sz="0" w:space="0" w:color="auto"/>
        <w:right w:val="none" w:sz="0" w:space="0" w:color="auto"/>
      </w:divBdr>
    </w:div>
    <w:div w:id="118231368">
      <w:bodyDiv w:val="1"/>
      <w:marLeft w:val="0"/>
      <w:marRight w:val="0"/>
      <w:marTop w:val="0"/>
      <w:marBottom w:val="0"/>
      <w:divBdr>
        <w:top w:val="none" w:sz="0" w:space="0" w:color="auto"/>
        <w:left w:val="none" w:sz="0" w:space="0" w:color="auto"/>
        <w:bottom w:val="none" w:sz="0" w:space="0" w:color="auto"/>
        <w:right w:val="none" w:sz="0" w:space="0" w:color="auto"/>
      </w:divBdr>
    </w:div>
    <w:div w:id="223297791">
      <w:bodyDiv w:val="1"/>
      <w:marLeft w:val="0"/>
      <w:marRight w:val="0"/>
      <w:marTop w:val="0"/>
      <w:marBottom w:val="0"/>
      <w:divBdr>
        <w:top w:val="none" w:sz="0" w:space="0" w:color="auto"/>
        <w:left w:val="none" w:sz="0" w:space="0" w:color="auto"/>
        <w:bottom w:val="none" w:sz="0" w:space="0" w:color="auto"/>
        <w:right w:val="none" w:sz="0" w:space="0" w:color="auto"/>
      </w:divBdr>
    </w:div>
    <w:div w:id="334917433">
      <w:bodyDiv w:val="1"/>
      <w:marLeft w:val="0"/>
      <w:marRight w:val="0"/>
      <w:marTop w:val="0"/>
      <w:marBottom w:val="0"/>
      <w:divBdr>
        <w:top w:val="none" w:sz="0" w:space="0" w:color="auto"/>
        <w:left w:val="none" w:sz="0" w:space="0" w:color="auto"/>
        <w:bottom w:val="none" w:sz="0" w:space="0" w:color="auto"/>
        <w:right w:val="none" w:sz="0" w:space="0" w:color="auto"/>
      </w:divBdr>
    </w:div>
    <w:div w:id="408312701">
      <w:bodyDiv w:val="1"/>
      <w:marLeft w:val="0"/>
      <w:marRight w:val="0"/>
      <w:marTop w:val="0"/>
      <w:marBottom w:val="0"/>
      <w:divBdr>
        <w:top w:val="none" w:sz="0" w:space="0" w:color="auto"/>
        <w:left w:val="none" w:sz="0" w:space="0" w:color="auto"/>
        <w:bottom w:val="none" w:sz="0" w:space="0" w:color="auto"/>
        <w:right w:val="none" w:sz="0" w:space="0" w:color="auto"/>
      </w:divBdr>
    </w:div>
    <w:div w:id="561982988">
      <w:bodyDiv w:val="1"/>
      <w:marLeft w:val="0"/>
      <w:marRight w:val="0"/>
      <w:marTop w:val="0"/>
      <w:marBottom w:val="0"/>
      <w:divBdr>
        <w:top w:val="none" w:sz="0" w:space="0" w:color="auto"/>
        <w:left w:val="none" w:sz="0" w:space="0" w:color="auto"/>
        <w:bottom w:val="none" w:sz="0" w:space="0" w:color="auto"/>
        <w:right w:val="none" w:sz="0" w:space="0" w:color="auto"/>
      </w:divBdr>
    </w:div>
    <w:div w:id="566767811">
      <w:bodyDiv w:val="1"/>
      <w:marLeft w:val="0"/>
      <w:marRight w:val="0"/>
      <w:marTop w:val="0"/>
      <w:marBottom w:val="0"/>
      <w:divBdr>
        <w:top w:val="none" w:sz="0" w:space="0" w:color="auto"/>
        <w:left w:val="none" w:sz="0" w:space="0" w:color="auto"/>
        <w:bottom w:val="none" w:sz="0" w:space="0" w:color="auto"/>
        <w:right w:val="none" w:sz="0" w:space="0" w:color="auto"/>
      </w:divBdr>
    </w:div>
    <w:div w:id="672537001">
      <w:bodyDiv w:val="1"/>
      <w:marLeft w:val="0"/>
      <w:marRight w:val="0"/>
      <w:marTop w:val="0"/>
      <w:marBottom w:val="0"/>
      <w:divBdr>
        <w:top w:val="none" w:sz="0" w:space="0" w:color="auto"/>
        <w:left w:val="none" w:sz="0" w:space="0" w:color="auto"/>
        <w:bottom w:val="none" w:sz="0" w:space="0" w:color="auto"/>
        <w:right w:val="none" w:sz="0" w:space="0" w:color="auto"/>
      </w:divBdr>
    </w:div>
    <w:div w:id="733964962">
      <w:bodyDiv w:val="1"/>
      <w:marLeft w:val="0"/>
      <w:marRight w:val="0"/>
      <w:marTop w:val="0"/>
      <w:marBottom w:val="0"/>
      <w:divBdr>
        <w:top w:val="none" w:sz="0" w:space="0" w:color="auto"/>
        <w:left w:val="none" w:sz="0" w:space="0" w:color="auto"/>
        <w:bottom w:val="none" w:sz="0" w:space="0" w:color="auto"/>
        <w:right w:val="none" w:sz="0" w:space="0" w:color="auto"/>
      </w:divBdr>
    </w:div>
    <w:div w:id="809178535">
      <w:bodyDiv w:val="1"/>
      <w:marLeft w:val="0"/>
      <w:marRight w:val="0"/>
      <w:marTop w:val="0"/>
      <w:marBottom w:val="0"/>
      <w:divBdr>
        <w:top w:val="none" w:sz="0" w:space="0" w:color="auto"/>
        <w:left w:val="none" w:sz="0" w:space="0" w:color="auto"/>
        <w:bottom w:val="none" w:sz="0" w:space="0" w:color="auto"/>
        <w:right w:val="none" w:sz="0" w:space="0" w:color="auto"/>
      </w:divBdr>
    </w:div>
    <w:div w:id="873267553">
      <w:bodyDiv w:val="1"/>
      <w:marLeft w:val="0"/>
      <w:marRight w:val="0"/>
      <w:marTop w:val="0"/>
      <w:marBottom w:val="0"/>
      <w:divBdr>
        <w:top w:val="none" w:sz="0" w:space="0" w:color="auto"/>
        <w:left w:val="none" w:sz="0" w:space="0" w:color="auto"/>
        <w:bottom w:val="none" w:sz="0" w:space="0" w:color="auto"/>
        <w:right w:val="none" w:sz="0" w:space="0" w:color="auto"/>
      </w:divBdr>
    </w:div>
    <w:div w:id="896816682">
      <w:bodyDiv w:val="1"/>
      <w:marLeft w:val="0"/>
      <w:marRight w:val="0"/>
      <w:marTop w:val="0"/>
      <w:marBottom w:val="0"/>
      <w:divBdr>
        <w:top w:val="none" w:sz="0" w:space="0" w:color="auto"/>
        <w:left w:val="none" w:sz="0" w:space="0" w:color="auto"/>
        <w:bottom w:val="none" w:sz="0" w:space="0" w:color="auto"/>
        <w:right w:val="none" w:sz="0" w:space="0" w:color="auto"/>
      </w:divBdr>
    </w:div>
    <w:div w:id="1029065355">
      <w:bodyDiv w:val="1"/>
      <w:marLeft w:val="0"/>
      <w:marRight w:val="0"/>
      <w:marTop w:val="0"/>
      <w:marBottom w:val="0"/>
      <w:divBdr>
        <w:top w:val="none" w:sz="0" w:space="0" w:color="auto"/>
        <w:left w:val="none" w:sz="0" w:space="0" w:color="auto"/>
        <w:bottom w:val="none" w:sz="0" w:space="0" w:color="auto"/>
        <w:right w:val="none" w:sz="0" w:space="0" w:color="auto"/>
      </w:divBdr>
    </w:div>
    <w:div w:id="1086343487">
      <w:bodyDiv w:val="1"/>
      <w:marLeft w:val="0"/>
      <w:marRight w:val="0"/>
      <w:marTop w:val="0"/>
      <w:marBottom w:val="0"/>
      <w:divBdr>
        <w:top w:val="none" w:sz="0" w:space="0" w:color="auto"/>
        <w:left w:val="none" w:sz="0" w:space="0" w:color="auto"/>
        <w:bottom w:val="none" w:sz="0" w:space="0" w:color="auto"/>
        <w:right w:val="none" w:sz="0" w:space="0" w:color="auto"/>
      </w:divBdr>
    </w:div>
    <w:div w:id="1109936997">
      <w:bodyDiv w:val="1"/>
      <w:marLeft w:val="0"/>
      <w:marRight w:val="0"/>
      <w:marTop w:val="0"/>
      <w:marBottom w:val="0"/>
      <w:divBdr>
        <w:top w:val="none" w:sz="0" w:space="0" w:color="auto"/>
        <w:left w:val="none" w:sz="0" w:space="0" w:color="auto"/>
        <w:bottom w:val="none" w:sz="0" w:space="0" w:color="auto"/>
        <w:right w:val="none" w:sz="0" w:space="0" w:color="auto"/>
      </w:divBdr>
    </w:div>
    <w:div w:id="1138717827">
      <w:bodyDiv w:val="1"/>
      <w:marLeft w:val="0"/>
      <w:marRight w:val="0"/>
      <w:marTop w:val="0"/>
      <w:marBottom w:val="0"/>
      <w:divBdr>
        <w:top w:val="none" w:sz="0" w:space="0" w:color="auto"/>
        <w:left w:val="none" w:sz="0" w:space="0" w:color="auto"/>
        <w:bottom w:val="none" w:sz="0" w:space="0" w:color="auto"/>
        <w:right w:val="none" w:sz="0" w:space="0" w:color="auto"/>
      </w:divBdr>
    </w:div>
    <w:div w:id="1142649065">
      <w:bodyDiv w:val="1"/>
      <w:marLeft w:val="0"/>
      <w:marRight w:val="0"/>
      <w:marTop w:val="0"/>
      <w:marBottom w:val="0"/>
      <w:divBdr>
        <w:top w:val="none" w:sz="0" w:space="0" w:color="auto"/>
        <w:left w:val="none" w:sz="0" w:space="0" w:color="auto"/>
        <w:bottom w:val="none" w:sz="0" w:space="0" w:color="auto"/>
        <w:right w:val="none" w:sz="0" w:space="0" w:color="auto"/>
      </w:divBdr>
    </w:div>
    <w:div w:id="1163819564">
      <w:bodyDiv w:val="1"/>
      <w:marLeft w:val="0"/>
      <w:marRight w:val="0"/>
      <w:marTop w:val="0"/>
      <w:marBottom w:val="0"/>
      <w:divBdr>
        <w:top w:val="none" w:sz="0" w:space="0" w:color="auto"/>
        <w:left w:val="none" w:sz="0" w:space="0" w:color="auto"/>
        <w:bottom w:val="none" w:sz="0" w:space="0" w:color="auto"/>
        <w:right w:val="none" w:sz="0" w:space="0" w:color="auto"/>
      </w:divBdr>
    </w:div>
    <w:div w:id="1418090882">
      <w:bodyDiv w:val="1"/>
      <w:marLeft w:val="0"/>
      <w:marRight w:val="0"/>
      <w:marTop w:val="0"/>
      <w:marBottom w:val="0"/>
      <w:divBdr>
        <w:top w:val="none" w:sz="0" w:space="0" w:color="auto"/>
        <w:left w:val="none" w:sz="0" w:space="0" w:color="auto"/>
        <w:bottom w:val="none" w:sz="0" w:space="0" w:color="auto"/>
        <w:right w:val="none" w:sz="0" w:space="0" w:color="auto"/>
      </w:divBdr>
    </w:div>
    <w:div w:id="1499033624">
      <w:bodyDiv w:val="1"/>
      <w:marLeft w:val="0"/>
      <w:marRight w:val="0"/>
      <w:marTop w:val="0"/>
      <w:marBottom w:val="0"/>
      <w:divBdr>
        <w:top w:val="none" w:sz="0" w:space="0" w:color="auto"/>
        <w:left w:val="none" w:sz="0" w:space="0" w:color="auto"/>
        <w:bottom w:val="none" w:sz="0" w:space="0" w:color="auto"/>
        <w:right w:val="none" w:sz="0" w:space="0" w:color="auto"/>
      </w:divBdr>
    </w:div>
    <w:div w:id="1685862820">
      <w:bodyDiv w:val="1"/>
      <w:marLeft w:val="0"/>
      <w:marRight w:val="0"/>
      <w:marTop w:val="0"/>
      <w:marBottom w:val="0"/>
      <w:divBdr>
        <w:top w:val="none" w:sz="0" w:space="0" w:color="auto"/>
        <w:left w:val="none" w:sz="0" w:space="0" w:color="auto"/>
        <w:bottom w:val="none" w:sz="0" w:space="0" w:color="auto"/>
        <w:right w:val="none" w:sz="0" w:space="0" w:color="auto"/>
      </w:divBdr>
    </w:div>
    <w:div w:id="1716616551">
      <w:bodyDiv w:val="1"/>
      <w:marLeft w:val="0"/>
      <w:marRight w:val="0"/>
      <w:marTop w:val="0"/>
      <w:marBottom w:val="0"/>
      <w:divBdr>
        <w:top w:val="none" w:sz="0" w:space="0" w:color="auto"/>
        <w:left w:val="none" w:sz="0" w:space="0" w:color="auto"/>
        <w:bottom w:val="none" w:sz="0" w:space="0" w:color="auto"/>
        <w:right w:val="none" w:sz="0" w:space="0" w:color="auto"/>
      </w:divBdr>
    </w:div>
    <w:div w:id="1754667390">
      <w:bodyDiv w:val="1"/>
      <w:marLeft w:val="0"/>
      <w:marRight w:val="0"/>
      <w:marTop w:val="0"/>
      <w:marBottom w:val="0"/>
      <w:divBdr>
        <w:top w:val="none" w:sz="0" w:space="0" w:color="auto"/>
        <w:left w:val="none" w:sz="0" w:space="0" w:color="auto"/>
        <w:bottom w:val="none" w:sz="0" w:space="0" w:color="auto"/>
        <w:right w:val="none" w:sz="0" w:space="0" w:color="auto"/>
      </w:divBdr>
    </w:div>
    <w:div w:id="1767995500">
      <w:bodyDiv w:val="1"/>
      <w:marLeft w:val="0"/>
      <w:marRight w:val="0"/>
      <w:marTop w:val="0"/>
      <w:marBottom w:val="0"/>
      <w:divBdr>
        <w:top w:val="none" w:sz="0" w:space="0" w:color="auto"/>
        <w:left w:val="none" w:sz="0" w:space="0" w:color="auto"/>
        <w:bottom w:val="none" w:sz="0" w:space="0" w:color="auto"/>
        <w:right w:val="none" w:sz="0" w:space="0" w:color="auto"/>
      </w:divBdr>
    </w:div>
    <w:div w:id="1776752151">
      <w:bodyDiv w:val="1"/>
      <w:marLeft w:val="0"/>
      <w:marRight w:val="0"/>
      <w:marTop w:val="0"/>
      <w:marBottom w:val="0"/>
      <w:divBdr>
        <w:top w:val="none" w:sz="0" w:space="0" w:color="auto"/>
        <w:left w:val="none" w:sz="0" w:space="0" w:color="auto"/>
        <w:bottom w:val="none" w:sz="0" w:space="0" w:color="auto"/>
        <w:right w:val="none" w:sz="0" w:space="0" w:color="auto"/>
      </w:divBdr>
    </w:div>
    <w:div w:id="1956013487">
      <w:bodyDiv w:val="1"/>
      <w:marLeft w:val="0"/>
      <w:marRight w:val="0"/>
      <w:marTop w:val="0"/>
      <w:marBottom w:val="0"/>
      <w:divBdr>
        <w:top w:val="none" w:sz="0" w:space="0" w:color="auto"/>
        <w:left w:val="none" w:sz="0" w:space="0" w:color="auto"/>
        <w:bottom w:val="none" w:sz="0" w:space="0" w:color="auto"/>
        <w:right w:val="none" w:sz="0" w:space="0" w:color="auto"/>
      </w:divBdr>
    </w:div>
    <w:div w:id="1982689654">
      <w:bodyDiv w:val="1"/>
      <w:marLeft w:val="0"/>
      <w:marRight w:val="0"/>
      <w:marTop w:val="0"/>
      <w:marBottom w:val="0"/>
      <w:divBdr>
        <w:top w:val="none" w:sz="0" w:space="0" w:color="auto"/>
        <w:left w:val="none" w:sz="0" w:space="0" w:color="auto"/>
        <w:bottom w:val="none" w:sz="0" w:space="0" w:color="auto"/>
        <w:right w:val="none" w:sz="0" w:space="0" w:color="auto"/>
      </w:divBdr>
    </w:div>
    <w:div w:id="20109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Publication\Study\Grants%20Assessment%20Report\Final%20report\KONIKA_BADL_survey_final_V1_analysis_v2_by%20partners%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20Ashraful\Research%20Publication\1.%20Article_Private%20Sector%20Contribution%20to%20Nutritious%20food%20production\Study_agro-input%20companies%20in%20enhancing%20nutritious\Data_survey_final_V1_analysis_v2_by%20partner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20Ashraful\Research%20Publication\1.%20Article_Private%20Sector%20Contribution%20to%20Nutritious%20food%20production\Study_agro-input%20companies%20in%20enhancing%20nutritious\Data_survey_final_V1_analysis_v2_by%20partners%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esearch%20Publication\Study\Grants%20Assessment%20Report\Final%20report\KONIKA_BADL_survey_final_V1_analysis_v2_by%20partners%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r>
              <a:rPr lang="en-US" sz="1050"/>
              <a:t>Agro-input company support farmers to produce nutritious and diverse food.</a:t>
            </a:r>
          </a:p>
        </c:rich>
      </c:tx>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manualLayout>
          <c:layoutTarget val="inner"/>
          <c:xMode val="edge"/>
          <c:yMode val="edge"/>
          <c:x val="9.280369023639487E-2"/>
          <c:y val="0.20160546017813347"/>
          <c:w val="0.88283307609804584"/>
          <c:h val="0.51646217890796431"/>
        </c:manualLayout>
      </c:layout>
      <c:barChart>
        <c:barDir val="col"/>
        <c:grouping val="clustered"/>
        <c:varyColors val="0"/>
        <c:ser>
          <c:idx val="0"/>
          <c:order val="0"/>
          <c:tx>
            <c:strRef>
              <c:f>'Working file'!$C$23</c:f>
              <c:strCache>
                <c:ptCount val="1"/>
                <c:pt idx="0">
                  <c:v>Faridpur</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file'!$B$24:$B$30</c:f>
              <c:strCache>
                <c:ptCount val="7"/>
                <c:pt idx="0">
                  <c:v>Diversified food production techniques</c:v>
                </c:pt>
                <c:pt idx="1">
                  <c:v>Nutritious food production and consumptions</c:v>
                </c:pt>
                <c:pt idx="2">
                  <c:v>Safe food production and consumptions</c:v>
                </c:pt>
                <c:pt idx="3">
                  <c:v>Homestead gardening</c:v>
                </c:pt>
                <c:pt idx="4">
                  <c:v>New technology</c:v>
                </c:pt>
                <c:pt idx="5">
                  <c:v>Vegetable varieties</c:v>
                </c:pt>
                <c:pt idx="6">
                  <c:v>Production techniques</c:v>
                </c:pt>
              </c:strCache>
            </c:strRef>
          </c:cat>
          <c:val>
            <c:numRef>
              <c:f>'Working file'!$C$24:$C$30</c:f>
              <c:numCache>
                <c:formatCode>0.00%</c:formatCode>
                <c:ptCount val="7"/>
                <c:pt idx="0">
                  <c:v>0.38</c:v>
                </c:pt>
                <c:pt idx="1">
                  <c:v>0.45</c:v>
                </c:pt>
                <c:pt idx="2">
                  <c:v>0.39500000000000002</c:v>
                </c:pt>
                <c:pt idx="3">
                  <c:v>0.66</c:v>
                </c:pt>
                <c:pt idx="4">
                  <c:v>0.58799999999999997</c:v>
                </c:pt>
                <c:pt idx="5">
                  <c:v>0.47299999999999998</c:v>
                </c:pt>
                <c:pt idx="6">
                  <c:v>0.3725</c:v>
                </c:pt>
              </c:numCache>
            </c:numRef>
          </c:val>
          <c:extLst>
            <c:ext xmlns:c16="http://schemas.microsoft.com/office/drawing/2014/chart" uri="{C3380CC4-5D6E-409C-BE32-E72D297353CC}">
              <c16:uniqueId val="{00000000-C203-4D83-B755-4A7566BE0620}"/>
            </c:ext>
          </c:extLst>
        </c:ser>
        <c:ser>
          <c:idx val="1"/>
          <c:order val="1"/>
          <c:tx>
            <c:strRef>
              <c:f>'Working file'!$D$23</c:f>
              <c:strCache>
                <c:ptCount val="1"/>
                <c:pt idx="0">
                  <c:v>Khulna</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file'!$B$24:$B$30</c:f>
              <c:strCache>
                <c:ptCount val="7"/>
                <c:pt idx="0">
                  <c:v>Diversified food production techniques</c:v>
                </c:pt>
                <c:pt idx="1">
                  <c:v>Nutritious food production and consumptions</c:v>
                </c:pt>
                <c:pt idx="2">
                  <c:v>Safe food production and consumptions</c:v>
                </c:pt>
                <c:pt idx="3">
                  <c:v>Homestead gardening</c:v>
                </c:pt>
                <c:pt idx="4">
                  <c:v>New technology</c:v>
                </c:pt>
                <c:pt idx="5">
                  <c:v>Vegetable varieties</c:v>
                </c:pt>
                <c:pt idx="6">
                  <c:v>Production techniques</c:v>
                </c:pt>
              </c:strCache>
            </c:strRef>
          </c:cat>
          <c:val>
            <c:numRef>
              <c:f>'Working file'!$D$24:$D$30</c:f>
              <c:numCache>
                <c:formatCode>0.00%</c:formatCode>
                <c:ptCount val="7"/>
                <c:pt idx="0">
                  <c:v>0.43</c:v>
                </c:pt>
                <c:pt idx="1">
                  <c:v>0.49</c:v>
                </c:pt>
                <c:pt idx="2">
                  <c:v>0.45500000000000002</c:v>
                </c:pt>
                <c:pt idx="3">
                  <c:v>0.6845</c:v>
                </c:pt>
                <c:pt idx="4">
                  <c:v>0.64</c:v>
                </c:pt>
                <c:pt idx="5">
                  <c:v>0.52</c:v>
                </c:pt>
                <c:pt idx="6">
                  <c:v>0.41499999999999998</c:v>
                </c:pt>
              </c:numCache>
            </c:numRef>
          </c:val>
          <c:extLst>
            <c:ext xmlns:c16="http://schemas.microsoft.com/office/drawing/2014/chart" uri="{C3380CC4-5D6E-409C-BE32-E72D297353CC}">
              <c16:uniqueId val="{00000001-C203-4D83-B755-4A7566BE0620}"/>
            </c:ext>
          </c:extLst>
        </c:ser>
        <c:ser>
          <c:idx val="2"/>
          <c:order val="2"/>
          <c:tx>
            <c:strRef>
              <c:f>'Working file'!$E$23</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file'!$B$24:$B$30</c:f>
              <c:strCache>
                <c:ptCount val="7"/>
                <c:pt idx="0">
                  <c:v>Diversified food production techniques</c:v>
                </c:pt>
                <c:pt idx="1">
                  <c:v>Nutritious food production and consumptions</c:v>
                </c:pt>
                <c:pt idx="2">
                  <c:v>Safe food production and consumptions</c:v>
                </c:pt>
                <c:pt idx="3">
                  <c:v>Homestead gardening</c:v>
                </c:pt>
                <c:pt idx="4">
                  <c:v>New technology</c:v>
                </c:pt>
                <c:pt idx="5">
                  <c:v>Vegetable varieties</c:v>
                </c:pt>
                <c:pt idx="6">
                  <c:v>Production techniques</c:v>
                </c:pt>
              </c:strCache>
            </c:strRef>
          </c:cat>
          <c:val>
            <c:numRef>
              <c:f>'Working file'!$E$24:$E$30</c:f>
              <c:numCache>
                <c:formatCode>0.00%</c:formatCode>
                <c:ptCount val="7"/>
                <c:pt idx="0">
                  <c:v>0.40500000000000003</c:v>
                </c:pt>
                <c:pt idx="1">
                  <c:v>0.47</c:v>
                </c:pt>
                <c:pt idx="2">
                  <c:v>0.42499999999999999</c:v>
                </c:pt>
                <c:pt idx="3">
                  <c:v>0.67230000000000001</c:v>
                </c:pt>
                <c:pt idx="4">
                  <c:v>0.61399999999999999</c:v>
                </c:pt>
                <c:pt idx="5">
                  <c:v>0.4965</c:v>
                </c:pt>
                <c:pt idx="6">
                  <c:v>0.39379999999999998</c:v>
                </c:pt>
              </c:numCache>
            </c:numRef>
          </c:val>
          <c:extLst>
            <c:ext xmlns:c16="http://schemas.microsoft.com/office/drawing/2014/chart" uri="{C3380CC4-5D6E-409C-BE32-E72D297353CC}">
              <c16:uniqueId val="{00000002-C203-4D83-B755-4A7566BE0620}"/>
            </c:ext>
          </c:extLst>
        </c:ser>
        <c:dLbls>
          <c:dLblPos val="outEnd"/>
          <c:showLegendKey val="0"/>
          <c:showVal val="1"/>
          <c:showCatName val="0"/>
          <c:showSerName val="0"/>
          <c:showPercent val="0"/>
          <c:showBubbleSize val="0"/>
        </c:dLbls>
        <c:gapWidth val="219"/>
        <c:overlap val="-27"/>
        <c:axId val="1645256800"/>
        <c:axId val="1645262784"/>
      </c:barChart>
      <c:catAx>
        <c:axId val="164525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2784"/>
        <c:crosses val="autoZero"/>
        <c:auto val="1"/>
        <c:lblAlgn val="ctr"/>
        <c:lblOffset val="100"/>
        <c:noMultiLvlLbl val="0"/>
      </c:catAx>
      <c:valAx>
        <c:axId val="1645262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5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r>
              <a:rPr lang="en-US" sz="1100"/>
              <a:t>Farmers utilized the harvested vegetables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manualLayout>
          <c:layoutTarget val="inner"/>
          <c:xMode val="edge"/>
          <c:yMode val="edge"/>
          <c:x val="9.6490192611933867E-2"/>
          <c:y val="0.26537369914853359"/>
          <c:w val="0.87817877687568846"/>
          <c:h val="0.52801793815508147"/>
        </c:manualLayout>
      </c:layout>
      <c:barChart>
        <c:barDir val="col"/>
        <c:grouping val="clustered"/>
        <c:varyColors val="0"/>
        <c:ser>
          <c:idx val="0"/>
          <c:order val="0"/>
          <c:tx>
            <c:strRef>
              <c:f>'Working file'!$B$124</c:f>
              <c:strCache>
                <c:ptCount val="1"/>
                <c:pt idx="0">
                  <c:v>Consume all harvested vegetables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file'!$C$123:$E$123</c:f>
              <c:strCache>
                <c:ptCount val="3"/>
                <c:pt idx="0">
                  <c:v>Faridpur</c:v>
                </c:pt>
                <c:pt idx="1">
                  <c:v>Khulna</c:v>
                </c:pt>
                <c:pt idx="2">
                  <c:v>Total</c:v>
                </c:pt>
              </c:strCache>
            </c:strRef>
          </c:cat>
          <c:val>
            <c:numRef>
              <c:f>'Working file'!$C$124:$E$124</c:f>
              <c:numCache>
                <c:formatCode>0.00%</c:formatCode>
                <c:ptCount val="3"/>
                <c:pt idx="0">
                  <c:v>0.52400000000000002</c:v>
                </c:pt>
                <c:pt idx="1">
                  <c:v>0.55300000000000005</c:v>
                </c:pt>
                <c:pt idx="2">
                  <c:v>0.53849999999999998</c:v>
                </c:pt>
              </c:numCache>
            </c:numRef>
          </c:val>
          <c:extLst>
            <c:ext xmlns:c16="http://schemas.microsoft.com/office/drawing/2014/chart" uri="{C3380CC4-5D6E-409C-BE32-E72D297353CC}">
              <c16:uniqueId val="{00000000-2D2B-4F41-B805-3C6C0172FA4A}"/>
            </c:ext>
          </c:extLst>
        </c:ser>
        <c:ser>
          <c:idx val="1"/>
          <c:order val="1"/>
          <c:tx>
            <c:strRef>
              <c:f>'Working file'!$B$125</c:f>
              <c:strCache>
                <c:ptCount val="1"/>
                <c:pt idx="0">
                  <c:v>Sell surplus produce</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file'!$C$123:$E$123</c:f>
              <c:strCache>
                <c:ptCount val="3"/>
                <c:pt idx="0">
                  <c:v>Faridpur</c:v>
                </c:pt>
                <c:pt idx="1">
                  <c:v>Khulna</c:v>
                </c:pt>
                <c:pt idx="2">
                  <c:v>Total</c:v>
                </c:pt>
              </c:strCache>
            </c:strRef>
          </c:cat>
          <c:val>
            <c:numRef>
              <c:f>'Working file'!$C$125:$E$125</c:f>
              <c:numCache>
                <c:formatCode>0.00%</c:formatCode>
                <c:ptCount val="3"/>
                <c:pt idx="0">
                  <c:v>0.32600000000000001</c:v>
                </c:pt>
                <c:pt idx="1">
                  <c:v>0.30349999999999999</c:v>
                </c:pt>
                <c:pt idx="2">
                  <c:v>0.31480000000000002</c:v>
                </c:pt>
              </c:numCache>
            </c:numRef>
          </c:val>
          <c:extLst>
            <c:ext xmlns:c16="http://schemas.microsoft.com/office/drawing/2014/chart" uri="{C3380CC4-5D6E-409C-BE32-E72D297353CC}">
              <c16:uniqueId val="{00000001-2D2B-4F41-B805-3C6C0172FA4A}"/>
            </c:ext>
          </c:extLst>
        </c:ser>
        <c:ser>
          <c:idx val="2"/>
          <c:order val="2"/>
          <c:tx>
            <c:strRef>
              <c:f>'Working file'!$B$126</c:f>
              <c:strCache>
                <c:ptCount val="1"/>
                <c:pt idx="0">
                  <c:v>Share excess with neighbors</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file'!$C$123:$E$123</c:f>
              <c:strCache>
                <c:ptCount val="3"/>
                <c:pt idx="0">
                  <c:v>Faridpur</c:v>
                </c:pt>
                <c:pt idx="1">
                  <c:v>Khulna</c:v>
                </c:pt>
                <c:pt idx="2">
                  <c:v>Total</c:v>
                </c:pt>
              </c:strCache>
            </c:strRef>
          </c:cat>
          <c:val>
            <c:numRef>
              <c:f>'Working file'!$C$126:$E$126</c:f>
              <c:numCache>
                <c:formatCode>0.00%</c:formatCode>
                <c:ptCount val="3"/>
                <c:pt idx="0">
                  <c:v>0.15</c:v>
                </c:pt>
                <c:pt idx="1">
                  <c:v>0.14349999999999999</c:v>
                </c:pt>
                <c:pt idx="2">
                  <c:v>0.1467</c:v>
                </c:pt>
              </c:numCache>
            </c:numRef>
          </c:val>
          <c:extLst>
            <c:ext xmlns:c16="http://schemas.microsoft.com/office/drawing/2014/chart" uri="{C3380CC4-5D6E-409C-BE32-E72D297353CC}">
              <c16:uniqueId val="{00000002-2D2B-4F41-B805-3C6C0172FA4A}"/>
            </c:ext>
          </c:extLst>
        </c:ser>
        <c:dLbls>
          <c:dLblPos val="outEnd"/>
          <c:showLegendKey val="0"/>
          <c:showVal val="1"/>
          <c:showCatName val="0"/>
          <c:showSerName val="0"/>
          <c:showPercent val="0"/>
          <c:showBubbleSize val="0"/>
        </c:dLbls>
        <c:gapWidth val="219"/>
        <c:overlap val="-27"/>
        <c:axId val="766608320"/>
        <c:axId val="766601248"/>
      </c:barChart>
      <c:catAx>
        <c:axId val="76660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766601248"/>
        <c:crosses val="autoZero"/>
        <c:auto val="1"/>
        <c:lblAlgn val="ctr"/>
        <c:lblOffset val="100"/>
        <c:noMultiLvlLbl val="0"/>
      </c:catAx>
      <c:valAx>
        <c:axId val="7666012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76660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t>Households increased sales of nutritious foods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4878940359469824E-2"/>
          <c:y val="0.25991051454138703"/>
          <c:w val="0.88014943648502508"/>
          <c:h val="0.53394458243055187"/>
        </c:manualLayout>
      </c:layout>
      <c:barChart>
        <c:barDir val="col"/>
        <c:grouping val="clustered"/>
        <c:varyColors val="0"/>
        <c:ser>
          <c:idx val="0"/>
          <c:order val="0"/>
          <c:tx>
            <c:strRef>
              <c:f>'Working file'!$C$141</c:f>
              <c:strCache>
                <c:ptCount val="1"/>
                <c:pt idx="0">
                  <c:v>Faridpur</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file'!$B$142:$B$147</c:f>
              <c:strCache>
                <c:ptCount val="6"/>
                <c:pt idx="0">
                  <c:v>&lt; 30%</c:v>
                </c:pt>
                <c:pt idx="1">
                  <c:v>30% to 39%</c:v>
                </c:pt>
                <c:pt idx="2">
                  <c:v>40% to 49%</c:v>
                </c:pt>
                <c:pt idx="3">
                  <c:v>50% to 59%</c:v>
                </c:pt>
                <c:pt idx="4">
                  <c:v>60% to 69%</c:v>
                </c:pt>
                <c:pt idx="5">
                  <c:v>&gt; 70%</c:v>
                </c:pt>
              </c:strCache>
            </c:strRef>
          </c:cat>
          <c:val>
            <c:numRef>
              <c:f>'Working file'!$C$142:$C$147</c:f>
              <c:numCache>
                <c:formatCode>0.00%</c:formatCode>
                <c:ptCount val="6"/>
                <c:pt idx="0">
                  <c:v>0.14000000000000001</c:v>
                </c:pt>
                <c:pt idx="1">
                  <c:v>0.03</c:v>
                </c:pt>
                <c:pt idx="2">
                  <c:v>0.02</c:v>
                </c:pt>
                <c:pt idx="3">
                  <c:v>4.912280701754386E-2</c:v>
                </c:pt>
                <c:pt idx="4">
                  <c:v>4.5614035087719301E-2</c:v>
                </c:pt>
                <c:pt idx="5">
                  <c:v>0.02</c:v>
                </c:pt>
              </c:numCache>
            </c:numRef>
          </c:val>
          <c:extLst>
            <c:ext xmlns:c16="http://schemas.microsoft.com/office/drawing/2014/chart" uri="{C3380CC4-5D6E-409C-BE32-E72D297353CC}">
              <c16:uniqueId val="{00000000-4DA0-4FD1-98BF-EEB481727DE1}"/>
            </c:ext>
          </c:extLst>
        </c:ser>
        <c:ser>
          <c:idx val="1"/>
          <c:order val="1"/>
          <c:tx>
            <c:strRef>
              <c:f>'Working file'!$D$141</c:f>
              <c:strCache>
                <c:ptCount val="1"/>
                <c:pt idx="0">
                  <c:v>Khulna</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file'!$B$142:$B$147</c:f>
              <c:strCache>
                <c:ptCount val="6"/>
                <c:pt idx="0">
                  <c:v>&lt; 30%</c:v>
                </c:pt>
                <c:pt idx="1">
                  <c:v>30% to 39%</c:v>
                </c:pt>
                <c:pt idx="2">
                  <c:v>40% to 49%</c:v>
                </c:pt>
                <c:pt idx="3">
                  <c:v>50% to 59%</c:v>
                </c:pt>
                <c:pt idx="4">
                  <c:v>60% to 69%</c:v>
                </c:pt>
                <c:pt idx="5">
                  <c:v>&gt; 70%</c:v>
                </c:pt>
              </c:strCache>
            </c:strRef>
          </c:cat>
          <c:val>
            <c:numRef>
              <c:f>'Working file'!$D$142:$D$147</c:f>
              <c:numCache>
                <c:formatCode>0.00%</c:formatCode>
                <c:ptCount val="6"/>
                <c:pt idx="0">
                  <c:v>0.15</c:v>
                </c:pt>
                <c:pt idx="1">
                  <c:v>0.15</c:v>
                </c:pt>
                <c:pt idx="2">
                  <c:v>0.09</c:v>
                </c:pt>
                <c:pt idx="3">
                  <c:v>6.8376068376068383E-2</c:v>
                </c:pt>
                <c:pt idx="4">
                  <c:v>0.08</c:v>
                </c:pt>
                <c:pt idx="5">
                  <c:v>3.4188034188034191E-2</c:v>
                </c:pt>
              </c:numCache>
            </c:numRef>
          </c:val>
          <c:extLst>
            <c:ext xmlns:c16="http://schemas.microsoft.com/office/drawing/2014/chart" uri="{C3380CC4-5D6E-409C-BE32-E72D297353CC}">
              <c16:uniqueId val="{00000001-4DA0-4FD1-98BF-EEB481727DE1}"/>
            </c:ext>
          </c:extLst>
        </c:ser>
        <c:ser>
          <c:idx val="2"/>
          <c:order val="2"/>
          <c:tx>
            <c:strRef>
              <c:f>'Working file'!$E$141</c:f>
              <c:strCache>
                <c:ptCount val="1"/>
                <c:pt idx="0">
                  <c:v>Total</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file'!$B$142:$B$147</c:f>
              <c:strCache>
                <c:ptCount val="6"/>
                <c:pt idx="0">
                  <c:v>&lt; 30%</c:v>
                </c:pt>
                <c:pt idx="1">
                  <c:v>30% to 39%</c:v>
                </c:pt>
                <c:pt idx="2">
                  <c:v>40% to 49%</c:v>
                </c:pt>
                <c:pt idx="3">
                  <c:v>50% to 59%</c:v>
                </c:pt>
                <c:pt idx="4">
                  <c:v>60% to 69%</c:v>
                </c:pt>
                <c:pt idx="5">
                  <c:v>&gt; 70%</c:v>
                </c:pt>
              </c:strCache>
            </c:strRef>
          </c:cat>
          <c:val>
            <c:numRef>
              <c:f>'Working file'!$E$142:$E$147</c:f>
              <c:numCache>
                <c:formatCode>0.00%</c:formatCode>
                <c:ptCount val="6"/>
                <c:pt idx="0">
                  <c:v>0.14427860696517414</c:v>
                </c:pt>
                <c:pt idx="1">
                  <c:v>0.11940298507462686</c:v>
                </c:pt>
                <c:pt idx="2">
                  <c:v>6.965174129353234E-2</c:v>
                </c:pt>
                <c:pt idx="3">
                  <c:v>5.4726368159203981E-2</c:v>
                </c:pt>
                <c:pt idx="4">
                  <c:v>0.06</c:v>
                </c:pt>
                <c:pt idx="5">
                  <c:v>0.03</c:v>
                </c:pt>
              </c:numCache>
            </c:numRef>
          </c:val>
          <c:extLst>
            <c:ext xmlns:c16="http://schemas.microsoft.com/office/drawing/2014/chart" uri="{C3380CC4-5D6E-409C-BE32-E72D297353CC}">
              <c16:uniqueId val="{00000002-4DA0-4FD1-98BF-EEB481727DE1}"/>
            </c:ext>
          </c:extLst>
        </c:ser>
        <c:dLbls>
          <c:dLblPos val="outEnd"/>
          <c:showLegendKey val="0"/>
          <c:showVal val="1"/>
          <c:showCatName val="0"/>
          <c:showSerName val="0"/>
          <c:showPercent val="0"/>
          <c:showBubbleSize val="0"/>
        </c:dLbls>
        <c:gapWidth val="219"/>
        <c:overlap val="-27"/>
        <c:axId val="918479872"/>
        <c:axId val="918486112"/>
      </c:barChart>
      <c:catAx>
        <c:axId val="91847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18486112"/>
        <c:crosses val="autoZero"/>
        <c:auto val="1"/>
        <c:lblAlgn val="ctr"/>
        <c:lblOffset val="100"/>
        <c:noMultiLvlLbl val="0"/>
      </c:catAx>
      <c:valAx>
        <c:axId val="918486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1847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Times New Roman" panose="02020603050405020304" pitchFamily="18" charset="0"/>
              </a:defRPr>
            </a:pPr>
            <a:r>
              <a:rPr lang="en-US"/>
              <a:t>Increase in household nutritious food consumption compared to the previous year</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mn-lt"/>
              <a:ea typeface="+mn-ea"/>
              <a:cs typeface="Times New Roman" panose="02020603050405020304" pitchFamily="18" charset="0"/>
            </a:defRPr>
          </a:pPr>
          <a:endParaRPr lang="en-US"/>
        </a:p>
      </c:txPr>
    </c:title>
    <c:autoTitleDeleted val="0"/>
    <c:plotArea>
      <c:layout/>
      <c:lineChart>
        <c:grouping val="standard"/>
        <c:varyColors val="0"/>
        <c:ser>
          <c:idx val="0"/>
          <c:order val="0"/>
          <c:tx>
            <c:strRef>
              <c:f>'Working file'!$C$130</c:f>
              <c:strCache>
                <c:ptCount val="1"/>
                <c:pt idx="0">
                  <c:v>Faridpur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'Working file'!$B$131:$B$137</c:f>
              <c:strCache>
                <c:ptCount val="6"/>
                <c:pt idx="0">
                  <c:v>&lt; 30%</c:v>
                </c:pt>
                <c:pt idx="1">
                  <c:v>30% to 39%</c:v>
                </c:pt>
                <c:pt idx="2">
                  <c:v>40% to 49%</c:v>
                </c:pt>
                <c:pt idx="3">
                  <c:v>50% to 59%</c:v>
                </c:pt>
                <c:pt idx="4">
                  <c:v>60% to 69%</c:v>
                </c:pt>
                <c:pt idx="5">
                  <c:v>&gt; 70%</c:v>
                </c:pt>
              </c:strCache>
            </c:strRef>
          </c:cat>
          <c:val>
            <c:numRef>
              <c:f>'Working file'!$C$131:$C$137</c:f>
              <c:numCache>
                <c:formatCode>0.00%</c:formatCode>
                <c:ptCount val="7"/>
                <c:pt idx="0">
                  <c:v>3.1578947368421102E-2</c:v>
                </c:pt>
                <c:pt idx="1">
                  <c:v>6.3157894736842107E-2</c:v>
                </c:pt>
                <c:pt idx="2">
                  <c:v>0.10877192982456141</c:v>
                </c:pt>
                <c:pt idx="3">
                  <c:v>0.14035087719298245</c:v>
                </c:pt>
                <c:pt idx="4">
                  <c:v>0.16140350877192983</c:v>
                </c:pt>
                <c:pt idx="5">
                  <c:v>0.37894736842105264</c:v>
                </c:pt>
              </c:numCache>
            </c:numRef>
          </c:val>
          <c:smooth val="0"/>
          <c:extLst>
            <c:ext xmlns:c16="http://schemas.microsoft.com/office/drawing/2014/chart" uri="{C3380CC4-5D6E-409C-BE32-E72D297353CC}">
              <c16:uniqueId val="{00000000-C9CD-4C38-ABF7-9FC78D1A3936}"/>
            </c:ext>
          </c:extLst>
        </c:ser>
        <c:ser>
          <c:idx val="1"/>
          <c:order val="1"/>
          <c:tx>
            <c:strRef>
              <c:f>'Working file'!$D$130</c:f>
              <c:strCache>
                <c:ptCount val="1"/>
                <c:pt idx="0">
                  <c:v>Khulna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'Working file'!$B$131:$B$137</c:f>
              <c:strCache>
                <c:ptCount val="6"/>
                <c:pt idx="0">
                  <c:v>&lt; 30%</c:v>
                </c:pt>
                <c:pt idx="1">
                  <c:v>30% to 39%</c:v>
                </c:pt>
                <c:pt idx="2">
                  <c:v>40% to 49%</c:v>
                </c:pt>
                <c:pt idx="3">
                  <c:v>50% to 59%</c:v>
                </c:pt>
                <c:pt idx="4">
                  <c:v>60% to 69%</c:v>
                </c:pt>
                <c:pt idx="5">
                  <c:v>&gt; 70%</c:v>
                </c:pt>
              </c:strCache>
            </c:strRef>
          </c:cat>
          <c:val>
            <c:numRef>
              <c:f>'Working file'!$D$131:$D$137</c:f>
              <c:numCache>
                <c:formatCode>0.00%</c:formatCode>
                <c:ptCount val="7"/>
                <c:pt idx="0">
                  <c:v>3.4188034188034191E-2</c:v>
                </c:pt>
                <c:pt idx="1">
                  <c:v>3.4188034188034191E-2</c:v>
                </c:pt>
                <c:pt idx="2">
                  <c:v>1.7094017094017096E-2</c:v>
                </c:pt>
                <c:pt idx="3">
                  <c:v>9.4017094017094016E-2</c:v>
                </c:pt>
                <c:pt idx="4">
                  <c:v>5.128205128205128E-2</c:v>
                </c:pt>
                <c:pt idx="5">
                  <c:v>0.61538461538461542</c:v>
                </c:pt>
              </c:numCache>
            </c:numRef>
          </c:val>
          <c:smooth val="0"/>
          <c:extLst>
            <c:ext xmlns:c16="http://schemas.microsoft.com/office/drawing/2014/chart" uri="{C3380CC4-5D6E-409C-BE32-E72D297353CC}">
              <c16:uniqueId val="{00000001-C9CD-4C38-ABF7-9FC78D1A3936}"/>
            </c:ext>
          </c:extLst>
        </c:ser>
        <c:ser>
          <c:idx val="2"/>
          <c:order val="2"/>
          <c:tx>
            <c:strRef>
              <c:f>'Working file'!$E$130</c:f>
              <c:strCache>
                <c:ptCount val="1"/>
                <c:pt idx="0">
                  <c:v>Total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'Working file'!$B$131:$B$137</c:f>
              <c:strCache>
                <c:ptCount val="6"/>
                <c:pt idx="0">
                  <c:v>&lt; 30%</c:v>
                </c:pt>
                <c:pt idx="1">
                  <c:v>30% to 39%</c:v>
                </c:pt>
                <c:pt idx="2">
                  <c:v>40% to 49%</c:v>
                </c:pt>
                <c:pt idx="3">
                  <c:v>50% to 59%</c:v>
                </c:pt>
                <c:pt idx="4">
                  <c:v>60% to 69%</c:v>
                </c:pt>
                <c:pt idx="5">
                  <c:v>&gt; 70%</c:v>
                </c:pt>
              </c:strCache>
            </c:strRef>
          </c:cat>
          <c:val>
            <c:numRef>
              <c:f>'Working file'!$E$131:$E$137</c:f>
              <c:numCache>
                <c:formatCode>0.00%</c:formatCode>
                <c:ptCount val="7"/>
                <c:pt idx="0">
                  <c:v>3.2338308457711441E-2</c:v>
                </c:pt>
                <c:pt idx="1">
                  <c:v>5.4726368159203981E-2</c:v>
                </c:pt>
                <c:pt idx="2">
                  <c:v>8.2089552238805971E-2</c:v>
                </c:pt>
                <c:pt idx="3">
                  <c:v>0.12686567164179105</c:v>
                </c:pt>
                <c:pt idx="4">
                  <c:v>0.12935323383084577</c:v>
                </c:pt>
                <c:pt idx="5">
                  <c:v>0.44776119402985076</c:v>
                </c:pt>
              </c:numCache>
            </c:numRef>
          </c:val>
          <c:smooth val="0"/>
          <c:extLst>
            <c:ext xmlns:c16="http://schemas.microsoft.com/office/drawing/2014/chart" uri="{C3380CC4-5D6E-409C-BE32-E72D297353CC}">
              <c16:uniqueId val="{00000002-C9CD-4C38-ABF7-9FC78D1A3936}"/>
            </c:ext>
          </c:extLst>
        </c:ser>
        <c:dLbls>
          <c:showLegendKey val="0"/>
          <c:showVal val="0"/>
          <c:showCatName val="0"/>
          <c:showSerName val="0"/>
          <c:showPercent val="0"/>
          <c:showBubbleSize val="0"/>
        </c:dLbls>
        <c:marker val="1"/>
        <c:smooth val="0"/>
        <c:axId val="1645260608"/>
        <c:axId val="1645261152"/>
      </c:lineChart>
      <c:catAx>
        <c:axId val="16452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1152"/>
        <c:crosses val="autoZero"/>
        <c:auto val="1"/>
        <c:lblAlgn val="ctr"/>
        <c:lblOffset val="100"/>
        <c:tickMarkSkip val="1"/>
        <c:noMultiLvlLbl val="0"/>
      </c:catAx>
      <c:valAx>
        <c:axId val="1645261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crossAx val="164526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mn-lt"/>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EB502B9311047ACC7ADA625EF9859" ma:contentTypeVersion="13" ma:contentTypeDescription="Create a new document." ma:contentTypeScope="" ma:versionID="b199f78692d68188caed62d737d7c563">
  <xsd:schema xmlns:xsd="http://www.w3.org/2001/XMLSchema" xmlns:xs="http://www.w3.org/2001/XMLSchema" xmlns:p="http://schemas.microsoft.com/office/2006/metadata/properties" xmlns:ns2="ed10ad4f-d523-46b2-94c5-73dfe904c710" xmlns:ns3="f103d85d-bba7-42d2-a849-30570193ae39" targetNamespace="http://schemas.microsoft.com/office/2006/metadata/properties" ma:root="true" ma:fieldsID="5ca56556b039ef7018c5674410b3c47b" ns2:_="" ns3:_="">
    <xsd:import namespace="ed10ad4f-d523-46b2-94c5-73dfe904c710"/>
    <xsd:import namespace="f103d85d-bba7-42d2-a849-30570193a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0ad4f-d523-46b2-94c5-73dfe904c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3d85d-bba7-42d2-a849-30570193a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7B3F-F9B5-4ABD-BE12-B8A53EFF2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1C28DB-0FFC-46BE-9FF9-8BD71FFB6304}">
  <ds:schemaRefs>
    <ds:schemaRef ds:uri="http://schemas.microsoft.com/sharepoint/v3/contenttype/forms"/>
  </ds:schemaRefs>
</ds:datastoreItem>
</file>

<file path=customXml/itemProps3.xml><?xml version="1.0" encoding="utf-8"?>
<ds:datastoreItem xmlns:ds="http://schemas.openxmlformats.org/officeDocument/2006/customXml" ds:itemID="{8E33EEFE-CB82-4E90-A5C2-085CF5047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0ad4f-d523-46b2-94c5-73dfe904c710"/>
    <ds:schemaRef ds:uri="f103d85d-bba7-42d2-a849-30570193a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7EF0E-1A9C-4379-A8F2-9EA9E0D9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16</Pages>
  <Words>6842</Words>
  <Characters>45022</Characters>
  <Application>Microsoft Office Word</Application>
  <DocSecurity>0</DocSecurity>
  <Lines>849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dc:creator>
  <cp:keywords/>
  <dc:description/>
  <cp:lastModifiedBy>SDI 1183</cp:lastModifiedBy>
  <cp:revision>308</cp:revision>
  <dcterms:created xsi:type="dcterms:W3CDTF">2025-10-08T13:39:00Z</dcterms:created>
  <dcterms:modified xsi:type="dcterms:W3CDTF">2025-10-24T10:29:00Z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0x01010049AEB502B9311047ACC7ADA625EF9859</vt:lpwstr>
  </property>
  <property fmtid="{D5CDD505-2E9C-101B-9397-08002B2CF9AE}" pid="3" name="GrammarlyDocumentId">
    <vt:lpwstr>e7c6038e-3307-453c-bbcc-5f2500a2b565</vt:lpwstr>
  </property>
</Properties>
</file>