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5F766" w14:textId="161E3735" w:rsidR="00C853AC" w:rsidRDefault="0046404E" w:rsidP="0046404E">
      <w:pPr>
        <w:spacing w:after="0"/>
        <w:jc w:val="center"/>
        <w:rPr>
          <w:rFonts w:ascii="Times New Roman" w:hAnsi="Times New Roman" w:cs="Times New Roman"/>
          <w:color w:val="222222"/>
          <w:sz w:val="21"/>
          <w:szCs w:val="21"/>
          <w:shd w:val="clear" w:color="auto" w:fill="FFFFFF"/>
        </w:rPr>
      </w:pPr>
      <w:bookmarkStart w:id="0" w:name="abstract"/>
      <w:bookmarkStart w:id="1" w:name="X69561429345d6377edaf2d57726f65dc2a93728"/>
      <w:r w:rsidRPr="0046404E">
        <w:rPr>
          <w:rFonts w:ascii="Times New Roman" w:eastAsiaTheme="majorEastAsia" w:hAnsi="Times New Roman" w:cs="Times New Roman"/>
          <w:b/>
          <w:bCs/>
          <w:sz w:val="32"/>
          <w:szCs w:val="32"/>
        </w:rPr>
        <w:t>Impact of Nutritional Gardens on Food Security of Rural Families</w:t>
      </w:r>
      <w:r>
        <w:rPr>
          <w:rFonts w:ascii="Times New Roman" w:eastAsiaTheme="majorEastAsia" w:hAnsi="Times New Roman" w:cs="Times New Roman"/>
          <w:b/>
          <w:bCs/>
          <w:sz w:val="32"/>
          <w:szCs w:val="32"/>
        </w:rPr>
        <w:t xml:space="preserve"> in Akola District of </w:t>
      </w:r>
      <w:r w:rsidRPr="00D15BF7">
        <w:rPr>
          <w:rFonts w:ascii="Times New Roman" w:eastAsiaTheme="majorEastAsia" w:hAnsi="Times New Roman" w:cs="Times New Roman"/>
          <w:b/>
          <w:bCs/>
          <w:sz w:val="32"/>
          <w:szCs w:val="32"/>
          <w:highlight w:val="yellow"/>
        </w:rPr>
        <w:t>Maharashtra</w:t>
      </w:r>
      <w:r w:rsidR="00D15BF7" w:rsidRPr="00D15BF7">
        <w:rPr>
          <w:rFonts w:ascii="Times New Roman" w:eastAsiaTheme="majorEastAsia" w:hAnsi="Times New Roman" w:cs="Times New Roman"/>
          <w:b/>
          <w:bCs/>
          <w:sz w:val="32"/>
          <w:szCs w:val="32"/>
          <w:highlight w:val="yellow"/>
        </w:rPr>
        <w:t>, India</w:t>
      </w:r>
    </w:p>
    <w:p w14:paraId="52EAA804" w14:textId="77777777" w:rsidR="003433C4" w:rsidRPr="00447CDB" w:rsidRDefault="003433C4" w:rsidP="00007B11">
      <w:pPr>
        <w:spacing w:after="0"/>
        <w:rPr>
          <w:rFonts w:ascii="Times New Roman" w:hAnsi="Times New Roman" w:cs="Times New Roman"/>
          <w:color w:val="222222"/>
          <w:sz w:val="21"/>
          <w:szCs w:val="21"/>
          <w:shd w:val="clear" w:color="auto" w:fill="FFFFFF"/>
        </w:rPr>
      </w:pPr>
    </w:p>
    <w:p w14:paraId="0F655724" w14:textId="77777777" w:rsidR="000F1387" w:rsidRPr="00895790" w:rsidRDefault="00FB74C6">
      <w:pPr>
        <w:pStyle w:val="Heading2"/>
        <w:rPr>
          <w:rFonts w:ascii="Times New Roman" w:hAnsi="Times New Roman" w:cs="Times New Roman"/>
          <w:b/>
          <w:bCs/>
          <w:color w:val="auto"/>
        </w:rPr>
      </w:pPr>
      <w:r w:rsidRPr="00F966D7">
        <w:rPr>
          <w:rFonts w:ascii="Times New Roman" w:hAnsi="Times New Roman" w:cs="Times New Roman"/>
          <w:b/>
          <w:bCs/>
          <w:color w:val="auto"/>
          <w:sz w:val="28"/>
          <w:szCs w:val="28"/>
        </w:rPr>
        <w:t>Abstract</w:t>
      </w:r>
    </w:p>
    <w:p w14:paraId="3DCCC22A" w14:textId="35139FF5" w:rsidR="000F1387" w:rsidRPr="00895790" w:rsidRDefault="00FB74C6" w:rsidP="00895790">
      <w:pPr>
        <w:pStyle w:val="FirstParagraph"/>
        <w:jc w:val="both"/>
        <w:rPr>
          <w:rFonts w:ascii="Times New Roman" w:hAnsi="Times New Roman" w:cs="Times New Roman"/>
        </w:rPr>
      </w:pPr>
      <w:r w:rsidRPr="00895790">
        <w:rPr>
          <w:rFonts w:ascii="Times New Roman" w:hAnsi="Times New Roman" w:cs="Times New Roman"/>
        </w:rPr>
        <w:t xml:space="preserve">Food and nutritional insecurity continue to challenge rural households in India, where affordability, accessibility, and awareness of balanced diets remain limited. Dependence on market-purchased vegetables exposes families to price fluctuations and supply disruptions, leading to low daily vegetable intake and micronutrient deficiencies. To assess the impact of nutritional gardens (NGs) promoted through Frontline Demonstrations (FLDs) on improving vegetable consumption and reducing household expenditure among rural families in Akola district, Maharashtra, over five years (2020–2024). Each year, </w:t>
      </w:r>
      <w:r w:rsidR="00C30BAB">
        <w:rPr>
          <w:rFonts w:ascii="Times New Roman" w:hAnsi="Times New Roman" w:cs="Times New Roman"/>
        </w:rPr>
        <w:t>30</w:t>
      </w:r>
      <w:r w:rsidRPr="00895790">
        <w:rPr>
          <w:rFonts w:ascii="Times New Roman" w:hAnsi="Times New Roman" w:cs="Times New Roman"/>
        </w:rPr>
        <w:t xml:space="preserve"> socio-economically vulnerable families (n </w:t>
      </w:r>
      <w:r w:rsidR="00895790">
        <w:rPr>
          <w:rFonts w:ascii="Times New Roman" w:hAnsi="Times New Roman" w:cs="Times New Roman"/>
        </w:rPr>
        <w:t>-</w:t>
      </w:r>
      <w:r w:rsidR="00C30BAB">
        <w:rPr>
          <w:rFonts w:ascii="Times New Roman" w:hAnsi="Times New Roman" w:cs="Times New Roman"/>
        </w:rPr>
        <w:t>150</w:t>
      </w:r>
      <w:r w:rsidRPr="00895790">
        <w:rPr>
          <w:rFonts w:ascii="Times New Roman" w:hAnsi="Times New Roman" w:cs="Times New Roman"/>
        </w:rPr>
        <w:t xml:space="preserve"> total) were enrolled across villages including </w:t>
      </w:r>
      <w:proofErr w:type="spellStart"/>
      <w:r w:rsidRPr="00895790">
        <w:rPr>
          <w:rFonts w:ascii="Times New Roman" w:hAnsi="Times New Roman" w:cs="Times New Roman"/>
        </w:rPr>
        <w:t>Barshitakli</w:t>
      </w:r>
      <w:proofErr w:type="spellEnd"/>
      <w:r w:rsidRPr="00895790">
        <w:rPr>
          <w:rFonts w:ascii="Times New Roman" w:hAnsi="Times New Roman" w:cs="Times New Roman"/>
        </w:rPr>
        <w:t xml:space="preserve">, </w:t>
      </w:r>
      <w:proofErr w:type="spellStart"/>
      <w:r w:rsidRPr="00895790">
        <w:rPr>
          <w:rFonts w:ascii="Times New Roman" w:hAnsi="Times New Roman" w:cs="Times New Roman"/>
        </w:rPr>
        <w:t>Sisa</w:t>
      </w:r>
      <w:proofErr w:type="spellEnd"/>
      <w:r w:rsidRPr="00895790">
        <w:rPr>
          <w:rFonts w:ascii="Times New Roman" w:hAnsi="Times New Roman" w:cs="Times New Roman"/>
        </w:rPr>
        <w:t xml:space="preserve"> </w:t>
      </w:r>
      <w:proofErr w:type="spellStart"/>
      <w:r w:rsidRPr="00895790">
        <w:rPr>
          <w:rFonts w:ascii="Times New Roman" w:hAnsi="Times New Roman" w:cs="Times New Roman"/>
        </w:rPr>
        <w:t>Udegaon</w:t>
      </w:r>
      <w:proofErr w:type="spellEnd"/>
      <w:r w:rsidRPr="00895790">
        <w:rPr>
          <w:rFonts w:ascii="Times New Roman" w:hAnsi="Times New Roman" w:cs="Times New Roman"/>
        </w:rPr>
        <w:t xml:space="preserve">, Masa, </w:t>
      </w:r>
      <w:proofErr w:type="spellStart"/>
      <w:r w:rsidRPr="00895790">
        <w:rPr>
          <w:rFonts w:ascii="Times New Roman" w:hAnsi="Times New Roman" w:cs="Times New Roman"/>
        </w:rPr>
        <w:t>Babhulgaon</w:t>
      </w:r>
      <w:proofErr w:type="spellEnd"/>
      <w:r w:rsidRPr="00895790">
        <w:rPr>
          <w:rFonts w:ascii="Times New Roman" w:hAnsi="Times New Roman" w:cs="Times New Roman"/>
        </w:rPr>
        <w:t xml:space="preserve">, </w:t>
      </w:r>
      <w:proofErr w:type="spellStart"/>
      <w:r w:rsidRPr="00895790">
        <w:rPr>
          <w:rFonts w:ascii="Times New Roman" w:hAnsi="Times New Roman" w:cs="Times New Roman"/>
        </w:rPr>
        <w:t>Kadoshi</w:t>
      </w:r>
      <w:proofErr w:type="spellEnd"/>
      <w:r w:rsidRPr="00895790">
        <w:rPr>
          <w:rFonts w:ascii="Times New Roman" w:hAnsi="Times New Roman" w:cs="Times New Roman"/>
        </w:rPr>
        <w:t xml:space="preserve">, and </w:t>
      </w:r>
      <w:proofErr w:type="spellStart"/>
      <w:r w:rsidRPr="00895790">
        <w:rPr>
          <w:rFonts w:ascii="Times New Roman" w:hAnsi="Times New Roman" w:cs="Times New Roman"/>
        </w:rPr>
        <w:t>Adoshi</w:t>
      </w:r>
      <w:proofErr w:type="spellEnd"/>
      <w:r w:rsidRPr="00895790">
        <w:rPr>
          <w:rFonts w:ascii="Times New Roman" w:hAnsi="Times New Roman" w:cs="Times New Roman"/>
        </w:rPr>
        <w:t xml:space="preserve">. Families were compared under two conditions: T1 </w:t>
      </w:r>
      <w:r w:rsidR="00895790">
        <w:rPr>
          <w:rFonts w:ascii="Times New Roman" w:hAnsi="Times New Roman" w:cs="Times New Roman"/>
        </w:rPr>
        <w:t>-</w:t>
      </w:r>
      <w:r w:rsidRPr="00895790">
        <w:rPr>
          <w:rFonts w:ascii="Times New Roman" w:hAnsi="Times New Roman" w:cs="Times New Roman"/>
        </w:rPr>
        <w:t xml:space="preserve">without nutritional garden, T2 </w:t>
      </w:r>
      <w:r w:rsidR="00895790">
        <w:rPr>
          <w:rFonts w:ascii="Times New Roman" w:hAnsi="Times New Roman" w:cs="Times New Roman"/>
        </w:rPr>
        <w:t>-</w:t>
      </w:r>
      <w:r w:rsidRPr="00895790">
        <w:rPr>
          <w:rFonts w:ascii="Times New Roman" w:hAnsi="Times New Roman" w:cs="Times New Roman"/>
        </w:rPr>
        <w:t xml:space="preserve"> with nutritional garden. Key indicators included daily vegetable consumption (gm/family/day) and monthly expenditure on vegetables (</w:t>
      </w:r>
      <w:r w:rsidR="00447CDB" w:rsidRPr="00895790">
        <w:rPr>
          <w:rFonts w:ascii="Times New Roman" w:hAnsi="Times New Roman" w:cs="Times New Roman"/>
        </w:rPr>
        <w:t>Rs. /</w:t>
      </w:r>
      <w:r w:rsidRPr="00895790">
        <w:rPr>
          <w:rFonts w:ascii="Times New Roman" w:hAnsi="Times New Roman" w:cs="Times New Roman"/>
        </w:rPr>
        <w:t>family)</w:t>
      </w:r>
      <w:r w:rsidR="00895790">
        <w:rPr>
          <w:rFonts w:ascii="Times New Roman" w:hAnsi="Times New Roman" w:cs="Times New Roman"/>
        </w:rPr>
        <w:t xml:space="preserve">. </w:t>
      </w:r>
      <w:r w:rsidRPr="00895790">
        <w:rPr>
          <w:rFonts w:ascii="Times New Roman" w:hAnsi="Times New Roman" w:cs="Times New Roman"/>
        </w:rPr>
        <w:t xml:space="preserve">Establishment of NGs led to substantial gains. Average daily vegetable consumption increased from </w:t>
      </w:r>
      <w:r w:rsidRPr="00895790">
        <w:rPr>
          <w:rFonts w:ascii="Times New Roman" w:hAnsi="Times New Roman" w:cs="Times New Roman"/>
          <w:b/>
          <w:bCs/>
        </w:rPr>
        <w:t>485 g to 1143 g</w:t>
      </w:r>
      <w:r w:rsidRPr="00895790">
        <w:rPr>
          <w:rFonts w:ascii="Times New Roman" w:hAnsi="Times New Roman" w:cs="Times New Roman"/>
        </w:rPr>
        <w:t xml:space="preserve"> (+136%), while monthly expenditure declined from </w:t>
      </w:r>
      <w:r w:rsidRPr="00895790">
        <w:rPr>
          <w:rFonts w:ascii="Times New Roman" w:hAnsi="Times New Roman" w:cs="Times New Roman"/>
          <w:b/>
          <w:bCs/>
        </w:rPr>
        <w:t>~Rs. 662 to ~Rs. 169</w:t>
      </w:r>
      <w:r w:rsidRPr="00895790">
        <w:rPr>
          <w:rFonts w:ascii="Times New Roman" w:hAnsi="Times New Roman" w:cs="Times New Roman"/>
        </w:rPr>
        <w:t xml:space="preserve"> (−74%). Year-wise trends showed consistent improvement, with consumption gains ranging from 95% to 214%, and expenditure reduction between 62% </w:t>
      </w:r>
      <w:r w:rsidR="00895790">
        <w:rPr>
          <w:rFonts w:ascii="Times New Roman" w:hAnsi="Times New Roman" w:cs="Times New Roman"/>
        </w:rPr>
        <w:t xml:space="preserve">to </w:t>
      </w:r>
      <w:r w:rsidRPr="00895790">
        <w:rPr>
          <w:rFonts w:ascii="Times New Roman" w:hAnsi="Times New Roman" w:cs="Times New Roman"/>
        </w:rPr>
        <w:t>80%. Families reported enhanced dietary diversity (leafy greens, tubers, seasonal vegetables), empowerment of women in household decision-making, and improved resilience during COVID-19 lockdowns. Nutritional gardens are an effective, low-cost intervention for food security. They improve dietary intake, reduce financial burden, and empower rural households. Large-scale promotion through extension systems and women’s groups is recommended.</w:t>
      </w:r>
    </w:p>
    <w:p w14:paraId="7341A709" w14:textId="77777777" w:rsidR="000F1387" w:rsidRPr="00895790" w:rsidRDefault="00FB74C6">
      <w:pPr>
        <w:pStyle w:val="BodyText"/>
        <w:rPr>
          <w:rFonts w:ascii="Times New Roman" w:hAnsi="Times New Roman" w:cs="Times New Roman"/>
        </w:rPr>
      </w:pPr>
      <w:r w:rsidRPr="00895790">
        <w:rPr>
          <w:rFonts w:ascii="Times New Roman" w:hAnsi="Times New Roman" w:cs="Times New Roman"/>
          <w:b/>
          <w:bCs/>
        </w:rPr>
        <w:t>Keywords:</w:t>
      </w:r>
      <w:r w:rsidRPr="00895790">
        <w:rPr>
          <w:rFonts w:ascii="Times New Roman" w:hAnsi="Times New Roman" w:cs="Times New Roman"/>
        </w:rPr>
        <w:t xml:space="preserve"> Nutritional gardens; Food security; Dietary diversity; Frontline Demonstration; Women empowerment; Rural resilience</w:t>
      </w:r>
    </w:p>
    <w:p w14:paraId="30688B4F" w14:textId="3D0C1A08" w:rsidR="000F1387" w:rsidRPr="00895790" w:rsidRDefault="000F1387">
      <w:pPr>
        <w:rPr>
          <w:rFonts w:ascii="Times New Roman" w:hAnsi="Times New Roman" w:cs="Times New Roman"/>
        </w:rPr>
      </w:pPr>
      <w:bookmarkStart w:id="2" w:name="highlights"/>
      <w:bookmarkEnd w:id="0"/>
    </w:p>
    <w:p w14:paraId="35B511B8" w14:textId="77777777" w:rsidR="000F1387" w:rsidRPr="00895790" w:rsidRDefault="00FB74C6">
      <w:pPr>
        <w:pStyle w:val="Heading2"/>
        <w:rPr>
          <w:rFonts w:ascii="Times New Roman" w:hAnsi="Times New Roman" w:cs="Times New Roman"/>
          <w:b/>
          <w:bCs/>
          <w:color w:val="auto"/>
        </w:rPr>
      </w:pPr>
      <w:bookmarkStart w:id="3" w:name="introduction"/>
      <w:bookmarkEnd w:id="2"/>
      <w:r w:rsidRPr="00F966D7">
        <w:rPr>
          <w:rFonts w:ascii="Times New Roman" w:hAnsi="Times New Roman" w:cs="Times New Roman"/>
          <w:b/>
          <w:bCs/>
          <w:color w:val="auto"/>
          <w:sz w:val="28"/>
          <w:szCs w:val="28"/>
        </w:rPr>
        <w:t>1. Introduction</w:t>
      </w:r>
    </w:p>
    <w:p w14:paraId="7E758646" w14:textId="57DF3B30" w:rsidR="000F1387" w:rsidRPr="00895790" w:rsidRDefault="00FB74C6" w:rsidP="00895790">
      <w:pPr>
        <w:pStyle w:val="FirstParagraph"/>
        <w:jc w:val="both"/>
        <w:rPr>
          <w:rFonts w:ascii="Times New Roman" w:hAnsi="Times New Roman" w:cs="Times New Roman"/>
        </w:rPr>
      </w:pPr>
      <w:r w:rsidRPr="00895790">
        <w:rPr>
          <w:rFonts w:ascii="Times New Roman" w:hAnsi="Times New Roman" w:cs="Times New Roman"/>
        </w:rPr>
        <w:t xml:space="preserve">Food security encompasses not only the availability of food but also access, affordability, and consistent consumption of nutritious </w:t>
      </w:r>
      <w:r w:rsidRPr="00F966D7">
        <w:rPr>
          <w:rFonts w:ascii="Times New Roman" w:hAnsi="Times New Roman" w:cs="Times New Roman"/>
        </w:rPr>
        <w:t>produce</w:t>
      </w:r>
      <w:r w:rsidR="00F966D7" w:rsidRPr="00F966D7">
        <w:rPr>
          <w:rFonts w:ascii="Times New Roman" w:hAnsi="Times New Roman" w:cs="Times New Roman"/>
        </w:rPr>
        <w:t xml:space="preserve"> </w:t>
      </w:r>
      <w:r w:rsidR="00F966D7" w:rsidRPr="00F966D7">
        <w:rPr>
          <w:rFonts w:ascii="Times New Roman" w:hAnsi="Times New Roman" w:cs="Times New Roman"/>
          <w:lang w:val="en-IN"/>
        </w:rPr>
        <w:t>to meet dietary needs for an active, healthy life (FAO, 2008)</w:t>
      </w:r>
      <w:r w:rsidRPr="00F966D7">
        <w:rPr>
          <w:rFonts w:ascii="Times New Roman" w:hAnsi="Times New Roman" w:cs="Times New Roman"/>
        </w:rPr>
        <w:t xml:space="preserve">. In rural </w:t>
      </w:r>
      <w:r w:rsidRPr="00895790">
        <w:rPr>
          <w:rFonts w:ascii="Times New Roman" w:hAnsi="Times New Roman" w:cs="Times New Roman"/>
        </w:rPr>
        <w:t>India, many households face dietary gaps due to over-dependence on staple cereals and limited access to vegetables</w:t>
      </w:r>
      <w:r w:rsidR="00F966D7" w:rsidRPr="00F966D7">
        <w:rPr>
          <w:b/>
          <w:bCs/>
          <w:kern w:val="2"/>
          <w:sz w:val="22"/>
          <w:szCs w:val="22"/>
          <w:lang w:val="en-IN"/>
          <w14:ligatures w14:val="standardContextual"/>
        </w:rPr>
        <w:t xml:space="preserve"> </w:t>
      </w:r>
      <w:r w:rsidR="00F966D7" w:rsidRPr="00F966D7">
        <w:rPr>
          <w:rFonts w:ascii="Times New Roman" w:hAnsi="Times New Roman" w:cs="Times New Roman"/>
          <w:lang w:val="en-IN"/>
        </w:rPr>
        <w:t xml:space="preserve">and fruits (Choudhary </w:t>
      </w:r>
      <w:r w:rsidR="00F966D7" w:rsidRPr="00F966D7">
        <w:rPr>
          <w:rFonts w:ascii="Times New Roman" w:hAnsi="Times New Roman" w:cs="Times New Roman"/>
          <w:i/>
          <w:iCs/>
          <w:lang w:val="en-IN"/>
        </w:rPr>
        <w:t>et al</w:t>
      </w:r>
      <w:r w:rsidR="00F966D7" w:rsidRPr="00F966D7">
        <w:rPr>
          <w:rFonts w:ascii="Times New Roman" w:hAnsi="Times New Roman" w:cs="Times New Roman"/>
          <w:lang w:val="en-IN"/>
        </w:rPr>
        <w:t>., 2021</w:t>
      </w:r>
      <w:r w:rsidR="0046404E">
        <w:rPr>
          <w:rFonts w:ascii="Times New Roman" w:hAnsi="Times New Roman" w:cs="Times New Roman"/>
          <w:lang w:val="en-IN"/>
        </w:rPr>
        <w:t xml:space="preserve">, </w:t>
      </w:r>
      <w:r w:rsidR="0046404E" w:rsidRPr="0046404E">
        <w:rPr>
          <w:rFonts w:ascii="Times New Roman" w:hAnsi="Times New Roman" w:cs="Times New Roman"/>
          <w:lang w:val="en-GB" w:bidi="mr-IN"/>
        </w:rPr>
        <w:t xml:space="preserve">Du Toit </w:t>
      </w:r>
      <w:r w:rsidR="0046404E" w:rsidRPr="0046404E">
        <w:rPr>
          <w:rFonts w:ascii="Times New Roman" w:hAnsi="Times New Roman" w:cs="Times New Roman"/>
          <w:i/>
          <w:iCs/>
          <w:lang w:val="en-GB" w:bidi="mr-IN"/>
        </w:rPr>
        <w:t>et al</w:t>
      </w:r>
      <w:r w:rsidR="0046404E" w:rsidRPr="0046404E">
        <w:rPr>
          <w:rFonts w:ascii="Times New Roman" w:hAnsi="Times New Roman" w:cs="Times New Roman"/>
          <w:lang w:val="en-GB" w:bidi="mr-IN"/>
        </w:rPr>
        <w:t>., 2022</w:t>
      </w:r>
      <w:r w:rsidR="00F966D7" w:rsidRPr="0046404E">
        <w:rPr>
          <w:rFonts w:ascii="Times New Roman" w:hAnsi="Times New Roman" w:cs="Times New Roman"/>
          <w:lang w:val="en-IN"/>
        </w:rPr>
        <w:t>).</w:t>
      </w:r>
      <w:r w:rsidRPr="00895790">
        <w:rPr>
          <w:rFonts w:ascii="Times New Roman" w:hAnsi="Times New Roman" w:cs="Times New Roman"/>
        </w:rPr>
        <w:t xml:space="preserve"> This results in insufficient intake of vitamins and minerals, contributing to hidden hunger and malnutrition</w:t>
      </w:r>
      <w:r w:rsidR="00F966D7">
        <w:rPr>
          <w:rFonts w:ascii="Times New Roman" w:hAnsi="Times New Roman" w:cs="Times New Roman"/>
        </w:rPr>
        <w:t>, manifesting as high rates of stunting, underweight, and anemia, especially among women and children (NFHS-5, 2019-21)</w:t>
      </w:r>
      <w:r w:rsidRPr="00895790">
        <w:rPr>
          <w:rFonts w:ascii="Times New Roman" w:hAnsi="Times New Roman" w:cs="Times New Roman"/>
        </w:rPr>
        <w:t>.</w:t>
      </w:r>
    </w:p>
    <w:p w14:paraId="19A28C7F" w14:textId="6EC1644D" w:rsidR="00F966D7" w:rsidRPr="00F966D7" w:rsidRDefault="00F966D7" w:rsidP="00F966D7">
      <w:pPr>
        <w:pStyle w:val="BodyText"/>
        <w:jc w:val="both"/>
        <w:rPr>
          <w:rFonts w:ascii="Times New Roman" w:hAnsi="Times New Roman" w:cs="Times New Roman"/>
          <w:lang w:val="en-IN"/>
        </w:rPr>
      </w:pPr>
      <w:r w:rsidRPr="00F966D7">
        <w:rPr>
          <w:rFonts w:ascii="Times New Roman" w:hAnsi="Times New Roman" w:cs="Times New Roman"/>
          <w:lang w:val="en-IN"/>
        </w:rPr>
        <w:t>The Indian Council of Medical Research (IC</w:t>
      </w:r>
      <w:r w:rsidR="001D1D24">
        <w:rPr>
          <w:rFonts w:ascii="Times New Roman" w:hAnsi="Times New Roman" w:cs="Times New Roman"/>
          <w:lang w:val="en-IN"/>
        </w:rPr>
        <w:t>MR</w:t>
      </w:r>
      <w:r w:rsidRPr="00F966D7">
        <w:rPr>
          <w:rFonts w:ascii="Times New Roman" w:hAnsi="Times New Roman" w:cs="Times New Roman"/>
          <w:lang w:val="en-IN"/>
        </w:rPr>
        <w:t>) recommends a daily intake of at least 300 g of vegetables per person, including 50 g of leafy greens, 200 g of other vegetables, and 50 g of roots and tubers (NIN, 2011).</w:t>
      </w:r>
      <w:r w:rsidR="00044DE0">
        <w:rPr>
          <w:rFonts w:ascii="Times New Roman" w:hAnsi="Times New Roman" w:cs="Times New Roman"/>
          <w:lang w:val="en-IN"/>
        </w:rPr>
        <w:t xml:space="preserve"> </w:t>
      </w:r>
      <w:r w:rsidRPr="00F966D7">
        <w:rPr>
          <w:rFonts w:ascii="Times New Roman" w:hAnsi="Times New Roman" w:cs="Times New Roman"/>
          <w:lang w:val="en-IN"/>
        </w:rPr>
        <w:t>However, intake among rural households remains critically below these recommended levels. High reliance on market purchases makes families vulnerable to price volatility, poor quality, and seasonal scarcity, further limiting consumption (Sharma, 2009).</w:t>
      </w:r>
      <w:r>
        <w:rPr>
          <w:rFonts w:ascii="Times New Roman" w:hAnsi="Times New Roman" w:cs="Times New Roman"/>
          <w:lang w:val="en-IN"/>
        </w:rPr>
        <w:t xml:space="preserve"> </w:t>
      </w:r>
      <w:r w:rsidRPr="00895790">
        <w:rPr>
          <w:rFonts w:ascii="Times New Roman" w:hAnsi="Times New Roman" w:cs="Times New Roman"/>
        </w:rPr>
        <w:t>Nutritional gardens (NGs)</w:t>
      </w:r>
      <w:r w:rsidR="00895790">
        <w:rPr>
          <w:rFonts w:ascii="Times New Roman" w:hAnsi="Times New Roman" w:cs="Times New Roman"/>
        </w:rPr>
        <w:t xml:space="preserve"> </w:t>
      </w:r>
      <w:r w:rsidRPr="00895790">
        <w:rPr>
          <w:rFonts w:ascii="Times New Roman" w:hAnsi="Times New Roman" w:cs="Times New Roman"/>
        </w:rPr>
        <w:t>small, home-based plots for growing vegetables</w:t>
      </w:r>
      <w:r w:rsidR="00895790">
        <w:rPr>
          <w:rFonts w:ascii="Times New Roman" w:hAnsi="Times New Roman" w:cs="Times New Roman"/>
        </w:rPr>
        <w:t xml:space="preserve"> </w:t>
      </w:r>
      <w:r w:rsidRPr="00895790">
        <w:rPr>
          <w:rFonts w:ascii="Times New Roman" w:hAnsi="Times New Roman" w:cs="Times New Roman"/>
        </w:rPr>
        <w:t xml:space="preserve">offer an affordable, </w:t>
      </w:r>
      <w:r w:rsidRPr="00895790">
        <w:rPr>
          <w:rFonts w:ascii="Times New Roman" w:hAnsi="Times New Roman" w:cs="Times New Roman"/>
        </w:rPr>
        <w:lastRenderedPageBreak/>
        <w:t>sustainable solution</w:t>
      </w:r>
      <w:r>
        <w:rPr>
          <w:rFonts w:ascii="Times New Roman" w:hAnsi="Times New Roman" w:cs="Times New Roman"/>
        </w:rPr>
        <w:t xml:space="preserve"> to this multifaceted problem (</w:t>
      </w:r>
      <w:r w:rsidR="00F94DCE" w:rsidRPr="00F94DCE">
        <w:rPr>
          <w:lang w:bidi="mr-IN"/>
        </w:rPr>
        <w:t>Kaur, S. 2023</w:t>
      </w:r>
      <w:r>
        <w:rPr>
          <w:rFonts w:ascii="Times New Roman" w:hAnsi="Times New Roman" w:cs="Times New Roman"/>
        </w:rPr>
        <w:t>)</w:t>
      </w:r>
      <w:r w:rsidRPr="00895790">
        <w:rPr>
          <w:rFonts w:ascii="Times New Roman" w:hAnsi="Times New Roman" w:cs="Times New Roman"/>
        </w:rPr>
        <w:t>. They improve household dietary diversity, provide fresh produce year-round, and reduce dependency on external markets</w:t>
      </w:r>
      <w:r w:rsidRPr="00F966D7">
        <w:rPr>
          <w:kern w:val="2"/>
          <w:sz w:val="22"/>
          <w:szCs w:val="22"/>
          <w:lang w:val="en-IN"/>
          <w14:ligatures w14:val="standardContextual"/>
        </w:rPr>
        <w:t xml:space="preserve"> </w:t>
      </w:r>
      <w:r w:rsidRPr="00F966D7">
        <w:rPr>
          <w:rFonts w:ascii="Times New Roman" w:hAnsi="Times New Roman" w:cs="Times New Roman"/>
          <w:lang w:val="en-IN"/>
        </w:rPr>
        <w:t>and can be managed with minimal resources using locally available inputs and indigenous knowledge (Marsh, 1998).</w:t>
      </w:r>
      <w:r w:rsidR="00044DE0">
        <w:rPr>
          <w:rFonts w:ascii="Times New Roman" w:hAnsi="Times New Roman" w:cs="Times New Roman"/>
          <w:lang w:val="en-IN"/>
        </w:rPr>
        <w:t xml:space="preserve"> </w:t>
      </w:r>
      <w:r w:rsidRPr="00F966D7">
        <w:rPr>
          <w:rFonts w:ascii="Times New Roman" w:hAnsi="Times New Roman" w:cs="Times New Roman"/>
          <w:lang w:val="en-IN"/>
        </w:rPr>
        <w:t xml:space="preserve">Critically, women are often the primary managers of these gardens, positioning NGs as a significant pathway to achieving both household food security and women's socio-economic empowerment (Swaminathan, 2007; </w:t>
      </w:r>
      <w:r w:rsidR="004745BC" w:rsidRPr="004745BC">
        <w:rPr>
          <w:lang w:bidi="mr-IN"/>
        </w:rPr>
        <w:t>Ghosh</w:t>
      </w:r>
      <w:r w:rsidR="004745BC">
        <w:rPr>
          <w:lang w:bidi="mr-IN"/>
        </w:rPr>
        <w:t xml:space="preserve"> et al.,</w:t>
      </w:r>
      <w:r w:rsidR="004745BC" w:rsidRPr="004745BC">
        <w:rPr>
          <w:lang w:bidi="mr-IN"/>
        </w:rPr>
        <w:t xml:space="preserve"> 2021</w:t>
      </w:r>
      <w:r w:rsidRPr="00F966D7">
        <w:rPr>
          <w:rFonts w:ascii="Times New Roman" w:hAnsi="Times New Roman" w:cs="Times New Roman"/>
          <w:lang w:val="en-IN"/>
        </w:rPr>
        <w:t>).</w:t>
      </w:r>
    </w:p>
    <w:p w14:paraId="75F448AB" w14:textId="06A7BE84" w:rsidR="000F1387" w:rsidRPr="00895790" w:rsidRDefault="00FB74C6" w:rsidP="00895790">
      <w:pPr>
        <w:pStyle w:val="BodyText"/>
        <w:jc w:val="both"/>
        <w:rPr>
          <w:rFonts w:ascii="Times New Roman" w:hAnsi="Times New Roman" w:cs="Times New Roman"/>
        </w:rPr>
      </w:pPr>
      <w:r w:rsidRPr="00895790">
        <w:rPr>
          <w:rFonts w:ascii="Times New Roman" w:hAnsi="Times New Roman" w:cs="Times New Roman"/>
        </w:rPr>
        <w:t xml:space="preserve">Recognizing these benefits, Krishi Vigyan Kendra (KVK), Akola, under its Frontline Demonstrations (FLDs), introduced nutritional gardens across selected villages. </w:t>
      </w:r>
      <w:r w:rsidR="00F966D7" w:rsidRPr="00F227EB">
        <w:rPr>
          <w:rFonts w:ascii="Times New Roman" w:hAnsi="Times New Roman" w:cs="Times New Roman"/>
        </w:rPr>
        <w:t>While previous studies have documented the short-term benefits of NGs, there is a scarcity of longitudinal data on their sustained impact.</w:t>
      </w:r>
      <w:r w:rsidR="00F966D7">
        <w:rPr>
          <w:b/>
          <w:bCs/>
        </w:rPr>
        <w:t xml:space="preserve"> </w:t>
      </w:r>
      <w:r w:rsidRPr="00895790">
        <w:rPr>
          <w:rFonts w:ascii="Times New Roman" w:hAnsi="Times New Roman" w:cs="Times New Roman"/>
        </w:rPr>
        <w:t xml:space="preserve">This paper presents results from a </w:t>
      </w:r>
      <w:r w:rsidRPr="00895790">
        <w:rPr>
          <w:rFonts w:ascii="Times New Roman" w:hAnsi="Times New Roman" w:cs="Times New Roman"/>
          <w:b/>
          <w:bCs/>
        </w:rPr>
        <w:t>five-year study (2020–2024)</w:t>
      </w:r>
      <w:r w:rsidRPr="00895790">
        <w:rPr>
          <w:rFonts w:ascii="Times New Roman" w:hAnsi="Times New Roman" w:cs="Times New Roman"/>
        </w:rPr>
        <w:t xml:space="preserve"> evaluating the role of NGs in improving daily vegetable consumption and reducing household expenditure on vegetables.</w:t>
      </w:r>
    </w:p>
    <w:p w14:paraId="3794AF73" w14:textId="1982E2B2" w:rsidR="000F1387" w:rsidRPr="00895790" w:rsidRDefault="000F1387">
      <w:pPr>
        <w:rPr>
          <w:rFonts w:ascii="Times New Roman" w:hAnsi="Times New Roman" w:cs="Times New Roman"/>
        </w:rPr>
      </w:pPr>
    </w:p>
    <w:p w14:paraId="5E1B94D5" w14:textId="77777777" w:rsidR="000F1387" w:rsidRPr="00F966D7" w:rsidRDefault="00FB74C6">
      <w:pPr>
        <w:pStyle w:val="Heading2"/>
        <w:rPr>
          <w:rFonts w:ascii="Times New Roman" w:hAnsi="Times New Roman" w:cs="Times New Roman"/>
          <w:b/>
          <w:bCs/>
          <w:color w:val="auto"/>
          <w:sz w:val="28"/>
          <w:szCs w:val="28"/>
        </w:rPr>
      </w:pPr>
      <w:bookmarkStart w:id="4" w:name="materials-and-methods"/>
      <w:bookmarkEnd w:id="3"/>
      <w:r w:rsidRPr="00F966D7">
        <w:rPr>
          <w:rFonts w:ascii="Times New Roman" w:hAnsi="Times New Roman" w:cs="Times New Roman"/>
          <w:b/>
          <w:bCs/>
          <w:color w:val="auto"/>
          <w:sz w:val="28"/>
          <w:szCs w:val="28"/>
        </w:rPr>
        <w:t>2. Materials and Methods</w:t>
      </w:r>
    </w:p>
    <w:p w14:paraId="570B76F9" w14:textId="77777777" w:rsidR="00F966D7" w:rsidRPr="00F227EB" w:rsidRDefault="00F966D7" w:rsidP="00F966D7">
      <w:pPr>
        <w:spacing w:after="160" w:line="259" w:lineRule="auto"/>
        <w:rPr>
          <w:rFonts w:ascii="Times New Roman" w:hAnsi="Times New Roman" w:cs="Times New Roman"/>
          <w:b/>
          <w:bCs/>
        </w:rPr>
      </w:pPr>
      <w:bookmarkStart w:id="5" w:name="results"/>
      <w:bookmarkEnd w:id="4"/>
      <w:r w:rsidRPr="00F227EB">
        <w:rPr>
          <w:rFonts w:ascii="Times New Roman" w:hAnsi="Times New Roman" w:cs="Times New Roman"/>
          <w:b/>
          <w:bCs/>
        </w:rPr>
        <w:t>2.1 Study design and site</w:t>
      </w:r>
    </w:p>
    <w:p w14:paraId="6DE019AD" w14:textId="6542F150" w:rsidR="00F966D7" w:rsidRPr="00F227EB" w:rsidRDefault="00F966D7" w:rsidP="00F966D7">
      <w:pPr>
        <w:spacing w:after="160" w:line="259" w:lineRule="auto"/>
        <w:jc w:val="both"/>
        <w:rPr>
          <w:rFonts w:ascii="Times New Roman" w:hAnsi="Times New Roman" w:cs="Times New Roman"/>
        </w:rPr>
      </w:pPr>
      <w:r w:rsidRPr="00F227EB">
        <w:rPr>
          <w:rFonts w:ascii="Times New Roman" w:hAnsi="Times New Roman" w:cs="Times New Roman"/>
        </w:rPr>
        <w:t>This longitudinal study employed a comparative design, analyzing outcomes between households without a nutritional garden (T1, control) and those with an established nutritional garden (T2, intervention). The study was conducted</w:t>
      </w:r>
      <w:r w:rsidR="00044DE0">
        <w:rPr>
          <w:rFonts w:ascii="Times New Roman" w:hAnsi="Times New Roman" w:cs="Times New Roman"/>
        </w:rPr>
        <w:t xml:space="preserve"> </w:t>
      </w:r>
      <w:r w:rsidRPr="00F227EB">
        <w:rPr>
          <w:rFonts w:ascii="Times New Roman" w:hAnsi="Times New Roman" w:cs="Times New Roman"/>
        </w:rPr>
        <w:t xml:space="preserve">across multiple villages in the Akola district of Maharashtra, India, including </w:t>
      </w:r>
      <w:proofErr w:type="spellStart"/>
      <w:r w:rsidRPr="00F227EB">
        <w:rPr>
          <w:rFonts w:ascii="Times New Roman" w:hAnsi="Times New Roman" w:cs="Times New Roman"/>
        </w:rPr>
        <w:t>Barshitakli</w:t>
      </w:r>
      <w:proofErr w:type="spellEnd"/>
      <w:r w:rsidRPr="00F227EB">
        <w:rPr>
          <w:rFonts w:ascii="Times New Roman" w:hAnsi="Times New Roman" w:cs="Times New Roman"/>
        </w:rPr>
        <w:t xml:space="preserve">, </w:t>
      </w:r>
      <w:proofErr w:type="spellStart"/>
      <w:r w:rsidRPr="00F227EB">
        <w:rPr>
          <w:rFonts w:ascii="Times New Roman" w:hAnsi="Times New Roman" w:cs="Times New Roman"/>
        </w:rPr>
        <w:t>Sisa</w:t>
      </w:r>
      <w:proofErr w:type="spellEnd"/>
      <w:r w:rsidRPr="00F227EB">
        <w:rPr>
          <w:rFonts w:ascii="Times New Roman" w:hAnsi="Times New Roman" w:cs="Times New Roman"/>
        </w:rPr>
        <w:t xml:space="preserve"> </w:t>
      </w:r>
      <w:proofErr w:type="spellStart"/>
      <w:r w:rsidRPr="00F227EB">
        <w:rPr>
          <w:rFonts w:ascii="Times New Roman" w:hAnsi="Times New Roman" w:cs="Times New Roman"/>
        </w:rPr>
        <w:t>Udegaon</w:t>
      </w:r>
      <w:proofErr w:type="spellEnd"/>
      <w:r w:rsidRPr="00F227EB">
        <w:rPr>
          <w:rFonts w:ascii="Times New Roman" w:hAnsi="Times New Roman" w:cs="Times New Roman"/>
        </w:rPr>
        <w:t xml:space="preserve">, Masa, </w:t>
      </w:r>
      <w:proofErr w:type="spellStart"/>
      <w:r w:rsidRPr="00F227EB">
        <w:rPr>
          <w:rFonts w:ascii="Times New Roman" w:hAnsi="Times New Roman" w:cs="Times New Roman"/>
        </w:rPr>
        <w:t>Babhulgaon</w:t>
      </w:r>
      <w:proofErr w:type="spellEnd"/>
      <w:r w:rsidRPr="00F227EB">
        <w:rPr>
          <w:rFonts w:ascii="Times New Roman" w:hAnsi="Times New Roman" w:cs="Times New Roman"/>
        </w:rPr>
        <w:t xml:space="preserve">, </w:t>
      </w:r>
      <w:proofErr w:type="spellStart"/>
      <w:r w:rsidRPr="00F227EB">
        <w:rPr>
          <w:rFonts w:ascii="Times New Roman" w:hAnsi="Times New Roman" w:cs="Times New Roman"/>
        </w:rPr>
        <w:t>Kadoshi</w:t>
      </w:r>
      <w:proofErr w:type="spellEnd"/>
      <w:r w:rsidRPr="00F227EB">
        <w:rPr>
          <w:rFonts w:ascii="Times New Roman" w:hAnsi="Times New Roman" w:cs="Times New Roman"/>
        </w:rPr>
        <w:t xml:space="preserve">, and </w:t>
      </w:r>
      <w:proofErr w:type="spellStart"/>
      <w:r w:rsidRPr="00F227EB">
        <w:rPr>
          <w:rFonts w:ascii="Times New Roman" w:hAnsi="Times New Roman" w:cs="Times New Roman"/>
        </w:rPr>
        <w:t>Adoshi</w:t>
      </w:r>
      <w:proofErr w:type="spellEnd"/>
      <w:r w:rsidRPr="00F227EB">
        <w:rPr>
          <w:rFonts w:ascii="Times New Roman" w:hAnsi="Times New Roman" w:cs="Times New Roman"/>
        </w:rPr>
        <w:t>.</w:t>
      </w:r>
      <w:r w:rsidR="00044DE0">
        <w:rPr>
          <w:rFonts w:ascii="Times New Roman" w:hAnsi="Times New Roman" w:cs="Times New Roman"/>
        </w:rPr>
        <w:t xml:space="preserve"> </w:t>
      </w:r>
      <w:r w:rsidRPr="00F227EB">
        <w:rPr>
          <w:rFonts w:ascii="Times New Roman" w:hAnsi="Times New Roman" w:cs="Times New Roman"/>
        </w:rPr>
        <w:t>These sites represent typical semi-arid and rainfed farming contexts characterized by resource-limited households with high dependence on market-sourced vegetables.</w:t>
      </w:r>
    </w:p>
    <w:p w14:paraId="4945FF47" w14:textId="77777777" w:rsidR="00F966D7" w:rsidRPr="00F227EB" w:rsidRDefault="00F966D7" w:rsidP="00F966D7">
      <w:pPr>
        <w:spacing w:after="160" w:line="259" w:lineRule="auto"/>
        <w:rPr>
          <w:rFonts w:ascii="Times New Roman" w:hAnsi="Times New Roman" w:cs="Times New Roman"/>
          <w:b/>
          <w:bCs/>
        </w:rPr>
      </w:pPr>
      <w:r w:rsidRPr="00F227EB">
        <w:rPr>
          <w:rFonts w:ascii="Times New Roman" w:hAnsi="Times New Roman" w:cs="Times New Roman"/>
          <w:b/>
          <w:bCs/>
        </w:rPr>
        <w:t>2.2 Participant selection</w:t>
      </w:r>
    </w:p>
    <w:p w14:paraId="1D5F2355" w14:textId="65AB882C" w:rsidR="00F966D7" w:rsidRPr="00F227EB" w:rsidRDefault="00F966D7" w:rsidP="00F966D7">
      <w:pPr>
        <w:spacing w:after="160" w:line="259" w:lineRule="auto"/>
        <w:jc w:val="both"/>
        <w:rPr>
          <w:rFonts w:ascii="Times New Roman" w:hAnsi="Times New Roman" w:cs="Times New Roman"/>
        </w:rPr>
      </w:pPr>
      <w:r w:rsidRPr="00F227EB">
        <w:rPr>
          <w:rFonts w:ascii="Times New Roman" w:hAnsi="Times New Roman" w:cs="Times New Roman"/>
        </w:rPr>
        <w:t xml:space="preserve">Each year from 2020 to 2024, </w:t>
      </w:r>
      <w:r w:rsidR="00044DE0">
        <w:rPr>
          <w:rFonts w:ascii="Times New Roman" w:hAnsi="Times New Roman" w:cs="Times New Roman"/>
        </w:rPr>
        <w:t>30</w:t>
      </w:r>
      <w:r w:rsidRPr="00F227EB">
        <w:rPr>
          <w:rFonts w:ascii="Times New Roman" w:hAnsi="Times New Roman" w:cs="Times New Roman"/>
        </w:rPr>
        <w:t xml:space="preserve"> families were purposively selected for the intervention,</w:t>
      </w:r>
      <w:r w:rsidR="00044DE0">
        <w:rPr>
          <w:rFonts w:ascii="Times New Roman" w:hAnsi="Times New Roman" w:cs="Times New Roman"/>
        </w:rPr>
        <w:t xml:space="preserve"> </w:t>
      </w:r>
      <w:r w:rsidRPr="00F227EB">
        <w:rPr>
          <w:rFonts w:ascii="Times New Roman" w:hAnsi="Times New Roman" w:cs="Times New Roman"/>
        </w:rPr>
        <w:t xml:space="preserve">resulting in a total sample size of </w:t>
      </w:r>
      <w:r w:rsidR="00044DE0">
        <w:rPr>
          <w:rFonts w:ascii="Times New Roman" w:hAnsi="Times New Roman" w:cs="Times New Roman"/>
        </w:rPr>
        <w:t>1</w:t>
      </w:r>
      <w:r w:rsidRPr="00F227EB">
        <w:rPr>
          <w:rFonts w:ascii="Times New Roman" w:hAnsi="Times New Roman" w:cs="Times New Roman"/>
        </w:rPr>
        <w:t>5</w:t>
      </w:r>
      <w:r w:rsidR="00044DE0">
        <w:rPr>
          <w:rFonts w:ascii="Times New Roman" w:hAnsi="Times New Roman" w:cs="Times New Roman"/>
        </w:rPr>
        <w:t>0</w:t>
      </w:r>
      <w:r w:rsidRPr="00F227EB">
        <w:rPr>
          <w:rFonts w:ascii="Times New Roman" w:hAnsi="Times New Roman" w:cs="Times New Roman"/>
        </w:rPr>
        <w:t xml:space="preserve"> families over the study period. Selection criteria included: (</w:t>
      </w:r>
      <w:proofErr w:type="spellStart"/>
      <w:r w:rsidRPr="00F227EB">
        <w:rPr>
          <w:rFonts w:ascii="Times New Roman" w:hAnsi="Times New Roman" w:cs="Times New Roman"/>
        </w:rPr>
        <w:t>i</w:t>
      </w:r>
      <w:proofErr w:type="spellEnd"/>
      <w:r w:rsidRPr="00F227EB">
        <w:rPr>
          <w:rFonts w:ascii="Times New Roman" w:hAnsi="Times New Roman" w:cs="Times New Roman"/>
        </w:rPr>
        <w:t>) socio-economic vulnerability, (ii) availability of a small plot of land (≥</w:t>
      </w:r>
      <w:r w:rsidR="00447CDB">
        <w:rPr>
          <w:rFonts w:ascii="Times New Roman" w:hAnsi="Times New Roman" w:cs="Times New Roman"/>
        </w:rPr>
        <w:t>10</w:t>
      </w:r>
      <w:r w:rsidRPr="00F227EB">
        <w:rPr>
          <w:rFonts w:ascii="Times New Roman" w:hAnsi="Times New Roman" w:cs="Times New Roman"/>
        </w:rPr>
        <w:t>0 m²) near the homestead, and (iii) willingness to participate and maintain daily consumption logs.</w:t>
      </w:r>
    </w:p>
    <w:p w14:paraId="65DB33DE" w14:textId="77777777" w:rsidR="00F966D7" w:rsidRPr="00F227EB" w:rsidRDefault="00F966D7" w:rsidP="00F966D7">
      <w:pPr>
        <w:spacing w:after="160" w:line="259" w:lineRule="auto"/>
        <w:rPr>
          <w:rFonts w:ascii="Times New Roman" w:hAnsi="Times New Roman" w:cs="Times New Roman"/>
          <w:b/>
          <w:bCs/>
        </w:rPr>
      </w:pPr>
      <w:r w:rsidRPr="00F227EB">
        <w:rPr>
          <w:rFonts w:ascii="Times New Roman" w:hAnsi="Times New Roman" w:cs="Times New Roman"/>
          <w:b/>
          <w:bCs/>
        </w:rPr>
        <w:t>2.3 Intervention: Nutritional Garden establishment</w:t>
      </w:r>
    </w:p>
    <w:p w14:paraId="2561AA23" w14:textId="7195EED3" w:rsidR="00F966D7" w:rsidRPr="00F227EB" w:rsidRDefault="00F966D7" w:rsidP="00F966D7">
      <w:pPr>
        <w:spacing w:after="160" w:line="259" w:lineRule="auto"/>
        <w:jc w:val="both"/>
        <w:rPr>
          <w:rFonts w:ascii="Times New Roman" w:hAnsi="Times New Roman" w:cs="Times New Roman"/>
        </w:rPr>
      </w:pPr>
      <w:r w:rsidRPr="00F227EB">
        <w:rPr>
          <w:rFonts w:ascii="Times New Roman" w:hAnsi="Times New Roman" w:cs="Times New Roman"/>
        </w:rPr>
        <w:t>Beneficiaries received comprehensive training and support</w:t>
      </w:r>
      <w:r w:rsidR="00044DE0">
        <w:rPr>
          <w:rFonts w:ascii="Times New Roman" w:hAnsi="Times New Roman" w:cs="Times New Roman"/>
        </w:rPr>
        <w:t xml:space="preserve"> </w:t>
      </w:r>
      <w:r w:rsidRPr="00F227EB">
        <w:rPr>
          <w:rFonts w:ascii="Times New Roman" w:hAnsi="Times New Roman" w:cs="Times New Roman"/>
        </w:rPr>
        <w:t>to establish intensive vegetable gardens using sustainable practices.</w:t>
      </w:r>
      <w:r w:rsidR="00044DE0">
        <w:rPr>
          <w:rFonts w:ascii="Times New Roman" w:hAnsi="Times New Roman" w:cs="Times New Roman"/>
        </w:rPr>
        <w:t xml:space="preserve"> </w:t>
      </w:r>
      <w:r w:rsidRPr="00F227EB">
        <w:rPr>
          <w:rFonts w:ascii="Times New Roman" w:hAnsi="Times New Roman" w:cs="Times New Roman"/>
        </w:rPr>
        <w:t>KVK Akola provided seed kits comprising high-yielding, climate-resilient varieties of seasonal vegetables,</w:t>
      </w:r>
      <w:r w:rsidR="00044DE0">
        <w:rPr>
          <w:rFonts w:ascii="Times New Roman" w:hAnsi="Times New Roman" w:cs="Times New Roman"/>
        </w:rPr>
        <w:t xml:space="preserve"> </w:t>
      </w:r>
      <w:r w:rsidRPr="00F227EB">
        <w:rPr>
          <w:rFonts w:ascii="Times New Roman" w:hAnsi="Times New Roman" w:cs="Times New Roman"/>
        </w:rPr>
        <w:t>including leafy greens (spinach, amaranth, fenugreek), tubers (radish, carrot), cucurbits (bottle gourd, bitter gourd), and legumes (cowpea, broad beans).</w:t>
      </w:r>
      <w:r w:rsidR="00044DE0">
        <w:rPr>
          <w:rFonts w:ascii="Times New Roman" w:hAnsi="Times New Roman" w:cs="Times New Roman"/>
        </w:rPr>
        <w:t xml:space="preserve"> </w:t>
      </w:r>
      <w:r w:rsidRPr="00F227EB">
        <w:rPr>
          <w:rFonts w:ascii="Times New Roman" w:hAnsi="Times New Roman" w:cs="Times New Roman"/>
        </w:rPr>
        <w:t>Training modules covered land preparation, raised bed making, organic manure and compost application, seed sowing, intercropping, efficient water management (e.g., drip irrigation), and integrated pest management (IPM).</w:t>
      </w:r>
      <w:r w:rsidR="00044DE0">
        <w:rPr>
          <w:rFonts w:ascii="Times New Roman" w:hAnsi="Times New Roman" w:cs="Times New Roman"/>
        </w:rPr>
        <w:t xml:space="preserve"> </w:t>
      </w:r>
      <w:r w:rsidRPr="00F227EB">
        <w:rPr>
          <w:rFonts w:ascii="Times New Roman" w:hAnsi="Times New Roman" w:cs="Times New Roman"/>
        </w:rPr>
        <w:t>A strong emphasis was placed on engaging women beneficiaries in all stages of garden management and household decision-making related to nutrition.</w:t>
      </w:r>
    </w:p>
    <w:p w14:paraId="2EC8B611" w14:textId="77777777" w:rsidR="00F966D7" w:rsidRPr="00F227EB" w:rsidRDefault="00F966D7" w:rsidP="00F966D7">
      <w:pPr>
        <w:spacing w:after="160" w:line="259" w:lineRule="auto"/>
        <w:rPr>
          <w:rFonts w:ascii="Times New Roman" w:hAnsi="Times New Roman" w:cs="Times New Roman"/>
          <w:b/>
          <w:bCs/>
        </w:rPr>
      </w:pPr>
      <w:r w:rsidRPr="00F227EB">
        <w:rPr>
          <w:rFonts w:ascii="Times New Roman" w:hAnsi="Times New Roman" w:cs="Times New Roman"/>
          <w:b/>
          <w:bCs/>
        </w:rPr>
        <w:t>2.4 Data collection and indicators</w:t>
      </w:r>
    </w:p>
    <w:p w14:paraId="64FD6A3D" w14:textId="4AF988E3" w:rsidR="00F966D7" w:rsidRPr="00F227EB" w:rsidRDefault="00F966D7" w:rsidP="00F966D7">
      <w:pPr>
        <w:spacing w:after="160" w:line="259" w:lineRule="auto"/>
        <w:rPr>
          <w:rFonts w:ascii="Times New Roman" w:hAnsi="Times New Roman" w:cs="Times New Roman"/>
        </w:rPr>
      </w:pPr>
      <w:r w:rsidRPr="00F227EB">
        <w:rPr>
          <w:rFonts w:ascii="Times New Roman" w:hAnsi="Times New Roman" w:cs="Times New Roman"/>
        </w:rPr>
        <w:lastRenderedPageBreak/>
        <w:t>Primary data was collected annually for both T1 (pre-intervention) and T2 (post-intervention) conditions. The key indicators were:</w:t>
      </w:r>
    </w:p>
    <w:p w14:paraId="68E18B9C" w14:textId="74A993D9" w:rsidR="00F966D7" w:rsidRPr="00F227EB" w:rsidRDefault="00F966D7" w:rsidP="00F966D7">
      <w:pPr>
        <w:numPr>
          <w:ilvl w:val="0"/>
          <w:numId w:val="7"/>
        </w:numPr>
        <w:spacing w:after="160" w:line="259" w:lineRule="auto"/>
        <w:rPr>
          <w:rFonts w:ascii="Times New Roman" w:hAnsi="Times New Roman" w:cs="Times New Roman"/>
        </w:rPr>
      </w:pPr>
      <w:r w:rsidRPr="00F227EB">
        <w:rPr>
          <w:rFonts w:ascii="Times New Roman" w:hAnsi="Times New Roman" w:cs="Times New Roman"/>
        </w:rPr>
        <w:t>Daily vegetable consumption (g/family/day):</w:t>
      </w:r>
      <w:r w:rsidR="00044DE0">
        <w:rPr>
          <w:rFonts w:ascii="Times New Roman" w:hAnsi="Times New Roman" w:cs="Times New Roman"/>
        </w:rPr>
        <w:t xml:space="preserve"> </w:t>
      </w:r>
      <w:r w:rsidRPr="00F227EB">
        <w:rPr>
          <w:rFonts w:ascii="Times New Roman" w:hAnsi="Times New Roman" w:cs="Times New Roman"/>
        </w:rPr>
        <w:t>Measured through structured household interviews and verified by daily consumption logs maintained by the beneficiaries.</w:t>
      </w:r>
      <w:r w:rsidR="00044DE0">
        <w:rPr>
          <w:rFonts w:ascii="Times New Roman" w:hAnsi="Times New Roman" w:cs="Times New Roman"/>
        </w:rPr>
        <w:t xml:space="preserve"> </w:t>
      </w:r>
      <w:r w:rsidRPr="00F227EB">
        <w:rPr>
          <w:rFonts w:ascii="Times New Roman" w:hAnsi="Times New Roman" w:cs="Times New Roman"/>
        </w:rPr>
        <w:t>KVK field staff conducted regular visits for data validation.</w:t>
      </w:r>
    </w:p>
    <w:p w14:paraId="2FB5DDA1" w14:textId="2F2FCA58" w:rsidR="00F966D7" w:rsidRPr="00F227EB" w:rsidRDefault="00F966D7" w:rsidP="00F966D7">
      <w:pPr>
        <w:numPr>
          <w:ilvl w:val="0"/>
          <w:numId w:val="7"/>
        </w:numPr>
        <w:spacing w:after="160" w:line="259" w:lineRule="auto"/>
        <w:rPr>
          <w:rFonts w:ascii="Times New Roman" w:hAnsi="Times New Roman" w:cs="Times New Roman"/>
        </w:rPr>
      </w:pPr>
      <w:r w:rsidRPr="00F227EB">
        <w:rPr>
          <w:rFonts w:ascii="Times New Roman" w:hAnsi="Times New Roman" w:cs="Times New Roman"/>
        </w:rPr>
        <w:t>Monthly expenditure on vegetables (₹/family):</w:t>
      </w:r>
      <w:r w:rsidR="00044DE0">
        <w:rPr>
          <w:rFonts w:ascii="Times New Roman" w:hAnsi="Times New Roman" w:cs="Times New Roman"/>
        </w:rPr>
        <w:t xml:space="preserve"> </w:t>
      </w:r>
      <w:r w:rsidRPr="00F227EB">
        <w:rPr>
          <w:rFonts w:ascii="Times New Roman" w:hAnsi="Times New Roman" w:cs="Times New Roman"/>
        </w:rPr>
        <w:t>Assessed through self-reported expenditure recalls, cross-checked with local market prices.</w:t>
      </w:r>
      <w:r w:rsidRPr="00F227EB">
        <w:rPr>
          <w:rFonts w:ascii="Times New Roman" w:hAnsi="Times New Roman" w:cs="Times New Roman"/>
        </w:rPr>
        <w:br/>
        <w:t>Qualitative data on dietary diversity, women's empowerment, and community perception</w:t>
      </w:r>
      <w:r w:rsidR="00B033EC">
        <w:rPr>
          <w:rFonts w:ascii="Times New Roman" w:hAnsi="Times New Roman" w:cs="Times New Roman"/>
        </w:rPr>
        <w:t xml:space="preserve"> </w:t>
      </w:r>
      <w:r w:rsidRPr="00F227EB">
        <w:rPr>
          <w:rFonts w:ascii="Times New Roman" w:hAnsi="Times New Roman" w:cs="Times New Roman"/>
        </w:rPr>
        <w:t>was gathered through focused group discussions and semi-structured interviews.</w:t>
      </w:r>
    </w:p>
    <w:p w14:paraId="6F0429ED" w14:textId="77777777" w:rsidR="00F966D7" w:rsidRPr="00F227EB" w:rsidRDefault="00F966D7" w:rsidP="00F966D7">
      <w:pPr>
        <w:spacing w:after="160" w:line="259" w:lineRule="auto"/>
        <w:rPr>
          <w:rFonts w:ascii="Times New Roman" w:hAnsi="Times New Roman" w:cs="Times New Roman"/>
          <w:b/>
          <w:bCs/>
        </w:rPr>
      </w:pPr>
      <w:r w:rsidRPr="00F227EB">
        <w:rPr>
          <w:rFonts w:ascii="Times New Roman" w:hAnsi="Times New Roman" w:cs="Times New Roman"/>
          <w:b/>
          <w:bCs/>
        </w:rPr>
        <w:t>2.5 Data analysis</w:t>
      </w:r>
    </w:p>
    <w:p w14:paraId="0DC94B08" w14:textId="5E702547" w:rsidR="00F966D7" w:rsidRPr="00F227EB" w:rsidRDefault="00F966D7" w:rsidP="00F966D7">
      <w:pPr>
        <w:spacing w:after="160" w:line="259" w:lineRule="auto"/>
        <w:jc w:val="both"/>
        <w:rPr>
          <w:rFonts w:ascii="Times New Roman" w:hAnsi="Times New Roman" w:cs="Times New Roman"/>
        </w:rPr>
      </w:pPr>
      <w:r w:rsidRPr="00F227EB">
        <w:rPr>
          <w:rFonts w:ascii="Times New Roman" w:hAnsi="Times New Roman" w:cs="Times New Roman"/>
        </w:rPr>
        <w:t>Simple descriptive statistics were employed.</w:t>
      </w:r>
      <w:r w:rsidR="00B033EC">
        <w:rPr>
          <w:rFonts w:ascii="Times New Roman" w:hAnsi="Times New Roman" w:cs="Times New Roman"/>
        </w:rPr>
        <w:t xml:space="preserve"> </w:t>
      </w:r>
      <w:r w:rsidRPr="00F227EB">
        <w:rPr>
          <w:rFonts w:ascii="Times New Roman" w:hAnsi="Times New Roman" w:cs="Times New Roman"/>
        </w:rPr>
        <w:t>Year-wise averages were computed for T1 and T2 for each indicator. The percentage change was calculated using the formula:</w:t>
      </w:r>
      <w:r w:rsidR="00B033EC">
        <w:rPr>
          <w:rFonts w:ascii="Times New Roman" w:hAnsi="Times New Roman" w:cs="Times New Roman"/>
        </w:rPr>
        <w:t xml:space="preserve"> </w:t>
      </w:r>
      <w:r w:rsidRPr="00F227EB">
        <w:rPr>
          <w:rFonts w:ascii="Times New Roman" w:hAnsi="Times New Roman" w:cs="Times New Roman"/>
        </w:rPr>
        <w:t>Percentage Change = [(T2 - T1) / T1] × 100.</w:t>
      </w:r>
      <w:r w:rsidR="00044DE0">
        <w:rPr>
          <w:rFonts w:ascii="Times New Roman" w:hAnsi="Times New Roman" w:cs="Times New Roman"/>
        </w:rPr>
        <w:t xml:space="preserve"> </w:t>
      </w:r>
      <w:r w:rsidRPr="00F227EB">
        <w:rPr>
          <w:rFonts w:ascii="Times New Roman" w:hAnsi="Times New Roman" w:cs="Times New Roman"/>
        </w:rPr>
        <w:t>Five-year pooled averages were derived from the annual data to assess the cumulative impact of the intervention.</w:t>
      </w:r>
    </w:p>
    <w:p w14:paraId="7A79132E" w14:textId="77777777" w:rsidR="000F1387" w:rsidRPr="0063667B" w:rsidRDefault="00FB74C6">
      <w:pPr>
        <w:pStyle w:val="Heading2"/>
        <w:rPr>
          <w:rFonts w:ascii="Times New Roman" w:hAnsi="Times New Roman" w:cs="Times New Roman"/>
          <w:b/>
          <w:bCs/>
          <w:color w:val="auto"/>
          <w:sz w:val="28"/>
          <w:szCs w:val="28"/>
        </w:rPr>
      </w:pPr>
      <w:r w:rsidRPr="0063667B">
        <w:rPr>
          <w:rFonts w:ascii="Times New Roman" w:hAnsi="Times New Roman" w:cs="Times New Roman"/>
          <w:b/>
          <w:bCs/>
          <w:color w:val="auto"/>
          <w:sz w:val="28"/>
          <w:szCs w:val="28"/>
        </w:rPr>
        <w:t>3. Results</w:t>
      </w:r>
    </w:p>
    <w:p w14:paraId="1191F8A2" w14:textId="77777777" w:rsidR="005179D2" w:rsidRDefault="005179D2" w:rsidP="005179D2">
      <w:pPr>
        <w:jc w:val="both"/>
        <w:rPr>
          <w:rFonts w:ascii="Times New Roman" w:eastAsiaTheme="majorEastAsia" w:hAnsi="Times New Roman" w:cs="Times New Roman"/>
          <w:lang w:val="en-IN"/>
        </w:rPr>
      </w:pPr>
      <w:bookmarkStart w:id="6" w:name="qualitative-insights"/>
      <w:r w:rsidRPr="005179D2">
        <w:rPr>
          <w:rFonts w:ascii="Times New Roman" w:eastAsiaTheme="majorEastAsia" w:hAnsi="Times New Roman" w:cs="Times New Roman"/>
          <w:lang w:val="en-IN"/>
        </w:rPr>
        <w:t>The five-year study demonstrated that the establishment of nutritional gardens (NGs) had a profound and multi-faceted impact on the participating rural households. The results are presented quantitatively, focusing on consumption and expenditure, and qualitatively, capturing the socio-economic benefits.</w:t>
      </w:r>
    </w:p>
    <w:p w14:paraId="000C7122" w14:textId="47A0295C" w:rsidR="005179D2" w:rsidRPr="005179D2" w:rsidRDefault="005179D2" w:rsidP="005179D2">
      <w:pPr>
        <w:jc w:val="both"/>
        <w:rPr>
          <w:rFonts w:ascii="Times New Roman" w:hAnsi="Times New Roman" w:cs="Times New Roman"/>
          <w:b/>
          <w:bCs/>
        </w:rPr>
      </w:pPr>
      <w:r w:rsidRPr="005179D2">
        <w:rPr>
          <w:rFonts w:ascii="Times New Roman" w:hAnsi="Times New Roman" w:cs="Times New Roman"/>
          <w:b/>
          <w:bCs/>
        </w:rPr>
        <w:t xml:space="preserve">3.1 Appropriate area required for establishment of nutrition garden </w:t>
      </w:r>
    </w:p>
    <w:p w14:paraId="05043B02" w14:textId="7DAA76B9" w:rsidR="005179D2" w:rsidRDefault="005179D2" w:rsidP="005179D2">
      <w:pPr>
        <w:jc w:val="both"/>
        <w:rPr>
          <w:rFonts w:ascii="Times New Roman" w:hAnsi="Times New Roman" w:cs="Times New Roman"/>
        </w:rPr>
      </w:pPr>
      <w:r w:rsidRPr="005179D2">
        <w:rPr>
          <w:rFonts w:ascii="Times New Roman" w:hAnsi="Times New Roman" w:cs="Times New Roman"/>
        </w:rPr>
        <w:t xml:space="preserve">Analysis of Data in </w:t>
      </w:r>
      <w:r w:rsidRPr="005179D2">
        <w:rPr>
          <w:rFonts w:ascii="Times New Roman" w:hAnsi="Times New Roman" w:cs="Times New Roman"/>
          <w:b/>
          <w:bCs/>
        </w:rPr>
        <w:t xml:space="preserve">Table </w:t>
      </w:r>
      <w:r w:rsidR="00B033EC">
        <w:rPr>
          <w:rFonts w:ascii="Times New Roman" w:hAnsi="Times New Roman" w:cs="Times New Roman"/>
          <w:b/>
          <w:bCs/>
        </w:rPr>
        <w:t>1</w:t>
      </w:r>
      <w:r w:rsidRPr="005179D2">
        <w:rPr>
          <w:rFonts w:ascii="Times New Roman" w:hAnsi="Times New Roman" w:cs="Times New Roman"/>
          <w:b/>
          <w:bCs/>
        </w:rPr>
        <w:t>.</w:t>
      </w:r>
      <w:r w:rsidRPr="005179D2">
        <w:rPr>
          <w:rFonts w:ascii="Times New Roman" w:hAnsi="Times New Roman" w:cs="Times New Roman"/>
        </w:rPr>
        <w:t xml:space="preserve"> revealed that average vegetable production from 1</w:t>
      </w:r>
      <w:r>
        <w:rPr>
          <w:rFonts w:ascii="Times New Roman" w:hAnsi="Times New Roman" w:cs="Times New Roman"/>
        </w:rPr>
        <w:t>0</w:t>
      </w:r>
      <w:r w:rsidRPr="005179D2">
        <w:rPr>
          <w:rFonts w:ascii="Times New Roman" w:hAnsi="Times New Roman" w:cs="Times New Roman"/>
        </w:rPr>
        <w:t xml:space="preserve">0 </w:t>
      </w:r>
      <w:proofErr w:type="spellStart"/>
      <w:r w:rsidRPr="005179D2">
        <w:rPr>
          <w:rFonts w:ascii="Times New Roman" w:hAnsi="Times New Roman" w:cs="Times New Roman"/>
        </w:rPr>
        <w:t>Sq.m</w:t>
      </w:r>
      <w:proofErr w:type="spellEnd"/>
      <w:r w:rsidRPr="005179D2">
        <w:rPr>
          <w:rFonts w:ascii="Times New Roman" w:hAnsi="Times New Roman" w:cs="Times New Roman"/>
        </w:rPr>
        <w:t xml:space="preserve"> was </w:t>
      </w:r>
      <w:r>
        <w:rPr>
          <w:rFonts w:ascii="Times New Roman" w:hAnsi="Times New Roman" w:cs="Times New Roman"/>
        </w:rPr>
        <w:t>260</w:t>
      </w:r>
      <w:r w:rsidRPr="005179D2">
        <w:rPr>
          <w:rFonts w:ascii="Times New Roman" w:hAnsi="Times New Roman" w:cs="Times New Roman"/>
        </w:rPr>
        <w:t xml:space="preserve"> kg whereas 3</w:t>
      </w:r>
      <w:r>
        <w:rPr>
          <w:rFonts w:ascii="Times New Roman" w:hAnsi="Times New Roman" w:cs="Times New Roman"/>
        </w:rPr>
        <w:t>0</w:t>
      </w:r>
      <w:r w:rsidRPr="005179D2">
        <w:rPr>
          <w:rFonts w:ascii="Times New Roman" w:hAnsi="Times New Roman" w:cs="Times New Roman"/>
        </w:rPr>
        <w:t xml:space="preserve">0.00 kg production was achieved from </w:t>
      </w:r>
      <w:r>
        <w:rPr>
          <w:rFonts w:ascii="Times New Roman" w:hAnsi="Times New Roman" w:cs="Times New Roman"/>
        </w:rPr>
        <w:t>15</w:t>
      </w:r>
      <w:r w:rsidRPr="005179D2">
        <w:rPr>
          <w:rFonts w:ascii="Times New Roman" w:hAnsi="Times New Roman" w:cs="Times New Roman"/>
        </w:rPr>
        <w:t xml:space="preserve">0 </w:t>
      </w:r>
      <w:proofErr w:type="spellStart"/>
      <w:r w:rsidRPr="005179D2">
        <w:rPr>
          <w:rFonts w:ascii="Times New Roman" w:hAnsi="Times New Roman" w:cs="Times New Roman"/>
        </w:rPr>
        <w:t>Sq.m</w:t>
      </w:r>
      <w:proofErr w:type="spellEnd"/>
      <w:r w:rsidRPr="005179D2">
        <w:rPr>
          <w:rFonts w:ascii="Times New Roman" w:hAnsi="Times New Roman" w:cs="Times New Roman"/>
        </w:rPr>
        <w:t xml:space="preserve"> and About 4</w:t>
      </w:r>
      <w:r>
        <w:rPr>
          <w:rFonts w:ascii="Times New Roman" w:hAnsi="Times New Roman" w:cs="Times New Roman"/>
        </w:rPr>
        <w:t>00</w:t>
      </w:r>
      <w:r w:rsidRPr="005179D2">
        <w:rPr>
          <w:rFonts w:ascii="Times New Roman" w:hAnsi="Times New Roman" w:cs="Times New Roman"/>
        </w:rPr>
        <w:t xml:space="preserve">.00 kg production was achieved from 250 </w:t>
      </w:r>
      <w:proofErr w:type="spellStart"/>
      <w:r w:rsidRPr="005179D2">
        <w:rPr>
          <w:rFonts w:ascii="Times New Roman" w:hAnsi="Times New Roman" w:cs="Times New Roman"/>
        </w:rPr>
        <w:t>Sq.m</w:t>
      </w:r>
      <w:proofErr w:type="spellEnd"/>
      <w:r w:rsidRPr="005179D2">
        <w:rPr>
          <w:rFonts w:ascii="Times New Roman" w:hAnsi="Times New Roman" w:cs="Times New Roman"/>
        </w:rPr>
        <w:t xml:space="preserve"> area. As per RDA daily vegetable consumption of a person should be 300 gm. Based on the finding it can be concluded that although 150 </w:t>
      </w:r>
      <w:proofErr w:type="spellStart"/>
      <w:r w:rsidRPr="005179D2">
        <w:rPr>
          <w:rFonts w:ascii="Times New Roman" w:hAnsi="Times New Roman" w:cs="Times New Roman"/>
        </w:rPr>
        <w:t>Sq.m</w:t>
      </w:r>
      <w:proofErr w:type="spellEnd"/>
      <w:r w:rsidRPr="005179D2">
        <w:rPr>
          <w:rFonts w:ascii="Times New Roman" w:hAnsi="Times New Roman" w:cs="Times New Roman"/>
        </w:rPr>
        <w:t xml:space="preserve"> area is sufficient to full fill the minimum requirement of vegetable for a family of 6 members and the extra vegetable produce from rest of the area may be used for selling out or for economic security of rural families. The size of each nutrition garden is unique in structure, functionality, composition and appearance as they depend on the natural ecology of location, available family resources such as labor and the skills, preferences and enthusiasm of family members. Access to planting materials and social capital are noted as an important attribute to species diversity in garden. As the families became economically stable their cultivation shifted from staple to horticultural crops.</w:t>
      </w:r>
    </w:p>
    <w:p w14:paraId="139A1A27" w14:textId="77777777" w:rsidR="00B033EC" w:rsidRDefault="00B033EC" w:rsidP="00044DE0">
      <w:pPr>
        <w:rPr>
          <w:rFonts w:ascii="Times New Roman" w:hAnsi="Times New Roman" w:cs="Times New Roman"/>
          <w:b/>
          <w:bCs/>
        </w:rPr>
      </w:pPr>
    </w:p>
    <w:p w14:paraId="404459A8" w14:textId="77777777" w:rsidR="00B033EC" w:rsidRDefault="00B033EC" w:rsidP="00044DE0">
      <w:pPr>
        <w:rPr>
          <w:rFonts w:ascii="Times New Roman" w:hAnsi="Times New Roman" w:cs="Times New Roman"/>
          <w:b/>
          <w:bCs/>
        </w:rPr>
      </w:pPr>
    </w:p>
    <w:p w14:paraId="7046DFEA" w14:textId="77777777" w:rsidR="00B033EC" w:rsidRDefault="00B033EC" w:rsidP="00044DE0">
      <w:pPr>
        <w:rPr>
          <w:rFonts w:ascii="Times New Roman" w:hAnsi="Times New Roman" w:cs="Times New Roman"/>
          <w:b/>
          <w:bCs/>
        </w:rPr>
      </w:pPr>
    </w:p>
    <w:p w14:paraId="3C106FF1" w14:textId="74D2C168" w:rsidR="00044DE0" w:rsidRDefault="00044DE0" w:rsidP="00044DE0">
      <w:pPr>
        <w:rPr>
          <w:rFonts w:ascii="Times New Roman" w:hAnsi="Times New Roman" w:cs="Times New Roman"/>
        </w:rPr>
      </w:pPr>
      <w:r w:rsidRPr="009D3F99">
        <w:rPr>
          <w:rFonts w:ascii="Times New Roman" w:hAnsi="Times New Roman" w:cs="Times New Roman"/>
          <w:b/>
          <w:bCs/>
        </w:rPr>
        <w:t>Table.</w:t>
      </w:r>
      <w:r w:rsidR="00B033EC">
        <w:rPr>
          <w:rFonts w:ascii="Times New Roman" w:hAnsi="Times New Roman" w:cs="Times New Roman"/>
          <w:b/>
          <w:bCs/>
        </w:rPr>
        <w:t>1</w:t>
      </w:r>
      <w:r w:rsidRPr="009D3F99">
        <w:rPr>
          <w:rFonts w:ascii="Times New Roman" w:hAnsi="Times New Roman" w:cs="Times New Roman"/>
        </w:rPr>
        <w:t xml:space="preserve"> Appropriate area required for nutrition garden for the family of 4-6 members</w:t>
      </w:r>
    </w:p>
    <w:tbl>
      <w:tblPr>
        <w:tblStyle w:val="TableGrid"/>
        <w:tblW w:w="101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31"/>
        <w:gridCol w:w="702"/>
        <w:gridCol w:w="702"/>
        <w:gridCol w:w="842"/>
        <w:gridCol w:w="637"/>
        <w:gridCol w:w="889"/>
        <w:gridCol w:w="1035"/>
        <w:gridCol w:w="743"/>
        <w:gridCol w:w="741"/>
        <w:gridCol w:w="889"/>
        <w:gridCol w:w="741"/>
        <w:gridCol w:w="1037"/>
      </w:tblGrid>
      <w:tr w:rsidR="00044DE0" w14:paraId="4232521C" w14:textId="77777777" w:rsidTr="00B033EC">
        <w:trPr>
          <w:trHeight w:val="1005"/>
        </w:trPr>
        <w:tc>
          <w:tcPr>
            <w:tcW w:w="1231" w:type="dxa"/>
            <w:vAlign w:val="center"/>
          </w:tcPr>
          <w:p w14:paraId="5DA33DF3"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lastRenderedPageBreak/>
              <w:t>Crop Area</w:t>
            </w:r>
          </w:p>
        </w:tc>
        <w:tc>
          <w:tcPr>
            <w:tcW w:w="702" w:type="dxa"/>
            <w:vAlign w:val="center"/>
          </w:tcPr>
          <w:p w14:paraId="5A8C8577"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Spinach</w:t>
            </w:r>
          </w:p>
        </w:tc>
        <w:tc>
          <w:tcPr>
            <w:tcW w:w="702" w:type="dxa"/>
            <w:vAlign w:val="center"/>
          </w:tcPr>
          <w:p w14:paraId="5BE91F8A"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Okra</w:t>
            </w:r>
          </w:p>
        </w:tc>
        <w:tc>
          <w:tcPr>
            <w:tcW w:w="842" w:type="dxa"/>
            <w:vAlign w:val="center"/>
          </w:tcPr>
          <w:p w14:paraId="196BCDE6"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Bottle gourd</w:t>
            </w:r>
          </w:p>
        </w:tc>
        <w:tc>
          <w:tcPr>
            <w:tcW w:w="637" w:type="dxa"/>
            <w:vAlign w:val="center"/>
          </w:tcPr>
          <w:p w14:paraId="57C69F16"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Brinjal</w:t>
            </w:r>
          </w:p>
        </w:tc>
        <w:tc>
          <w:tcPr>
            <w:tcW w:w="889" w:type="dxa"/>
            <w:vAlign w:val="center"/>
          </w:tcPr>
          <w:p w14:paraId="79D1E11C"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Ridge Gourd</w:t>
            </w:r>
          </w:p>
        </w:tc>
        <w:tc>
          <w:tcPr>
            <w:tcW w:w="1035" w:type="dxa"/>
            <w:vAlign w:val="center"/>
          </w:tcPr>
          <w:p w14:paraId="03B5F260"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Round Gourd</w:t>
            </w:r>
          </w:p>
        </w:tc>
        <w:tc>
          <w:tcPr>
            <w:tcW w:w="743" w:type="dxa"/>
            <w:vAlign w:val="center"/>
          </w:tcPr>
          <w:p w14:paraId="76200272"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Radish</w:t>
            </w:r>
          </w:p>
        </w:tc>
        <w:tc>
          <w:tcPr>
            <w:tcW w:w="741" w:type="dxa"/>
            <w:vAlign w:val="center"/>
          </w:tcPr>
          <w:p w14:paraId="450ACABF"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Tomato</w:t>
            </w:r>
          </w:p>
        </w:tc>
        <w:tc>
          <w:tcPr>
            <w:tcW w:w="889" w:type="dxa"/>
            <w:vAlign w:val="center"/>
          </w:tcPr>
          <w:p w14:paraId="4A10DAA0"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Coriander</w:t>
            </w:r>
          </w:p>
        </w:tc>
        <w:tc>
          <w:tcPr>
            <w:tcW w:w="741" w:type="dxa"/>
            <w:vAlign w:val="center"/>
          </w:tcPr>
          <w:p w14:paraId="03A012C8"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Peas</w:t>
            </w:r>
          </w:p>
        </w:tc>
        <w:tc>
          <w:tcPr>
            <w:tcW w:w="1037" w:type="dxa"/>
            <w:vAlign w:val="center"/>
          </w:tcPr>
          <w:p w14:paraId="2EFD304A"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Total season.</w:t>
            </w:r>
          </w:p>
        </w:tc>
      </w:tr>
      <w:tr w:rsidR="00044DE0" w14:paraId="7ED146C9" w14:textId="77777777" w:rsidTr="00B033EC">
        <w:trPr>
          <w:trHeight w:val="670"/>
        </w:trPr>
        <w:tc>
          <w:tcPr>
            <w:tcW w:w="1231" w:type="dxa"/>
            <w:vAlign w:val="center"/>
          </w:tcPr>
          <w:p w14:paraId="1F84E41A" w14:textId="77777777" w:rsidR="00044DE0" w:rsidRDefault="00044DE0" w:rsidP="00B033EC">
            <w:pPr>
              <w:jc w:val="center"/>
              <w:rPr>
                <w:rFonts w:ascii="Times New Roman" w:hAnsi="Times New Roman" w:cs="Times New Roman"/>
              </w:rPr>
            </w:pPr>
            <w:r>
              <w:rPr>
                <w:rFonts w:ascii="Times New Roman" w:hAnsi="Times New Roman" w:cs="Times New Roman"/>
              </w:rPr>
              <w:t>100 Sq. m</w:t>
            </w:r>
          </w:p>
        </w:tc>
        <w:tc>
          <w:tcPr>
            <w:tcW w:w="702" w:type="dxa"/>
            <w:vAlign w:val="center"/>
          </w:tcPr>
          <w:p w14:paraId="482F6A73" w14:textId="77777777" w:rsidR="00044DE0" w:rsidRDefault="00044DE0" w:rsidP="00B033EC">
            <w:pPr>
              <w:jc w:val="center"/>
              <w:rPr>
                <w:rFonts w:ascii="Times New Roman" w:hAnsi="Times New Roman" w:cs="Times New Roman"/>
              </w:rPr>
            </w:pPr>
            <w:r>
              <w:rPr>
                <w:rFonts w:ascii="Times New Roman" w:hAnsi="Times New Roman" w:cs="Times New Roman"/>
              </w:rPr>
              <w:t>29.5</w:t>
            </w:r>
          </w:p>
        </w:tc>
        <w:tc>
          <w:tcPr>
            <w:tcW w:w="702" w:type="dxa"/>
            <w:vAlign w:val="center"/>
          </w:tcPr>
          <w:p w14:paraId="5E138FAC" w14:textId="77777777" w:rsidR="00044DE0" w:rsidRDefault="00044DE0" w:rsidP="00B033EC">
            <w:pPr>
              <w:jc w:val="center"/>
              <w:rPr>
                <w:rFonts w:ascii="Times New Roman" w:hAnsi="Times New Roman" w:cs="Times New Roman"/>
              </w:rPr>
            </w:pPr>
            <w:r>
              <w:rPr>
                <w:rFonts w:ascii="Times New Roman" w:hAnsi="Times New Roman" w:cs="Times New Roman"/>
              </w:rPr>
              <w:t>29.3</w:t>
            </w:r>
          </w:p>
        </w:tc>
        <w:tc>
          <w:tcPr>
            <w:tcW w:w="842" w:type="dxa"/>
            <w:vAlign w:val="center"/>
          </w:tcPr>
          <w:p w14:paraId="2F7BA7C8" w14:textId="77777777" w:rsidR="00044DE0" w:rsidRDefault="00044DE0" w:rsidP="00B033EC">
            <w:pPr>
              <w:jc w:val="center"/>
              <w:rPr>
                <w:rFonts w:ascii="Times New Roman" w:hAnsi="Times New Roman" w:cs="Times New Roman"/>
              </w:rPr>
            </w:pPr>
            <w:r>
              <w:rPr>
                <w:rFonts w:ascii="Times New Roman" w:hAnsi="Times New Roman" w:cs="Times New Roman"/>
              </w:rPr>
              <w:t>32.2</w:t>
            </w:r>
          </w:p>
        </w:tc>
        <w:tc>
          <w:tcPr>
            <w:tcW w:w="637" w:type="dxa"/>
            <w:vAlign w:val="center"/>
          </w:tcPr>
          <w:p w14:paraId="35E06585" w14:textId="77777777" w:rsidR="00044DE0" w:rsidRDefault="00044DE0" w:rsidP="00B033EC">
            <w:pPr>
              <w:jc w:val="center"/>
              <w:rPr>
                <w:rFonts w:ascii="Times New Roman" w:hAnsi="Times New Roman" w:cs="Times New Roman"/>
              </w:rPr>
            </w:pPr>
            <w:r>
              <w:rPr>
                <w:rFonts w:ascii="Times New Roman" w:hAnsi="Times New Roman" w:cs="Times New Roman"/>
              </w:rPr>
              <w:t>31.6</w:t>
            </w:r>
          </w:p>
        </w:tc>
        <w:tc>
          <w:tcPr>
            <w:tcW w:w="889" w:type="dxa"/>
            <w:vAlign w:val="center"/>
          </w:tcPr>
          <w:p w14:paraId="7CA36C31" w14:textId="77777777" w:rsidR="00044DE0" w:rsidRDefault="00044DE0" w:rsidP="00B033EC">
            <w:pPr>
              <w:jc w:val="center"/>
              <w:rPr>
                <w:rFonts w:ascii="Times New Roman" w:hAnsi="Times New Roman" w:cs="Times New Roman"/>
              </w:rPr>
            </w:pPr>
            <w:r>
              <w:rPr>
                <w:rFonts w:ascii="Times New Roman" w:hAnsi="Times New Roman" w:cs="Times New Roman"/>
              </w:rPr>
              <w:t>28.0</w:t>
            </w:r>
          </w:p>
        </w:tc>
        <w:tc>
          <w:tcPr>
            <w:tcW w:w="1035" w:type="dxa"/>
            <w:vAlign w:val="center"/>
          </w:tcPr>
          <w:p w14:paraId="247A7B94" w14:textId="77777777" w:rsidR="00044DE0" w:rsidRDefault="00044DE0" w:rsidP="00B033EC">
            <w:pPr>
              <w:jc w:val="center"/>
              <w:rPr>
                <w:rFonts w:ascii="Times New Roman" w:hAnsi="Times New Roman" w:cs="Times New Roman"/>
              </w:rPr>
            </w:pPr>
            <w:r>
              <w:rPr>
                <w:rFonts w:ascii="Times New Roman" w:hAnsi="Times New Roman" w:cs="Times New Roman"/>
              </w:rPr>
              <w:t>29.2</w:t>
            </w:r>
          </w:p>
        </w:tc>
        <w:tc>
          <w:tcPr>
            <w:tcW w:w="743" w:type="dxa"/>
            <w:vAlign w:val="center"/>
          </w:tcPr>
          <w:p w14:paraId="09E3A646" w14:textId="77777777" w:rsidR="00044DE0" w:rsidRDefault="00044DE0" w:rsidP="00B033EC">
            <w:pPr>
              <w:jc w:val="center"/>
              <w:rPr>
                <w:rFonts w:ascii="Times New Roman" w:hAnsi="Times New Roman" w:cs="Times New Roman"/>
              </w:rPr>
            </w:pPr>
            <w:r>
              <w:rPr>
                <w:rFonts w:ascii="Times New Roman" w:hAnsi="Times New Roman" w:cs="Times New Roman"/>
              </w:rPr>
              <w:t>28.5</w:t>
            </w:r>
          </w:p>
        </w:tc>
        <w:tc>
          <w:tcPr>
            <w:tcW w:w="741" w:type="dxa"/>
            <w:vAlign w:val="center"/>
          </w:tcPr>
          <w:p w14:paraId="7D6E862C" w14:textId="77777777" w:rsidR="00044DE0" w:rsidRDefault="00044DE0" w:rsidP="00B033EC">
            <w:pPr>
              <w:jc w:val="center"/>
              <w:rPr>
                <w:rFonts w:ascii="Times New Roman" w:hAnsi="Times New Roman" w:cs="Times New Roman"/>
              </w:rPr>
            </w:pPr>
            <w:r>
              <w:rPr>
                <w:rFonts w:ascii="Times New Roman" w:hAnsi="Times New Roman" w:cs="Times New Roman"/>
              </w:rPr>
              <w:t>29.4</w:t>
            </w:r>
          </w:p>
        </w:tc>
        <w:tc>
          <w:tcPr>
            <w:tcW w:w="889" w:type="dxa"/>
            <w:vAlign w:val="center"/>
          </w:tcPr>
          <w:p w14:paraId="141E2F69" w14:textId="77777777" w:rsidR="00044DE0" w:rsidRDefault="00044DE0" w:rsidP="00B033EC">
            <w:pPr>
              <w:jc w:val="center"/>
              <w:rPr>
                <w:rFonts w:ascii="Times New Roman" w:hAnsi="Times New Roman" w:cs="Times New Roman"/>
              </w:rPr>
            </w:pPr>
            <w:r>
              <w:rPr>
                <w:rFonts w:ascii="Times New Roman" w:hAnsi="Times New Roman" w:cs="Times New Roman"/>
              </w:rPr>
              <w:t>15.8</w:t>
            </w:r>
          </w:p>
        </w:tc>
        <w:tc>
          <w:tcPr>
            <w:tcW w:w="741" w:type="dxa"/>
            <w:vAlign w:val="center"/>
          </w:tcPr>
          <w:p w14:paraId="650D987F" w14:textId="77777777" w:rsidR="00044DE0" w:rsidRDefault="00044DE0" w:rsidP="00B033EC">
            <w:pPr>
              <w:jc w:val="center"/>
              <w:rPr>
                <w:rFonts w:ascii="Times New Roman" w:hAnsi="Times New Roman" w:cs="Times New Roman"/>
              </w:rPr>
            </w:pPr>
            <w:r>
              <w:rPr>
                <w:rFonts w:ascii="Times New Roman" w:hAnsi="Times New Roman" w:cs="Times New Roman"/>
              </w:rPr>
              <w:t>6.5</w:t>
            </w:r>
          </w:p>
        </w:tc>
        <w:tc>
          <w:tcPr>
            <w:tcW w:w="1037" w:type="dxa"/>
            <w:vAlign w:val="center"/>
          </w:tcPr>
          <w:p w14:paraId="55A039AB" w14:textId="77777777" w:rsidR="00044DE0" w:rsidRDefault="00044DE0" w:rsidP="00B033EC">
            <w:pPr>
              <w:jc w:val="center"/>
              <w:rPr>
                <w:rFonts w:ascii="Times New Roman" w:hAnsi="Times New Roman" w:cs="Times New Roman"/>
              </w:rPr>
            </w:pPr>
            <w:r>
              <w:rPr>
                <w:rFonts w:ascii="Times New Roman" w:hAnsi="Times New Roman" w:cs="Times New Roman"/>
              </w:rPr>
              <w:t>260 kg</w:t>
            </w:r>
          </w:p>
        </w:tc>
      </w:tr>
      <w:tr w:rsidR="00044DE0" w14:paraId="75527E29" w14:textId="77777777" w:rsidTr="00B033EC">
        <w:trPr>
          <w:trHeight w:val="655"/>
        </w:trPr>
        <w:tc>
          <w:tcPr>
            <w:tcW w:w="1231" w:type="dxa"/>
            <w:vAlign w:val="center"/>
          </w:tcPr>
          <w:p w14:paraId="3D957BEA" w14:textId="77777777" w:rsidR="00044DE0" w:rsidRDefault="00044DE0" w:rsidP="00B033EC">
            <w:pPr>
              <w:jc w:val="center"/>
              <w:rPr>
                <w:rFonts w:ascii="Times New Roman" w:hAnsi="Times New Roman" w:cs="Times New Roman"/>
              </w:rPr>
            </w:pPr>
            <w:r>
              <w:rPr>
                <w:rFonts w:ascii="Times New Roman" w:hAnsi="Times New Roman" w:cs="Times New Roman"/>
              </w:rPr>
              <w:t xml:space="preserve">150 </w:t>
            </w:r>
            <w:proofErr w:type="spellStart"/>
            <w:r>
              <w:rPr>
                <w:rFonts w:ascii="Times New Roman" w:hAnsi="Times New Roman" w:cs="Times New Roman"/>
              </w:rPr>
              <w:t>Sq.m</w:t>
            </w:r>
            <w:proofErr w:type="spellEnd"/>
          </w:p>
        </w:tc>
        <w:tc>
          <w:tcPr>
            <w:tcW w:w="702" w:type="dxa"/>
            <w:vAlign w:val="center"/>
          </w:tcPr>
          <w:p w14:paraId="2ABF9341" w14:textId="77777777" w:rsidR="00044DE0" w:rsidRDefault="00044DE0" w:rsidP="00B033EC">
            <w:pPr>
              <w:jc w:val="center"/>
              <w:rPr>
                <w:rFonts w:ascii="Times New Roman" w:hAnsi="Times New Roman" w:cs="Times New Roman"/>
              </w:rPr>
            </w:pPr>
            <w:r>
              <w:rPr>
                <w:rFonts w:ascii="Times New Roman" w:hAnsi="Times New Roman" w:cs="Times New Roman"/>
              </w:rPr>
              <w:t>35.4</w:t>
            </w:r>
          </w:p>
        </w:tc>
        <w:tc>
          <w:tcPr>
            <w:tcW w:w="702" w:type="dxa"/>
            <w:vAlign w:val="center"/>
          </w:tcPr>
          <w:p w14:paraId="1280F6E3" w14:textId="77777777" w:rsidR="00044DE0" w:rsidRDefault="00044DE0" w:rsidP="00B033EC">
            <w:pPr>
              <w:jc w:val="center"/>
              <w:rPr>
                <w:rFonts w:ascii="Times New Roman" w:hAnsi="Times New Roman" w:cs="Times New Roman"/>
              </w:rPr>
            </w:pPr>
            <w:r>
              <w:rPr>
                <w:rFonts w:ascii="Times New Roman" w:hAnsi="Times New Roman" w:cs="Times New Roman"/>
              </w:rPr>
              <w:t>33.2</w:t>
            </w:r>
          </w:p>
        </w:tc>
        <w:tc>
          <w:tcPr>
            <w:tcW w:w="842" w:type="dxa"/>
            <w:vAlign w:val="center"/>
          </w:tcPr>
          <w:p w14:paraId="788C26DF" w14:textId="77777777" w:rsidR="00044DE0" w:rsidRDefault="00044DE0" w:rsidP="00B033EC">
            <w:pPr>
              <w:jc w:val="center"/>
              <w:rPr>
                <w:rFonts w:ascii="Times New Roman" w:hAnsi="Times New Roman" w:cs="Times New Roman"/>
              </w:rPr>
            </w:pPr>
            <w:r>
              <w:rPr>
                <w:rFonts w:ascii="Times New Roman" w:hAnsi="Times New Roman" w:cs="Times New Roman"/>
              </w:rPr>
              <w:t>35.7</w:t>
            </w:r>
          </w:p>
        </w:tc>
        <w:tc>
          <w:tcPr>
            <w:tcW w:w="637" w:type="dxa"/>
            <w:vAlign w:val="center"/>
          </w:tcPr>
          <w:p w14:paraId="33BC32FF" w14:textId="77777777" w:rsidR="00044DE0" w:rsidRDefault="00044DE0" w:rsidP="00B033EC">
            <w:pPr>
              <w:jc w:val="center"/>
              <w:rPr>
                <w:rFonts w:ascii="Times New Roman" w:hAnsi="Times New Roman" w:cs="Times New Roman"/>
              </w:rPr>
            </w:pPr>
            <w:r>
              <w:rPr>
                <w:rFonts w:ascii="Times New Roman" w:hAnsi="Times New Roman" w:cs="Times New Roman"/>
              </w:rPr>
              <w:t>34.1</w:t>
            </w:r>
          </w:p>
        </w:tc>
        <w:tc>
          <w:tcPr>
            <w:tcW w:w="889" w:type="dxa"/>
            <w:vAlign w:val="center"/>
          </w:tcPr>
          <w:p w14:paraId="55FD2F63" w14:textId="77777777" w:rsidR="00044DE0" w:rsidRDefault="00044DE0" w:rsidP="00B033EC">
            <w:pPr>
              <w:jc w:val="center"/>
              <w:rPr>
                <w:rFonts w:ascii="Times New Roman" w:hAnsi="Times New Roman" w:cs="Times New Roman"/>
              </w:rPr>
            </w:pPr>
            <w:r>
              <w:rPr>
                <w:rFonts w:ascii="Times New Roman" w:hAnsi="Times New Roman" w:cs="Times New Roman"/>
              </w:rPr>
              <w:t>32.1</w:t>
            </w:r>
          </w:p>
        </w:tc>
        <w:tc>
          <w:tcPr>
            <w:tcW w:w="1035" w:type="dxa"/>
            <w:vAlign w:val="center"/>
          </w:tcPr>
          <w:p w14:paraId="6D0FBF21" w14:textId="77777777" w:rsidR="00044DE0" w:rsidRDefault="00044DE0" w:rsidP="00B033EC">
            <w:pPr>
              <w:jc w:val="center"/>
              <w:rPr>
                <w:rFonts w:ascii="Times New Roman" w:hAnsi="Times New Roman" w:cs="Times New Roman"/>
              </w:rPr>
            </w:pPr>
            <w:r>
              <w:rPr>
                <w:rFonts w:ascii="Times New Roman" w:hAnsi="Times New Roman" w:cs="Times New Roman"/>
              </w:rPr>
              <w:t>33.9</w:t>
            </w:r>
          </w:p>
        </w:tc>
        <w:tc>
          <w:tcPr>
            <w:tcW w:w="743" w:type="dxa"/>
            <w:vAlign w:val="center"/>
          </w:tcPr>
          <w:p w14:paraId="102450D9" w14:textId="77777777" w:rsidR="00044DE0" w:rsidRDefault="00044DE0" w:rsidP="00B033EC">
            <w:pPr>
              <w:jc w:val="center"/>
              <w:rPr>
                <w:rFonts w:ascii="Times New Roman" w:hAnsi="Times New Roman" w:cs="Times New Roman"/>
              </w:rPr>
            </w:pPr>
            <w:r>
              <w:rPr>
                <w:rFonts w:ascii="Times New Roman" w:hAnsi="Times New Roman" w:cs="Times New Roman"/>
              </w:rPr>
              <w:t>32.5</w:t>
            </w:r>
          </w:p>
        </w:tc>
        <w:tc>
          <w:tcPr>
            <w:tcW w:w="741" w:type="dxa"/>
            <w:vAlign w:val="center"/>
          </w:tcPr>
          <w:p w14:paraId="5C3E520C" w14:textId="77777777" w:rsidR="00044DE0" w:rsidRDefault="00044DE0" w:rsidP="00B033EC">
            <w:pPr>
              <w:jc w:val="center"/>
              <w:rPr>
                <w:rFonts w:ascii="Times New Roman" w:hAnsi="Times New Roman" w:cs="Times New Roman"/>
              </w:rPr>
            </w:pPr>
            <w:r>
              <w:rPr>
                <w:rFonts w:ascii="Times New Roman" w:hAnsi="Times New Roman" w:cs="Times New Roman"/>
              </w:rPr>
              <w:t>32.1</w:t>
            </w:r>
          </w:p>
        </w:tc>
        <w:tc>
          <w:tcPr>
            <w:tcW w:w="889" w:type="dxa"/>
            <w:vAlign w:val="center"/>
          </w:tcPr>
          <w:p w14:paraId="5DDE7F8F" w14:textId="77777777" w:rsidR="00044DE0" w:rsidRDefault="00044DE0" w:rsidP="00B033EC">
            <w:pPr>
              <w:jc w:val="center"/>
              <w:rPr>
                <w:rFonts w:ascii="Times New Roman" w:hAnsi="Times New Roman" w:cs="Times New Roman"/>
              </w:rPr>
            </w:pPr>
            <w:r>
              <w:rPr>
                <w:rFonts w:ascii="Times New Roman" w:hAnsi="Times New Roman" w:cs="Times New Roman"/>
              </w:rPr>
              <w:t>18.9</w:t>
            </w:r>
          </w:p>
        </w:tc>
        <w:tc>
          <w:tcPr>
            <w:tcW w:w="741" w:type="dxa"/>
            <w:vAlign w:val="center"/>
          </w:tcPr>
          <w:p w14:paraId="3BD06BB0" w14:textId="77777777" w:rsidR="00044DE0" w:rsidRDefault="00044DE0" w:rsidP="00B033EC">
            <w:pPr>
              <w:jc w:val="center"/>
              <w:rPr>
                <w:rFonts w:ascii="Times New Roman" w:hAnsi="Times New Roman" w:cs="Times New Roman"/>
              </w:rPr>
            </w:pPr>
            <w:r>
              <w:rPr>
                <w:rFonts w:ascii="Times New Roman" w:hAnsi="Times New Roman" w:cs="Times New Roman"/>
              </w:rPr>
              <w:t>8.1</w:t>
            </w:r>
          </w:p>
        </w:tc>
        <w:tc>
          <w:tcPr>
            <w:tcW w:w="1037" w:type="dxa"/>
            <w:vAlign w:val="center"/>
          </w:tcPr>
          <w:p w14:paraId="45C01781" w14:textId="77777777" w:rsidR="00044DE0" w:rsidRDefault="00044DE0" w:rsidP="00B033EC">
            <w:pPr>
              <w:jc w:val="center"/>
              <w:rPr>
                <w:rFonts w:ascii="Times New Roman" w:hAnsi="Times New Roman" w:cs="Times New Roman"/>
              </w:rPr>
            </w:pPr>
            <w:r>
              <w:rPr>
                <w:rFonts w:ascii="Times New Roman" w:hAnsi="Times New Roman" w:cs="Times New Roman"/>
              </w:rPr>
              <w:t>300 kg</w:t>
            </w:r>
          </w:p>
        </w:tc>
      </w:tr>
      <w:tr w:rsidR="00044DE0" w14:paraId="0DFEF7C4" w14:textId="77777777" w:rsidTr="00B033EC">
        <w:trPr>
          <w:trHeight w:val="670"/>
        </w:trPr>
        <w:tc>
          <w:tcPr>
            <w:tcW w:w="1231" w:type="dxa"/>
            <w:vAlign w:val="center"/>
          </w:tcPr>
          <w:p w14:paraId="78BEE3FA" w14:textId="77777777" w:rsidR="00044DE0" w:rsidRDefault="00044DE0" w:rsidP="00B033EC">
            <w:pPr>
              <w:jc w:val="center"/>
              <w:rPr>
                <w:rFonts w:ascii="Times New Roman" w:hAnsi="Times New Roman" w:cs="Times New Roman"/>
              </w:rPr>
            </w:pPr>
            <w:r>
              <w:rPr>
                <w:rFonts w:ascii="Times New Roman" w:hAnsi="Times New Roman" w:cs="Times New Roman"/>
              </w:rPr>
              <w:t xml:space="preserve">250 </w:t>
            </w:r>
            <w:proofErr w:type="spellStart"/>
            <w:r>
              <w:rPr>
                <w:rFonts w:ascii="Times New Roman" w:hAnsi="Times New Roman" w:cs="Times New Roman"/>
              </w:rPr>
              <w:t>Sq.m</w:t>
            </w:r>
            <w:proofErr w:type="spellEnd"/>
          </w:p>
        </w:tc>
        <w:tc>
          <w:tcPr>
            <w:tcW w:w="702" w:type="dxa"/>
            <w:vAlign w:val="center"/>
          </w:tcPr>
          <w:p w14:paraId="4E3CDC0A" w14:textId="77777777" w:rsidR="00044DE0" w:rsidRDefault="00044DE0" w:rsidP="00B033EC">
            <w:pPr>
              <w:jc w:val="center"/>
              <w:rPr>
                <w:rFonts w:ascii="Times New Roman" w:hAnsi="Times New Roman" w:cs="Times New Roman"/>
              </w:rPr>
            </w:pPr>
            <w:r>
              <w:rPr>
                <w:rFonts w:ascii="Times New Roman" w:hAnsi="Times New Roman" w:cs="Times New Roman"/>
              </w:rPr>
              <w:t>49.2</w:t>
            </w:r>
          </w:p>
        </w:tc>
        <w:tc>
          <w:tcPr>
            <w:tcW w:w="702" w:type="dxa"/>
            <w:vAlign w:val="center"/>
          </w:tcPr>
          <w:p w14:paraId="0FD24CF8" w14:textId="77777777" w:rsidR="00044DE0" w:rsidRDefault="00044DE0" w:rsidP="00B033EC">
            <w:pPr>
              <w:jc w:val="center"/>
              <w:rPr>
                <w:rFonts w:ascii="Times New Roman" w:hAnsi="Times New Roman" w:cs="Times New Roman"/>
              </w:rPr>
            </w:pPr>
            <w:r>
              <w:rPr>
                <w:rFonts w:ascii="Times New Roman" w:hAnsi="Times New Roman" w:cs="Times New Roman"/>
              </w:rPr>
              <w:t>49.5</w:t>
            </w:r>
          </w:p>
        </w:tc>
        <w:tc>
          <w:tcPr>
            <w:tcW w:w="842" w:type="dxa"/>
            <w:vAlign w:val="center"/>
          </w:tcPr>
          <w:p w14:paraId="11DF77B3" w14:textId="77777777" w:rsidR="00044DE0" w:rsidRDefault="00044DE0" w:rsidP="00B033EC">
            <w:pPr>
              <w:jc w:val="center"/>
              <w:rPr>
                <w:rFonts w:ascii="Times New Roman" w:hAnsi="Times New Roman" w:cs="Times New Roman"/>
              </w:rPr>
            </w:pPr>
            <w:r>
              <w:rPr>
                <w:rFonts w:ascii="Times New Roman" w:hAnsi="Times New Roman" w:cs="Times New Roman"/>
              </w:rPr>
              <w:t>46.8</w:t>
            </w:r>
          </w:p>
        </w:tc>
        <w:tc>
          <w:tcPr>
            <w:tcW w:w="637" w:type="dxa"/>
            <w:vAlign w:val="center"/>
          </w:tcPr>
          <w:p w14:paraId="44FFCAF2" w14:textId="77777777" w:rsidR="00044DE0" w:rsidRDefault="00044DE0" w:rsidP="00B033EC">
            <w:pPr>
              <w:jc w:val="center"/>
              <w:rPr>
                <w:rFonts w:ascii="Times New Roman" w:hAnsi="Times New Roman" w:cs="Times New Roman"/>
              </w:rPr>
            </w:pPr>
            <w:r>
              <w:rPr>
                <w:rFonts w:ascii="Times New Roman" w:hAnsi="Times New Roman" w:cs="Times New Roman"/>
              </w:rPr>
              <w:t>44.7</w:t>
            </w:r>
          </w:p>
        </w:tc>
        <w:tc>
          <w:tcPr>
            <w:tcW w:w="889" w:type="dxa"/>
            <w:vAlign w:val="center"/>
          </w:tcPr>
          <w:p w14:paraId="2419733E" w14:textId="77777777" w:rsidR="00044DE0" w:rsidRDefault="00044DE0" w:rsidP="00B033EC">
            <w:pPr>
              <w:jc w:val="center"/>
              <w:rPr>
                <w:rFonts w:ascii="Times New Roman" w:hAnsi="Times New Roman" w:cs="Times New Roman"/>
              </w:rPr>
            </w:pPr>
            <w:r>
              <w:rPr>
                <w:rFonts w:ascii="Times New Roman" w:hAnsi="Times New Roman" w:cs="Times New Roman"/>
              </w:rPr>
              <w:t>48.9</w:t>
            </w:r>
          </w:p>
        </w:tc>
        <w:tc>
          <w:tcPr>
            <w:tcW w:w="1035" w:type="dxa"/>
            <w:vAlign w:val="center"/>
          </w:tcPr>
          <w:p w14:paraId="7F66D661" w14:textId="77777777" w:rsidR="00044DE0" w:rsidRDefault="00044DE0" w:rsidP="00B033EC">
            <w:pPr>
              <w:jc w:val="center"/>
              <w:rPr>
                <w:rFonts w:ascii="Times New Roman" w:hAnsi="Times New Roman" w:cs="Times New Roman"/>
              </w:rPr>
            </w:pPr>
            <w:r>
              <w:rPr>
                <w:rFonts w:ascii="Times New Roman" w:hAnsi="Times New Roman" w:cs="Times New Roman"/>
              </w:rPr>
              <w:t>38.7</w:t>
            </w:r>
          </w:p>
        </w:tc>
        <w:tc>
          <w:tcPr>
            <w:tcW w:w="743" w:type="dxa"/>
            <w:vAlign w:val="center"/>
          </w:tcPr>
          <w:p w14:paraId="273B44AC" w14:textId="77777777" w:rsidR="00044DE0" w:rsidRDefault="00044DE0" w:rsidP="00B033EC">
            <w:pPr>
              <w:jc w:val="center"/>
              <w:rPr>
                <w:rFonts w:ascii="Times New Roman" w:hAnsi="Times New Roman" w:cs="Times New Roman"/>
              </w:rPr>
            </w:pPr>
            <w:r>
              <w:rPr>
                <w:rFonts w:ascii="Times New Roman" w:hAnsi="Times New Roman" w:cs="Times New Roman"/>
              </w:rPr>
              <w:t>35.0</w:t>
            </w:r>
          </w:p>
        </w:tc>
        <w:tc>
          <w:tcPr>
            <w:tcW w:w="741" w:type="dxa"/>
            <w:vAlign w:val="center"/>
          </w:tcPr>
          <w:p w14:paraId="27C630A9" w14:textId="77777777" w:rsidR="00044DE0" w:rsidRDefault="00044DE0" w:rsidP="00B033EC">
            <w:pPr>
              <w:jc w:val="center"/>
              <w:rPr>
                <w:rFonts w:ascii="Times New Roman" w:hAnsi="Times New Roman" w:cs="Times New Roman"/>
              </w:rPr>
            </w:pPr>
            <w:r>
              <w:rPr>
                <w:rFonts w:ascii="Times New Roman" w:hAnsi="Times New Roman" w:cs="Times New Roman"/>
              </w:rPr>
              <w:t>44.8</w:t>
            </w:r>
          </w:p>
        </w:tc>
        <w:tc>
          <w:tcPr>
            <w:tcW w:w="889" w:type="dxa"/>
            <w:vAlign w:val="center"/>
          </w:tcPr>
          <w:p w14:paraId="79458361" w14:textId="77777777" w:rsidR="00044DE0" w:rsidRDefault="00044DE0" w:rsidP="00B033EC">
            <w:pPr>
              <w:jc w:val="center"/>
              <w:rPr>
                <w:rFonts w:ascii="Times New Roman" w:hAnsi="Times New Roman" w:cs="Times New Roman"/>
              </w:rPr>
            </w:pPr>
            <w:r>
              <w:rPr>
                <w:rFonts w:ascii="Times New Roman" w:hAnsi="Times New Roman" w:cs="Times New Roman"/>
              </w:rPr>
              <w:t>26.6</w:t>
            </w:r>
          </w:p>
        </w:tc>
        <w:tc>
          <w:tcPr>
            <w:tcW w:w="741" w:type="dxa"/>
            <w:vAlign w:val="center"/>
          </w:tcPr>
          <w:p w14:paraId="7ACE2515" w14:textId="77777777" w:rsidR="00044DE0" w:rsidRDefault="00044DE0" w:rsidP="00B033EC">
            <w:pPr>
              <w:jc w:val="center"/>
              <w:rPr>
                <w:rFonts w:ascii="Times New Roman" w:hAnsi="Times New Roman" w:cs="Times New Roman"/>
              </w:rPr>
            </w:pPr>
            <w:r>
              <w:rPr>
                <w:rFonts w:ascii="Times New Roman" w:hAnsi="Times New Roman" w:cs="Times New Roman"/>
              </w:rPr>
              <w:t>15.8</w:t>
            </w:r>
          </w:p>
        </w:tc>
        <w:tc>
          <w:tcPr>
            <w:tcW w:w="1037" w:type="dxa"/>
            <w:vAlign w:val="center"/>
          </w:tcPr>
          <w:p w14:paraId="517198C7" w14:textId="77777777" w:rsidR="00044DE0" w:rsidRDefault="00044DE0" w:rsidP="00B033EC">
            <w:pPr>
              <w:jc w:val="center"/>
              <w:rPr>
                <w:rFonts w:ascii="Times New Roman" w:hAnsi="Times New Roman" w:cs="Times New Roman"/>
              </w:rPr>
            </w:pPr>
            <w:r>
              <w:rPr>
                <w:rFonts w:ascii="Times New Roman" w:hAnsi="Times New Roman" w:cs="Times New Roman"/>
              </w:rPr>
              <w:t>400 kg</w:t>
            </w:r>
          </w:p>
        </w:tc>
      </w:tr>
    </w:tbl>
    <w:p w14:paraId="378673AC" w14:textId="77777777" w:rsidR="00044DE0" w:rsidRPr="005179D2" w:rsidRDefault="00044DE0" w:rsidP="005179D2">
      <w:pPr>
        <w:jc w:val="both"/>
        <w:rPr>
          <w:rFonts w:ascii="Times New Roman" w:eastAsiaTheme="majorEastAsia" w:hAnsi="Times New Roman" w:cs="Times New Roman"/>
          <w:b/>
          <w:bCs/>
          <w:lang w:val="en-IN"/>
        </w:rPr>
      </w:pPr>
    </w:p>
    <w:p w14:paraId="27FC17A6" w14:textId="3731F8D7" w:rsidR="005179D2" w:rsidRPr="005179D2" w:rsidRDefault="005179D2" w:rsidP="005179D2">
      <w:pPr>
        <w:rPr>
          <w:rFonts w:ascii="Times New Roman" w:eastAsiaTheme="majorEastAsia" w:hAnsi="Times New Roman" w:cs="Times New Roman"/>
          <w:b/>
          <w:bCs/>
          <w:lang w:val="en-IN"/>
        </w:rPr>
      </w:pPr>
      <w:r w:rsidRPr="005179D2">
        <w:rPr>
          <w:rFonts w:ascii="Times New Roman" w:eastAsiaTheme="majorEastAsia" w:hAnsi="Times New Roman" w:cs="Times New Roman"/>
          <w:b/>
          <w:bCs/>
          <w:lang w:val="en-IN"/>
        </w:rPr>
        <w:t>3.</w:t>
      </w:r>
      <w:r w:rsidR="001D1D24">
        <w:rPr>
          <w:rFonts w:ascii="Times New Roman" w:eastAsiaTheme="majorEastAsia" w:hAnsi="Times New Roman" w:cs="Times New Roman"/>
          <w:b/>
          <w:bCs/>
          <w:lang w:val="en-IN"/>
        </w:rPr>
        <w:t>2</w:t>
      </w:r>
      <w:r w:rsidRPr="005179D2">
        <w:rPr>
          <w:rFonts w:ascii="Times New Roman" w:eastAsiaTheme="majorEastAsia" w:hAnsi="Times New Roman" w:cs="Times New Roman"/>
          <w:b/>
          <w:bCs/>
          <w:lang w:val="en-IN"/>
        </w:rPr>
        <w:t xml:space="preserve"> Quantitative Impact on Vegetable Consumption</w:t>
      </w:r>
    </w:p>
    <w:p w14:paraId="0D240902" w14:textId="08E0D3A3" w:rsidR="005179D2" w:rsidRDefault="005179D2" w:rsidP="005179D2">
      <w:p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The introduction of NGs led to a dramatic increase in the quantity of vegetables consumed per household per day.</w:t>
      </w:r>
      <w:r w:rsidR="00044DE0">
        <w:rPr>
          <w:rFonts w:ascii="Times New Roman" w:eastAsiaTheme="majorEastAsia" w:hAnsi="Times New Roman" w:cs="Times New Roman"/>
          <w:lang w:val="en-IN"/>
        </w:rPr>
        <w:t xml:space="preserve"> </w:t>
      </w:r>
      <w:r w:rsidRPr="00260879">
        <w:rPr>
          <w:rFonts w:ascii="Times New Roman" w:eastAsiaTheme="majorEastAsia" w:hAnsi="Times New Roman" w:cs="Times New Roman"/>
          <w:b/>
          <w:bCs/>
          <w:lang w:val="en-IN"/>
        </w:rPr>
        <w:t>Table</w:t>
      </w:r>
      <w:r w:rsidR="00B033EC">
        <w:rPr>
          <w:rFonts w:ascii="Times New Roman" w:eastAsiaTheme="majorEastAsia" w:hAnsi="Times New Roman" w:cs="Times New Roman"/>
          <w:b/>
          <w:bCs/>
          <w:lang w:val="en-IN"/>
        </w:rPr>
        <w:t xml:space="preserve"> 2</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summarizes the year-wise and pooled data.</w:t>
      </w:r>
    </w:p>
    <w:p w14:paraId="2FAA1287" w14:textId="5B0CCA58" w:rsidR="00044DE0" w:rsidRPr="009D3F99" w:rsidRDefault="00044DE0" w:rsidP="00044DE0">
      <w:pPr>
        <w:pStyle w:val="Heading2"/>
        <w:rPr>
          <w:rFonts w:ascii="Times New Roman" w:hAnsi="Times New Roman" w:cs="Times New Roman"/>
          <w:color w:val="auto"/>
          <w:sz w:val="24"/>
          <w:szCs w:val="24"/>
        </w:rPr>
      </w:pPr>
      <w:r w:rsidRPr="009D3F99">
        <w:rPr>
          <w:rFonts w:ascii="Times New Roman" w:hAnsi="Times New Roman" w:cs="Times New Roman"/>
          <w:b/>
          <w:bCs/>
          <w:color w:val="auto"/>
          <w:sz w:val="24"/>
          <w:szCs w:val="24"/>
        </w:rPr>
        <w:t xml:space="preserve">Table </w:t>
      </w:r>
      <w:r w:rsidR="00B033EC">
        <w:rPr>
          <w:rFonts w:ascii="Times New Roman" w:hAnsi="Times New Roman" w:cs="Times New Roman"/>
          <w:b/>
          <w:bCs/>
          <w:color w:val="auto"/>
          <w:sz w:val="24"/>
          <w:szCs w:val="24"/>
        </w:rPr>
        <w:t>2</w:t>
      </w:r>
      <w:r w:rsidRPr="009D3F99">
        <w:rPr>
          <w:rFonts w:ascii="Times New Roman" w:hAnsi="Times New Roman" w:cs="Times New Roman"/>
          <w:b/>
          <w:bCs/>
          <w:color w:val="auto"/>
          <w:sz w:val="24"/>
          <w:szCs w:val="24"/>
        </w:rPr>
        <w:t>.</w:t>
      </w:r>
      <w:r w:rsidRPr="009D3F99">
        <w:rPr>
          <w:rFonts w:ascii="Times New Roman" w:hAnsi="Times New Roman" w:cs="Times New Roman"/>
          <w:color w:val="auto"/>
          <w:sz w:val="24"/>
          <w:szCs w:val="24"/>
        </w:rPr>
        <w:t xml:space="preserve"> Year-wise average impact of nutritional gardens on consumption and expenditure (2020–2024)</w:t>
      </w:r>
    </w:p>
    <w:tbl>
      <w:tblPr>
        <w:tblStyle w:val="Table"/>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firstRow="1" w:lastRow="0" w:firstColumn="0" w:lastColumn="0" w:noHBand="0" w:noVBand="0"/>
      </w:tblPr>
      <w:tblGrid>
        <w:gridCol w:w="817"/>
        <w:gridCol w:w="2126"/>
        <w:gridCol w:w="993"/>
        <w:gridCol w:w="1275"/>
        <w:gridCol w:w="2268"/>
        <w:gridCol w:w="851"/>
        <w:gridCol w:w="1246"/>
      </w:tblGrid>
      <w:tr w:rsidR="00044DE0" w:rsidRPr="009D3F99" w14:paraId="02FEDB67" w14:textId="77777777" w:rsidTr="00487A87">
        <w:trPr>
          <w:cnfStyle w:val="100000000000" w:firstRow="1" w:lastRow="0" w:firstColumn="0" w:lastColumn="0" w:oddVBand="0" w:evenVBand="0" w:oddHBand="0" w:evenHBand="0" w:firstRowFirstColumn="0" w:firstRowLastColumn="0" w:lastRowFirstColumn="0" w:lastRowLastColumn="0"/>
          <w:tblHeader/>
          <w:jc w:val="center"/>
        </w:trPr>
        <w:tc>
          <w:tcPr>
            <w:tcW w:w="817" w:type="dxa"/>
            <w:tcBorders>
              <w:bottom w:val="none" w:sz="0" w:space="0" w:color="auto"/>
            </w:tcBorders>
            <w:vAlign w:val="center"/>
          </w:tcPr>
          <w:p w14:paraId="2A958FE6"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Year</w:t>
            </w:r>
          </w:p>
        </w:tc>
        <w:tc>
          <w:tcPr>
            <w:tcW w:w="2126" w:type="dxa"/>
            <w:tcBorders>
              <w:bottom w:val="none" w:sz="0" w:space="0" w:color="auto"/>
            </w:tcBorders>
            <w:vAlign w:val="center"/>
          </w:tcPr>
          <w:p w14:paraId="46BE2FA3"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Daily consumption (gm/family) T1</w:t>
            </w:r>
          </w:p>
        </w:tc>
        <w:tc>
          <w:tcPr>
            <w:tcW w:w="993" w:type="dxa"/>
            <w:tcBorders>
              <w:bottom w:val="none" w:sz="0" w:space="0" w:color="auto"/>
            </w:tcBorders>
            <w:vAlign w:val="center"/>
          </w:tcPr>
          <w:p w14:paraId="09366C31"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T2</w:t>
            </w:r>
          </w:p>
        </w:tc>
        <w:tc>
          <w:tcPr>
            <w:tcW w:w="1275" w:type="dxa"/>
            <w:tcBorders>
              <w:bottom w:val="none" w:sz="0" w:space="0" w:color="auto"/>
            </w:tcBorders>
            <w:vAlign w:val="center"/>
          </w:tcPr>
          <w:p w14:paraId="07E13D77"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 change</w:t>
            </w:r>
          </w:p>
        </w:tc>
        <w:tc>
          <w:tcPr>
            <w:tcW w:w="2268" w:type="dxa"/>
            <w:tcBorders>
              <w:bottom w:val="none" w:sz="0" w:space="0" w:color="auto"/>
            </w:tcBorders>
            <w:vAlign w:val="center"/>
          </w:tcPr>
          <w:p w14:paraId="66FFB168"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Monthly expenditure (Rs.) T1</w:t>
            </w:r>
          </w:p>
        </w:tc>
        <w:tc>
          <w:tcPr>
            <w:tcW w:w="851" w:type="dxa"/>
            <w:tcBorders>
              <w:bottom w:val="none" w:sz="0" w:space="0" w:color="auto"/>
            </w:tcBorders>
            <w:vAlign w:val="center"/>
          </w:tcPr>
          <w:p w14:paraId="7A45BEF1"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T2</w:t>
            </w:r>
          </w:p>
        </w:tc>
        <w:tc>
          <w:tcPr>
            <w:tcW w:w="1246" w:type="dxa"/>
            <w:tcBorders>
              <w:bottom w:val="none" w:sz="0" w:space="0" w:color="auto"/>
            </w:tcBorders>
            <w:vAlign w:val="center"/>
          </w:tcPr>
          <w:p w14:paraId="60BB0D6C"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 change</w:t>
            </w:r>
          </w:p>
        </w:tc>
      </w:tr>
      <w:tr w:rsidR="00044DE0" w:rsidRPr="009D3F99" w14:paraId="2E443FFB" w14:textId="77777777" w:rsidTr="00487A87">
        <w:trPr>
          <w:jc w:val="center"/>
        </w:trPr>
        <w:tc>
          <w:tcPr>
            <w:tcW w:w="817" w:type="dxa"/>
            <w:vAlign w:val="center"/>
          </w:tcPr>
          <w:p w14:paraId="0633B8D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2020</w:t>
            </w:r>
          </w:p>
        </w:tc>
        <w:tc>
          <w:tcPr>
            <w:tcW w:w="2126" w:type="dxa"/>
            <w:vAlign w:val="center"/>
          </w:tcPr>
          <w:p w14:paraId="0947C3D8"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515</w:t>
            </w:r>
          </w:p>
        </w:tc>
        <w:tc>
          <w:tcPr>
            <w:tcW w:w="993" w:type="dxa"/>
            <w:vAlign w:val="center"/>
          </w:tcPr>
          <w:p w14:paraId="2130D981"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1600</w:t>
            </w:r>
          </w:p>
        </w:tc>
        <w:tc>
          <w:tcPr>
            <w:tcW w:w="1275" w:type="dxa"/>
            <w:vAlign w:val="center"/>
          </w:tcPr>
          <w:p w14:paraId="6A14DC3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+214%</w:t>
            </w:r>
          </w:p>
        </w:tc>
        <w:tc>
          <w:tcPr>
            <w:tcW w:w="2268" w:type="dxa"/>
            <w:vAlign w:val="center"/>
          </w:tcPr>
          <w:p w14:paraId="3D521A2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635</w:t>
            </w:r>
          </w:p>
        </w:tc>
        <w:tc>
          <w:tcPr>
            <w:tcW w:w="851" w:type="dxa"/>
            <w:vAlign w:val="center"/>
          </w:tcPr>
          <w:p w14:paraId="11C32085"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235</w:t>
            </w:r>
          </w:p>
        </w:tc>
        <w:tc>
          <w:tcPr>
            <w:tcW w:w="1246" w:type="dxa"/>
            <w:vAlign w:val="center"/>
          </w:tcPr>
          <w:p w14:paraId="05C33E93"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−62%</w:t>
            </w:r>
          </w:p>
        </w:tc>
      </w:tr>
      <w:tr w:rsidR="00044DE0" w:rsidRPr="009D3F99" w14:paraId="49DFF48F" w14:textId="77777777" w:rsidTr="00487A87">
        <w:trPr>
          <w:jc w:val="center"/>
        </w:trPr>
        <w:tc>
          <w:tcPr>
            <w:tcW w:w="817" w:type="dxa"/>
            <w:vAlign w:val="center"/>
          </w:tcPr>
          <w:p w14:paraId="0B574AF7"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2021</w:t>
            </w:r>
          </w:p>
        </w:tc>
        <w:tc>
          <w:tcPr>
            <w:tcW w:w="2126" w:type="dxa"/>
            <w:vAlign w:val="center"/>
          </w:tcPr>
          <w:p w14:paraId="2EE3A3D9"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431</w:t>
            </w:r>
          </w:p>
        </w:tc>
        <w:tc>
          <w:tcPr>
            <w:tcW w:w="993" w:type="dxa"/>
            <w:vAlign w:val="center"/>
          </w:tcPr>
          <w:p w14:paraId="6E11858F"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1246</w:t>
            </w:r>
          </w:p>
        </w:tc>
        <w:tc>
          <w:tcPr>
            <w:tcW w:w="1275" w:type="dxa"/>
            <w:vAlign w:val="center"/>
          </w:tcPr>
          <w:p w14:paraId="313DB4F6"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+197%</w:t>
            </w:r>
          </w:p>
        </w:tc>
        <w:tc>
          <w:tcPr>
            <w:tcW w:w="2268" w:type="dxa"/>
            <w:vAlign w:val="center"/>
          </w:tcPr>
          <w:p w14:paraId="27541E81"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669</w:t>
            </w:r>
          </w:p>
        </w:tc>
        <w:tc>
          <w:tcPr>
            <w:tcW w:w="851" w:type="dxa"/>
            <w:vAlign w:val="center"/>
          </w:tcPr>
          <w:p w14:paraId="61230C3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212</w:t>
            </w:r>
          </w:p>
        </w:tc>
        <w:tc>
          <w:tcPr>
            <w:tcW w:w="1246" w:type="dxa"/>
            <w:vAlign w:val="center"/>
          </w:tcPr>
          <w:p w14:paraId="18993DA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−68%</w:t>
            </w:r>
          </w:p>
        </w:tc>
      </w:tr>
      <w:tr w:rsidR="00044DE0" w:rsidRPr="009D3F99" w14:paraId="30843257" w14:textId="77777777" w:rsidTr="00487A87">
        <w:trPr>
          <w:jc w:val="center"/>
        </w:trPr>
        <w:tc>
          <w:tcPr>
            <w:tcW w:w="817" w:type="dxa"/>
            <w:vAlign w:val="center"/>
          </w:tcPr>
          <w:p w14:paraId="2FB5DC34"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2022</w:t>
            </w:r>
          </w:p>
        </w:tc>
        <w:tc>
          <w:tcPr>
            <w:tcW w:w="2126" w:type="dxa"/>
            <w:vAlign w:val="center"/>
          </w:tcPr>
          <w:p w14:paraId="6ECD90F4"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550</w:t>
            </w:r>
          </w:p>
        </w:tc>
        <w:tc>
          <w:tcPr>
            <w:tcW w:w="993" w:type="dxa"/>
            <w:vAlign w:val="center"/>
          </w:tcPr>
          <w:p w14:paraId="5F3EC737"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1077</w:t>
            </w:r>
          </w:p>
        </w:tc>
        <w:tc>
          <w:tcPr>
            <w:tcW w:w="1275" w:type="dxa"/>
            <w:vAlign w:val="center"/>
          </w:tcPr>
          <w:p w14:paraId="066D7C73"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+97%</w:t>
            </w:r>
          </w:p>
        </w:tc>
        <w:tc>
          <w:tcPr>
            <w:tcW w:w="2268" w:type="dxa"/>
            <w:vAlign w:val="center"/>
          </w:tcPr>
          <w:p w14:paraId="314BF7B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650</w:t>
            </w:r>
          </w:p>
        </w:tc>
        <w:tc>
          <w:tcPr>
            <w:tcW w:w="851" w:type="dxa"/>
            <w:vAlign w:val="center"/>
          </w:tcPr>
          <w:p w14:paraId="4A6BA45D"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131</w:t>
            </w:r>
          </w:p>
        </w:tc>
        <w:tc>
          <w:tcPr>
            <w:tcW w:w="1246" w:type="dxa"/>
            <w:vAlign w:val="center"/>
          </w:tcPr>
          <w:p w14:paraId="1E8D5F0D"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−80%</w:t>
            </w:r>
          </w:p>
        </w:tc>
      </w:tr>
      <w:tr w:rsidR="00044DE0" w:rsidRPr="009D3F99" w14:paraId="1338891D" w14:textId="77777777" w:rsidTr="00487A87">
        <w:trPr>
          <w:jc w:val="center"/>
        </w:trPr>
        <w:tc>
          <w:tcPr>
            <w:tcW w:w="817" w:type="dxa"/>
            <w:vAlign w:val="center"/>
          </w:tcPr>
          <w:p w14:paraId="5A8C0B6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2023</w:t>
            </w:r>
          </w:p>
        </w:tc>
        <w:tc>
          <w:tcPr>
            <w:tcW w:w="2126" w:type="dxa"/>
            <w:vAlign w:val="center"/>
          </w:tcPr>
          <w:p w14:paraId="499F0394"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523</w:t>
            </w:r>
          </w:p>
        </w:tc>
        <w:tc>
          <w:tcPr>
            <w:tcW w:w="993" w:type="dxa"/>
            <w:vAlign w:val="center"/>
          </w:tcPr>
          <w:p w14:paraId="74591A55"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1023</w:t>
            </w:r>
          </w:p>
        </w:tc>
        <w:tc>
          <w:tcPr>
            <w:tcW w:w="1275" w:type="dxa"/>
            <w:vAlign w:val="center"/>
          </w:tcPr>
          <w:p w14:paraId="1954195B"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+97%</w:t>
            </w:r>
          </w:p>
        </w:tc>
        <w:tc>
          <w:tcPr>
            <w:tcW w:w="2268" w:type="dxa"/>
            <w:vAlign w:val="center"/>
          </w:tcPr>
          <w:p w14:paraId="4A5D6FE1"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631</w:t>
            </w:r>
          </w:p>
        </w:tc>
        <w:tc>
          <w:tcPr>
            <w:tcW w:w="851" w:type="dxa"/>
            <w:vAlign w:val="center"/>
          </w:tcPr>
          <w:p w14:paraId="7D99F0F0"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122</w:t>
            </w:r>
          </w:p>
        </w:tc>
        <w:tc>
          <w:tcPr>
            <w:tcW w:w="1246" w:type="dxa"/>
            <w:vAlign w:val="center"/>
          </w:tcPr>
          <w:p w14:paraId="15BD1E1A"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−80%</w:t>
            </w:r>
          </w:p>
        </w:tc>
      </w:tr>
      <w:tr w:rsidR="00044DE0" w:rsidRPr="009D3F99" w14:paraId="1D760E42" w14:textId="77777777" w:rsidTr="00487A87">
        <w:trPr>
          <w:jc w:val="center"/>
        </w:trPr>
        <w:tc>
          <w:tcPr>
            <w:tcW w:w="817" w:type="dxa"/>
            <w:vAlign w:val="center"/>
          </w:tcPr>
          <w:p w14:paraId="7AF0E3D1"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2024</w:t>
            </w:r>
          </w:p>
        </w:tc>
        <w:tc>
          <w:tcPr>
            <w:tcW w:w="2126" w:type="dxa"/>
            <w:vAlign w:val="center"/>
          </w:tcPr>
          <w:p w14:paraId="0660B14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404</w:t>
            </w:r>
          </w:p>
        </w:tc>
        <w:tc>
          <w:tcPr>
            <w:tcW w:w="993" w:type="dxa"/>
            <w:vAlign w:val="center"/>
          </w:tcPr>
          <w:p w14:paraId="467EB1D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769</w:t>
            </w:r>
          </w:p>
        </w:tc>
        <w:tc>
          <w:tcPr>
            <w:tcW w:w="1275" w:type="dxa"/>
            <w:vAlign w:val="center"/>
          </w:tcPr>
          <w:p w14:paraId="057A2B6D"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+95%</w:t>
            </w:r>
          </w:p>
        </w:tc>
        <w:tc>
          <w:tcPr>
            <w:tcW w:w="2268" w:type="dxa"/>
            <w:vAlign w:val="center"/>
          </w:tcPr>
          <w:p w14:paraId="3AE0BAA8"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723</w:t>
            </w:r>
          </w:p>
        </w:tc>
        <w:tc>
          <w:tcPr>
            <w:tcW w:w="851" w:type="dxa"/>
            <w:vAlign w:val="center"/>
          </w:tcPr>
          <w:p w14:paraId="5A659280"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148</w:t>
            </w:r>
          </w:p>
        </w:tc>
        <w:tc>
          <w:tcPr>
            <w:tcW w:w="1246" w:type="dxa"/>
            <w:vAlign w:val="center"/>
          </w:tcPr>
          <w:p w14:paraId="05B21FA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−79%</w:t>
            </w:r>
          </w:p>
        </w:tc>
      </w:tr>
      <w:tr w:rsidR="00044DE0" w:rsidRPr="009D3F99" w14:paraId="09C61DC8" w14:textId="77777777" w:rsidTr="00487A87">
        <w:trPr>
          <w:jc w:val="center"/>
        </w:trPr>
        <w:tc>
          <w:tcPr>
            <w:tcW w:w="817" w:type="dxa"/>
            <w:vAlign w:val="center"/>
          </w:tcPr>
          <w:p w14:paraId="550DCEB8"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Mean</w:t>
            </w:r>
          </w:p>
        </w:tc>
        <w:tc>
          <w:tcPr>
            <w:tcW w:w="2126" w:type="dxa"/>
            <w:vAlign w:val="center"/>
          </w:tcPr>
          <w:p w14:paraId="0DC05365"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485</w:t>
            </w:r>
          </w:p>
        </w:tc>
        <w:tc>
          <w:tcPr>
            <w:tcW w:w="993" w:type="dxa"/>
            <w:vAlign w:val="center"/>
          </w:tcPr>
          <w:p w14:paraId="264C0869"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1143</w:t>
            </w:r>
          </w:p>
        </w:tc>
        <w:tc>
          <w:tcPr>
            <w:tcW w:w="1275" w:type="dxa"/>
            <w:vAlign w:val="center"/>
          </w:tcPr>
          <w:p w14:paraId="4DEB58E5"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+136%</w:t>
            </w:r>
          </w:p>
        </w:tc>
        <w:tc>
          <w:tcPr>
            <w:tcW w:w="2268" w:type="dxa"/>
            <w:vAlign w:val="center"/>
          </w:tcPr>
          <w:p w14:paraId="58BE1E3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662</w:t>
            </w:r>
          </w:p>
        </w:tc>
        <w:tc>
          <w:tcPr>
            <w:tcW w:w="851" w:type="dxa"/>
            <w:vAlign w:val="center"/>
          </w:tcPr>
          <w:p w14:paraId="109AC3D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169</w:t>
            </w:r>
          </w:p>
        </w:tc>
        <w:tc>
          <w:tcPr>
            <w:tcW w:w="1246" w:type="dxa"/>
            <w:vAlign w:val="center"/>
          </w:tcPr>
          <w:p w14:paraId="1C587D28"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−74%</w:t>
            </w:r>
          </w:p>
        </w:tc>
      </w:tr>
    </w:tbl>
    <w:p w14:paraId="572E8B7D" w14:textId="77777777" w:rsidR="00044DE0" w:rsidRPr="005179D2" w:rsidRDefault="00044DE0" w:rsidP="005179D2">
      <w:pPr>
        <w:jc w:val="both"/>
        <w:rPr>
          <w:rFonts w:ascii="Times New Roman" w:eastAsiaTheme="majorEastAsia" w:hAnsi="Times New Roman" w:cs="Times New Roman"/>
          <w:lang w:val="en-IN"/>
        </w:rPr>
      </w:pPr>
    </w:p>
    <w:p w14:paraId="3A7A5311" w14:textId="7E8A8667" w:rsidR="005179D2" w:rsidRPr="005179D2" w:rsidRDefault="005179D2" w:rsidP="005179D2">
      <w:pPr>
        <w:numPr>
          <w:ilvl w:val="0"/>
          <w:numId w:val="8"/>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Substantial Annual Increases:</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The year-wise analysis shows consistently high percentage increases in consumption, ranging from a remarkable</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+214% in the inaugural year (2020)</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to a robust</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+95% in 2024. This indicates not only a strong initial impact but also the sustained effectiveness of the intervention over time.</w:t>
      </w:r>
    </w:p>
    <w:p w14:paraId="01D175A4" w14:textId="65F016A3" w:rsidR="005179D2" w:rsidRDefault="005179D2" w:rsidP="005179D2">
      <w:pPr>
        <w:numPr>
          <w:ilvl w:val="0"/>
          <w:numId w:val="8"/>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Significant Pooled Improvement:</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The pooled five-year data reveals that the average daily vegetable consumption per household more than doubled, surging from a baseline of</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485 grams to 1,143 grams. This represents a net increase of 136%, moving households from a state of deficit to surplus in vegetable availability.</w:t>
      </w:r>
    </w:p>
    <w:p w14:paraId="7934A889" w14:textId="2A41ACD0" w:rsidR="00044DE0" w:rsidRDefault="00044DE0" w:rsidP="00044DE0">
      <w:pPr>
        <w:ind w:left="720"/>
        <w:jc w:val="both"/>
        <w:rPr>
          <w:rFonts w:ascii="Times New Roman" w:eastAsiaTheme="majorEastAsia" w:hAnsi="Times New Roman" w:cs="Times New Roman"/>
          <w:lang w:val="en-IN"/>
        </w:rPr>
      </w:pPr>
      <w:r>
        <w:rPr>
          <w:noProof/>
        </w:rPr>
        <w:lastRenderedPageBreak/>
        <w:drawing>
          <wp:inline distT="0" distB="0" distL="0" distR="0" wp14:anchorId="6332B61E" wp14:editId="7D8DB573">
            <wp:extent cx="4855845" cy="2913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4860680" cy="2916408"/>
                    </a:xfrm>
                    <a:prstGeom prst="rect">
                      <a:avLst/>
                    </a:prstGeom>
                  </pic:spPr>
                </pic:pic>
              </a:graphicData>
            </a:graphic>
          </wp:inline>
        </w:drawing>
      </w:r>
    </w:p>
    <w:p w14:paraId="348F6DEC" w14:textId="259DF9D2" w:rsidR="009E068A" w:rsidRPr="005179D2" w:rsidRDefault="009E068A" w:rsidP="00044DE0">
      <w:pPr>
        <w:ind w:left="720"/>
        <w:jc w:val="both"/>
        <w:rPr>
          <w:rFonts w:ascii="Times New Roman" w:eastAsiaTheme="majorEastAsia" w:hAnsi="Times New Roman" w:cs="Times New Roman"/>
          <w:lang w:val="en-IN"/>
        </w:rPr>
      </w:pPr>
      <w:r>
        <w:rPr>
          <w:rFonts w:ascii="Times New Roman" w:eastAsiaTheme="majorEastAsia" w:hAnsi="Times New Roman" w:cs="Times New Roman"/>
          <w:lang w:val="en-IN"/>
        </w:rPr>
        <w:t>Fig 1. Daily Vegetable Consumption(g/family/day)</w:t>
      </w:r>
    </w:p>
    <w:p w14:paraId="5B9ACC79" w14:textId="77777777" w:rsidR="005179D2" w:rsidRPr="005179D2" w:rsidRDefault="005179D2" w:rsidP="005179D2">
      <w:p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This massive increase directly addresses the critical gap between the Indian Council of Medical Research (ICMR) recommended intake of 300g/person/day (NIN, 2011) and the previously low consumption levels, thereby playing a direct role in combating micronutrient deficiencies.</w:t>
      </w:r>
    </w:p>
    <w:p w14:paraId="5CA32B21" w14:textId="6E0DD336" w:rsidR="005179D2" w:rsidRPr="005179D2" w:rsidRDefault="005179D2" w:rsidP="005179D2">
      <w:pPr>
        <w:rPr>
          <w:rFonts w:ascii="Times New Roman" w:eastAsiaTheme="majorEastAsia" w:hAnsi="Times New Roman" w:cs="Times New Roman"/>
          <w:b/>
          <w:bCs/>
          <w:lang w:val="en-IN"/>
        </w:rPr>
      </w:pPr>
      <w:r w:rsidRPr="005179D2">
        <w:rPr>
          <w:rFonts w:ascii="Times New Roman" w:eastAsiaTheme="majorEastAsia" w:hAnsi="Times New Roman" w:cs="Times New Roman"/>
          <w:b/>
          <w:bCs/>
          <w:lang w:val="en-IN"/>
        </w:rPr>
        <w:t>3.</w:t>
      </w:r>
      <w:r w:rsidR="001D1D24">
        <w:rPr>
          <w:rFonts w:ascii="Times New Roman" w:eastAsiaTheme="majorEastAsia" w:hAnsi="Times New Roman" w:cs="Times New Roman"/>
          <w:b/>
          <w:bCs/>
          <w:lang w:val="en-IN"/>
        </w:rPr>
        <w:t>3</w:t>
      </w:r>
      <w:r w:rsidRPr="005179D2">
        <w:rPr>
          <w:rFonts w:ascii="Times New Roman" w:eastAsiaTheme="majorEastAsia" w:hAnsi="Times New Roman" w:cs="Times New Roman"/>
          <w:b/>
          <w:bCs/>
          <w:lang w:val="en-IN"/>
        </w:rPr>
        <w:t xml:space="preserve"> Quantitative Impact on Household Expenditure</w:t>
      </w:r>
    </w:p>
    <w:p w14:paraId="7ABA746A" w14:textId="77777777" w:rsidR="005179D2" w:rsidRDefault="005179D2" w:rsidP="005179D2">
      <w:p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A direct consequence of increased home production was a significant reduction in the financial burden of purchasing vegetables from the market.</w:t>
      </w:r>
    </w:p>
    <w:p w14:paraId="324C66DA" w14:textId="3885B42C" w:rsidR="00044DE0" w:rsidRDefault="00044DE0" w:rsidP="005179D2">
      <w:pPr>
        <w:jc w:val="both"/>
        <w:rPr>
          <w:rFonts w:ascii="Times New Roman" w:eastAsiaTheme="majorEastAsia" w:hAnsi="Times New Roman" w:cs="Times New Roman"/>
          <w:lang w:val="en-IN"/>
        </w:rPr>
      </w:pPr>
      <w:r>
        <w:rPr>
          <w:noProof/>
        </w:rPr>
        <w:drawing>
          <wp:inline distT="0" distB="0" distL="0" distR="0" wp14:anchorId="2A92C41D" wp14:editId="3713E845">
            <wp:extent cx="5313218" cy="318793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327967" cy="3196781"/>
                    </a:xfrm>
                    <a:prstGeom prst="rect">
                      <a:avLst/>
                    </a:prstGeom>
                  </pic:spPr>
                </pic:pic>
              </a:graphicData>
            </a:graphic>
          </wp:inline>
        </w:drawing>
      </w:r>
    </w:p>
    <w:p w14:paraId="7C5DCF60" w14:textId="3A091AA4" w:rsidR="009E068A" w:rsidRPr="005179D2" w:rsidRDefault="009E068A" w:rsidP="005179D2">
      <w:pPr>
        <w:jc w:val="both"/>
        <w:rPr>
          <w:rFonts w:ascii="Times New Roman" w:eastAsiaTheme="majorEastAsia" w:hAnsi="Times New Roman" w:cs="Times New Roman"/>
          <w:lang w:val="en-IN"/>
        </w:rPr>
      </w:pPr>
      <w:r>
        <w:rPr>
          <w:rFonts w:ascii="Times New Roman" w:eastAsiaTheme="majorEastAsia" w:hAnsi="Times New Roman" w:cs="Times New Roman"/>
          <w:lang w:val="en-IN"/>
        </w:rPr>
        <w:lastRenderedPageBreak/>
        <w:t>Fig. 2. Monthly Expenditure on vegetables (</w:t>
      </w:r>
      <w:r w:rsidRPr="009E068A">
        <w:rPr>
          <w:rFonts w:ascii="Times New Roman" w:eastAsiaTheme="majorEastAsia" w:hAnsi="Times New Roman" w:cs="Times New Roman"/>
          <w:lang w:val="en-IN"/>
        </w:rPr>
        <w:t>₹</w:t>
      </w:r>
      <w:r>
        <w:rPr>
          <w:rFonts w:ascii="Times New Roman" w:eastAsiaTheme="majorEastAsia" w:hAnsi="Times New Roman" w:cs="Times New Roman"/>
          <w:lang w:val="en-IN"/>
        </w:rPr>
        <w:t>/family)</w:t>
      </w:r>
    </w:p>
    <w:p w14:paraId="5E110822" w14:textId="7114E9A7" w:rsidR="005179D2" w:rsidRPr="005179D2" w:rsidRDefault="005179D2" w:rsidP="005179D2">
      <w:pPr>
        <w:numPr>
          <w:ilvl w:val="0"/>
          <w:numId w:val="9"/>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Consistent Financial Savings:</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Annual data shows that families saved between</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62% to 80%</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of their previous monthly expenditure on vegetables. The most significant savings were observed in 2022 and 2023, with an</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80% reduction</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each year.</w:t>
      </w:r>
    </w:p>
    <w:p w14:paraId="4E71E37B" w14:textId="1C3480B8" w:rsidR="005179D2" w:rsidRPr="005179D2" w:rsidRDefault="005179D2" w:rsidP="005179D2">
      <w:pPr>
        <w:numPr>
          <w:ilvl w:val="0"/>
          <w:numId w:val="9"/>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Major Economic Relief:</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The pooled data shows that the average monthly cash expenditure on vegetables plummeted from</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₹662 to ₹169, a net reduction of</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74%. This saving of approximately</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₹500 per month per household</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represents a significant reallocation of scarce financial resources towards other critical needs like education, healthcare, and debt repayment, enhancing the household's overall economic resilience.</w:t>
      </w:r>
    </w:p>
    <w:p w14:paraId="0230CB71" w14:textId="1D1AF909" w:rsidR="005179D2" w:rsidRPr="005179D2" w:rsidRDefault="005179D2" w:rsidP="005179D2">
      <w:pPr>
        <w:rPr>
          <w:rFonts w:ascii="Times New Roman" w:eastAsiaTheme="majorEastAsia" w:hAnsi="Times New Roman" w:cs="Times New Roman"/>
          <w:b/>
          <w:bCs/>
          <w:lang w:val="en-IN"/>
        </w:rPr>
      </w:pPr>
      <w:r w:rsidRPr="005179D2">
        <w:rPr>
          <w:rFonts w:ascii="Times New Roman" w:eastAsiaTheme="majorEastAsia" w:hAnsi="Times New Roman" w:cs="Times New Roman"/>
          <w:b/>
          <w:bCs/>
          <w:lang w:val="en-IN"/>
        </w:rPr>
        <w:t>3.</w:t>
      </w:r>
      <w:r w:rsidR="001D1D24">
        <w:rPr>
          <w:rFonts w:ascii="Times New Roman" w:eastAsiaTheme="majorEastAsia" w:hAnsi="Times New Roman" w:cs="Times New Roman"/>
          <w:b/>
          <w:bCs/>
          <w:lang w:val="en-IN"/>
        </w:rPr>
        <w:t>4</w:t>
      </w:r>
      <w:r w:rsidRPr="005179D2">
        <w:rPr>
          <w:rFonts w:ascii="Times New Roman" w:eastAsiaTheme="majorEastAsia" w:hAnsi="Times New Roman" w:cs="Times New Roman"/>
          <w:b/>
          <w:bCs/>
          <w:lang w:val="en-IN"/>
        </w:rPr>
        <w:t xml:space="preserve"> Qualitative and Socio-Economic Outcomes</w:t>
      </w:r>
    </w:p>
    <w:p w14:paraId="24F954CA" w14:textId="77777777" w:rsidR="005179D2" w:rsidRPr="005179D2" w:rsidRDefault="005179D2" w:rsidP="005179D2">
      <w:p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Beyond the numbers, the study documented transformative socio-economic benefits through field observations and interviews:</w:t>
      </w:r>
    </w:p>
    <w:p w14:paraId="0C369FB5" w14:textId="5F2F7769" w:rsidR="005179D2" w:rsidRPr="005179D2" w:rsidRDefault="005179D2" w:rsidP="005179D2">
      <w:pPr>
        <w:numPr>
          <w:ilvl w:val="0"/>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Enhanced Dietary Diversity:</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 xml:space="preserve">Families reported a shift from a limited vegetable palette to a diverse diet regularly featuring leafy greens (e.g., spinach, amaranth), legumes (e.g., cowpea, broad beans), cucurbits (e.g., bottle gourd, bitter gourd), and tubers (e.g., radish, carrot). This diversity is crucial for ensuring a wide range of micronutrients, vitamins, and dietary </w:t>
      </w:r>
      <w:proofErr w:type="spellStart"/>
      <w:r w:rsidRPr="005179D2">
        <w:rPr>
          <w:rFonts w:ascii="Times New Roman" w:eastAsiaTheme="majorEastAsia" w:hAnsi="Times New Roman" w:cs="Times New Roman"/>
          <w:lang w:val="en-IN"/>
        </w:rPr>
        <w:t>fiber</w:t>
      </w:r>
      <w:proofErr w:type="spellEnd"/>
      <w:r w:rsidRPr="005179D2">
        <w:rPr>
          <w:rFonts w:ascii="Times New Roman" w:eastAsiaTheme="majorEastAsia" w:hAnsi="Times New Roman" w:cs="Times New Roman"/>
          <w:lang w:val="en-IN"/>
        </w:rPr>
        <w:t>.</w:t>
      </w:r>
    </w:p>
    <w:p w14:paraId="26999076" w14:textId="77777777" w:rsidR="005179D2" w:rsidRPr="005179D2" w:rsidRDefault="005179D2" w:rsidP="005179D2">
      <w:pPr>
        <w:numPr>
          <w:ilvl w:val="0"/>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Empowerment of Women: Women were the primary managers of the NGs. This responsibility:</w:t>
      </w:r>
    </w:p>
    <w:p w14:paraId="6C47D110" w14:textId="77777777" w:rsidR="005179D2" w:rsidRPr="005179D2" w:rsidRDefault="005179D2" w:rsidP="005179D2">
      <w:pPr>
        <w:numPr>
          <w:ilvl w:val="1"/>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Enhanced their technical knowledge in sustainable agricultural practices.</w:t>
      </w:r>
    </w:p>
    <w:p w14:paraId="1A2C369F" w14:textId="453669AC" w:rsidR="005179D2" w:rsidRPr="005179D2" w:rsidRDefault="005179D2" w:rsidP="005179D2">
      <w:pPr>
        <w:numPr>
          <w:ilvl w:val="1"/>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Increased their confidence and decision-making agency</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within the household, particularly regarding food and nutrition.</w:t>
      </w:r>
    </w:p>
    <w:p w14:paraId="2D382324" w14:textId="77777777" w:rsidR="005179D2" w:rsidRPr="005179D2" w:rsidRDefault="005179D2" w:rsidP="005179D2">
      <w:pPr>
        <w:numPr>
          <w:ilvl w:val="1"/>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Provided a recognized contribution to the family's economic and nutritional well-being, elevating their social status.</w:t>
      </w:r>
    </w:p>
    <w:p w14:paraId="5DA8EA74" w14:textId="0EBCEBB7" w:rsidR="005179D2" w:rsidRPr="005179D2" w:rsidRDefault="005179D2" w:rsidP="005179D2">
      <w:pPr>
        <w:numPr>
          <w:ilvl w:val="0"/>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Community Adoption (Spillover Effect): The visible success of the demonstration gardens motivated</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non-beneficiary neighbours to establish their own gardens. This organic, community-led replication indicates a strong spillover effect and the high acceptability of the intervention.</w:t>
      </w:r>
    </w:p>
    <w:p w14:paraId="34373DD5" w14:textId="759905B2" w:rsidR="005179D2" w:rsidRPr="005179D2" w:rsidRDefault="005179D2" w:rsidP="005179D2">
      <w:pPr>
        <w:numPr>
          <w:ilvl w:val="0"/>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Resilience to External Shocks:</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The</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COVID-19 pandemic lockdowns</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served as a real-time test of the gardens' value. During this period of severe market disruption and inaccessibility, households with NGs maintained a</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continuous supply of fresh, nutritious vegetables, insulating them from food shortages and price spikes. This highlighted the role of NGs as a crucial buffer against systemic shocks.</w:t>
      </w:r>
    </w:p>
    <w:p w14:paraId="31DE7F76" w14:textId="77777777" w:rsidR="0084693C" w:rsidRDefault="0084693C" w:rsidP="0084693C">
      <w:pPr>
        <w:pStyle w:val="ListParagraph"/>
        <w:rPr>
          <w:noProof/>
        </w:rPr>
      </w:pPr>
      <w:bookmarkStart w:id="7" w:name="Xb8420acc8494b99b6d296a943b3a1a3e81fe06e"/>
      <w:r>
        <w:rPr>
          <w:noProof/>
        </w:rPr>
        <w:lastRenderedPageBreak/>
        <w:drawing>
          <wp:inline distT="0" distB="0" distL="0" distR="0" wp14:anchorId="49B2A420" wp14:editId="654F3EDB">
            <wp:extent cx="5943600" cy="2743200"/>
            <wp:effectExtent l="0" t="0" r="0" b="0"/>
            <wp:docPr id="1660689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3FCC905C" w14:textId="77777777" w:rsidR="0084693C" w:rsidRDefault="0084693C" w:rsidP="0084693C">
      <w:pPr>
        <w:pStyle w:val="ListParagraph"/>
        <w:rPr>
          <w:noProof/>
        </w:rPr>
      </w:pPr>
      <w:r>
        <w:rPr>
          <w:noProof/>
        </w:rPr>
        <w:drawing>
          <wp:inline distT="0" distB="0" distL="0" distR="0" wp14:anchorId="2C2B5298" wp14:editId="150C4E70">
            <wp:extent cx="5943600" cy="3609975"/>
            <wp:effectExtent l="0" t="0" r="0" b="0"/>
            <wp:docPr id="162348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017"/>
                    <a:stretch>
                      <a:fillRect/>
                    </a:stretch>
                  </pic:blipFill>
                  <pic:spPr bwMode="auto">
                    <a:xfrm>
                      <a:off x="0" y="0"/>
                      <a:ext cx="594360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25CADFA2" w14:textId="77777777" w:rsidR="0084693C" w:rsidRDefault="0084693C" w:rsidP="0084693C">
      <w:pPr>
        <w:pStyle w:val="ListParagraph"/>
        <w:rPr>
          <w:noProof/>
        </w:rPr>
      </w:pPr>
    </w:p>
    <w:p w14:paraId="72F204E4" w14:textId="77777777" w:rsidR="0084693C" w:rsidRPr="0084693C" w:rsidRDefault="0084693C" w:rsidP="0084693C">
      <w:pPr>
        <w:pStyle w:val="ListParagraph"/>
        <w:rPr>
          <w:rFonts w:ascii="Times New Roman" w:hAnsi="Times New Roman" w:cs="Times New Roman"/>
          <w:b/>
          <w:bCs/>
          <w:sz w:val="28"/>
          <w:szCs w:val="28"/>
        </w:rPr>
      </w:pPr>
      <w:bookmarkStart w:id="8" w:name="_GoBack"/>
      <w:bookmarkEnd w:id="8"/>
      <w:r w:rsidRPr="0084693C">
        <w:rPr>
          <w:rFonts w:ascii="Times New Roman" w:hAnsi="Times New Roman" w:cs="Times New Roman"/>
          <w:b/>
          <w:bCs/>
          <w:sz w:val="28"/>
          <w:szCs w:val="28"/>
        </w:rPr>
        <w:t>Fig.3 Nutritional Garden model established</w:t>
      </w:r>
    </w:p>
    <w:bookmarkEnd w:id="7"/>
    <w:p w14:paraId="420E54A0" w14:textId="5CD9CEE5" w:rsidR="000F1387" w:rsidRPr="00895790" w:rsidRDefault="000F1387">
      <w:pPr>
        <w:rPr>
          <w:rFonts w:ascii="Times New Roman" w:hAnsi="Times New Roman" w:cs="Times New Roman"/>
        </w:rPr>
      </w:pPr>
    </w:p>
    <w:p w14:paraId="3AD15E42" w14:textId="77777777" w:rsidR="000F1387" w:rsidRPr="009D3F99" w:rsidRDefault="00FB74C6">
      <w:pPr>
        <w:pStyle w:val="Heading2"/>
        <w:rPr>
          <w:rFonts w:ascii="Times New Roman" w:hAnsi="Times New Roman" w:cs="Times New Roman"/>
          <w:b/>
          <w:bCs/>
          <w:color w:val="auto"/>
          <w:sz w:val="28"/>
          <w:szCs w:val="28"/>
        </w:rPr>
      </w:pPr>
      <w:bookmarkStart w:id="9" w:name="discussion"/>
      <w:bookmarkEnd w:id="5"/>
      <w:bookmarkEnd w:id="6"/>
      <w:r w:rsidRPr="009D3F99">
        <w:rPr>
          <w:rFonts w:ascii="Times New Roman" w:hAnsi="Times New Roman" w:cs="Times New Roman"/>
          <w:b/>
          <w:bCs/>
          <w:color w:val="auto"/>
          <w:sz w:val="28"/>
          <w:szCs w:val="28"/>
        </w:rPr>
        <w:t>4. Discussion</w:t>
      </w:r>
    </w:p>
    <w:p w14:paraId="51AC3594" w14:textId="7F85AD3C" w:rsidR="00F966D7" w:rsidRPr="00DB4F8B" w:rsidRDefault="00F966D7" w:rsidP="00DB4F8B">
      <w:pPr>
        <w:pStyle w:val="BodyText"/>
        <w:jc w:val="both"/>
        <w:rPr>
          <w:rFonts w:ascii="Times New Roman" w:hAnsi="Times New Roman" w:cs="Times New Roman"/>
          <w:lang w:val="en-IN"/>
        </w:rPr>
      </w:pPr>
      <w:r w:rsidRPr="00DB4F8B">
        <w:rPr>
          <w:rFonts w:ascii="Times New Roman" w:hAnsi="Times New Roman" w:cs="Times New Roman"/>
          <w:lang w:val="en-IN"/>
        </w:rPr>
        <w:t>This five-year study provides compelling, longitudinal evidence for the transformative potential of nutritional gardens in addressing food and nutritional insecurity in rural India.</w:t>
      </w:r>
      <w:r w:rsidR="00B033EC">
        <w:rPr>
          <w:rFonts w:ascii="Times New Roman" w:hAnsi="Times New Roman" w:cs="Times New Roman"/>
          <w:lang w:val="en-IN"/>
        </w:rPr>
        <w:t xml:space="preserve"> </w:t>
      </w:r>
      <w:r w:rsidRPr="00DB4F8B">
        <w:rPr>
          <w:rFonts w:ascii="Times New Roman" w:hAnsi="Times New Roman" w:cs="Times New Roman"/>
          <w:lang w:val="en-IN"/>
        </w:rPr>
        <w:t>The results unequivocally show that NGs are not a short-term fix but a sustainable strategy for significantly enhancing household-level vegetable availability and consumption.</w:t>
      </w:r>
      <w:r w:rsidR="00B033EC">
        <w:rPr>
          <w:rFonts w:ascii="Times New Roman" w:hAnsi="Times New Roman" w:cs="Times New Roman"/>
          <w:lang w:val="en-IN"/>
        </w:rPr>
        <w:t xml:space="preserve"> </w:t>
      </w:r>
      <w:r w:rsidRPr="00DB4F8B">
        <w:rPr>
          <w:rFonts w:ascii="Times New Roman" w:hAnsi="Times New Roman" w:cs="Times New Roman"/>
          <w:lang w:val="en-IN"/>
        </w:rPr>
        <w:t xml:space="preserve">The observed 136% increase </w:t>
      </w:r>
      <w:r w:rsidRPr="00DB4F8B">
        <w:rPr>
          <w:rFonts w:ascii="Times New Roman" w:hAnsi="Times New Roman" w:cs="Times New Roman"/>
          <w:lang w:val="en-IN"/>
        </w:rPr>
        <w:lastRenderedPageBreak/>
        <w:t>in consumption directly addresses the critical gap between recommended and actual vegetable intake, thereby mitigating micronutrient deficiencies</w:t>
      </w:r>
      <w:r w:rsidR="00B033EC">
        <w:rPr>
          <w:rFonts w:ascii="Times New Roman" w:hAnsi="Times New Roman" w:cs="Times New Roman"/>
          <w:lang w:val="en-IN"/>
        </w:rPr>
        <w:t xml:space="preserve"> </w:t>
      </w:r>
      <w:r w:rsidRPr="00DB4F8B">
        <w:rPr>
          <w:rFonts w:ascii="Times New Roman" w:hAnsi="Times New Roman" w:cs="Times New Roman"/>
          <w:lang w:val="en-IN"/>
        </w:rPr>
        <w:t>as demonstrated in earlier studies</w:t>
      </w:r>
      <w:r w:rsidR="00B033EC">
        <w:rPr>
          <w:rFonts w:ascii="Times New Roman" w:hAnsi="Times New Roman" w:cs="Times New Roman"/>
          <w:lang w:val="en-IN"/>
        </w:rPr>
        <w:t xml:space="preserve"> </w:t>
      </w:r>
      <w:r w:rsidRPr="00DB4F8B">
        <w:rPr>
          <w:rFonts w:ascii="Times New Roman" w:hAnsi="Times New Roman" w:cs="Times New Roman"/>
          <w:lang w:val="en-IN"/>
        </w:rPr>
        <w:t xml:space="preserve">(Choudhary </w:t>
      </w:r>
      <w:r w:rsidRPr="00DB4F8B">
        <w:rPr>
          <w:rFonts w:ascii="Times New Roman" w:hAnsi="Times New Roman" w:cs="Times New Roman"/>
          <w:i/>
          <w:iCs/>
          <w:lang w:val="en-IN"/>
        </w:rPr>
        <w:t>et al</w:t>
      </w:r>
      <w:r w:rsidRPr="00DB4F8B">
        <w:rPr>
          <w:rFonts w:ascii="Times New Roman" w:hAnsi="Times New Roman" w:cs="Times New Roman"/>
          <w:lang w:val="en-IN"/>
        </w:rPr>
        <w:t xml:space="preserve">., 2021; </w:t>
      </w:r>
      <w:r w:rsidR="00F94DCE" w:rsidRPr="00F94DCE">
        <w:rPr>
          <w:rFonts w:ascii="Times New Roman" w:hAnsi="Times New Roman" w:cs="Times New Roman"/>
        </w:rPr>
        <w:t>Kaur, S. 2023</w:t>
      </w:r>
      <w:r w:rsidRPr="00DB4F8B">
        <w:rPr>
          <w:rFonts w:ascii="Times New Roman" w:hAnsi="Times New Roman" w:cs="Times New Roman"/>
          <w:lang w:val="en-IN"/>
        </w:rPr>
        <w:t>).</w:t>
      </w:r>
      <w:r w:rsidR="00DB4F8B">
        <w:rPr>
          <w:rFonts w:ascii="Times New Roman" w:hAnsi="Times New Roman" w:cs="Times New Roman"/>
          <w:lang w:val="en-IN"/>
        </w:rPr>
        <w:t xml:space="preserve"> </w:t>
      </w:r>
      <w:r w:rsidRPr="00DB4F8B">
        <w:rPr>
          <w:rFonts w:ascii="Times New Roman" w:hAnsi="Times New Roman" w:cs="Times New Roman"/>
          <w:lang w:val="en-IN"/>
        </w:rPr>
        <w:t>The economic impact is equally profound.</w:t>
      </w:r>
      <w:r w:rsidR="00B033EC">
        <w:rPr>
          <w:rFonts w:ascii="Times New Roman" w:hAnsi="Times New Roman" w:cs="Times New Roman"/>
          <w:lang w:val="en-IN"/>
        </w:rPr>
        <w:t xml:space="preserve"> </w:t>
      </w:r>
      <w:r w:rsidRPr="00DB4F8B">
        <w:rPr>
          <w:rFonts w:ascii="Times New Roman" w:hAnsi="Times New Roman" w:cs="Times New Roman"/>
          <w:lang w:val="en-IN"/>
        </w:rPr>
        <w:t>The 74% reduction in monthly expenditure on vegetables frees up scarce financial resources for other essential household needs, such as education, healthcare, and investment in income-generating activities, thereby strengthening overall economic resilience and reducing vulnerability to poverty</w:t>
      </w:r>
      <w:r w:rsidR="00B033EC">
        <w:rPr>
          <w:rFonts w:ascii="Times New Roman" w:hAnsi="Times New Roman" w:cs="Times New Roman"/>
          <w:lang w:val="en-IN"/>
        </w:rPr>
        <w:t xml:space="preserve"> </w:t>
      </w:r>
      <w:r w:rsidR="00FE11C0">
        <w:rPr>
          <w:rFonts w:ascii="Times New Roman" w:hAnsi="Times New Roman" w:cs="Times New Roman"/>
          <w:lang w:val="en-IN"/>
        </w:rPr>
        <w:t>(</w:t>
      </w:r>
      <w:r w:rsidR="00FE11C0" w:rsidRPr="00FE11C0">
        <w:rPr>
          <w:rFonts w:ascii="Times New Roman" w:hAnsi="Times New Roman" w:cs="Times New Roman"/>
        </w:rPr>
        <w:t>Chakraborty, S., &amp; Basu, D. 2018).</w:t>
      </w:r>
    </w:p>
    <w:p w14:paraId="56905C9C" w14:textId="1C61E971" w:rsidR="00F966D7" w:rsidRPr="00DB4F8B" w:rsidRDefault="00F966D7" w:rsidP="00DB4F8B">
      <w:pPr>
        <w:pStyle w:val="BodyText"/>
        <w:jc w:val="both"/>
        <w:rPr>
          <w:rFonts w:ascii="Times New Roman" w:hAnsi="Times New Roman" w:cs="Times New Roman"/>
          <w:lang w:val="en-IN"/>
        </w:rPr>
      </w:pPr>
      <w:r w:rsidRPr="00DB4F8B">
        <w:rPr>
          <w:rFonts w:ascii="Times New Roman" w:hAnsi="Times New Roman" w:cs="Times New Roman"/>
          <w:lang w:val="en-IN"/>
        </w:rPr>
        <w:t>The pivotal role of women, as highlighted in our qualitative findings, is a cornerstone of this intervention's success.</w:t>
      </w:r>
      <w:r w:rsidR="00B033EC">
        <w:rPr>
          <w:rFonts w:ascii="Times New Roman" w:hAnsi="Times New Roman" w:cs="Times New Roman"/>
          <w:lang w:val="en-IN"/>
        </w:rPr>
        <w:t xml:space="preserve"> </w:t>
      </w:r>
      <w:r w:rsidRPr="00DB4F8B">
        <w:rPr>
          <w:rFonts w:ascii="Times New Roman" w:hAnsi="Times New Roman" w:cs="Times New Roman"/>
          <w:lang w:val="en-IN"/>
        </w:rPr>
        <w:t>By centralizing women in the management of NGs, the program facilitated not only improved nutrition but also advanced women's agency, skills, and status within the household and community. This aligns with the established understanding that empowering women in agriculture is one of the most effective strategies for improving household food security and nutritional outcomes</w:t>
      </w:r>
      <w:r w:rsidR="00B033EC">
        <w:rPr>
          <w:rFonts w:ascii="Times New Roman" w:hAnsi="Times New Roman" w:cs="Times New Roman"/>
          <w:lang w:val="en-IN"/>
        </w:rPr>
        <w:t xml:space="preserve"> </w:t>
      </w:r>
      <w:r w:rsidRPr="00DB4F8B">
        <w:rPr>
          <w:rFonts w:ascii="Times New Roman" w:hAnsi="Times New Roman" w:cs="Times New Roman"/>
          <w:lang w:val="en-IN"/>
        </w:rPr>
        <w:t>(Swaminathan, 20</w:t>
      </w:r>
      <w:r w:rsidR="004745BC">
        <w:rPr>
          <w:rFonts w:ascii="Times New Roman" w:hAnsi="Times New Roman" w:cs="Times New Roman"/>
          <w:lang w:val="en-IN"/>
        </w:rPr>
        <w:t>10</w:t>
      </w:r>
      <w:r w:rsidRPr="00DB4F8B">
        <w:rPr>
          <w:rFonts w:ascii="Times New Roman" w:hAnsi="Times New Roman" w:cs="Times New Roman"/>
          <w:lang w:val="en-IN"/>
        </w:rPr>
        <w:t>).</w:t>
      </w:r>
    </w:p>
    <w:p w14:paraId="329C3C75" w14:textId="23347DA6" w:rsidR="000F1387" w:rsidRPr="00DB4F8B" w:rsidRDefault="00F966D7" w:rsidP="00DB4F8B">
      <w:pPr>
        <w:pStyle w:val="BodyText"/>
        <w:jc w:val="both"/>
        <w:rPr>
          <w:rFonts w:ascii="Times New Roman" w:hAnsi="Times New Roman" w:cs="Times New Roman"/>
          <w:lang w:val="en-IN"/>
        </w:rPr>
      </w:pPr>
      <w:r w:rsidRPr="00DB4F8B">
        <w:rPr>
          <w:rFonts w:ascii="Times New Roman" w:hAnsi="Times New Roman" w:cs="Times New Roman"/>
          <w:lang w:val="en-IN"/>
        </w:rPr>
        <w:t>The strengths of this study include its long-term, field-based nature across diverse villages, the combination of robust quantitative data with rich qualitative insights, and the demonstration of the intervention's sustainability over a five-year period.</w:t>
      </w:r>
      <w:r w:rsidR="00B033EC">
        <w:rPr>
          <w:rFonts w:ascii="Times New Roman" w:hAnsi="Times New Roman" w:cs="Times New Roman"/>
          <w:lang w:val="en-IN"/>
        </w:rPr>
        <w:t xml:space="preserve"> </w:t>
      </w:r>
      <w:r w:rsidRPr="00DB4F8B">
        <w:rPr>
          <w:rFonts w:ascii="Times New Roman" w:hAnsi="Times New Roman" w:cs="Times New Roman"/>
          <w:lang w:val="en-IN"/>
        </w:rPr>
        <w:t>The consistent positive trends across years, even amidst the pandemic, underscore the reliability and resilience of the NG model.</w:t>
      </w:r>
      <w:r w:rsidR="00DB4F8B">
        <w:rPr>
          <w:rFonts w:ascii="Times New Roman" w:hAnsi="Times New Roman" w:cs="Times New Roman"/>
          <w:lang w:val="en-IN"/>
        </w:rPr>
        <w:t xml:space="preserve"> </w:t>
      </w:r>
      <w:r w:rsidRPr="00DB4F8B">
        <w:rPr>
          <w:rFonts w:ascii="Times New Roman" w:hAnsi="Times New Roman" w:cs="Times New Roman"/>
          <w:lang w:val="en-IN"/>
        </w:rPr>
        <w:t>A potential limitation is the use of a purposive sampling method,</w:t>
      </w:r>
      <w:r w:rsidR="00B033EC">
        <w:rPr>
          <w:rFonts w:ascii="Times New Roman" w:hAnsi="Times New Roman" w:cs="Times New Roman"/>
          <w:lang w:val="en-IN"/>
        </w:rPr>
        <w:t xml:space="preserve"> </w:t>
      </w:r>
      <w:r w:rsidRPr="00DB4F8B">
        <w:rPr>
          <w:rFonts w:ascii="Times New Roman" w:hAnsi="Times New Roman" w:cs="Times New Roman"/>
          <w:lang w:val="en-IN"/>
        </w:rPr>
        <w:t>which may affect the generalizability of the findings. Future research could employ randomized control trials (RCTs) across broader geographical areas to strengthen the evidence base.</w:t>
      </w:r>
    </w:p>
    <w:p w14:paraId="6BDF5C57" w14:textId="2AE31D6E" w:rsidR="000F1387" w:rsidRPr="00895790" w:rsidRDefault="000F1387">
      <w:pPr>
        <w:rPr>
          <w:rFonts w:ascii="Times New Roman" w:hAnsi="Times New Roman" w:cs="Times New Roman"/>
        </w:rPr>
      </w:pPr>
    </w:p>
    <w:p w14:paraId="72E65B35" w14:textId="77777777" w:rsidR="000F1387" w:rsidRPr="00585BF4" w:rsidRDefault="00FB74C6">
      <w:pPr>
        <w:pStyle w:val="Heading2"/>
        <w:rPr>
          <w:rFonts w:ascii="Times New Roman" w:hAnsi="Times New Roman" w:cs="Times New Roman"/>
          <w:b/>
          <w:bCs/>
          <w:color w:val="auto"/>
        </w:rPr>
      </w:pPr>
      <w:bookmarkStart w:id="10" w:name="conclusions-and-recommendations"/>
      <w:bookmarkEnd w:id="9"/>
      <w:r w:rsidRPr="009D3F99">
        <w:rPr>
          <w:rFonts w:ascii="Times New Roman" w:hAnsi="Times New Roman" w:cs="Times New Roman"/>
          <w:b/>
          <w:bCs/>
          <w:color w:val="auto"/>
          <w:sz w:val="28"/>
          <w:szCs w:val="28"/>
        </w:rPr>
        <w:t>5. Conclusions and Recommendations</w:t>
      </w:r>
    </w:p>
    <w:p w14:paraId="5ED4CEE5" w14:textId="1F301504" w:rsidR="00260879" w:rsidRDefault="00FB74C6" w:rsidP="00585BF4">
      <w:pPr>
        <w:pStyle w:val="FirstParagraph"/>
        <w:jc w:val="both"/>
        <w:rPr>
          <w:rFonts w:ascii="Times New Roman" w:hAnsi="Times New Roman" w:cs="Times New Roman"/>
        </w:rPr>
      </w:pPr>
      <w:r w:rsidRPr="00895790">
        <w:rPr>
          <w:rFonts w:ascii="Times New Roman" w:hAnsi="Times New Roman" w:cs="Times New Roman"/>
        </w:rPr>
        <w:t>Nutritional gardens are a proven, sustainable strategy to improve household food security in rural areas</w:t>
      </w:r>
      <w:r w:rsidR="00260879">
        <w:rPr>
          <w:rFonts w:ascii="Times New Roman" w:hAnsi="Times New Roman" w:cs="Times New Roman"/>
        </w:rPr>
        <w:t>,</w:t>
      </w:r>
      <w:r w:rsidRPr="00895790">
        <w:rPr>
          <w:rFonts w:ascii="Times New Roman" w:hAnsi="Times New Roman" w:cs="Times New Roman"/>
        </w:rPr>
        <w:t xml:space="preserve"> They: </w:t>
      </w:r>
    </w:p>
    <w:p w14:paraId="7DFCC04D" w14:textId="4384F5C1" w:rsidR="00260879" w:rsidRDefault="00FB74C6" w:rsidP="00585BF4">
      <w:pPr>
        <w:pStyle w:val="FirstParagraph"/>
        <w:jc w:val="both"/>
        <w:rPr>
          <w:rFonts w:ascii="Times New Roman" w:hAnsi="Times New Roman" w:cs="Times New Roman"/>
        </w:rPr>
      </w:pPr>
      <w:r w:rsidRPr="00895790">
        <w:rPr>
          <w:rFonts w:ascii="Times New Roman" w:hAnsi="Times New Roman" w:cs="Times New Roman"/>
        </w:rPr>
        <w:t xml:space="preserve">1. Enhance daily vegetable consumption (+136% over five years). </w:t>
      </w:r>
    </w:p>
    <w:p w14:paraId="59EF11A6" w14:textId="77777777" w:rsidR="00260879" w:rsidRDefault="00FB74C6" w:rsidP="00585BF4">
      <w:pPr>
        <w:pStyle w:val="FirstParagraph"/>
        <w:jc w:val="both"/>
        <w:rPr>
          <w:rFonts w:ascii="Times New Roman" w:hAnsi="Times New Roman" w:cs="Times New Roman"/>
        </w:rPr>
      </w:pPr>
      <w:r w:rsidRPr="00895790">
        <w:rPr>
          <w:rFonts w:ascii="Times New Roman" w:hAnsi="Times New Roman" w:cs="Times New Roman"/>
        </w:rPr>
        <w:t xml:space="preserve">2. Reduce household expenditure on vegetables (−74%). </w:t>
      </w:r>
    </w:p>
    <w:p w14:paraId="0A45E5C9" w14:textId="646A37E4" w:rsidR="000F1387" w:rsidRPr="00895790" w:rsidRDefault="00FB74C6" w:rsidP="00585BF4">
      <w:pPr>
        <w:pStyle w:val="FirstParagraph"/>
        <w:jc w:val="both"/>
        <w:rPr>
          <w:rFonts w:ascii="Times New Roman" w:hAnsi="Times New Roman" w:cs="Times New Roman"/>
        </w:rPr>
      </w:pPr>
      <w:r w:rsidRPr="00895790">
        <w:rPr>
          <w:rFonts w:ascii="Times New Roman" w:hAnsi="Times New Roman" w:cs="Times New Roman"/>
        </w:rPr>
        <w:t>3. Empower women and strengthen community resilience.</w:t>
      </w:r>
    </w:p>
    <w:p w14:paraId="368D084B" w14:textId="2CE78740" w:rsidR="000F1387" w:rsidRPr="00895790" w:rsidRDefault="00FB74C6" w:rsidP="00585BF4">
      <w:pPr>
        <w:pStyle w:val="BodyText"/>
        <w:jc w:val="both"/>
        <w:rPr>
          <w:rFonts w:ascii="Times New Roman" w:hAnsi="Times New Roman" w:cs="Times New Roman"/>
        </w:rPr>
      </w:pPr>
      <w:r w:rsidRPr="00895790">
        <w:rPr>
          <w:rFonts w:ascii="Times New Roman" w:hAnsi="Times New Roman" w:cs="Times New Roman"/>
        </w:rPr>
        <w:t>Expand NG promotion through KVKs, self-help groups, and schools. - Provide continuous technical support and seed kits to ensure sustainability. - Integrate NGs into government nutrition and livelihood programs. - Conduct broader impact evaluations at regional and state levels.</w:t>
      </w:r>
    </w:p>
    <w:p w14:paraId="5B83E888" w14:textId="65ECD090" w:rsidR="000F1387" w:rsidRPr="00895790" w:rsidRDefault="000F1387">
      <w:pPr>
        <w:rPr>
          <w:rFonts w:ascii="Times New Roman" w:hAnsi="Times New Roman" w:cs="Times New Roman"/>
        </w:rPr>
      </w:pPr>
    </w:p>
    <w:p w14:paraId="51B0CE11" w14:textId="3EF7A7DC" w:rsidR="004B680E" w:rsidRDefault="004B680E">
      <w:pPr>
        <w:rPr>
          <w:rFonts w:ascii="Times New Roman" w:hAnsi="Times New Roman" w:cs="Times New Roman"/>
        </w:rPr>
      </w:pPr>
      <w:bookmarkStart w:id="11" w:name="conflict-of-interest"/>
      <w:bookmarkEnd w:id="10"/>
      <w:r>
        <w:rPr>
          <w:rFonts w:ascii="Times New Roman" w:hAnsi="Times New Roman" w:cs="Times New Roman"/>
        </w:rPr>
        <w:br w:type="page"/>
      </w:r>
    </w:p>
    <w:p w14:paraId="3DEF853A" w14:textId="77777777" w:rsidR="00585BF4" w:rsidRPr="00895790" w:rsidRDefault="00585BF4">
      <w:pPr>
        <w:rPr>
          <w:rFonts w:ascii="Times New Roman" w:hAnsi="Times New Roman" w:cs="Times New Roman"/>
        </w:rPr>
      </w:pPr>
    </w:p>
    <w:p w14:paraId="62E31345" w14:textId="77777777" w:rsidR="00A20A04" w:rsidRPr="0084693C" w:rsidRDefault="00A20A04" w:rsidP="00A20A04">
      <w:pPr>
        <w:rPr>
          <w:b/>
          <w:highlight w:val="yellow"/>
        </w:rPr>
      </w:pPr>
      <w:bookmarkStart w:id="12" w:name="annex-supplementary"/>
      <w:bookmarkEnd w:id="11"/>
      <w:r w:rsidRPr="0084693C">
        <w:rPr>
          <w:b/>
          <w:highlight w:val="yellow"/>
        </w:rPr>
        <w:t>Disclaimer (Artificial intelligence)</w:t>
      </w:r>
    </w:p>
    <w:p w14:paraId="3C67283E" w14:textId="77777777" w:rsidR="00A20A04" w:rsidRPr="00740879" w:rsidRDefault="00A20A04" w:rsidP="00A20A04">
      <w:pPr>
        <w:rPr>
          <w:highlight w:val="yellow"/>
        </w:rPr>
      </w:pPr>
      <w:r w:rsidRPr="00740879">
        <w:rPr>
          <w:highlight w:val="yellow"/>
        </w:rPr>
        <w:t xml:space="preserve">Option 1: </w:t>
      </w:r>
    </w:p>
    <w:p w14:paraId="5C7F94C2" w14:textId="77777777" w:rsidR="00A20A04" w:rsidRPr="00740879" w:rsidRDefault="00A20A04" w:rsidP="00A20A04">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738DB79" w14:textId="77777777" w:rsidR="00F5192A" w:rsidRDefault="00F5192A" w:rsidP="009D6A58">
      <w:pPr>
        <w:pStyle w:val="Heading3"/>
        <w:rPr>
          <w:rFonts w:ascii="Times New Roman" w:hAnsi="Times New Roman" w:cs="Times New Roman"/>
          <w:b/>
          <w:bCs/>
          <w:color w:val="auto"/>
        </w:rPr>
      </w:pPr>
    </w:p>
    <w:p w14:paraId="7BB1C6FB" w14:textId="000BFEC1" w:rsidR="009D6A58" w:rsidRPr="009D3F99" w:rsidRDefault="009D6A58" w:rsidP="009D6A58">
      <w:pPr>
        <w:pStyle w:val="Heading3"/>
        <w:rPr>
          <w:rFonts w:ascii="Times New Roman" w:hAnsi="Times New Roman" w:cs="Times New Roman"/>
          <w:b/>
          <w:bCs/>
          <w:color w:val="auto"/>
        </w:rPr>
      </w:pPr>
      <w:r w:rsidRPr="009D3F99">
        <w:rPr>
          <w:rFonts w:ascii="Times New Roman" w:hAnsi="Times New Roman" w:cs="Times New Roman"/>
          <w:b/>
          <w:bCs/>
          <w:color w:val="auto"/>
        </w:rPr>
        <w:t>References</w:t>
      </w:r>
    </w:p>
    <w:p w14:paraId="3218C30C" w14:textId="77777777" w:rsidR="00F94DCE" w:rsidRPr="009D6A58" w:rsidRDefault="00F94DCE" w:rsidP="00F94DCE">
      <w:pPr>
        <w:pStyle w:val="NormalWeb"/>
        <w:ind w:left="1985" w:hanging="1265"/>
        <w:jc w:val="both"/>
      </w:pPr>
      <w:bookmarkStart w:id="13" w:name="_Hlk209694494"/>
      <w:r w:rsidRPr="009D6A58">
        <w:t xml:space="preserve">AICRP–Home Science (FRM). (2020). </w:t>
      </w:r>
      <w:r w:rsidRPr="009D6A58">
        <w:rPr>
          <w:rStyle w:val="Emphasis"/>
        </w:rPr>
        <w:t>Annual Report of All India Coordinated Research Project on Home Science: Family Resource Management</w:t>
      </w:r>
      <w:r w:rsidRPr="009D6A58">
        <w:t>. VNMKV Parbhani, Maharashtra, India.</w:t>
      </w:r>
    </w:p>
    <w:p w14:paraId="0F62AE3C" w14:textId="57C2E746" w:rsidR="00F94DCE" w:rsidRDefault="00F94DCE" w:rsidP="00F94DCE">
      <w:pPr>
        <w:pStyle w:val="NormalWeb"/>
        <w:ind w:left="1985" w:hanging="1265"/>
        <w:jc w:val="both"/>
      </w:pPr>
      <w:r w:rsidRPr="00F94DCE">
        <w:rPr>
          <w:lang w:val="en-US"/>
        </w:rPr>
        <w:t xml:space="preserve">Kaur, S. (2023). </w:t>
      </w:r>
      <w:bookmarkEnd w:id="13"/>
      <w:r w:rsidRPr="00F94DCE">
        <w:rPr>
          <w:lang w:val="en-US"/>
        </w:rPr>
        <w:t>Barriers to consumption of fruits and vegetables and strategies to overcome them in low-and middle-income countries: a narrative review. </w:t>
      </w:r>
      <w:r w:rsidRPr="00F94DCE">
        <w:rPr>
          <w:i/>
          <w:iCs/>
          <w:lang w:val="en-US"/>
        </w:rPr>
        <w:t>Nutrition Research Reviews</w:t>
      </w:r>
      <w:r w:rsidRPr="00F94DCE">
        <w:rPr>
          <w:lang w:val="en-US"/>
        </w:rPr>
        <w:t>, </w:t>
      </w:r>
      <w:r w:rsidRPr="00F94DCE">
        <w:rPr>
          <w:i/>
          <w:iCs/>
          <w:lang w:val="en-US"/>
        </w:rPr>
        <w:t>36</w:t>
      </w:r>
      <w:r w:rsidRPr="00F94DCE">
        <w:rPr>
          <w:lang w:val="en-US"/>
        </w:rPr>
        <w:t>(2), 420-447.</w:t>
      </w:r>
      <w:r w:rsidR="00DB4F8B" w:rsidRPr="00DB4F8B">
        <w:t>Choudhary, M., Singh, S. P., &amp; Patel, C. R. (2021). Nutritional Garden: A Nutrition Sensitive Promising Approach towards Improving Nutritional Security in Farm Households. </w:t>
      </w:r>
      <w:r w:rsidR="00DB4F8B" w:rsidRPr="00DB4F8B">
        <w:rPr>
          <w:i/>
          <w:iCs/>
        </w:rPr>
        <w:t>International Journal of Current Microbiology and Applied Sciences</w:t>
      </w:r>
      <w:r w:rsidR="00DB4F8B" w:rsidRPr="00DB4F8B">
        <w:t>, 10(02), 981-994.</w:t>
      </w:r>
    </w:p>
    <w:p w14:paraId="4CD59D18" w14:textId="0855969D" w:rsidR="00F94DCE" w:rsidRPr="00DB4F8B" w:rsidRDefault="00F94DCE" w:rsidP="00F94DCE">
      <w:pPr>
        <w:pStyle w:val="NormalWeb"/>
        <w:ind w:left="1985" w:hanging="1265"/>
        <w:jc w:val="both"/>
      </w:pPr>
      <w:r w:rsidRPr="00DB4F8B">
        <w:t>Choudhary, M., Singh, S. P., &amp; Patel, C. R. (2021). Nutritional Garden: A Nutrition Sensitive Promising Approach towards Improving Nutritional Security in Farm Households. </w:t>
      </w:r>
      <w:r w:rsidRPr="00DB4F8B">
        <w:rPr>
          <w:i/>
          <w:iCs/>
        </w:rPr>
        <w:t>International Journal of Current Microbiology and Applied Sciences</w:t>
      </w:r>
      <w:r w:rsidRPr="00DB4F8B">
        <w:t>, 10(02), 981-994.</w:t>
      </w:r>
    </w:p>
    <w:p w14:paraId="69CCF48C" w14:textId="77777777" w:rsidR="009D6A58" w:rsidRPr="009D6A58" w:rsidRDefault="009D6A58" w:rsidP="009D6A58">
      <w:pPr>
        <w:pStyle w:val="NormalWeb"/>
        <w:ind w:left="1985" w:hanging="1265"/>
        <w:jc w:val="both"/>
      </w:pPr>
      <w:r w:rsidRPr="009D6A58">
        <w:t xml:space="preserve">FAO. (2016). </w:t>
      </w:r>
      <w:r w:rsidRPr="009D6A58">
        <w:rPr>
          <w:rStyle w:val="Emphasis"/>
        </w:rPr>
        <w:t>Home gardens for improved food security and livelihoods</w:t>
      </w:r>
      <w:r w:rsidRPr="009D6A58">
        <w:t>. Food and Agriculture Organization of the United Nations, Rome.</w:t>
      </w:r>
    </w:p>
    <w:p w14:paraId="6E68A99D" w14:textId="3DEDC031" w:rsidR="009D6A58" w:rsidRPr="009D6A58" w:rsidRDefault="00FE11C0" w:rsidP="009D6A58">
      <w:pPr>
        <w:pStyle w:val="NormalWeb"/>
        <w:ind w:left="1985" w:hanging="1265"/>
        <w:jc w:val="both"/>
      </w:pPr>
      <w:bookmarkStart w:id="14" w:name="_Hlk209695383"/>
      <w:r w:rsidRPr="00FE11C0">
        <w:rPr>
          <w:lang w:val="en-US"/>
        </w:rPr>
        <w:t xml:space="preserve">Chakraborty, S., &amp; Basu, D. (2018). </w:t>
      </w:r>
      <w:bookmarkEnd w:id="14"/>
      <w:r w:rsidRPr="00FE11C0">
        <w:rPr>
          <w:lang w:val="en-US"/>
        </w:rPr>
        <w:t>Homestead gardening: an emerging venture towards achieving food security &amp; nutritional security-a study of selected areas of West Bengal. </w:t>
      </w:r>
      <w:r w:rsidRPr="00FE11C0">
        <w:rPr>
          <w:i/>
          <w:iCs/>
          <w:lang w:val="en-US"/>
        </w:rPr>
        <w:t>International Journal of Applied and Natural Sciences (IJANS) ISSN (P)</w:t>
      </w:r>
      <w:r w:rsidRPr="00FE11C0">
        <w:rPr>
          <w:lang w:val="en-US"/>
        </w:rPr>
        <w:t>, 2319-4014.</w:t>
      </w:r>
      <w:r w:rsidR="009D6A58" w:rsidRPr="009D6A58">
        <w:t xml:space="preserve">KVK Akola. (2020–2024). </w:t>
      </w:r>
      <w:r w:rsidR="009D6A58" w:rsidRPr="009D6A58">
        <w:rPr>
          <w:rStyle w:val="Emphasis"/>
        </w:rPr>
        <w:t>Annual Reports of Frontline Demonstrations on Promotion of Nutritional Gardens for Food Security of Rural Families</w:t>
      </w:r>
      <w:r w:rsidR="009D6A58" w:rsidRPr="009D6A58">
        <w:t>. Krishi Vigyan Kendra, Akola, Maharashtra, India. [Primary data source]</w:t>
      </w:r>
    </w:p>
    <w:p w14:paraId="1DD31F0F" w14:textId="141A057D" w:rsidR="00DB4F8B" w:rsidRPr="0046404E" w:rsidRDefault="00FE11C0" w:rsidP="00DB4F8B">
      <w:pPr>
        <w:pStyle w:val="NormalWeb"/>
        <w:ind w:left="1985" w:hanging="1265"/>
        <w:jc w:val="both"/>
      </w:pPr>
      <w:proofErr w:type="spellStart"/>
      <w:r w:rsidRPr="0046404E">
        <w:rPr>
          <w:color w:val="222222"/>
          <w:shd w:val="clear" w:color="auto" w:fill="FFFFFF"/>
        </w:rPr>
        <w:t>Yaregal</w:t>
      </w:r>
      <w:proofErr w:type="spellEnd"/>
      <w:r w:rsidRPr="0046404E">
        <w:rPr>
          <w:color w:val="222222"/>
          <w:shd w:val="clear" w:color="auto" w:fill="FFFFFF"/>
        </w:rPr>
        <w:t xml:space="preserve">, Y., &amp; Sime, G. (2024). Traditional home garden </w:t>
      </w:r>
      <w:proofErr w:type="spellStart"/>
      <w:r w:rsidRPr="0046404E">
        <w:rPr>
          <w:color w:val="222222"/>
          <w:shd w:val="clear" w:color="auto" w:fill="FFFFFF"/>
        </w:rPr>
        <w:t>agro</w:t>
      </w:r>
      <w:proofErr w:type="spellEnd"/>
      <w:r w:rsidRPr="0046404E">
        <w:rPr>
          <w:color w:val="222222"/>
          <w:shd w:val="clear" w:color="auto" w:fill="FFFFFF"/>
        </w:rPr>
        <w:t xml:space="preserve">‐biodiversity dynamics, </w:t>
      </w:r>
      <w:proofErr w:type="spellStart"/>
      <w:r w:rsidRPr="0046404E">
        <w:rPr>
          <w:color w:val="222222"/>
          <w:shd w:val="clear" w:color="auto" w:fill="FFFFFF"/>
        </w:rPr>
        <w:t>agro</w:t>
      </w:r>
      <w:proofErr w:type="spellEnd"/>
      <w:r w:rsidRPr="0046404E">
        <w:rPr>
          <w:color w:val="222222"/>
          <w:shd w:val="clear" w:color="auto" w:fill="FFFFFF"/>
        </w:rPr>
        <w:t>‐ecosystem services, and management practices in smallholder farmers setting, South‐Central Ethiopia. </w:t>
      </w:r>
      <w:r w:rsidRPr="0046404E">
        <w:rPr>
          <w:i/>
          <w:iCs/>
          <w:color w:val="222222"/>
          <w:shd w:val="clear" w:color="auto" w:fill="FFFFFF"/>
        </w:rPr>
        <w:t>Food and Energy Security</w:t>
      </w:r>
      <w:r w:rsidRPr="0046404E">
        <w:rPr>
          <w:color w:val="222222"/>
          <w:shd w:val="clear" w:color="auto" w:fill="FFFFFF"/>
        </w:rPr>
        <w:t>, </w:t>
      </w:r>
      <w:r w:rsidRPr="0046404E">
        <w:rPr>
          <w:i/>
          <w:iCs/>
          <w:color w:val="222222"/>
          <w:shd w:val="clear" w:color="auto" w:fill="FFFFFF"/>
        </w:rPr>
        <w:t>13</w:t>
      </w:r>
      <w:r w:rsidRPr="0046404E">
        <w:rPr>
          <w:color w:val="222222"/>
          <w:shd w:val="clear" w:color="auto" w:fill="FFFFFF"/>
        </w:rPr>
        <w:t>(4), e569.</w:t>
      </w:r>
      <w:r w:rsidR="00DB4F8B" w:rsidRPr="0046404E">
        <w:t>National Institute of Nutrition (NIN). (2011). </w:t>
      </w:r>
      <w:r w:rsidR="00DB4F8B" w:rsidRPr="0046404E">
        <w:rPr>
          <w:i/>
          <w:iCs/>
        </w:rPr>
        <w:t>Dietary Guidelines for Indians – A Manual</w:t>
      </w:r>
      <w:r w:rsidR="00DB4F8B" w:rsidRPr="0046404E">
        <w:t>. Hyderabad, India.</w:t>
      </w:r>
    </w:p>
    <w:p w14:paraId="365534F4" w14:textId="15584284" w:rsidR="00DB4F8B" w:rsidRPr="00DB4F8B" w:rsidRDefault="00DB4F8B" w:rsidP="00DB4F8B">
      <w:pPr>
        <w:pStyle w:val="NormalWeb"/>
        <w:ind w:left="1985" w:hanging="1265"/>
        <w:jc w:val="both"/>
      </w:pPr>
      <w:r w:rsidRPr="00DB4F8B">
        <w:lastRenderedPageBreak/>
        <w:t>National Family Health Survey (NFHS-5). (2019-21). </w:t>
      </w:r>
      <w:r w:rsidRPr="00DB4F8B">
        <w:rPr>
          <w:i/>
          <w:iCs/>
        </w:rPr>
        <w:t>India Report</w:t>
      </w:r>
      <w:r w:rsidRPr="00DB4F8B">
        <w:t>. International Institute for Population Sciences.</w:t>
      </w:r>
    </w:p>
    <w:p w14:paraId="11CA765A" w14:textId="6239026F" w:rsidR="009D6A58" w:rsidRPr="009D6A58" w:rsidRDefault="004745BC" w:rsidP="009D6A58">
      <w:pPr>
        <w:pStyle w:val="NormalWeb"/>
        <w:ind w:left="1985" w:hanging="1265"/>
        <w:jc w:val="both"/>
      </w:pPr>
      <w:r w:rsidRPr="004745BC">
        <w:rPr>
          <w:lang w:val="en-US"/>
        </w:rPr>
        <w:t xml:space="preserve">Ghosh, S., Sen, L. C., Mali, S. K., Islam, M. M., &amp; </w:t>
      </w:r>
      <w:proofErr w:type="spellStart"/>
      <w:r w:rsidRPr="004745BC">
        <w:rPr>
          <w:lang w:val="en-US"/>
        </w:rPr>
        <w:t>Bakchi</w:t>
      </w:r>
      <w:proofErr w:type="spellEnd"/>
      <w:r w:rsidRPr="004745BC">
        <w:rPr>
          <w:lang w:val="en-US"/>
        </w:rPr>
        <w:t>, J. (2021). The role of rural women in household food security and nutrition management in Bangladesh. </w:t>
      </w:r>
      <w:r w:rsidRPr="004745BC">
        <w:rPr>
          <w:i/>
          <w:iCs/>
          <w:lang w:val="en-US"/>
        </w:rPr>
        <w:t>Asian Journal of Women's Studies</w:t>
      </w:r>
      <w:r w:rsidRPr="004745BC">
        <w:rPr>
          <w:lang w:val="en-US"/>
        </w:rPr>
        <w:t>, </w:t>
      </w:r>
      <w:r w:rsidRPr="004745BC">
        <w:rPr>
          <w:i/>
          <w:iCs/>
          <w:lang w:val="en-US"/>
        </w:rPr>
        <w:t>27</w:t>
      </w:r>
      <w:r w:rsidRPr="004745BC">
        <w:rPr>
          <w:lang w:val="en-US"/>
        </w:rPr>
        <w:t>(3), 441-459.</w:t>
      </w:r>
      <w:r w:rsidR="009D6A58" w:rsidRPr="009D6A58">
        <w:t xml:space="preserve">Sharma, R., &amp; Singh, G. (2019). Kitchen gardens: A tool for food and nutrition security in rural households. </w:t>
      </w:r>
      <w:r w:rsidR="009D6A58" w:rsidRPr="009D6A58">
        <w:rPr>
          <w:rStyle w:val="Emphasis"/>
        </w:rPr>
        <w:t>International Journal of Agricultural Sciences</w:t>
      </w:r>
      <w:r w:rsidR="009D6A58" w:rsidRPr="009D6A58">
        <w:t>, 11(2), 45–50.</w:t>
      </w:r>
    </w:p>
    <w:p w14:paraId="0B5A6341" w14:textId="77777777" w:rsidR="004745BC" w:rsidRDefault="004745BC" w:rsidP="00D1318A">
      <w:pPr>
        <w:pStyle w:val="NormalWeb"/>
        <w:ind w:left="1985" w:hanging="1265"/>
        <w:jc w:val="both"/>
        <w:rPr>
          <w:lang w:val="en-US"/>
        </w:rPr>
      </w:pPr>
      <w:r w:rsidRPr="004745BC">
        <w:rPr>
          <w:lang w:val="en-US"/>
        </w:rPr>
        <w:t>Swaminathan, M. S. (2010). </w:t>
      </w:r>
      <w:r w:rsidRPr="004745BC">
        <w:rPr>
          <w:i/>
          <w:iCs/>
          <w:lang w:val="en-US"/>
        </w:rPr>
        <w:t>Science and sustainable food security: selected papers of MS Swaminathan</w:t>
      </w:r>
      <w:r w:rsidRPr="004745BC">
        <w:rPr>
          <w:lang w:val="en-US"/>
        </w:rPr>
        <w:t> (Vol. 3). World Scientific.</w:t>
      </w:r>
    </w:p>
    <w:p w14:paraId="7832A27B" w14:textId="30FDF82B" w:rsidR="0046404E" w:rsidRDefault="0046404E" w:rsidP="00D1318A">
      <w:pPr>
        <w:pStyle w:val="NormalWeb"/>
        <w:ind w:left="1985" w:hanging="1265"/>
        <w:jc w:val="both"/>
        <w:rPr>
          <w:lang w:val="en-US"/>
        </w:rPr>
      </w:pPr>
      <w:r w:rsidRPr="0046404E">
        <w:rPr>
          <w:lang w:val="en-GB"/>
        </w:rPr>
        <w:t xml:space="preserve">Du Toit, M. J., Rendón, O., Cologna, V., Cilliers, S. S., &amp; </w:t>
      </w:r>
      <w:proofErr w:type="spellStart"/>
      <w:r w:rsidRPr="0046404E">
        <w:rPr>
          <w:lang w:val="en-GB"/>
        </w:rPr>
        <w:t>Dallimer</w:t>
      </w:r>
      <w:proofErr w:type="spellEnd"/>
      <w:r w:rsidRPr="0046404E">
        <w:rPr>
          <w:lang w:val="en-GB"/>
        </w:rPr>
        <w:t>, M. (2022). Why home gardens fail in enhancing food security and dietary diversity. Frontiers in Ecology and evolution, 10, 804523</w:t>
      </w:r>
    </w:p>
    <w:p w14:paraId="70516E1C" w14:textId="77DA4372" w:rsidR="000F1387" w:rsidRPr="00895790" w:rsidRDefault="009D6A58" w:rsidP="00D1318A">
      <w:pPr>
        <w:pStyle w:val="NormalWeb"/>
        <w:ind w:left="1985" w:hanging="1265"/>
        <w:jc w:val="both"/>
      </w:pPr>
      <w:r w:rsidRPr="009D6A58">
        <w:t xml:space="preserve">WHO. (2020). </w:t>
      </w:r>
      <w:r w:rsidRPr="009D6A58">
        <w:rPr>
          <w:rStyle w:val="Emphasis"/>
        </w:rPr>
        <w:t>Healthy diet: Key facts</w:t>
      </w:r>
      <w:r w:rsidRPr="009D6A58">
        <w:t xml:space="preserve">. World Health Organization. Retrieved from </w:t>
      </w:r>
      <w:hyperlink r:id="rId13" w:tgtFrame="_new" w:history="1">
        <w:r w:rsidRPr="009D6A58">
          <w:rPr>
            <w:rStyle w:val="Hyperlink"/>
            <w:rFonts w:eastAsiaTheme="majorEastAsia"/>
          </w:rPr>
          <w:t>https://www.who.int/news-room/fact-sheets/detail/healthy-diet</w:t>
        </w:r>
      </w:hyperlink>
      <w:bookmarkEnd w:id="1"/>
      <w:bookmarkEnd w:id="12"/>
    </w:p>
    <w:sectPr w:rsidR="000F1387" w:rsidRPr="00895790">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6FD74" w14:textId="77777777" w:rsidR="006F6035" w:rsidRDefault="006F6035" w:rsidP="00044DE0">
      <w:pPr>
        <w:spacing w:after="0"/>
      </w:pPr>
      <w:r>
        <w:separator/>
      </w:r>
    </w:p>
  </w:endnote>
  <w:endnote w:type="continuationSeparator" w:id="0">
    <w:p w14:paraId="7FB7B06E" w14:textId="77777777" w:rsidR="006F6035" w:rsidRDefault="006F6035" w:rsidP="00044D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FEA03" w14:textId="77777777" w:rsidR="006E7942" w:rsidRDefault="006E7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9F36" w14:textId="77777777" w:rsidR="006E7942" w:rsidRDefault="006E7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90B19" w14:textId="77777777" w:rsidR="006E7942" w:rsidRDefault="006E7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BE7BF" w14:textId="77777777" w:rsidR="006F6035" w:rsidRDefault="006F6035" w:rsidP="00044DE0">
      <w:pPr>
        <w:spacing w:after="0"/>
      </w:pPr>
      <w:r>
        <w:separator/>
      </w:r>
    </w:p>
  </w:footnote>
  <w:footnote w:type="continuationSeparator" w:id="0">
    <w:p w14:paraId="6B9F561C" w14:textId="77777777" w:rsidR="006F6035" w:rsidRDefault="006F6035" w:rsidP="00044D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CE0A3" w14:textId="322C942B" w:rsidR="006E7942" w:rsidRDefault="006F6035">
    <w:pPr>
      <w:pStyle w:val="Header"/>
    </w:pPr>
    <w:r>
      <w:rPr>
        <w:noProof/>
      </w:rPr>
      <w:pict w14:anchorId="71570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52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A98DC" w14:textId="36F65D51" w:rsidR="006E7942" w:rsidRDefault="006F6035">
    <w:pPr>
      <w:pStyle w:val="Header"/>
    </w:pPr>
    <w:r>
      <w:rPr>
        <w:noProof/>
      </w:rPr>
      <w:pict w14:anchorId="6808D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52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CFD66" w14:textId="71E66F52" w:rsidR="006E7942" w:rsidRDefault="006F6035">
    <w:pPr>
      <w:pStyle w:val="Header"/>
    </w:pPr>
    <w:r>
      <w:rPr>
        <w:noProof/>
      </w:rPr>
      <w:pict w14:anchorId="45EEB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52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CB3A12B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4E16F46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6435B7B"/>
    <w:multiLevelType w:val="hybridMultilevel"/>
    <w:tmpl w:val="2E7CA822"/>
    <w:lvl w:ilvl="0" w:tplc="7506E4F6">
      <w:start w:val="1"/>
      <w:numFmt w:val="decimal"/>
      <w:lvlText w:val="%1."/>
      <w:lvlJc w:val="left"/>
      <w:pPr>
        <w:ind w:left="7732" w:hanging="360"/>
      </w:pPr>
      <w:rPr>
        <w:rFonts w:hint="default"/>
      </w:rPr>
    </w:lvl>
    <w:lvl w:ilvl="1" w:tplc="40090019" w:tentative="1">
      <w:start w:val="1"/>
      <w:numFmt w:val="lowerLetter"/>
      <w:lvlText w:val="%2."/>
      <w:lvlJc w:val="left"/>
      <w:pPr>
        <w:ind w:left="8452" w:hanging="360"/>
      </w:pPr>
    </w:lvl>
    <w:lvl w:ilvl="2" w:tplc="4009001B" w:tentative="1">
      <w:start w:val="1"/>
      <w:numFmt w:val="lowerRoman"/>
      <w:lvlText w:val="%3."/>
      <w:lvlJc w:val="right"/>
      <w:pPr>
        <w:ind w:left="9172" w:hanging="180"/>
      </w:pPr>
    </w:lvl>
    <w:lvl w:ilvl="3" w:tplc="4009000F" w:tentative="1">
      <w:start w:val="1"/>
      <w:numFmt w:val="decimal"/>
      <w:lvlText w:val="%4."/>
      <w:lvlJc w:val="left"/>
      <w:pPr>
        <w:ind w:left="9892" w:hanging="360"/>
      </w:pPr>
    </w:lvl>
    <w:lvl w:ilvl="4" w:tplc="40090019" w:tentative="1">
      <w:start w:val="1"/>
      <w:numFmt w:val="lowerLetter"/>
      <w:lvlText w:val="%5."/>
      <w:lvlJc w:val="left"/>
      <w:pPr>
        <w:ind w:left="10612" w:hanging="360"/>
      </w:pPr>
    </w:lvl>
    <w:lvl w:ilvl="5" w:tplc="4009001B" w:tentative="1">
      <w:start w:val="1"/>
      <w:numFmt w:val="lowerRoman"/>
      <w:lvlText w:val="%6."/>
      <w:lvlJc w:val="right"/>
      <w:pPr>
        <w:ind w:left="11332" w:hanging="180"/>
      </w:pPr>
    </w:lvl>
    <w:lvl w:ilvl="6" w:tplc="4009000F" w:tentative="1">
      <w:start w:val="1"/>
      <w:numFmt w:val="decimal"/>
      <w:lvlText w:val="%7."/>
      <w:lvlJc w:val="left"/>
      <w:pPr>
        <w:ind w:left="12052" w:hanging="360"/>
      </w:pPr>
    </w:lvl>
    <w:lvl w:ilvl="7" w:tplc="40090019" w:tentative="1">
      <w:start w:val="1"/>
      <w:numFmt w:val="lowerLetter"/>
      <w:lvlText w:val="%8."/>
      <w:lvlJc w:val="left"/>
      <w:pPr>
        <w:ind w:left="12772" w:hanging="360"/>
      </w:pPr>
    </w:lvl>
    <w:lvl w:ilvl="8" w:tplc="4009001B" w:tentative="1">
      <w:start w:val="1"/>
      <w:numFmt w:val="lowerRoman"/>
      <w:lvlText w:val="%9."/>
      <w:lvlJc w:val="right"/>
      <w:pPr>
        <w:ind w:left="13492" w:hanging="180"/>
      </w:pPr>
    </w:lvl>
  </w:abstractNum>
  <w:abstractNum w:abstractNumId="3" w15:restartNumberingAfterBreak="0">
    <w:nsid w:val="1D4356F3"/>
    <w:multiLevelType w:val="multilevel"/>
    <w:tmpl w:val="D68E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29300F"/>
    <w:multiLevelType w:val="multilevel"/>
    <w:tmpl w:val="E39E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3A73AA"/>
    <w:multiLevelType w:val="multilevel"/>
    <w:tmpl w:val="1DACA0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B46DA2"/>
    <w:multiLevelType w:val="multilevel"/>
    <w:tmpl w:val="56E03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DB7993"/>
    <w:multiLevelType w:val="multilevel"/>
    <w:tmpl w:val="C080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num>
  <w:num w:numId="4">
    <w:abstractNumId w:val="1"/>
  </w:num>
  <w:num w:numId="5">
    <w:abstractNumId w:val="1"/>
  </w:num>
  <w:num w:numId="6">
    <w:abstractNumId w:val="6"/>
  </w:num>
  <w:num w:numId="7">
    <w:abstractNumId w:val="7"/>
  </w:num>
  <w:num w:numId="8">
    <w:abstractNumId w:val="4"/>
  </w:num>
  <w:num w:numId="9">
    <w:abstractNumId w:val="3"/>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1387"/>
    <w:rsid w:val="00007B11"/>
    <w:rsid w:val="00044DE0"/>
    <w:rsid w:val="00092705"/>
    <w:rsid w:val="000F1387"/>
    <w:rsid w:val="001215A5"/>
    <w:rsid w:val="001705F1"/>
    <w:rsid w:val="001D1D24"/>
    <w:rsid w:val="001F0394"/>
    <w:rsid w:val="002139D5"/>
    <w:rsid w:val="00260879"/>
    <w:rsid w:val="00294891"/>
    <w:rsid w:val="00306EBC"/>
    <w:rsid w:val="00342FF9"/>
    <w:rsid w:val="003433C4"/>
    <w:rsid w:val="00372B75"/>
    <w:rsid w:val="003C7BF8"/>
    <w:rsid w:val="00447CDB"/>
    <w:rsid w:val="0046404E"/>
    <w:rsid w:val="004745BC"/>
    <w:rsid w:val="004B680E"/>
    <w:rsid w:val="00513826"/>
    <w:rsid w:val="005179D2"/>
    <w:rsid w:val="00585BF4"/>
    <w:rsid w:val="005D146F"/>
    <w:rsid w:val="0063667B"/>
    <w:rsid w:val="006E7942"/>
    <w:rsid w:val="006F1B42"/>
    <w:rsid w:val="006F6035"/>
    <w:rsid w:val="006F7BD1"/>
    <w:rsid w:val="0084693C"/>
    <w:rsid w:val="0087745C"/>
    <w:rsid w:val="008777B5"/>
    <w:rsid w:val="00895790"/>
    <w:rsid w:val="009D3F99"/>
    <w:rsid w:val="009D6A58"/>
    <w:rsid w:val="009E068A"/>
    <w:rsid w:val="00A157B5"/>
    <w:rsid w:val="00A20A04"/>
    <w:rsid w:val="00A91902"/>
    <w:rsid w:val="00AB0616"/>
    <w:rsid w:val="00B033EC"/>
    <w:rsid w:val="00B338C2"/>
    <w:rsid w:val="00C301BD"/>
    <w:rsid w:val="00C30BAB"/>
    <w:rsid w:val="00C84B33"/>
    <w:rsid w:val="00C853AC"/>
    <w:rsid w:val="00D1318A"/>
    <w:rsid w:val="00D15BF7"/>
    <w:rsid w:val="00D76337"/>
    <w:rsid w:val="00DA740C"/>
    <w:rsid w:val="00DB4F8B"/>
    <w:rsid w:val="00DE6137"/>
    <w:rsid w:val="00F02274"/>
    <w:rsid w:val="00F21379"/>
    <w:rsid w:val="00F40F22"/>
    <w:rsid w:val="00F5192A"/>
    <w:rsid w:val="00F94DCE"/>
    <w:rsid w:val="00F966D7"/>
    <w:rsid w:val="00FA593A"/>
    <w:rsid w:val="00FA6686"/>
    <w:rsid w:val="00FB74C6"/>
    <w:rsid w:val="00FE11C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4B0B19"/>
  <w15:docId w15:val="{C09A6EE5-28FA-4E55-85B1-F26E3D2A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44DE0"/>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Quote">
    <w:name w:val="Quote"/>
    <w:basedOn w:val="Normal"/>
    <w:next w:val="Normal"/>
    <w:link w:val="QuoteChar"/>
    <w:uiPriority w:val="29"/>
    <w:qFormat/>
    <w:rsid w:val="00342FF9"/>
    <w:pPr>
      <w:spacing w:before="160" w:after="160" w:line="259" w:lineRule="auto"/>
      <w:jc w:val="center"/>
    </w:pPr>
    <w:rPr>
      <w:i/>
      <w:iCs/>
      <w:color w:val="404040" w:themeColor="text1" w:themeTint="BF"/>
      <w:kern w:val="2"/>
      <w:sz w:val="22"/>
      <w:szCs w:val="22"/>
      <w:lang w:val="en-IN"/>
    </w:rPr>
  </w:style>
  <w:style w:type="character" w:customStyle="1" w:styleId="QuoteChar">
    <w:name w:val="Quote Char"/>
    <w:basedOn w:val="DefaultParagraphFont"/>
    <w:link w:val="Quote"/>
    <w:uiPriority w:val="29"/>
    <w:rsid w:val="00342FF9"/>
    <w:rPr>
      <w:i/>
      <w:iCs/>
      <w:color w:val="404040" w:themeColor="text1" w:themeTint="BF"/>
      <w:kern w:val="2"/>
      <w:sz w:val="22"/>
      <w:szCs w:val="22"/>
      <w:lang w:val="en-IN"/>
    </w:rPr>
  </w:style>
  <w:style w:type="paragraph" w:styleId="ListParagraph">
    <w:name w:val="List Paragraph"/>
    <w:basedOn w:val="Normal"/>
    <w:uiPriority w:val="34"/>
    <w:qFormat/>
    <w:rsid w:val="00342FF9"/>
    <w:pPr>
      <w:spacing w:after="160" w:line="259" w:lineRule="auto"/>
      <w:ind w:left="720"/>
      <w:contextualSpacing/>
    </w:pPr>
    <w:rPr>
      <w:kern w:val="2"/>
      <w:sz w:val="22"/>
      <w:szCs w:val="22"/>
      <w:lang w:val="en-IN"/>
    </w:rPr>
  </w:style>
  <w:style w:type="character" w:styleId="IntenseEmphasis">
    <w:name w:val="Intense Emphasis"/>
    <w:basedOn w:val="DefaultParagraphFont"/>
    <w:uiPriority w:val="21"/>
    <w:qFormat/>
    <w:rsid w:val="00342FF9"/>
    <w:rPr>
      <w:i/>
      <w:iCs/>
      <w:color w:val="0F4761" w:themeColor="accent1" w:themeShade="BF"/>
    </w:rPr>
  </w:style>
  <w:style w:type="paragraph" w:styleId="IntenseQuote">
    <w:name w:val="Intense Quote"/>
    <w:basedOn w:val="Normal"/>
    <w:next w:val="Normal"/>
    <w:link w:val="IntenseQuoteChar"/>
    <w:uiPriority w:val="30"/>
    <w:qFormat/>
    <w:rsid w:val="00342FF9"/>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sz w:val="22"/>
      <w:szCs w:val="22"/>
      <w:lang w:val="en-IN"/>
    </w:rPr>
  </w:style>
  <w:style w:type="character" w:customStyle="1" w:styleId="IntenseQuoteChar">
    <w:name w:val="Intense Quote Char"/>
    <w:basedOn w:val="DefaultParagraphFont"/>
    <w:link w:val="IntenseQuote"/>
    <w:uiPriority w:val="30"/>
    <w:rsid w:val="00342FF9"/>
    <w:rPr>
      <w:i/>
      <w:iCs/>
      <w:color w:val="0F4761" w:themeColor="accent1" w:themeShade="BF"/>
      <w:kern w:val="2"/>
      <w:sz w:val="22"/>
      <w:szCs w:val="22"/>
      <w:lang w:val="en-IN"/>
    </w:rPr>
  </w:style>
  <w:style w:type="character" w:styleId="IntenseReference">
    <w:name w:val="Intense Reference"/>
    <w:basedOn w:val="DefaultParagraphFont"/>
    <w:uiPriority w:val="32"/>
    <w:qFormat/>
    <w:rsid w:val="00342FF9"/>
    <w:rPr>
      <w:b/>
      <w:bCs/>
      <w:smallCaps/>
      <w:color w:val="0F4761" w:themeColor="accent1" w:themeShade="BF"/>
      <w:spacing w:val="5"/>
    </w:rPr>
  </w:style>
  <w:style w:type="paragraph" w:styleId="NormalWeb">
    <w:name w:val="Normal (Web)"/>
    <w:basedOn w:val="Normal"/>
    <w:uiPriority w:val="99"/>
    <w:unhideWhenUsed/>
    <w:rsid w:val="009D6A58"/>
    <w:pPr>
      <w:spacing w:before="100" w:beforeAutospacing="1" w:after="100" w:afterAutospacing="1"/>
    </w:pPr>
    <w:rPr>
      <w:rFonts w:ascii="Times New Roman" w:eastAsia="Times New Roman" w:hAnsi="Times New Roman" w:cs="Times New Roman"/>
      <w:lang w:val="en-IN" w:eastAsia="en-IN" w:bidi="mr-IN"/>
    </w:rPr>
  </w:style>
  <w:style w:type="character" w:styleId="Emphasis">
    <w:name w:val="Emphasis"/>
    <w:basedOn w:val="DefaultParagraphFont"/>
    <w:uiPriority w:val="20"/>
    <w:qFormat/>
    <w:rsid w:val="009D6A58"/>
    <w:rPr>
      <w:i/>
      <w:iCs/>
    </w:rPr>
  </w:style>
  <w:style w:type="table" w:styleId="TableGrid">
    <w:name w:val="Table Grid"/>
    <w:basedOn w:val="TableNormal"/>
    <w:rsid w:val="009D3F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44DE0"/>
    <w:pPr>
      <w:tabs>
        <w:tab w:val="center" w:pos="4513"/>
        <w:tab w:val="right" w:pos="9026"/>
      </w:tabs>
      <w:spacing w:after="0"/>
    </w:pPr>
  </w:style>
  <w:style w:type="character" w:customStyle="1" w:styleId="HeaderChar">
    <w:name w:val="Header Char"/>
    <w:basedOn w:val="DefaultParagraphFont"/>
    <w:link w:val="Header"/>
    <w:rsid w:val="00044DE0"/>
  </w:style>
  <w:style w:type="paragraph" w:styleId="Footer">
    <w:name w:val="footer"/>
    <w:basedOn w:val="Normal"/>
    <w:link w:val="FooterChar"/>
    <w:rsid w:val="00044DE0"/>
    <w:pPr>
      <w:tabs>
        <w:tab w:val="center" w:pos="4513"/>
        <w:tab w:val="right" w:pos="9026"/>
      </w:tabs>
      <w:spacing w:after="0"/>
    </w:pPr>
  </w:style>
  <w:style w:type="character" w:customStyle="1" w:styleId="FooterChar">
    <w:name w:val="Footer Char"/>
    <w:basedOn w:val="DefaultParagraphFont"/>
    <w:link w:val="Footer"/>
    <w:rsid w:val="00044DE0"/>
  </w:style>
  <w:style w:type="character" w:styleId="UnresolvedMention">
    <w:name w:val="Unresolved Mention"/>
    <w:basedOn w:val="DefaultParagraphFont"/>
    <w:uiPriority w:val="99"/>
    <w:semiHidden/>
    <w:unhideWhenUsed/>
    <w:rsid w:val="00C85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021952">
      <w:bodyDiv w:val="1"/>
      <w:marLeft w:val="0"/>
      <w:marRight w:val="0"/>
      <w:marTop w:val="0"/>
      <w:marBottom w:val="0"/>
      <w:divBdr>
        <w:top w:val="none" w:sz="0" w:space="0" w:color="auto"/>
        <w:left w:val="none" w:sz="0" w:space="0" w:color="auto"/>
        <w:bottom w:val="none" w:sz="0" w:space="0" w:color="auto"/>
        <w:right w:val="none" w:sz="0" w:space="0" w:color="auto"/>
      </w:divBdr>
      <w:divsChild>
        <w:div w:id="743188557">
          <w:marLeft w:val="0"/>
          <w:marRight w:val="0"/>
          <w:marTop w:val="0"/>
          <w:marBottom w:val="0"/>
          <w:divBdr>
            <w:top w:val="none" w:sz="0" w:space="0" w:color="auto"/>
            <w:left w:val="none" w:sz="0" w:space="0" w:color="auto"/>
            <w:bottom w:val="none" w:sz="0" w:space="0" w:color="auto"/>
            <w:right w:val="none" w:sz="0" w:space="0" w:color="auto"/>
          </w:divBdr>
          <w:divsChild>
            <w:div w:id="289896421">
              <w:marLeft w:val="0"/>
              <w:marRight w:val="0"/>
              <w:marTop w:val="0"/>
              <w:marBottom w:val="0"/>
              <w:divBdr>
                <w:top w:val="none" w:sz="0" w:space="0" w:color="auto"/>
                <w:left w:val="none" w:sz="0" w:space="0" w:color="auto"/>
                <w:bottom w:val="none" w:sz="0" w:space="0" w:color="auto"/>
                <w:right w:val="none" w:sz="0" w:space="0" w:color="auto"/>
              </w:divBdr>
            </w:div>
          </w:divsChild>
        </w:div>
        <w:div w:id="685447870">
          <w:marLeft w:val="0"/>
          <w:marRight w:val="0"/>
          <w:marTop w:val="0"/>
          <w:marBottom w:val="0"/>
          <w:divBdr>
            <w:top w:val="none" w:sz="0" w:space="0" w:color="auto"/>
            <w:left w:val="none" w:sz="0" w:space="0" w:color="auto"/>
            <w:bottom w:val="none" w:sz="0" w:space="0" w:color="auto"/>
            <w:right w:val="none" w:sz="0" w:space="0" w:color="auto"/>
          </w:divBdr>
          <w:divsChild>
            <w:div w:id="519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o.int/news-room/fact-sheets/detail/healthy-die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4C49C-0D72-48F8-925D-7522C486D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10</Pages>
  <Words>2822</Words>
  <Characters>16088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SDI 1183</cp:lastModifiedBy>
  <cp:revision>34</cp:revision>
  <dcterms:created xsi:type="dcterms:W3CDTF">2025-09-06T15:03:00Z</dcterms:created>
  <dcterms:modified xsi:type="dcterms:W3CDTF">2025-10-03T09:28:00Z</dcterms:modified>
</cp:coreProperties>
</file>