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BC6AD" w14:textId="7BD2F2FB" w:rsidR="00163BC4" w:rsidRPr="00A46EC3" w:rsidRDefault="006D09BC" w:rsidP="00A46EC3">
      <w:pPr>
        <w:pStyle w:val="Author"/>
        <w:spacing w:line="240" w:lineRule="auto"/>
        <w:jc w:val="left"/>
        <w:rPr>
          <w:rFonts w:ascii="Arial" w:hAnsi="Arial" w:cs="Arial"/>
          <w:bCs/>
          <w:iCs/>
          <w:kern w:val="28"/>
          <w:sz w:val="36"/>
        </w:rPr>
      </w:pPr>
      <w:bookmarkStart w:id="0" w:name="_Hlk209781341"/>
      <w:r w:rsidRPr="00A46EC3">
        <w:rPr>
          <w:rFonts w:ascii="Arial" w:hAnsi="Arial" w:cs="Arial"/>
          <w:bCs/>
          <w:iCs/>
          <w:kern w:val="28"/>
          <w:sz w:val="36"/>
        </w:rPr>
        <w:t xml:space="preserve">Evaluation of </w:t>
      </w:r>
      <w:r w:rsidR="00090724" w:rsidRPr="00A46EC3">
        <w:rPr>
          <w:rFonts w:ascii="Arial" w:hAnsi="Arial" w:cs="Arial"/>
          <w:bCs/>
          <w:iCs/>
          <w:kern w:val="28"/>
          <w:sz w:val="36"/>
        </w:rPr>
        <w:t>B</w:t>
      </w:r>
      <w:r w:rsidRPr="00A46EC3">
        <w:rPr>
          <w:rFonts w:ascii="Arial" w:hAnsi="Arial" w:cs="Arial"/>
          <w:bCs/>
          <w:iCs/>
          <w:kern w:val="28"/>
          <w:sz w:val="36"/>
        </w:rPr>
        <w:t xml:space="preserve">iological </w:t>
      </w:r>
      <w:r w:rsidR="00090724" w:rsidRPr="00A46EC3">
        <w:rPr>
          <w:rFonts w:ascii="Arial" w:hAnsi="Arial" w:cs="Arial"/>
          <w:bCs/>
          <w:iCs/>
          <w:kern w:val="28"/>
          <w:sz w:val="36"/>
        </w:rPr>
        <w:t>A</w:t>
      </w:r>
      <w:r w:rsidRPr="00A46EC3">
        <w:rPr>
          <w:rFonts w:ascii="Arial" w:hAnsi="Arial" w:cs="Arial"/>
          <w:bCs/>
          <w:iCs/>
          <w:kern w:val="28"/>
          <w:sz w:val="36"/>
        </w:rPr>
        <w:t xml:space="preserve">ctivity of </w:t>
      </w:r>
      <w:r w:rsidR="00090724" w:rsidRPr="00A46EC3">
        <w:rPr>
          <w:rFonts w:ascii="Arial" w:hAnsi="Arial" w:cs="Arial"/>
          <w:bCs/>
          <w:iCs/>
          <w:kern w:val="28"/>
          <w:sz w:val="36"/>
        </w:rPr>
        <w:t>E</w:t>
      </w:r>
      <w:r w:rsidRPr="00A46EC3">
        <w:rPr>
          <w:rFonts w:ascii="Arial" w:hAnsi="Arial" w:cs="Arial"/>
          <w:bCs/>
          <w:iCs/>
          <w:kern w:val="28"/>
          <w:sz w:val="36"/>
        </w:rPr>
        <w:t xml:space="preserve">thanolic and </w:t>
      </w:r>
      <w:r w:rsidR="00090724" w:rsidRPr="00A46EC3">
        <w:rPr>
          <w:rFonts w:ascii="Arial" w:hAnsi="Arial" w:cs="Arial"/>
          <w:bCs/>
          <w:iCs/>
          <w:kern w:val="28"/>
          <w:sz w:val="36"/>
        </w:rPr>
        <w:t>P</w:t>
      </w:r>
      <w:r w:rsidRPr="00A46EC3">
        <w:rPr>
          <w:rFonts w:ascii="Arial" w:hAnsi="Arial" w:cs="Arial"/>
          <w:bCs/>
          <w:iCs/>
          <w:kern w:val="28"/>
          <w:sz w:val="36"/>
        </w:rPr>
        <w:t>etroleum</w:t>
      </w:r>
      <w:r w:rsidR="00567C7B" w:rsidRPr="00A46EC3">
        <w:rPr>
          <w:rFonts w:ascii="Arial" w:hAnsi="Arial" w:cs="Arial"/>
          <w:bCs/>
          <w:iCs/>
          <w:kern w:val="28"/>
          <w:sz w:val="36"/>
        </w:rPr>
        <w:t xml:space="preserve"> </w:t>
      </w:r>
      <w:r w:rsidR="00BC6637" w:rsidRPr="00A46EC3">
        <w:rPr>
          <w:rFonts w:ascii="Arial" w:hAnsi="Arial" w:cs="Arial"/>
          <w:bCs/>
          <w:iCs/>
          <w:kern w:val="28"/>
          <w:sz w:val="36"/>
        </w:rPr>
        <w:t xml:space="preserve">Ether </w:t>
      </w:r>
      <w:r w:rsidR="00090724" w:rsidRPr="00A46EC3">
        <w:rPr>
          <w:rFonts w:ascii="Arial" w:hAnsi="Arial" w:cs="Arial"/>
          <w:bCs/>
          <w:iCs/>
          <w:kern w:val="28"/>
          <w:sz w:val="36"/>
        </w:rPr>
        <w:t>E</w:t>
      </w:r>
      <w:r w:rsidRPr="00A46EC3">
        <w:rPr>
          <w:rFonts w:ascii="Arial" w:hAnsi="Arial" w:cs="Arial"/>
          <w:bCs/>
          <w:iCs/>
          <w:kern w:val="28"/>
          <w:sz w:val="36"/>
        </w:rPr>
        <w:t xml:space="preserve">xtracts of </w:t>
      </w:r>
      <w:r w:rsidR="00090724" w:rsidRPr="00A46EC3">
        <w:rPr>
          <w:rFonts w:ascii="Arial" w:hAnsi="Arial" w:cs="Arial"/>
          <w:bCs/>
          <w:iCs/>
          <w:kern w:val="28"/>
          <w:sz w:val="36"/>
        </w:rPr>
        <w:t>C</w:t>
      </w:r>
      <w:r w:rsidRPr="00A46EC3">
        <w:rPr>
          <w:rFonts w:ascii="Arial" w:hAnsi="Arial" w:cs="Arial"/>
          <w:bCs/>
          <w:iCs/>
          <w:kern w:val="28"/>
          <w:sz w:val="36"/>
        </w:rPr>
        <w:t xml:space="preserve">ommercial </w:t>
      </w:r>
      <w:r w:rsidR="00090724" w:rsidRPr="00A46EC3">
        <w:rPr>
          <w:rFonts w:ascii="Arial" w:hAnsi="Arial" w:cs="Arial"/>
          <w:bCs/>
          <w:iCs/>
          <w:kern w:val="28"/>
          <w:sz w:val="36"/>
        </w:rPr>
        <w:t>C</w:t>
      </w:r>
      <w:r w:rsidRPr="00A46EC3">
        <w:rPr>
          <w:rFonts w:ascii="Arial" w:hAnsi="Arial" w:cs="Arial"/>
          <w:bCs/>
          <w:iCs/>
          <w:kern w:val="28"/>
          <w:sz w:val="36"/>
        </w:rPr>
        <w:t>love (</w:t>
      </w:r>
      <w:proofErr w:type="spellStart"/>
      <w:r w:rsidRPr="00A46EC3">
        <w:rPr>
          <w:rFonts w:ascii="Arial" w:hAnsi="Arial" w:cs="Arial"/>
          <w:bCs/>
          <w:i/>
          <w:kern w:val="28"/>
          <w:sz w:val="36"/>
        </w:rPr>
        <w:t>Syzygium</w:t>
      </w:r>
      <w:proofErr w:type="spellEnd"/>
      <w:r w:rsidRPr="00A46EC3">
        <w:rPr>
          <w:rFonts w:ascii="Arial" w:hAnsi="Arial" w:cs="Arial"/>
          <w:bCs/>
          <w:i/>
          <w:kern w:val="28"/>
          <w:sz w:val="36"/>
        </w:rPr>
        <w:t xml:space="preserve"> </w:t>
      </w:r>
      <w:proofErr w:type="spellStart"/>
      <w:r w:rsidRPr="00A46EC3">
        <w:rPr>
          <w:rFonts w:ascii="Arial" w:hAnsi="Arial" w:cs="Arial"/>
          <w:bCs/>
          <w:i/>
          <w:kern w:val="28"/>
          <w:sz w:val="36"/>
        </w:rPr>
        <w:t>aromaticum</w:t>
      </w:r>
      <w:proofErr w:type="spellEnd"/>
      <w:r w:rsidR="00A46EC3" w:rsidRPr="00A46EC3">
        <w:rPr>
          <w:rFonts w:ascii="Arial" w:hAnsi="Arial" w:cs="Arial"/>
          <w:bCs/>
          <w:iCs/>
          <w:kern w:val="28"/>
          <w:sz w:val="36"/>
        </w:rPr>
        <w:t xml:space="preserve"> </w:t>
      </w:r>
      <w:r w:rsidRPr="00A46EC3">
        <w:rPr>
          <w:rFonts w:ascii="Arial" w:hAnsi="Arial" w:cs="Arial"/>
          <w:bCs/>
          <w:iCs/>
          <w:kern w:val="28"/>
          <w:sz w:val="36"/>
        </w:rPr>
        <w:t xml:space="preserve">(L.) </w:t>
      </w:r>
      <w:proofErr w:type="spellStart"/>
      <w:r w:rsidRPr="00A46EC3">
        <w:rPr>
          <w:rFonts w:ascii="Arial" w:hAnsi="Arial" w:cs="Arial"/>
          <w:bCs/>
          <w:iCs/>
          <w:kern w:val="28"/>
          <w:sz w:val="36"/>
        </w:rPr>
        <w:t>Merr</w:t>
      </w:r>
      <w:proofErr w:type="spellEnd"/>
      <w:r w:rsidRPr="00A46EC3">
        <w:rPr>
          <w:rFonts w:ascii="Arial" w:hAnsi="Arial" w:cs="Arial"/>
          <w:bCs/>
          <w:iCs/>
          <w:kern w:val="28"/>
          <w:sz w:val="36"/>
        </w:rPr>
        <w:t>. &amp; L.</w:t>
      </w:r>
      <w:r w:rsidR="00090724" w:rsidRPr="00A46EC3">
        <w:rPr>
          <w:rFonts w:ascii="Arial" w:hAnsi="Arial" w:cs="Arial"/>
          <w:bCs/>
          <w:iCs/>
          <w:kern w:val="28"/>
          <w:sz w:val="36"/>
        </w:rPr>
        <w:t xml:space="preserve"> </w:t>
      </w:r>
      <w:r w:rsidRPr="00A46EC3">
        <w:rPr>
          <w:rFonts w:ascii="Arial" w:hAnsi="Arial" w:cs="Arial"/>
          <w:bCs/>
          <w:iCs/>
          <w:kern w:val="28"/>
          <w:sz w:val="36"/>
        </w:rPr>
        <w:t>M.</w:t>
      </w:r>
      <w:r w:rsidR="00090724" w:rsidRPr="00A46EC3">
        <w:rPr>
          <w:rFonts w:ascii="Arial" w:hAnsi="Arial" w:cs="Arial"/>
          <w:bCs/>
          <w:iCs/>
          <w:kern w:val="28"/>
          <w:sz w:val="36"/>
        </w:rPr>
        <w:t xml:space="preserve"> </w:t>
      </w:r>
      <w:r w:rsidRPr="00A46EC3">
        <w:rPr>
          <w:rFonts w:ascii="Arial" w:hAnsi="Arial" w:cs="Arial"/>
          <w:bCs/>
          <w:iCs/>
          <w:kern w:val="28"/>
          <w:sz w:val="36"/>
        </w:rPr>
        <w:t>Perry)</w:t>
      </w:r>
    </w:p>
    <w:bookmarkEnd w:id="0"/>
    <w:p w14:paraId="6091BCA1" w14:textId="77777777" w:rsidR="00A258C3" w:rsidRPr="00A46EC3" w:rsidRDefault="00A258C3" w:rsidP="00441B6F">
      <w:pPr>
        <w:pStyle w:val="Author"/>
        <w:spacing w:line="240" w:lineRule="auto"/>
        <w:jc w:val="both"/>
        <w:rPr>
          <w:rFonts w:ascii="Arial" w:hAnsi="Arial" w:cs="Arial"/>
          <w:sz w:val="36"/>
        </w:rPr>
      </w:pPr>
    </w:p>
    <w:p w14:paraId="5438A9D9" w14:textId="77777777" w:rsidR="002C57D2" w:rsidRPr="00A46EC3" w:rsidRDefault="002C57D2" w:rsidP="00441B6F">
      <w:pPr>
        <w:pStyle w:val="Affiliation"/>
        <w:spacing w:after="0" w:line="240" w:lineRule="auto"/>
        <w:jc w:val="both"/>
        <w:rPr>
          <w:rFonts w:ascii="Arial" w:hAnsi="Arial" w:cs="Arial"/>
        </w:rPr>
      </w:pPr>
    </w:p>
    <w:p w14:paraId="1CD8BA9B" w14:textId="73B2F9EF" w:rsidR="00B01FCD" w:rsidRPr="00A46EC3" w:rsidRDefault="00E80E5F" w:rsidP="00441B6F">
      <w:pPr>
        <w:pStyle w:val="Copyright"/>
        <w:spacing w:after="0" w:line="240" w:lineRule="auto"/>
        <w:jc w:val="both"/>
        <w:rPr>
          <w:rFonts w:ascii="Arial" w:hAnsi="Arial" w:cs="Arial"/>
        </w:rPr>
        <w:sectPr w:rsidR="00B01FCD" w:rsidRPr="00A46EC3" w:rsidSect="001A4B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46EC3">
        <w:rPr>
          <w:rFonts w:ascii="Arial" w:hAnsi="Arial" w:cs="Arial"/>
          <w:noProof/>
        </w:rPr>
        <mc:AlternateContent>
          <mc:Choice Requires="wps">
            <w:drawing>
              <wp:inline distT="0" distB="0" distL="0" distR="0" wp14:anchorId="7893D68E" wp14:editId="37E8A948">
                <wp:extent cx="5234940" cy="635"/>
                <wp:effectExtent l="17145" t="15875" r="15240" b="12700"/>
                <wp:docPr id="1665919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0FE7B4F2" id="_x0000_t32" coordsize="21600,21600" o:spt="32" o:oned="t" path="m,l21600,21600e" filled="f">
                <v:path arrowok="t" fillok="f" o:connecttype="none"/>
                <o:lock v:ext="edit" shapetype="t"/>
              </v:shapetype>
              <v:shape id="AutoShape 3" o:spid="_x0000_s1026" type="#_x0000_t32" style="width:412.2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ruQEAAFcDAAAOAAAAZHJzL2Uyb0RvYy54bWysU8Fu2zAMvQ/YPwi6L3aydli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" strokeweight="1.5pt">
                <w10:anchorlock/>
              </v:shape>
            </w:pict>
          </mc:Fallback>
        </mc:AlternateContent>
      </w:r>
      <w:r w:rsidR="00FB3A86" w:rsidRPr="00A46EC3">
        <w:rPr>
          <w:rFonts w:ascii="Arial" w:hAnsi="Arial" w:cs="Arial"/>
        </w:rPr>
        <w:t>.</w:t>
      </w:r>
    </w:p>
    <w:p w14:paraId="417B9ECE" w14:textId="0FB4F907" w:rsidR="00B01FCD" w:rsidRPr="00A46EC3" w:rsidRDefault="00B01FCD" w:rsidP="00441B6F">
      <w:pPr>
        <w:pStyle w:val="AbstHead"/>
        <w:spacing w:after="0"/>
        <w:jc w:val="both"/>
        <w:rPr>
          <w:rFonts w:ascii="Arial" w:hAnsi="Arial" w:cs="Arial"/>
        </w:rPr>
      </w:pPr>
      <w:r w:rsidRPr="00A46EC3">
        <w:rPr>
          <w:rFonts w:ascii="Arial" w:hAnsi="Arial" w:cs="Arial"/>
        </w:rPr>
        <w:t>ABSTRACT</w:t>
      </w:r>
    </w:p>
    <w:p w14:paraId="3E881E27" w14:textId="77777777" w:rsidR="00790ADA" w:rsidRPr="00A46EC3" w:rsidRDefault="00790ADA" w:rsidP="00441B6F">
      <w:pPr>
        <w:pStyle w:val="AbstHead"/>
        <w:spacing w:after="0"/>
        <w:jc w:val="both"/>
        <w:rPr>
          <w:rFonts w:ascii="Arial" w:hAnsi="Arial" w:cs="Arial"/>
          <w:b w:val="0"/>
          <w:bCs/>
        </w:rPr>
      </w:pPr>
      <w:bookmarkStart w:id="1" w:name="_GoBack"/>
      <w:bookmarkEnd w:id="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A46EC3" w14:paraId="43523457" w14:textId="77777777" w:rsidTr="00CA0BB9">
        <w:trPr>
          <w:trHeight w:val="2709"/>
        </w:trPr>
        <w:tc>
          <w:tcPr>
            <w:tcW w:w="8222" w:type="dxa"/>
            <w:shd w:val="clear" w:color="auto" w:fill="F2F2F2"/>
            <w:vAlign w:val="center"/>
          </w:tcPr>
          <w:p w14:paraId="75150AF4" w14:textId="6C39D494" w:rsidR="00505F06" w:rsidRPr="00A46EC3" w:rsidRDefault="00CA0BB9" w:rsidP="00CA0BB9">
            <w:pPr>
              <w:pStyle w:val="Body"/>
              <w:spacing w:after="0"/>
              <w:rPr>
                <w:rFonts w:ascii="Arial" w:eastAsia="Calibri" w:hAnsi="Arial" w:cs="Arial"/>
                <w:bCs/>
                <w:szCs w:val="22"/>
              </w:rPr>
            </w:pPr>
            <w:r w:rsidRPr="00A46EC3">
              <w:rPr>
                <w:rFonts w:ascii="Arial" w:eastAsia="Calibri" w:hAnsi="Arial" w:cs="Arial"/>
                <w:bCs/>
                <w:szCs w:val="22"/>
              </w:rPr>
              <w:t xml:space="preserve">In this study, ethanolic and petroleum ether extracts of commercial cloves were prepared and analyzed. Soxhlet extraction (SE) and ultrasonic extraction (UAE) were used to prepare the extracts. </w:t>
            </w:r>
            <w:r w:rsidR="00827690" w:rsidRPr="00A46EC3">
              <w:rPr>
                <w:rFonts w:ascii="Arial" w:eastAsia="Calibri" w:hAnsi="Arial" w:cs="Arial"/>
                <w:bCs/>
                <w:szCs w:val="22"/>
              </w:rPr>
              <w:t xml:space="preserve">Phytochemicals from plant material were extracted for 2 hours, in the case of both extraction techniques. </w:t>
            </w:r>
            <w:r w:rsidRPr="00A46EC3">
              <w:rPr>
                <w:rFonts w:ascii="Arial" w:eastAsia="Calibri" w:hAnsi="Arial" w:cs="Arial"/>
                <w:bCs/>
                <w:szCs w:val="22"/>
              </w:rPr>
              <w:t>The content of total polyphenols and flavonoids, as well as their antioxidant and antibacterial activity, were analyzed in the extracts. The results show an extremely high content of total polyphenols, which was also confirmed by the high antioxidant capacity, confirmed by DPPH and FRAP methods. Antibacterial screening on reference bacterial strains from the WDCM collection shows high potency of clove extracts at the tested concentration. In terms of the efficiency of extraction of bioactive components, petroleum ether in combination with ultrasonic extraction is the most effective. These results may contribute to further research and optimization of the extraction of biologically active components from cloves and related plant materials.</w:t>
            </w:r>
          </w:p>
        </w:tc>
      </w:tr>
    </w:tbl>
    <w:p w14:paraId="43AED7A1" w14:textId="77777777" w:rsidR="00636EB2" w:rsidRPr="00A46EC3" w:rsidRDefault="00636EB2" w:rsidP="00441B6F">
      <w:pPr>
        <w:pStyle w:val="Body"/>
        <w:spacing w:after="0"/>
        <w:rPr>
          <w:rFonts w:ascii="Arial" w:hAnsi="Arial" w:cs="Arial"/>
          <w:i/>
        </w:rPr>
      </w:pPr>
    </w:p>
    <w:p w14:paraId="19AD43BE" w14:textId="7FB311BA" w:rsidR="0024282C" w:rsidRPr="00A46EC3" w:rsidRDefault="00A24E7E" w:rsidP="00441B6F">
      <w:pPr>
        <w:pStyle w:val="Body"/>
        <w:spacing w:after="0"/>
        <w:rPr>
          <w:rFonts w:ascii="Arial" w:hAnsi="Arial" w:cs="Arial"/>
          <w:i/>
        </w:rPr>
      </w:pPr>
      <w:r w:rsidRPr="00A46EC3">
        <w:rPr>
          <w:rFonts w:ascii="Arial" w:hAnsi="Arial" w:cs="Arial"/>
          <w:i/>
        </w:rPr>
        <w:t xml:space="preserve">Keywords: </w:t>
      </w:r>
      <w:r w:rsidR="00AF13B4" w:rsidRPr="00A46EC3">
        <w:rPr>
          <w:rFonts w:ascii="Arial" w:hAnsi="Arial" w:cs="Arial"/>
          <w:i/>
        </w:rPr>
        <w:t>Clove</w:t>
      </w:r>
      <w:r w:rsidR="008D3419" w:rsidRPr="00A46EC3">
        <w:rPr>
          <w:rFonts w:ascii="Arial" w:hAnsi="Arial" w:cs="Arial"/>
          <w:i/>
        </w:rPr>
        <w:t>;</w:t>
      </w:r>
      <w:r w:rsidR="00AF13B4" w:rsidRPr="00A46EC3">
        <w:rPr>
          <w:rFonts w:ascii="Arial" w:hAnsi="Arial" w:cs="Arial"/>
          <w:i/>
        </w:rPr>
        <w:t xml:space="preserve"> natural antioxidants</w:t>
      </w:r>
      <w:r w:rsidR="008D3419" w:rsidRPr="00A46EC3">
        <w:rPr>
          <w:rFonts w:ascii="Arial" w:hAnsi="Arial" w:cs="Arial"/>
          <w:i/>
        </w:rPr>
        <w:t>;</w:t>
      </w:r>
      <w:r w:rsidR="00AF13B4" w:rsidRPr="00A46EC3">
        <w:rPr>
          <w:rFonts w:ascii="Arial" w:hAnsi="Arial" w:cs="Arial"/>
          <w:i/>
        </w:rPr>
        <w:t xml:space="preserve"> polyphenols</w:t>
      </w:r>
      <w:r w:rsidR="008D3419" w:rsidRPr="00A46EC3">
        <w:rPr>
          <w:rFonts w:ascii="Arial" w:hAnsi="Arial" w:cs="Arial"/>
          <w:i/>
        </w:rPr>
        <w:t>;</w:t>
      </w:r>
      <w:r w:rsidR="00AF13B4" w:rsidRPr="00A46EC3">
        <w:rPr>
          <w:rFonts w:ascii="Arial" w:hAnsi="Arial" w:cs="Arial"/>
          <w:i/>
        </w:rPr>
        <w:t xml:space="preserve"> flavonoids</w:t>
      </w:r>
      <w:r w:rsidR="008D3419" w:rsidRPr="00A46EC3">
        <w:rPr>
          <w:rFonts w:ascii="Arial" w:hAnsi="Arial" w:cs="Arial"/>
          <w:i/>
        </w:rPr>
        <w:t>;</w:t>
      </w:r>
      <w:r w:rsidR="00AF13B4" w:rsidRPr="00A46EC3">
        <w:rPr>
          <w:rFonts w:ascii="Arial" w:hAnsi="Arial" w:cs="Arial"/>
          <w:i/>
        </w:rPr>
        <w:t xml:space="preserve"> antibacterial activity</w:t>
      </w:r>
      <w:r w:rsidR="008D3419" w:rsidRPr="00A46EC3">
        <w:rPr>
          <w:rFonts w:ascii="Arial" w:hAnsi="Arial" w:cs="Arial"/>
          <w:i/>
        </w:rPr>
        <w:t>.</w:t>
      </w:r>
    </w:p>
    <w:p w14:paraId="270C9F39" w14:textId="77777777" w:rsidR="00505F06" w:rsidRPr="00A46EC3" w:rsidRDefault="00505F06" w:rsidP="00441B6F">
      <w:pPr>
        <w:pStyle w:val="Body"/>
        <w:spacing w:after="0"/>
        <w:rPr>
          <w:rFonts w:ascii="Arial" w:hAnsi="Arial" w:cs="Arial"/>
          <w:i/>
        </w:rPr>
      </w:pPr>
    </w:p>
    <w:p w14:paraId="2A452753" w14:textId="2C38B19D" w:rsidR="007F7B32" w:rsidRPr="00A46EC3" w:rsidRDefault="00902823" w:rsidP="00441B6F">
      <w:pPr>
        <w:pStyle w:val="AbstHead"/>
        <w:spacing w:after="0"/>
        <w:jc w:val="both"/>
        <w:rPr>
          <w:rFonts w:ascii="Arial" w:hAnsi="Arial" w:cs="Arial"/>
        </w:rPr>
      </w:pPr>
      <w:r w:rsidRPr="00A46EC3">
        <w:rPr>
          <w:rFonts w:ascii="Arial" w:hAnsi="Arial" w:cs="Arial"/>
        </w:rPr>
        <w:t xml:space="preserve">1. </w:t>
      </w:r>
      <w:r w:rsidR="00B01FCD" w:rsidRPr="00A46EC3">
        <w:rPr>
          <w:rFonts w:ascii="Arial" w:hAnsi="Arial" w:cs="Arial"/>
        </w:rPr>
        <w:t>INTRODUCTION</w:t>
      </w:r>
    </w:p>
    <w:p w14:paraId="3A0257EB" w14:textId="77777777" w:rsidR="00790ADA" w:rsidRPr="00A46EC3" w:rsidRDefault="00790ADA" w:rsidP="00441B6F">
      <w:pPr>
        <w:pStyle w:val="AbstHead"/>
        <w:spacing w:after="0"/>
        <w:jc w:val="both"/>
        <w:rPr>
          <w:rFonts w:ascii="Arial" w:hAnsi="Arial" w:cs="Arial"/>
        </w:rPr>
      </w:pPr>
    </w:p>
    <w:p w14:paraId="3F557F58" w14:textId="227F8F4A" w:rsidR="00AF13B4" w:rsidRPr="00A46EC3" w:rsidRDefault="00AF13B4" w:rsidP="00441B6F">
      <w:pPr>
        <w:pStyle w:val="Body"/>
        <w:spacing w:after="0"/>
        <w:rPr>
          <w:rFonts w:ascii="Arial" w:hAnsi="Arial" w:cs="Arial"/>
        </w:rPr>
      </w:pPr>
      <w:r w:rsidRPr="00A46EC3">
        <w:rPr>
          <w:rFonts w:ascii="Arial" w:hAnsi="Arial" w:cs="Arial"/>
        </w:rPr>
        <w:t xml:space="preserve">Traditional medicine, which relies on medicinal plants, plays an increasingly important role in the treatment of a wide range of acute and chronic diseases. It is believed that natural medicines derived from medicinal plants usually have fewer side effects and are more effective than synthetic drugs, which is why their use has gained importance in the last decade. </w:t>
      </w:r>
      <w:r w:rsidR="00482085" w:rsidRPr="00A46EC3">
        <w:rPr>
          <w:rFonts w:ascii="Arial" w:hAnsi="Arial" w:cs="Arial"/>
        </w:rPr>
        <w:t>“</w:t>
      </w:r>
      <w:r w:rsidRPr="00A46EC3">
        <w:rPr>
          <w:rFonts w:ascii="Arial" w:hAnsi="Arial" w:cs="Arial"/>
        </w:rPr>
        <w:t>Today, traditional natural medicines are the primary source of health care for about 80% of the world's population</w:t>
      </w:r>
      <w:r w:rsidR="00482085" w:rsidRPr="00A46EC3">
        <w:rPr>
          <w:rFonts w:ascii="Arial" w:hAnsi="Arial" w:cs="Arial"/>
        </w:rPr>
        <w:t>”</w:t>
      </w:r>
      <w:r w:rsidRPr="00A46EC3">
        <w:rPr>
          <w:rFonts w:ascii="Arial" w:hAnsi="Arial" w:cs="Arial"/>
        </w:rPr>
        <w:t xml:space="preserve"> (Lone and Jain, 2022). The aromatic woody medicinal plant </w:t>
      </w:r>
      <w:proofErr w:type="spellStart"/>
      <w:r w:rsidRPr="00A46EC3">
        <w:rPr>
          <w:rFonts w:ascii="Arial" w:hAnsi="Arial" w:cs="Arial"/>
        </w:rPr>
        <w:t>Syzygium</w:t>
      </w:r>
      <w:proofErr w:type="spellEnd"/>
      <w:r w:rsidRPr="00A46EC3">
        <w:rPr>
          <w:rFonts w:ascii="Arial" w:hAnsi="Arial" w:cs="Arial"/>
        </w:rPr>
        <w:t xml:space="preserve"> </w:t>
      </w:r>
      <w:proofErr w:type="spellStart"/>
      <w:r w:rsidRPr="00A46EC3">
        <w:rPr>
          <w:rFonts w:ascii="Arial" w:hAnsi="Arial" w:cs="Arial"/>
        </w:rPr>
        <w:t>aromaticum</w:t>
      </w:r>
      <w:proofErr w:type="spellEnd"/>
      <w:r w:rsidRPr="00A46EC3">
        <w:rPr>
          <w:rFonts w:ascii="Arial" w:hAnsi="Arial" w:cs="Arial"/>
        </w:rPr>
        <w:t xml:space="preserve"> (L.) </w:t>
      </w:r>
      <w:proofErr w:type="spellStart"/>
      <w:r w:rsidRPr="00A46EC3">
        <w:rPr>
          <w:rFonts w:ascii="Arial" w:hAnsi="Arial" w:cs="Arial"/>
        </w:rPr>
        <w:t>Merr</w:t>
      </w:r>
      <w:proofErr w:type="spellEnd"/>
      <w:r w:rsidRPr="00A46EC3">
        <w:rPr>
          <w:rFonts w:ascii="Arial" w:hAnsi="Arial" w:cs="Arial"/>
        </w:rPr>
        <w:t xml:space="preserve">. &amp; L. M. Perry) (alternative names: Eugenia </w:t>
      </w:r>
      <w:proofErr w:type="spellStart"/>
      <w:r w:rsidRPr="00A46EC3">
        <w:rPr>
          <w:rFonts w:ascii="Arial" w:hAnsi="Arial" w:cs="Arial"/>
        </w:rPr>
        <w:t>caryophyllata</w:t>
      </w:r>
      <w:proofErr w:type="spellEnd"/>
      <w:r w:rsidRPr="00A46EC3">
        <w:rPr>
          <w:rFonts w:ascii="Arial" w:hAnsi="Arial" w:cs="Arial"/>
        </w:rPr>
        <w:t xml:space="preserve">, Eugenia </w:t>
      </w:r>
      <w:proofErr w:type="spellStart"/>
      <w:r w:rsidRPr="00A46EC3">
        <w:rPr>
          <w:rFonts w:ascii="Arial" w:hAnsi="Arial" w:cs="Arial"/>
        </w:rPr>
        <w:t>aromatica</w:t>
      </w:r>
      <w:proofErr w:type="spellEnd"/>
      <w:r w:rsidRPr="00A46EC3">
        <w:rPr>
          <w:rFonts w:ascii="Arial" w:hAnsi="Arial" w:cs="Arial"/>
        </w:rPr>
        <w:t xml:space="preserve">, Eugenia </w:t>
      </w:r>
      <w:proofErr w:type="spellStart"/>
      <w:r w:rsidRPr="00A46EC3">
        <w:rPr>
          <w:rFonts w:ascii="Arial" w:hAnsi="Arial" w:cs="Arial"/>
        </w:rPr>
        <w:t>carophyllus</w:t>
      </w:r>
      <w:proofErr w:type="spellEnd"/>
      <w:r w:rsidRPr="00A46EC3">
        <w:rPr>
          <w:rFonts w:ascii="Arial" w:hAnsi="Arial" w:cs="Arial"/>
        </w:rPr>
        <w:t xml:space="preserve">), also known as clove, belongs to the family </w:t>
      </w:r>
      <w:proofErr w:type="spellStart"/>
      <w:r w:rsidRPr="00A46EC3">
        <w:rPr>
          <w:rFonts w:ascii="Arial" w:hAnsi="Arial" w:cs="Arial"/>
        </w:rPr>
        <w:t>Myrtaceae</w:t>
      </w:r>
      <w:proofErr w:type="spellEnd"/>
      <w:r w:rsidRPr="00A46EC3">
        <w:rPr>
          <w:rFonts w:ascii="Arial" w:hAnsi="Arial" w:cs="Arial"/>
        </w:rPr>
        <w:t xml:space="preserve">. It belongs to the genus </w:t>
      </w:r>
      <w:proofErr w:type="spellStart"/>
      <w:r w:rsidRPr="00A46EC3">
        <w:rPr>
          <w:rFonts w:ascii="Arial" w:hAnsi="Arial" w:cs="Arial"/>
        </w:rPr>
        <w:t>Syzygium</w:t>
      </w:r>
      <w:proofErr w:type="spellEnd"/>
      <w:r w:rsidRPr="00A46EC3">
        <w:rPr>
          <w:rFonts w:ascii="Arial" w:hAnsi="Arial" w:cs="Arial"/>
        </w:rPr>
        <w:t xml:space="preserve">, which is the largest genus within this family. </w:t>
      </w:r>
      <w:r w:rsidR="00482085" w:rsidRPr="00A46EC3">
        <w:rPr>
          <w:rFonts w:ascii="Arial" w:hAnsi="Arial" w:cs="Arial"/>
        </w:rPr>
        <w:t>“</w:t>
      </w:r>
      <w:r w:rsidRPr="00A46EC3">
        <w:rPr>
          <w:rFonts w:ascii="Arial" w:hAnsi="Arial" w:cs="Arial"/>
        </w:rPr>
        <w:t>It originally came from the island of Maluku in eastern Indonesia, where it is an autochthonous species, and today it is cultivated all over the world, especially in Sri Lanka, India, Madagascar, Indonesia and southern China</w:t>
      </w:r>
      <w:r w:rsidR="00482085" w:rsidRPr="00A46EC3">
        <w:rPr>
          <w:rFonts w:ascii="Arial" w:hAnsi="Arial" w:cs="Arial"/>
        </w:rPr>
        <w:t>”</w:t>
      </w:r>
      <w:r w:rsidRPr="00A46EC3">
        <w:rPr>
          <w:rFonts w:ascii="Arial" w:hAnsi="Arial" w:cs="Arial"/>
        </w:rPr>
        <w:t xml:space="preserve"> (</w:t>
      </w:r>
      <w:proofErr w:type="spellStart"/>
      <w:r w:rsidRPr="00A46EC3">
        <w:rPr>
          <w:rFonts w:ascii="Arial" w:hAnsi="Arial" w:cs="Arial"/>
        </w:rPr>
        <w:t>Boughendjioua</w:t>
      </w:r>
      <w:proofErr w:type="spellEnd"/>
      <w:r w:rsidRPr="00A46EC3">
        <w:rPr>
          <w:rFonts w:ascii="Arial" w:hAnsi="Arial" w:cs="Arial"/>
        </w:rPr>
        <w:t xml:space="preserve">, 2018; Pandey et al., 2023). S. </w:t>
      </w:r>
      <w:proofErr w:type="spellStart"/>
      <w:r w:rsidRPr="00A46EC3">
        <w:rPr>
          <w:rFonts w:ascii="Arial" w:hAnsi="Arial" w:cs="Arial"/>
        </w:rPr>
        <w:t>aromaticum</w:t>
      </w:r>
      <w:proofErr w:type="spellEnd"/>
      <w:r w:rsidRPr="00A46EC3">
        <w:rPr>
          <w:rFonts w:ascii="Arial" w:hAnsi="Arial" w:cs="Arial"/>
        </w:rPr>
        <w:t xml:space="preserve"> is a species that has been of extremely high economic importance since ancient times. It is originally known as a culinary spice with wide use in traditional medicine. The commercial part of this tree is the flower buds, the production of which begins only four years after planting. They are collected in the ripening stage before flowering (Filho et al., 2013). Due to the variety of bioactive components, it is often used in agriculture, cosmetics and gastronomy (Pandey et al., 2023). Three types of essential oils are obtained from this fragrant woody plant: clove flower stem oil, </w:t>
      </w:r>
      <w:proofErr w:type="spellStart"/>
      <w:r w:rsidRPr="00A46EC3">
        <w:rPr>
          <w:rFonts w:ascii="Arial" w:hAnsi="Arial" w:cs="Arial"/>
        </w:rPr>
        <w:t>clove</w:t>
      </w:r>
      <w:proofErr w:type="spellEnd"/>
      <w:r w:rsidRPr="00A46EC3">
        <w:rPr>
          <w:rFonts w:ascii="Arial" w:hAnsi="Arial" w:cs="Arial"/>
        </w:rPr>
        <w:t xml:space="preserve"> leaf oil and clove flower bud oil, with flower bud oil being the most used. Each clove essential oil, which is often denoted by the abbreviation CEO (Clove Essential Oil) in the literature, differs in its chemical composition, taste and color. The total amount of secondary metabolites depends on the quality and nature of the soil, climatic factors in which the plant </w:t>
      </w:r>
      <w:r w:rsidRPr="00A46EC3">
        <w:rPr>
          <w:rFonts w:ascii="Arial" w:hAnsi="Arial" w:cs="Arial"/>
        </w:rPr>
        <w:lastRenderedPageBreak/>
        <w:t>grows, techniques of growing and treating the plant, and genetic factors (</w:t>
      </w:r>
      <w:proofErr w:type="spellStart"/>
      <w:r w:rsidRPr="00A46EC3">
        <w:rPr>
          <w:rFonts w:ascii="Arial" w:hAnsi="Arial" w:cs="Arial"/>
        </w:rPr>
        <w:t>Liñán-Atero</w:t>
      </w:r>
      <w:proofErr w:type="spellEnd"/>
      <w:r w:rsidRPr="00A46EC3">
        <w:rPr>
          <w:rFonts w:ascii="Arial" w:hAnsi="Arial" w:cs="Arial"/>
        </w:rPr>
        <w:t xml:space="preserve"> et al., 2024; </w:t>
      </w:r>
      <w:proofErr w:type="spellStart"/>
      <w:r w:rsidRPr="00A46EC3">
        <w:rPr>
          <w:rFonts w:ascii="Arial" w:hAnsi="Arial" w:cs="Arial"/>
        </w:rPr>
        <w:t>Chaieb</w:t>
      </w:r>
      <w:proofErr w:type="spellEnd"/>
      <w:r w:rsidRPr="00A46EC3">
        <w:rPr>
          <w:rFonts w:ascii="Arial" w:hAnsi="Arial" w:cs="Arial"/>
        </w:rPr>
        <w:t xml:space="preserve"> et al., 2007; </w:t>
      </w:r>
      <w:proofErr w:type="spellStart"/>
      <w:r w:rsidRPr="00A46EC3">
        <w:rPr>
          <w:rFonts w:ascii="Arial" w:hAnsi="Arial" w:cs="Arial"/>
        </w:rPr>
        <w:t>Boughendjioua</w:t>
      </w:r>
      <w:proofErr w:type="spellEnd"/>
      <w:r w:rsidRPr="00A46EC3">
        <w:rPr>
          <w:rFonts w:ascii="Arial" w:hAnsi="Arial" w:cs="Arial"/>
        </w:rPr>
        <w:t xml:space="preserve">, 2018). </w:t>
      </w:r>
    </w:p>
    <w:p w14:paraId="14755170" w14:textId="66202CBC" w:rsidR="00AF13B4" w:rsidRPr="00A46EC3" w:rsidRDefault="00AF13B4" w:rsidP="00441B6F">
      <w:pPr>
        <w:pStyle w:val="Body"/>
        <w:spacing w:after="0"/>
        <w:rPr>
          <w:rFonts w:ascii="Arial" w:hAnsi="Arial" w:cs="Arial"/>
        </w:rPr>
      </w:pPr>
      <w:r w:rsidRPr="00A46EC3">
        <w:rPr>
          <w:rFonts w:ascii="Arial" w:hAnsi="Arial" w:cs="Arial"/>
        </w:rPr>
        <w:t>Current methods of extracting bioactive compounds from cloves are numerous, but the most commonly used methods include steam distillation, supercritical fluid extraction, and solvent extraction (</w:t>
      </w:r>
      <w:proofErr w:type="spellStart"/>
      <w:r w:rsidRPr="00A46EC3">
        <w:rPr>
          <w:rFonts w:ascii="Arial" w:hAnsi="Arial" w:cs="Arial"/>
        </w:rPr>
        <w:t>Uwineza</w:t>
      </w:r>
      <w:proofErr w:type="spellEnd"/>
      <w:r w:rsidRPr="00A46EC3">
        <w:rPr>
          <w:rFonts w:ascii="Arial" w:hAnsi="Arial" w:cs="Arial"/>
        </w:rPr>
        <w:t xml:space="preserve"> et al., 2020). Available research shows that solvents such as ethanol and petroleum ether efficiently extract bioactive compounds from cloves, but with different activity profiles. Ethanol and petroleum ether are solvents of different polarity, so they are expected to extract different groups of bioactive compounds from cloves, which may affect their biological activity (</w:t>
      </w:r>
      <w:proofErr w:type="spellStart"/>
      <w:r w:rsidRPr="00A46EC3">
        <w:rPr>
          <w:rFonts w:ascii="Arial" w:hAnsi="Arial" w:cs="Arial"/>
        </w:rPr>
        <w:t>Akter</w:t>
      </w:r>
      <w:proofErr w:type="spellEnd"/>
      <w:r w:rsidRPr="00A46EC3">
        <w:rPr>
          <w:rFonts w:ascii="Arial" w:hAnsi="Arial" w:cs="Arial"/>
        </w:rPr>
        <w:t xml:space="preserve"> et al., 2010). Petroleum ether is a non-polar solvent, and its use yields non-polar lipids, sesquiterpenes such as caryophyllene and humulene from cloves. Ethanol is a polar solvent used for the extraction of a wide range of compounds, and its use allows the isolation of flavonoids, phenolic compounds, tannins, saponins, alkaloids, and glycosides (</w:t>
      </w:r>
      <w:proofErr w:type="spellStart"/>
      <w:r w:rsidRPr="00A46EC3">
        <w:rPr>
          <w:rFonts w:ascii="Arial" w:hAnsi="Arial" w:cs="Arial"/>
        </w:rPr>
        <w:t>Hemalatha</w:t>
      </w:r>
      <w:proofErr w:type="spellEnd"/>
      <w:r w:rsidRPr="00A46EC3">
        <w:rPr>
          <w:rFonts w:ascii="Arial" w:hAnsi="Arial" w:cs="Arial"/>
        </w:rPr>
        <w:t xml:space="preserve"> et al., 2016; Cortés-Rojas et al., 2014; Mostafa et al., 2023). The efficacy of S. </w:t>
      </w:r>
      <w:proofErr w:type="spellStart"/>
      <w:r w:rsidRPr="00A46EC3">
        <w:rPr>
          <w:rFonts w:ascii="Arial" w:hAnsi="Arial" w:cs="Arial"/>
        </w:rPr>
        <w:t>aromaticum</w:t>
      </w:r>
      <w:proofErr w:type="spellEnd"/>
      <w:r w:rsidRPr="00A46EC3">
        <w:rPr>
          <w:rFonts w:ascii="Arial" w:hAnsi="Arial" w:cs="Arial"/>
        </w:rPr>
        <w:t xml:space="preserve"> in the treatment of various pathological conditions is attributed to the presence of chemical compounds, with eugenol being the main compound, and it constitutes at least 50% of the essential oil. The remaining 10–40% are eugenol acetate, β-caryophyllene, and α-humulene (</w:t>
      </w:r>
      <w:proofErr w:type="spellStart"/>
      <w:r w:rsidRPr="00A46EC3">
        <w:rPr>
          <w:rFonts w:ascii="Arial" w:hAnsi="Arial" w:cs="Arial"/>
        </w:rPr>
        <w:t>Alanazi</w:t>
      </w:r>
      <w:proofErr w:type="spellEnd"/>
      <w:r w:rsidRPr="00A46EC3">
        <w:rPr>
          <w:rFonts w:ascii="Arial" w:hAnsi="Arial" w:cs="Arial"/>
        </w:rPr>
        <w:t xml:space="preserve"> et al., 2022, Kim et al., 2023, El-Saber </w:t>
      </w:r>
      <w:proofErr w:type="spellStart"/>
      <w:r w:rsidRPr="00A46EC3">
        <w:rPr>
          <w:rFonts w:ascii="Arial" w:hAnsi="Arial" w:cs="Arial"/>
        </w:rPr>
        <w:t>Batiha</w:t>
      </w:r>
      <w:proofErr w:type="spellEnd"/>
      <w:r w:rsidRPr="00A46EC3">
        <w:rPr>
          <w:rFonts w:ascii="Arial" w:hAnsi="Arial" w:cs="Arial"/>
        </w:rPr>
        <w:t>., 2020). Eugenol is a phenylpropanoid compound that previous research has shown to have diverse biological effects, including insecticidal, antimicrobial, anti-inflammatory, antiviral, antioxidant and anticancer activity (</w:t>
      </w:r>
      <w:proofErr w:type="spellStart"/>
      <w:r w:rsidRPr="00A46EC3">
        <w:rPr>
          <w:rFonts w:ascii="Arial" w:hAnsi="Arial" w:cs="Arial"/>
        </w:rPr>
        <w:t>Haro</w:t>
      </w:r>
      <w:proofErr w:type="spellEnd"/>
      <w:r w:rsidRPr="00A46EC3">
        <w:rPr>
          <w:rFonts w:ascii="Arial" w:hAnsi="Arial" w:cs="Arial"/>
        </w:rPr>
        <w:t xml:space="preserve">-González et al., 2021; </w:t>
      </w:r>
      <w:proofErr w:type="spellStart"/>
      <w:r w:rsidRPr="00A46EC3">
        <w:rPr>
          <w:rFonts w:ascii="Arial" w:hAnsi="Arial" w:cs="Arial"/>
        </w:rPr>
        <w:t>Didehdar</w:t>
      </w:r>
      <w:proofErr w:type="spellEnd"/>
      <w:r w:rsidRPr="00A46EC3">
        <w:rPr>
          <w:rFonts w:ascii="Arial" w:hAnsi="Arial" w:cs="Arial"/>
        </w:rPr>
        <w:t xml:space="preserve"> et al., 2022; </w:t>
      </w:r>
      <w:proofErr w:type="spellStart"/>
      <w:r w:rsidRPr="00A46EC3">
        <w:rPr>
          <w:rFonts w:ascii="Arial" w:hAnsi="Arial" w:cs="Arial"/>
        </w:rPr>
        <w:t>Ulanowska</w:t>
      </w:r>
      <w:proofErr w:type="spellEnd"/>
      <w:r w:rsidRPr="00A46EC3">
        <w:rPr>
          <w:rFonts w:ascii="Arial" w:hAnsi="Arial" w:cs="Arial"/>
        </w:rPr>
        <w:t xml:space="preserve"> and </w:t>
      </w:r>
      <w:proofErr w:type="spellStart"/>
      <w:r w:rsidRPr="00A46EC3">
        <w:rPr>
          <w:rFonts w:ascii="Arial" w:hAnsi="Arial" w:cs="Arial"/>
        </w:rPr>
        <w:t>Olas</w:t>
      </w:r>
      <w:proofErr w:type="spellEnd"/>
      <w:r w:rsidRPr="00A46EC3">
        <w:rPr>
          <w:rFonts w:ascii="Arial" w:hAnsi="Arial" w:cs="Arial"/>
        </w:rPr>
        <w:t xml:space="preserve">, 2021; El-Saber </w:t>
      </w:r>
      <w:proofErr w:type="spellStart"/>
      <w:r w:rsidRPr="00A46EC3">
        <w:rPr>
          <w:rFonts w:ascii="Arial" w:hAnsi="Arial" w:cs="Arial"/>
        </w:rPr>
        <w:t>Batiha</w:t>
      </w:r>
      <w:proofErr w:type="spellEnd"/>
      <w:r w:rsidRPr="00A46EC3">
        <w:rPr>
          <w:rFonts w:ascii="Arial" w:hAnsi="Arial" w:cs="Arial"/>
        </w:rPr>
        <w:t xml:space="preserve"> et al., 2020). It has an effective effect in the field of dentistry because it can penetrate the dental pulp, enter the bloodstream and inhibit the reproduction of oral pathogens. Thanks to the abundance of flavonoids, eugenol and gallic acid, cloves have proven to be particularly effective in the preparation of toothpastes and gum care products, as they have a strong anti-inflammatory effect (</w:t>
      </w:r>
      <w:proofErr w:type="spellStart"/>
      <w:r w:rsidRPr="00A46EC3">
        <w:rPr>
          <w:rFonts w:ascii="Arial" w:hAnsi="Arial" w:cs="Arial"/>
        </w:rPr>
        <w:t>Liñán-Atero</w:t>
      </w:r>
      <w:proofErr w:type="spellEnd"/>
      <w:r w:rsidRPr="00A46EC3">
        <w:rPr>
          <w:rFonts w:ascii="Arial" w:hAnsi="Arial" w:cs="Arial"/>
        </w:rPr>
        <w:t xml:space="preserve"> et al., 2024). Eugenol</w:t>
      </w:r>
      <w:r w:rsidR="008F2475" w:rsidRPr="00A46EC3">
        <w:rPr>
          <w:rFonts w:ascii="Arial" w:hAnsi="Arial" w:cs="Arial"/>
        </w:rPr>
        <w:t xml:space="preserve"> </w:t>
      </w:r>
      <w:r w:rsidRPr="00A46EC3">
        <w:rPr>
          <w:rFonts w:ascii="Arial" w:hAnsi="Arial" w:cs="Arial"/>
        </w:rPr>
        <w:t>acetate is a phenylpropanoid derivative of eugenol which, like caryophyllene, shows strong antibacterial, anticancer, antimutagenic, antioxidant and antiviral activity. It has been found to have an inhibitory effect. It has been described as a powerful antioxidant and has also shown antifungal activity. In addition, it has high toxicity, so it can potentially be used as a larvicide (Pandey et al., 2023). Also, sesquiterpenes isolated from cloves have anticarcinogenic activity (</w:t>
      </w:r>
      <w:proofErr w:type="spellStart"/>
      <w:r w:rsidRPr="00A46EC3">
        <w:rPr>
          <w:rFonts w:ascii="Arial" w:hAnsi="Arial" w:cs="Arial"/>
        </w:rPr>
        <w:t>Sarrami</w:t>
      </w:r>
      <w:proofErr w:type="spellEnd"/>
      <w:r w:rsidRPr="00A46EC3">
        <w:rPr>
          <w:rFonts w:ascii="Arial" w:hAnsi="Arial" w:cs="Arial"/>
        </w:rPr>
        <w:t xml:space="preserve"> et al., 2002). The strong antioxidant capacity, derived from a variety of phenolic compounds, plays a key role in protecting cells from oxidative stress (Pandey et al., 2023). Pharmacological tests prove that it is effective against various parasites. Numerous studies have also proven analgesic, anticancer, antiseptic and anti-inflammatory effects (</w:t>
      </w:r>
      <w:proofErr w:type="spellStart"/>
      <w:r w:rsidRPr="00A46EC3">
        <w:rPr>
          <w:rFonts w:ascii="Arial" w:hAnsi="Arial" w:cs="Arial"/>
        </w:rPr>
        <w:t>Lakshimi</w:t>
      </w:r>
      <w:proofErr w:type="spellEnd"/>
      <w:r w:rsidRPr="00A46EC3">
        <w:rPr>
          <w:rFonts w:ascii="Arial" w:hAnsi="Arial" w:cs="Arial"/>
        </w:rPr>
        <w:t xml:space="preserve"> et al</w:t>
      </w:r>
      <w:r w:rsidR="008F2475" w:rsidRPr="00A46EC3">
        <w:rPr>
          <w:rFonts w:ascii="Arial" w:hAnsi="Arial" w:cs="Arial"/>
        </w:rPr>
        <w:t>.</w:t>
      </w:r>
      <w:r w:rsidRPr="00A46EC3">
        <w:rPr>
          <w:rFonts w:ascii="Arial" w:hAnsi="Arial" w:cs="Arial"/>
        </w:rPr>
        <w:t>, 2022).</w:t>
      </w:r>
    </w:p>
    <w:p w14:paraId="6E787FFD" w14:textId="6AF5DBFA" w:rsidR="00AF13B4" w:rsidRPr="00A46EC3" w:rsidRDefault="00AF13B4" w:rsidP="00AF13B4">
      <w:pPr>
        <w:pStyle w:val="Body"/>
        <w:spacing w:after="0"/>
        <w:rPr>
          <w:rFonts w:ascii="Arial" w:hAnsi="Arial" w:cs="Arial"/>
        </w:rPr>
      </w:pPr>
      <w:r w:rsidRPr="00A46EC3">
        <w:rPr>
          <w:rFonts w:ascii="Arial" w:hAnsi="Arial" w:cs="Arial"/>
        </w:rPr>
        <w:t xml:space="preserve">Petroleum ether and ethanol extracts of cloves show high activity against multidrug-resistant bacterial strains. Ethanol extracts of S. </w:t>
      </w:r>
      <w:proofErr w:type="spellStart"/>
      <w:r w:rsidRPr="00A46EC3">
        <w:rPr>
          <w:rFonts w:ascii="Arial" w:hAnsi="Arial" w:cs="Arial"/>
        </w:rPr>
        <w:t>aromaticum</w:t>
      </w:r>
      <w:proofErr w:type="spellEnd"/>
      <w:r w:rsidRPr="00A46EC3">
        <w:rPr>
          <w:rFonts w:ascii="Arial" w:hAnsi="Arial" w:cs="Arial"/>
        </w:rPr>
        <w:t xml:space="preserve"> show significant antibacterial activity, primarily due to the presence of polar bioactive compounds such as eugenol, which disrupts bacterial cell membranes and inhibits enzymes of gram-positive and gram-negative microorganisms (</w:t>
      </w:r>
      <w:proofErr w:type="spellStart"/>
      <w:r w:rsidRPr="00A46EC3">
        <w:rPr>
          <w:rFonts w:ascii="Arial" w:hAnsi="Arial" w:cs="Arial"/>
        </w:rPr>
        <w:t>Chaieb</w:t>
      </w:r>
      <w:proofErr w:type="spellEnd"/>
      <w:r w:rsidRPr="00A46EC3">
        <w:rPr>
          <w:rFonts w:ascii="Arial" w:hAnsi="Arial" w:cs="Arial"/>
        </w:rPr>
        <w:t xml:space="preserve"> et al., 2007; Shehu et al., 2023). Previous studies suggest that the synergistic action of eugenol, flavonoids and tannins in ethanol extracts enhances the antibacterial potential of S. </w:t>
      </w:r>
      <w:proofErr w:type="spellStart"/>
      <w:r w:rsidRPr="00A46EC3">
        <w:rPr>
          <w:rFonts w:ascii="Arial" w:hAnsi="Arial" w:cs="Arial"/>
        </w:rPr>
        <w:t>aromaticum</w:t>
      </w:r>
      <w:proofErr w:type="spellEnd"/>
      <w:r w:rsidRPr="00A46EC3">
        <w:rPr>
          <w:rFonts w:ascii="Arial" w:hAnsi="Arial" w:cs="Arial"/>
        </w:rPr>
        <w:t xml:space="preserve"> against a larger number of pathogenic strains (Cortés-Rojas et al., 2014). Non-polar extracts obtained with petroleum ether mainly contain sesquiterpenes such as β-caryophyllene, which contribute to moderate antibacterial effects against gram-positive and gram-negative bacteria</w:t>
      </w:r>
      <w:r w:rsidR="008F2475" w:rsidRPr="00A46EC3">
        <w:rPr>
          <w:rFonts w:ascii="Arial" w:hAnsi="Arial" w:cs="Arial"/>
        </w:rPr>
        <w:t xml:space="preserve"> </w:t>
      </w:r>
      <w:r w:rsidRPr="00A46EC3">
        <w:rPr>
          <w:rFonts w:ascii="Arial" w:hAnsi="Arial" w:cs="Arial"/>
        </w:rPr>
        <w:t>and enhanced antifungal effects</w:t>
      </w:r>
      <w:r w:rsidR="008F2475" w:rsidRPr="00A46EC3">
        <w:rPr>
          <w:rFonts w:ascii="Arial" w:hAnsi="Arial" w:cs="Arial"/>
        </w:rPr>
        <w:t>,</w:t>
      </w:r>
      <w:r w:rsidRPr="00A46EC3">
        <w:rPr>
          <w:rFonts w:ascii="Arial" w:hAnsi="Arial" w:cs="Arial"/>
        </w:rPr>
        <w:t xml:space="preserve"> especially against Candida strains (El-Saber </w:t>
      </w:r>
      <w:proofErr w:type="spellStart"/>
      <w:r w:rsidRPr="00A46EC3">
        <w:rPr>
          <w:rFonts w:ascii="Arial" w:hAnsi="Arial" w:cs="Arial"/>
        </w:rPr>
        <w:t>Batiha</w:t>
      </w:r>
      <w:proofErr w:type="spellEnd"/>
      <w:r w:rsidRPr="00A46EC3">
        <w:rPr>
          <w:rFonts w:ascii="Arial" w:hAnsi="Arial" w:cs="Arial"/>
        </w:rPr>
        <w:t xml:space="preserve"> et al., 2020; Yassin 2020). Phenolic compounds from clove essential oil can affect proteins and membrane phospholipids, thereby altering the permeability of bacterial and yeast cells (Matan et al., 2006). It has been recorded that S. </w:t>
      </w:r>
      <w:proofErr w:type="spellStart"/>
      <w:r w:rsidRPr="00A46EC3">
        <w:rPr>
          <w:rFonts w:ascii="Arial" w:hAnsi="Arial" w:cs="Arial"/>
        </w:rPr>
        <w:t>aromaticum</w:t>
      </w:r>
      <w:proofErr w:type="spellEnd"/>
      <w:r w:rsidRPr="00A46EC3">
        <w:rPr>
          <w:rFonts w:ascii="Arial" w:hAnsi="Arial" w:cs="Arial"/>
        </w:rPr>
        <w:t>, thanks to the abundance of extracts, has the most effective effect on bacterial strains such as Salmonella typhi, Serratia marcescens, species of the genus Bacillus and Staphylococcus (Lopez et al., 2005; Pei et al., 2009). Research in recent years confirms these findings and extends them to strains such as E. coli, species of the genus Staphylococcus and species of the genus Pseudomonas (Freitas et al., 2025; Al-</w:t>
      </w:r>
      <w:proofErr w:type="spellStart"/>
      <w:r w:rsidRPr="00A46EC3">
        <w:rPr>
          <w:rFonts w:ascii="Arial" w:hAnsi="Arial" w:cs="Arial"/>
        </w:rPr>
        <w:t>Tawalbeh</w:t>
      </w:r>
      <w:proofErr w:type="spellEnd"/>
      <w:r w:rsidRPr="00A46EC3">
        <w:rPr>
          <w:rFonts w:ascii="Arial" w:hAnsi="Arial" w:cs="Arial"/>
        </w:rPr>
        <w:t xml:space="preserve"> et al., 2025; Wadi et al., 2025).</w:t>
      </w:r>
    </w:p>
    <w:p w14:paraId="5C6198E5" w14:textId="09F04AE6" w:rsidR="00790ADA" w:rsidRPr="00A46EC3" w:rsidRDefault="00AF13B4" w:rsidP="00AF13B4">
      <w:pPr>
        <w:pStyle w:val="Body"/>
        <w:rPr>
          <w:rFonts w:ascii="Arial" w:hAnsi="Arial" w:cs="Arial"/>
        </w:rPr>
      </w:pPr>
      <w:r w:rsidRPr="00A46EC3">
        <w:rPr>
          <w:rFonts w:ascii="Arial" w:hAnsi="Arial" w:cs="Arial"/>
        </w:rPr>
        <w:lastRenderedPageBreak/>
        <w:t>Given their broad spectrum of bioactive properties, clove extracts are attracting increasing scientific interest and show significant potential in the development of natural medicines and nutritional supplements. Their confirmed broad biological activity indicates significant potential in the development of natural medicines, pharmaceuticals, functional foods and cosmetic products. Continued research in this direction contributes to a better understanding of their mechanisms of action and possible application in clinical practice.</w:t>
      </w:r>
    </w:p>
    <w:p w14:paraId="27336475" w14:textId="077441F9" w:rsidR="007F7B32" w:rsidRPr="00A46EC3" w:rsidRDefault="00902823" w:rsidP="00441B6F">
      <w:pPr>
        <w:pStyle w:val="AbstHead"/>
        <w:spacing w:after="0"/>
        <w:jc w:val="both"/>
        <w:rPr>
          <w:rFonts w:ascii="Arial" w:hAnsi="Arial" w:cs="Arial"/>
        </w:rPr>
      </w:pPr>
      <w:r w:rsidRPr="00A46EC3">
        <w:rPr>
          <w:rFonts w:ascii="Arial" w:hAnsi="Arial" w:cs="Arial"/>
        </w:rPr>
        <w:t>2. material and method</w:t>
      </w:r>
      <w:r w:rsidR="00000F8F" w:rsidRPr="00A46EC3">
        <w:rPr>
          <w:rFonts w:ascii="Arial" w:hAnsi="Arial" w:cs="Arial"/>
        </w:rPr>
        <w:t>s</w:t>
      </w:r>
    </w:p>
    <w:p w14:paraId="79A1991E" w14:textId="77777777" w:rsidR="00790ADA" w:rsidRPr="00A46EC3" w:rsidRDefault="00790ADA" w:rsidP="00441B6F">
      <w:pPr>
        <w:pStyle w:val="AbstHead"/>
        <w:spacing w:after="0"/>
        <w:jc w:val="both"/>
        <w:rPr>
          <w:rFonts w:ascii="Arial" w:hAnsi="Arial" w:cs="Arial"/>
        </w:rPr>
      </w:pPr>
    </w:p>
    <w:p w14:paraId="31032B24" w14:textId="77777777" w:rsidR="00A56254" w:rsidRPr="00A46EC3" w:rsidRDefault="00A56254" w:rsidP="00441B6F">
      <w:pPr>
        <w:pStyle w:val="Body"/>
        <w:spacing w:after="0"/>
        <w:rPr>
          <w:rFonts w:ascii="Arial" w:hAnsi="Arial" w:cs="Arial"/>
        </w:rPr>
      </w:pPr>
      <w:r w:rsidRPr="00A46EC3">
        <w:rPr>
          <w:rFonts w:ascii="Arial" w:hAnsi="Arial" w:cs="Arial"/>
        </w:rPr>
        <w:t xml:space="preserve">All reagents used for extract preparation, spectrophotometric measurements and antibacterial activity testing were of p.a. purity and were used without additional purification. Demineralized water was used for the preparation of aqueous solutions in the process of polyphenol, flavonoid and antioxidant capacity analysis. Spectrophotometric measurements were performed on a Perkin Elmer Lambda 25 spectrophotometer. </w:t>
      </w:r>
    </w:p>
    <w:p w14:paraId="7DCE5E9B" w14:textId="3FE10778" w:rsidR="00790ADA" w:rsidRPr="00A46EC3" w:rsidRDefault="00790ADA" w:rsidP="00441B6F">
      <w:pPr>
        <w:pStyle w:val="Body"/>
        <w:spacing w:after="0"/>
        <w:rPr>
          <w:rFonts w:ascii="Arial" w:hAnsi="Arial" w:cs="Arial"/>
        </w:rPr>
      </w:pPr>
    </w:p>
    <w:p w14:paraId="36E8666E" w14:textId="7BA056B2" w:rsidR="0001278E" w:rsidRPr="00A46EC3" w:rsidRDefault="0001278E" w:rsidP="00441B6F">
      <w:pPr>
        <w:pStyle w:val="Body"/>
        <w:spacing w:after="0"/>
        <w:rPr>
          <w:rFonts w:ascii="Arial" w:hAnsi="Arial" w:cs="Arial"/>
          <w:b/>
          <w:bCs/>
          <w:sz w:val="22"/>
          <w:szCs w:val="22"/>
        </w:rPr>
      </w:pPr>
      <w:r w:rsidRPr="00A46EC3">
        <w:rPr>
          <w:rFonts w:ascii="Arial" w:hAnsi="Arial" w:cs="Arial"/>
          <w:b/>
          <w:bCs/>
          <w:sz w:val="22"/>
          <w:szCs w:val="22"/>
        </w:rPr>
        <w:t>2.</w:t>
      </w:r>
      <w:r w:rsidR="008D7E51" w:rsidRPr="00A46EC3">
        <w:rPr>
          <w:rFonts w:ascii="Arial" w:hAnsi="Arial" w:cs="Arial"/>
          <w:b/>
          <w:bCs/>
          <w:sz w:val="22"/>
          <w:szCs w:val="22"/>
        </w:rPr>
        <w:t>1</w:t>
      </w:r>
      <w:r w:rsidRPr="00A46EC3">
        <w:rPr>
          <w:rFonts w:ascii="Arial" w:hAnsi="Arial" w:cs="Arial"/>
          <w:b/>
          <w:bCs/>
          <w:sz w:val="22"/>
          <w:szCs w:val="22"/>
        </w:rPr>
        <w:t>. Preparation of extracts</w:t>
      </w:r>
    </w:p>
    <w:p w14:paraId="1CF7AE71" w14:textId="77777777" w:rsidR="0001278E" w:rsidRPr="00A46EC3" w:rsidRDefault="0001278E" w:rsidP="00441B6F">
      <w:pPr>
        <w:pStyle w:val="Body"/>
        <w:spacing w:after="0"/>
        <w:rPr>
          <w:rFonts w:ascii="Arial" w:hAnsi="Arial" w:cs="Arial"/>
          <w:b/>
          <w:bCs/>
          <w:sz w:val="22"/>
          <w:szCs w:val="22"/>
        </w:rPr>
      </w:pPr>
    </w:p>
    <w:p w14:paraId="1B806004" w14:textId="0D533503" w:rsidR="00CE53B6" w:rsidRPr="00A46EC3" w:rsidRDefault="008D7E51" w:rsidP="00441B6F">
      <w:pPr>
        <w:pStyle w:val="Body"/>
        <w:spacing w:after="0"/>
        <w:rPr>
          <w:rFonts w:ascii="Arial" w:hAnsi="Arial" w:cs="Arial"/>
        </w:rPr>
      </w:pPr>
      <w:r w:rsidRPr="00A46EC3">
        <w:rPr>
          <w:rFonts w:ascii="Arial" w:hAnsi="Arial" w:cs="Arial"/>
        </w:rPr>
        <w:t xml:space="preserve">Commercial cloves were purchased at a local market and ground into a fine powder using an electric grinder. </w:t>
      </w:r>
      <w:r w:rsidR="00CE53B6" w:rsidRPr="00A46EC3">
        <w:rPr>
          <w:rFonts w:ascii="Arial" w:hAnsi="Arial" w:cs="Arial"/>
        </w:rPr>
        <w:t>Ultrasonic (UAE) and Soxhlet extraction (SE) were used to prepare the extracts. For Soxhlet extraction, 20 grams of chopped cloves were transferred to a paper pestle and extracted</w:t>
      </w:r>
      <w:r w:rsidR="005B2CA7" w:rsidRPr="00A46EC3">
        <w:rPr>
          <w:rFonts w:ascii="Arial" w:hAnsi="Arial" w:cs="Arial"/>
        </w:rPr>
        <w:t xml:space="preserve"> separately</w:t>
      </w:r>
      <w:r w:rsidR="00CE53B6" w:rsidRPr="00A46EC3">
        <w:rPr>
          <w:rFonts w:ascii="Arial" w:hAnsi="Arial" w:cs="Arial"/>
        </w:rPr>
        <w:t xml:space="preserve"> with 150 mL of ethanol (EtOH)</w:t>
      </w:r>
      <w:r w:rsidR="005B2CA7" w:rsidRPr="00A46EC3">
        <w:rPr>
          <w:rFonts w:ascii="Arial" w:hAnsi="Arial" w:cs="Arial"/>
        </w:rPr>
        <w:t xml:space="preserve"> and </w:t>
      </w:r>
      <w:r w:rsidR="008343DA" w:rsidRPr="00A46EC3">
        <w:rPr>
          <w:rFonts w:ascii="Arial" w:hAnsi="Arial" w:cs="Arial"/>
        </w:rPr>
        <w:t>150</w:t>
      </w:r>
      <w:r w:rsidR="008B4EFD" w:rsidRPr="00A46EC3">
        <w:rPr>
          <w:rFonts w:ascii="Arial" w:hAnsi="Arial" w:cs="Arial"/>
        </w:rPr>
        <w:t xml:space="preserve"> </w:t>
      </w:r>
      <w:r w:rsidR="008343DA" w:rsidRPr="00A46EC3">
        <w:rPr>
          <w:rFonts w:ascii="Arial" w:hAnsi="Arial" w:cs="Arial"/>
        </w:rPr>
        <w:t xml:space="preserve">mL of </w:t>
      </w:r>
      <w:r w:rsidR="00CE53B6" w:rsidRPr="00A46EC3">
        <w:rPr>
          <w:rFonts w:ascii="Arial" w:hAnsi="Arial" w:cs="Arial"/>
        </w:rPr>
        <w:t xml:space="preserve">petroleum ether (PE), </w:t>
      </w:r>
      <w:r w:rsidR="005B2CA7" w:rsidRPr="00A46EC3">
        <w:rPr>
          <w:rFonts w:ascii="Arial" w:hAnsi="Arial" w:cs="Arial"/>
        </w:rPr>
        <w:t xml:space="preserve">each </w:t>
      </w:r>
      <w:r w:rsidR="00CE53B6" w:rsidRPr="00A46EC3">
        <w:rPr>
          <w:rFonts w:ascii="Arial" w:hAnsi="Arial" w:cs="Arial"/>
        </w:rPr>
        <w:t xml:space="preserve">for 2 hours. The same </w:t>
      </w:r>
      <w:proofErr w:type="gramStart"/>
      <w:r w:rsidR="00CE53B6" w:rsidRPr="00A46EC3">
        <w:rPr>
          <w:rFonts w:ascii="Arial" w:hAnsi="Arial" w:cs="Arial"/>
        </w:rPr>
        <w:t>amount</w:t>
      </w:r>
      <w:proofErr w:type="gramEnd"/>
      <w:r w:rsidR="007A48C1" w:rsidRPr="00A46EC3">
        <w:rPr>
          <w:rFonts w:ascii="Arial" w:hAnsi="Arial" w:cs="Arial"/>
        </w:rPr>
        <w:t xml:space="preserve"> </w:t>
      </w:r>
      <w:r w:rsidR="00CE53B6" w:rsidRPr="00A46EC3">
        <w:rPr>
          <w:rFonts w:ascii="Arial" w:hAnsi="Arial" w:cs="Arial"/>
        </w:rPr>
        <w:t xml:space="preserve">of crushed cloves and solvent was used for ultrasonic extraction, with the same extraction time. The collected extracts were evaporated on a rotavapor and the residue after evaporation was used to test the antioxidant and antimicrobial activity. </w:t>
      </w:r>
    </w:p>
    <w:p w14:paraId="1BAF7AC9" w14:textId="4B931B11" w:rsidR="002E0D56" w:rsidRPr="00A46EC3" w:rsidRDefault="002E0D56" w:rsidP="00441B6F">
      <w:pPr>
        <w:pStyle w:val="Body"/>
        <w:spacing w:after="0"/>
        <w:rPr>
          <w:rFonts w:ascii="Arial" w:hAnsi="Arial" w:cs="Arial"/>
        </w:rPr>
      </w:pPr>
    </w:p>
    <w:p w14:paraId="65822FEB" w14:textId="5CFDE8DB" w:rsidR="0001278E" w:rsidRPr="00A46EC3" w:rsidRDefault="0001278E" w:rsidP="00441B6F">
      <w:pPr>
        <w:pStyle w:val="Body"/>
        <w:spacing w:after="0"/>
        <w:rPr>
          <w:rFonts w:ascii="Arial" w:hAnsi="Arial" w:cs="Arial"/>
          <w:b/>
          <w:bCs/>
          <w:sz w:val="22"/>
          <w:szCs w:val="22"/>
        </w:rPr>
      </w:pPr>
      <w:r w:rsidRPr="00A46EC3">
        <w:rPr>
          <w:rFonts w:ascii="Arial" w:hAnsi="Arial" w:cs="Arial"/>
          <w:b/>
          <w:bCs/>
          <w:sz w:val="22"/>
          <w:szCs w:val="22"/>
        </w:rPr>
        <w:t>2.</w:t>
      </w:r>
      <w:r w:rsidR="008D7E51" w:rsidRPr="00A46EC3">
        <w:rPr>
          <w:rFonts w:ascii="Arial" w:hAnsi="Arial" w:cs="Arial"/>
          <w:b/>
          <w:bCs/>
          <w:sz w:val="22"/>
          <w:szCs w:val="22"/>
        </w:rPr>
        <w:t>2</w:t>
      </w:r>
      <w:r w:rsidRPr="00A46EC3">
        <w:rPr>
          <w:rFonts w:ascii="Arial" w:hAnsi="Arial" w:cs="Arial"/>
          <w:b/>
          <w:bCs/>
          <w:sz w:val="22"/>
          <w:szCs w:val="22"/>
        </w:rPr>
        <w:t>. Analysis of polyphenol and flavonoid content</w:t>
      </w:r>
    </w:p>
    <w:p w14:paraId="41259A98" w14:textId="77777777" w:rsidR="0001278E" w:rsidRPr="00A46EC3" w:rsidRDefault="0001278E" w:rsidP="00441B6F">
      <w:pPr>
        <w:pStyle w:val="Body"/>
        <w:spacing w:after="0"/>
        <w:rPr>
          <w:rFonts w:ascii="Arial" w:hAnsi="Arial" w:cs="Arial"/>
        </w:rPr>
      </w:pPr>
    </w:p>
    <w:p w14:paraId="4DD57EDA" w14:textId="686D3262" w:rsidR="00B46054" w:rsidRPr="00A46EC3" w:rsidRDefault="00B46054" w:rsidP="00441B6F">
      <w:pPr>
        <w:pStyle w:val="Body"/>
        <w:spacing w:after="0"/>
        <w:rPr>
          <w:rFonts w:ascii="Arial" w:hAnsi="Arial" w:cs="Arial"/>
        </w:rPr>
      </w:pPr>
      <w:r w:rsidRPr="00A46EC3">
        <w:rPr>
          <w:rFonts w:ascii="Arial" w:hAnsi="Arial" w:cs="Arial"/>
        </w:rPr>
        <w:t xml:space="preserve">Total phenolic compounds present in extracts were quantified spectrophotometrically through the </w:t>
      </w:r>
      <w:proofErr w:type="spellStart"/>
      <w:r w:rsidRPr="00A46EC3">
        <w:rPr>
          <w:rFonts w:ascii="Arial" w:hAnsi="Arial" w:cs="Arial"/>
        </w:rPr>
        <w:t>Folin-Ciocalteu</w:t>
      </w:r>
      <w:proofErr w:type="spellEnd"/>
      <w:r w:rsidRPr="00A46EC3">
        <w:rPr>
          <w:rFonts w:ascii="Arial" w:hAnsi="Arial" w:cs="Arial"/>
        </w:rPr>
        <w:t xml:space="preserve"> test following the protocol (Singleton et al., 1999). 200 </w:t>
      </w:r>
      <w:proofErr w:type="spellStart"/>
      <w:r w:rsidRPr="00A46EC3">
        <w:rPr>
          <w:rFonts w:ascii="Arial" w:hAnsi="Arial" w:cs="Arial"/>
        </w:rPr>
        <w:t>μL</w:t>
      </w:r>
      <w:proofErr w:type="spellEnd"/>
      <w:r w:rsidRPr="00A46EC3">
        <w:rPr>
          <w:rFonts w:ascii="Arial" w:hAnsi="Arial" w:cs="Arial"/>
        </w:rPr>
        <w:t xml:space="preserve"> of extracts was mixed with 2.54 mL of 10% </w:t>
      </w:r>
      <w:proofErr w:type="spellStart"/>
      <w:r w:rsidRPr="00A46EC3">
        <w:rPr>
          <w:rFonts w:ascii="Arial" w:hAnsi="Arial" w:cs="Arial"/>
        </w:rPr>
        <w:t>Folin-Ciocalteu</w:t>
      </w:r>
      <w:proofErr w:type="spellEnd"/>
      <w:r w:rsidRPr="00A46EC3">
        <w:rPr>
          <w:rFonts w:ascii="Arial" w:hAnsi="Arial" w:cs="Arial"/>
        </w:rPr>
        <w:t xml:space="preserve"> reagent. After 5 min 420 </w:t>
      </w:r>
      <w:proofErr w:type="spellStart"/>
      <w:r w:rsidRPr="00A46EC3">
        <w:rPr>
          <w:rFonts w:ascii="Arial" w:hAnsi="Arial" w:cs="Arial"/>
        </w:rPr>
        <w:t>μL</w:t>
      </w:r>
      <w:proofErr w:type="spellEnd"/>
      <w:r w:rsidRPr="00A46EC3">
        <w:rPr>
          <w:rFonts w:ascii="Arial" w:hAnsi="Arial" w:cs="Arial"/>
        </w:rPr>
        <w:t xml:space="preserve"> of 10% sodium carbonate was added. 910 </w:t>
      </w:r>
      <w:proofErr w:type="spellStart"/>
      <w:r w:rsidRPr="00A46EC3">
        <w:rPr>
          <w:rFonts w:ascii="Arial" w:hAnsi="Arial" w:cs="Arial"/>
        </w:rPr>
        <w:t>μL</w:t>
      </w:r>
      <w:proofErr w:type="spellEnd"/>
      <w:r w:rsidRPr="00A46EC3">
        <w:rPr>
          <w:rFonts w:ascii="Arial" w:hAnsi="Arial" w:cs="Arial"/>
        </w:rPr>
        <w:t xml:space="preserve"> distilled water was added to each sample prior to measuring. The absorbance of the resulting blue-</w:t>
      </w:r>
      <w:proofErr w:type="spellStart"/>
      <w:r w:rsidRPr="00A46EC3">
        <w:rPr>
          <w:rFonts w:ascii="Arial" w:hAnsi="Arial" w:cs="Arial"/>
        </w:rPr>
        <w:t>coloured</w:t>
      </w:r>
      <w:proofErr w:type="spellEnd"/>
      <w:r w:rsidRPr="00A46EC3">
        <w:rPr>
          <w:rFonts w:ascii="Arial" w:hAnsi="Arial" w:cs="Arial"/>
        </w:rPr>
        <w:t xml:space="preserve"> solution was measured at 765 nm.</w:t>
      </w:r>
    </w:p>
    <w:p w14:paraId="360636C7" w14:textId="019B15F2" w:rsidR="00502516" w:rsidRPr="00A46EC3" w:rsidRDefault="00B46054" w:rsidP="00B46054">
      <w:pPr>
        <w:pStyle w:val="Body"/>
        <w:spacing w:after="0"/>
        <w:rPr>
          <w:rFonts w:ascii="Arial" w:hAnsi="Arial" w:cs="Arial"/>
        </w:rPr>
      </w:pPr>
      <w:r w:rsidRPr="00A46EC3">
        <w:rPr>
          <w:rFonts w:ascii="Arial" w:hAnsi="Arial" w:cs="Arial"/>
        </w:rPr>
        <w:t>Total flavonoid content was determined by the previously described method (</w:t>
      </w:r>
      <w:proofErr w:type="spellStart"/>
      <w:r w:rsidRPr="00A46EC3">
        <w:rPr>
          <w:rFonts w:ascii="Arial" w:hAnsi="Arial" w:cs="Arial"/>
        </w:rPr>
        <w:t>Olajire</w:t>
      </w:r>
      <w:proofErr w:type="spellEnd"/>
      <w:r w:rsidRPr="00A46EC3">
        <w:rPr>
          <w:rFonts w:ascii="Arial" w:hAnsi="Arial" w:cs="Arial"/>
        </w:rPr>
        <w:t xml:space="preserve"> and Azeez, 2011), with some modification. 1 mL of extract solution </w:t>
      </w:r>
      <w:r w:rsidR="007A48C1" w:rsidRPr="00A46EC3">
        <w:rPr>
          <w:rFonts w:ascii="Arial" w:hAnsi="Arial" w:cs="Arial"/>
        </w:rPr>
        <w:t>was</w:t>
      </w:r>
      <w:r w:rsidRPr="00A46EC3">
        <w:rPr>
          <w:rFonts w:ascii="Arial" w:hAnsi="Arial" w:cs="Arial"/>
        </w:rPr>
        <w:t xml:space="preserve"> mixed with 0.3 mL of 5% sodium nitrite. 0.3 mL of 10% </w:t>
      </w:r>
      <w:proofErr w:type="spellStart"/>
      <w:r w:rsidRPr="00A46EC3">
        <w:rPr>
          <w:rFonts w:ascii="Arial" w:hAnsi="Arial" w:cs="Arial"/>
        </w:rPr>
        <w:t>aluminium</w:t>
      </w:r>
      <w:proofErr w:type="spellEnd"/>
      <w:r w:rsidRPr="00A46EC3">
        <w:rPr>
          <w:rFonts w:ascii="Arial" w:hAnsi="Arial" w:cs="Arial"/>
        </w:rPr>
        <w:t xml:space="preserve"> chloride was added after 5 minutes. After 6 minutes</w:t>
      </w:r>
      <w:r w:rsidR="007A48C1" w:rsidRPr="00A46EC3">
        <w:rPr>
          <w:rFonts w:ascii="Arial" w:hAnsi="Arial" w:cs="Arial"/>
        </w:rPr>
        <w:t xml:space="preserve"> of</w:t>
      </w:r>
      <w:r w:rsidRPr="00A46EC3">
        <w:rPr>
          <w:rFonts w:ascii="Arial" w:hAnsi="Arial" w:cs="Arial"/>
        </w:rPr>
        <w:t xml:space="preserve"> incubation at room temperature, 1 mL of 1 M sodium hydroxide was added to the reaction mixture. Immediately</w:t>
      </w:r>
      <w:r w:rsidR="007A48C1" w:rsidRPr="00A46EC3">
        <w:rPr>
          <w:rFonts w:ascii="Arial" w:hAnsi="Arial" w:cs="Arial"/>
        </w:rPr>
        <w:t>,</w:t>
      </w:r>
      <w:r w:rsidRPr="00A46EC3">
        <w:rPr>
          <w:rFonts w:ascii="Arial" w:hAnsi="Arial" w:cs="Arial"/>
        </w:rPr>
        <w:t xml:space="preserve"> the final volume was </w:t>
      </w:r>
      <w:r w:rsidR="007A48C1" w:rsidRPr="00A46EC3">
        <w:rPr>
          <w:rFonts w:ascii="Arial" w:hAnsi="Arial" w:cs="Arial"/>
        </w:rPr>
        <w:t>made</w:t>
      </w:r>
      <w:r w:rsidRPr="00A46EC3">
        <w:rPr>
          <w:rFonts w:ascii="Arial" w:hAnsi="Arial" w:cs="Arial"/>
        </w:rPr>
        <w:t xml:space="preserve"> up to 10 mL with distilled water. Absorbance of </w:t>
      </w:r>
      <w:r w:rsidR="007A48C1" w:rsidRPr="00A46EC3">
        <w:rPr>
          <w:rFonts w:ascii="Arial" w:hAnsi="Arial" w:cs="Arial"/>
        </w:rPr>
        <w:t xml:space="preserve">the </w:t>
      </w:r>
      <w:r w:rsidRPr="00A46EC3">
        <w:rPr>
          <w:rFonts w:ascii="Arial" w:hAnsi="Arial" w:cs="Arial"/>
        </w:rPr>
        <w:t>sample was measured against the blank at 510 nm.</w:t>
      </w:r>
      <w:r w:rsidR="00502516" w:rsidRPr="00A46EC3">
        <w:rPr>
          <w:rFonts w:ascii="Arial" w:hAnsi="Arial" w:cs="Arial"/>
        </w:rPr>
        <w:t xml:space="preserve"> </w:t>
      </w:r>
    </w:p>
    <w:p w14:paraId="27704E41" w14:textId="0598BFCE" w:rsidR="00790ADA" w:rsidRPr="00A46EC3" w:rsidRDefault="00790ADA" w:rsidP="00441B6F">
      <w:pPr>
        <w:pStyle w:val="Body"/>
        <w:spacing w:after="0"/>
        <w:rPr>
          <w:rFonts w:ascii="Arial" w:hAnsi="Arial" w:cs="Arial"/>
        </w:rPr>
      </w:pPr>
    </w:p>
    <w:p w14:paraId="5002FF6D" w14:textId="57D3E3D0" w:rsidR="0001278E" w:rsidRPr="00A46EC3" w:rsidRDefault="0001278E" w:rsidP="00441B6F">
      <w:pPr>
        <w:pStyle w:val="Body"/>
        <w:spacing w:after="0"/>
        <w:rPr>
          <w:rFonts w:ascii="Arial" w:hAnsi="Arial" w:cs="Arial"/>
          <w:b/>
          <w:bCs/>
          <w:sz w:val="22"/>
          <w:szCs w:val="22"/>
        </w:rPr>
      </w:pPr>
      <w:r w:rsidRPr="00A46EC3">
        <w:rPr>
          <w:rFonts w:ascii="Arial" w:hAnsi="Arial" w:cs="Arial"/>
          <w:b/>
          <w:bCs/>
          <w:sz w:val="22"/>
          <w:szCs w:val="22"/>
        </w:rPr>
        <w:t>2.</w:t>
      </w:r>
      <w:r w:rsidR="008D7E51" w:rsidRPr="00A46EC3">
        <w:rPr>
          <w:rFonts w:ascii="Arial" w:hAnsi="Arial" w:cs="Arial"/>
          <w:b/>
          <w:bCs/>
          <w:sz w:val="22"/>
          <w:szCs w:val="22"/>
        </w:rPr>
        <w:t>3</w:t>
      </w:r>
      <w:r w:rsidRPr="00A46EC3">
        <w:rPr>
          <w:rFonts w:ascii="Arial" w:hAnsi="Arial" w:cs="Arial"/>
          <w:b/>
          <w:bCs/>
          <w:sz w:val="22"/>
          <w:szCs w:val="22"/>
        </w:rPr>
        <w:t>. Analysis of antioxidant capacity</w:t>
      </w:r>
    </w:p>
    <w:p w14:paraId="76D78D1C" w14:textId="77777777" w:rsidR="006D1086" w:rsidRPr="00A46EC3" w:rsidRDefault="006D1086" w:rsidP="00441B6F">
      <w:pPr>
        <w:pStyle w:val="Body"/>
        <w:spacing w:after="0"/>
        <w:rPr>
          <w:rFonts w:ascii="Arial" w:hAnsi="Arial" w:cs="Arial"/>
          <w:b/>
          <w:bCs/>
          <w:sz w:val="22"/>
          <w:szCs w:val="22"/>
        </w:rPr>
      </w:pPr>
    </w:p>
    <w:p w14:paraId="654710DE" w14:textId="6CCB3866" w:rsidR="00FC5BD2" w:rsidRPr="00A46EC3" w:rsidRDefault="00FC5BD2" w:rsidP="00FC5BD2">
      <w:pPr>
        <w:pStyle w:val="Body"/>
        <w:spacing w:after="0"/>
        <w:rPr>
          <w:rFonts w:ascii="Arial" w:hAnsi="Arial" w:cs="Arial"/>
        </w:rPr>
      </w:pPr>
      <w:r w:rsidRPr="00A46EC3">
        <w:rPr>
          <w:rFonts w:ascii="Arial" w:hAnsi="Arial" w:cs="Arial"/>
        </w:rPr>
        <w:t>The antioxidant potential of extracts was tested by FRAP and DPPH methods. The FRAP (Ferric-reducing antioxidant power) test is based on testing the efficiency of extracts to reduce Fe</w:t>
      </w:r>
      <w:r w:rsidRPr="00A46EC3">
        <w:rPr>
          <w:rFonts w:ascii="Arial" w:hAnsi="Arial" w:cs="Arial"/>
          <w:vertAlign w:val="superscript"/>
        </w:rPr>
        <w:t>3+</w:t>
      </w:r>
      <w:r w:rsidRPr="00A46EC3">
        <w:rPr>
          <w:rFonts w:ascii="Arial" w:hAnsi="Arial" w:cs="Arial"/>
        </w:rPr>
        <w:t xml:space="preserve"> ions to Fe</w:t>
      </w:r>
      <w:r w:rsidRPr="00A46EC3">
        <w:rPr>
          <w:rFonts w:ascii="Arial" w:hAnsi="Arial" w:cs="Arial"/>
          <w:vertAlign w:val="superscript"/>
        </w:rPr>
        <w:t>2+</w:t>
      </w:r>
      <w:r w:rsidRPr="00A46EC3">
        <w:rPr>
          <w:rFonts w:ascii="Arial" w:hAnsi="Arial" w:cs="Arial"/>
        </w:rPr>
        <w:t xml:space="preserve"> ions, which is indicated by a change in color from yellow to purple. The reducing powers of the extracts were determined following the protocol (Benzie and Strain, 1999). 3 mL of prepared FRAP reagent is mixed with 100 </w:t>
      </w:r>
      <w:proofErr w:type="spellStart"/>
      <w:r w:rsidRPr="00A46EC3">
        <w:rPr>
          <w:rFonts w:ascii="Arial" w:hAnsi="Arial" w:cs="Arial"/>
        </w:rPr>
        <w:t>μL</w:t>
      </w:r>
      <w:proofErr w:type="spellEnd"/>
      <w:r w:rsidRPr="00A46EC3">
        <w:rPr>
          <w:rFonts w:ascii="Arial" w:hAnsi="Arial" w:cs="Arial"/>
        </w:rPr>
        <w:t xml:space="preserve"> of extracts. Absorbance at 593 nm is recorded after a 30 min incubation at 37°C. </w:t>
      </w:r>
    </w:p>
    <w:p w14:paraId="3C6665C3" w14:textId="51A4835D" w:rsidR="0001278E" w:rsidRPr="00A46EC3" w:rsidRDefault="004B3C26" w:rsidP="00FC5BD2">
      <w:pPr>
        <w:pStyle w:val="Body"/>
        <w:spacing w:after="0"/>
        <w:rPr>
          <w:rFonts w:ascii="Arial" w:hAnsi="Arial" w:cs="Arial"/>
        </w:rPr>
      </w:pPr>
      <w:r w:rsidRPr="00A46EC3">
        <w:rPr>
          <w:rFonts w:ascii="Arial" w:hAnsi="Arial" w:cs="Arial"/>
        </w:rPr>
        <w:t xml:space="preserve">The </w:t>
      </w:r>
      <w:r w:rsidR="00FC5BD2" w:rsidRPr="00A46EC3">
        <w:rPr>
          <w:rFonts w:ascii="Arial" w:hAnsi="Arial" w:cs="Arial"/>
        </w:rPr>
        <w:t xml:space="preserve">DPPH (2,2-diphenyl-1-picryl-hydrazyl) method was performed according to </w:t>
      </w:r>
      <w:r w:rsidRPr="00A46EC3">
        <w:rPr>
          <w:rFonts w:ascii="Arial" w:hAnsi="Arial" w:cs="Arial"/>
        </w:rPr>
        <w:t xml:space="preserve">an </w:t>
      </w:r>
      <w:r w:rsidR="00FC5BD2" w:rsidRPr="00A46EC3">
        <w:rPr>
          <w:rFonts w:ascii="Arial" w:hAnsi="Arial" w:cs="Arial"/>
        </w:rPr>
        <w:t>earlier described method (</w:t>
      </w:r>
      <w:proofErr w:type="spellStart"/>
      <w:r w:rsidR="00FC5BD2" w:rsidRPr="00A46EC3">
        <w:rPr>
          <w:rFonts w:ascii="Arial" w:hAnsi="Arial" w:cs="Arial"/>
        </w:rPr>
        <w:t>Horozić</w:t>
      </w:r>
      <w:proofErr w:type="spellEnd"/>
      <w:r w:rsidR="00FC5BD2" w:rsidRPr="00A46EC3">
        <w:rPr>
          <w:rFonts w:ascii="Arial" w:hAnsi="Arial" w:cs="Arial"/>
        </w:rPr>
        <w:t xml:space="preserve"> et al., 2019). A series of dilution</w:t>
      </w:r>
      <w:r w:rsidRPr="00A46EC3">
        <w:rPr>
          <w:rFonts w:ascii="Arial" w:hAnsi="Arial" w:cs="Arial"/>
        </w:rPr>
        <w:t>s</w:t>
      </w:r>
      <w:r w:rsidR="00FC5BD2" w:rsidRPr="00A46EC3">
        <w:rPr>
          <w:rFonts w:ascii="Arial" w:hAnsi="Arial" w:cs="Arial"/>
        </w:rPr>
        <w:t xml:space="preserve"> was made by mixing different volume</w:t>
      </w:r>
      <w:r w:rsidRPr="00A46EC3">
        <w:rPr>
          <w:rFonts w:ascii="Arial" w:hAnsi="Arial" w:cs="Arial"/>
        </w:rPr>
        <w:t>s of</w:t>
      </w:r>
      <w:r w:rsidR="00FC5BD2" w:rsidRPr="00A46EC3">
        <w:rPr>
          <w:rFonts w:ascii="Arial" w:hAnsi="Arial" w:cs="Arial"/>
        </w:rPr>
        <w:t xml:space="preserve"> extracts with methanol</w:t>
      </w:r>
      <w:r w:rsidRPr="00A46EC3">
        <w:rPr>
          <w:rFonts w:ascii="Arial" w:hAnsi="Arial" w:cs="Arial"/>
        </w:rPr>
        <w:t xml:space="preserve"> </w:t>
      </w:r>
      <w:r w:rsidR="00FC5BD2" w:rsidRPr="00A46EC3">
        <w:rPr>
          <w:rFonts w:ascii="Arial" w:hAnsi="Arial" w:cs="Arial"/>
        </w:rPr>
        <w:t xml:space="preserve">to a volume of 2 </w:t>
      </w:r>
      <w:proofErr w:type="spellStart"/>
      <w:r w:rsidR="00FC5BD2" w:rsidRPr="00A46EC3">
        <w:rPr>
          <w:rFonts w:ascii="Arial" w:hAnsi="Arial" w:cs="Arial"/>
        </w:rPr>
        <w:t>mL.</w:t>
      </w:r>
      <w:proofErr w:type="spellEnd"/>
      <w:r w:rsidR="00FC5BD2" w:rsidRPr="00A46EC3">
        <w:rPr>
          <w:rFonts w:ascii="Arial" w:hAnsi="Arial" w:cs="Arial"/>
        </w:rPr>
        <w:t xml:space="preserve"> </w:t>
      </w:r>
      <w:r w:rsidR="0043642B" w:rsidRPr="00A46EC3">
        <w:rPr>
          <w:rFonts w:ascii="Arial" w:hAnsi="Arial" w:cs="Arial"/>
        </w:rPr>
        <w:t xml:space="preserve">Then, </w:t>
      </w:r>
      <w:r w:rsidR="00FC5BD2" w:rsidRPr="00A46EC3">
        <w:rPr>
          <w:rFonts w:ascii="Arial" w:hAnsi="Arial" w:cs="Arial"/>
        </w:rPr>
        <w:t>0.5 mL of 0.5 mM DPPH radical solution</w:t>
      </w:r>
      <w:r w:rsidR="0043642B" w:rsidRPr="00A46EC3">
        <w:rPr>
          <w:rFonts w:ascii="Arial" w:hAnsi="Arial" w:cs="Arial"/>
        </w:rPr>
        <w:t xml:space="preserve"> was added to the tube</w:t>
      </w:r>
      <w:r w:rsidR="00FC5BD2" w:rsidRPr="00A46EC3">
        <w:rPr>
          <w:rFonts w:ascii="Arial" w:hAnsi="Arial" w:cs="Arial"/>
        </w:rPr>
        <w:t>. The samples</w:t>
      </w:r>
      <w:r w:rsidRPr="00A46EC3">
        <w:rPr>
          <w:rFonts w:ascii="Arial" w:hAnsi="Arial" w:cs="Arial"/>
        </w:rPr>
        <w:t xml:space="preserve"> were</w:t>
      </w:r>
      <w:r w:rsidR="00FC5BD2" w:rsidRPr="00A46EC3">
        <w:rPr>
          <w:rFonts w:ascii="Arial" w:hAnsi="Arial" w:cs="Arial"/>
        </w:rPr>
        <w:t xml:space="preserve"> incubated </w:t>
      </w:r>
      <w:r w:rsidRPr="00A46EC3">
        <w:rPr>
          <w:rFonts w:ascii="Arial" w:hAnsi="Arial" w:cs="Arial"/>
        </w:rPr>
        <w:t xml:space="preserve">for </w:t>
      </w:r>
      <w:r w:rsidR="00FC5BD2" w:rsidRPr="00A46EC3">
        <w:rPr>
          <w:rFonts w:ascii="Arial" w:hAnsi="Arial" w:cs="Arial"/>
        </w:rPr>
        <w:t xml:space="preserve">30 minutes in </w:t>
      </w:r>
      <w:r w:rsidRPr="00A46EC3">
        <w:rPr>
          <w:rFonts w:ascii="Arial" w:hAnsi="Arial" w:cs="Arial"/>
        </w:rPr>
        <w:t xml:space="preserve">a </w:t>
      </w:r>
      <w:r w:rsidR="00FC5BD2" w:rsidRPr="00A46EC3">
        <w:rPr>
          <w:rFonts w:ascii="Arial" w:hAnsi="Arial" w:cs="Arial"/>
        </w:rPr>
        <w:t>dark space</w:t>
      </w:r>
      <w:r w:rsidRPr="00A46EC3">
        <w:rPr>
          <w:rFonts w:ascii="Arial" w:hAnsi="Arial" w:cs="Arial"/>
        </w:rPr>
        <w:t>,</w:t>
      </w:r>
      <w:r w:rsidR="00FC5BD2" w:rsidRPr="00A46EC3">
        <w:rPr>
          <w:rFonts w:ascii="Arial" w:hAnsi="Arial" w:cs="Arial"/>
        </w:rPr>
        <w:t xml:space="preserve"> after which their absorbance was measured at 517 nm.</w:t>
      </w:r>
    </w:p>
    <w:p w14:paraId="5E389B8E" w14:textId="3BCD9064" w:rsidR="00A03B96" w:rsidRPr="00A46EC3" w:rsidRDefault="00A03B96" w:rsidP="00441B6F">
      <w:pPr>
        <w:pStyle w:val="Body"/>
        <w:spacing w:after="0"/>
        <w:rPr>
          <w:rFonts w:ascii="Arial" w:hAnsi="Arial" w:cs="Arial"/>
        </w:rPr>
      </w:pPr>
    </w:p>
    <w:p w14:paraId="58292677" w14:textId="34899F19" w:rsidR="0001278E" w:rsidRPr="00A46EC3" w:rsidRDefault="0001278E" w:rsidP="00441B6F">
      <w:pPr>
        <w:pStyle w:val="Body"/>
        <w:spacing w:after="0"/>
        <w:rPr>
          <w:rFonts w:ascii="Arial" w:hAnsi="Arial" w:cs="Arial"/>
          <w:b/>
          <w:bCs/>
          <w:sz w:val="22"/>
          <w:szCs w:val="22"/>
        </w:rPr>
      </w:pPr>
      <w:r w:rsidRPr="00A46EC3">
        <w:rPr>
          <w:rFonts w:ascii="Arial" w:hAnsi="Arial" w:cs="Arial"/>
          <w:b/>
          <w:bCs/>
          <w:sz w:val="22"/>
          <w:szCs w:val="22"/>
        </w:rPr>
        <w:t>2.</w:t>
      </w:r>
      <w:r w:rsidR="008D7E51" w:rsidRPr="00A46EC3">
        <w:rPr>
          <w:rFonts w:ascii="Arial" w:hAnsi="Arial" w:cs="Arial"/>
          <w:b/>
          <w:bCs/>
          <w:sz w:val="22"/>
          <w:szCs w:val="22"/>
        </w:rPr>
        <w:t>4</w:t>
      </w:r>
      <w:r w:rsidRPr="00A46EC3">
        <w:rPr>
          <w:rFonts w:ascii="Arial" w:hAnsi="Arial" w:cs="Arial"/>
          <w:b/>
          <w:bCs/>
          <w:sz w:val="22"/>
          <w:szCs w:val="22"/>
        </w:rPr>
        <w:t>. Analysis of antibacterial activity</w:t>
      </w:r>
    </w:p>
    <w:p w14:paraId="57F5FDF1" w14:textId="77777777" w:rsidR="0001278E" w:rsidRPr="00A46EC3" w:rsidRDefault="0001278E" w:rsidP="00441B6F">
      <w:pPr>
        <w:pStyle w:val="Body"/>
        <w:spacing w:after="0"/>
        <w:rPr>
          <w:rFonts w:ascii="Arial" w:hAnsi="Arial" w:cs="Arial"/>
        </w:rPr>
      </w:pPr>
    </w:p>
    <w:p w14:paraId="101382A8" w14:textId="3B4F4CD1" w:rsidR="00FC5BD2" w:rsidRPr="00A46EC3" w:rsidRDefault="00FC5BD2" w:rsidP="00441B6F">
      <w:pPr>
        <w:pStyle w:val="Body"/>
        <w:spacing w:after="0"/>
        <w:rPr>
          <w:rFonts w:ascii="Arial" w:hAnsi="Arial" w:cs="Arial"/>
        </w:rPr>
      </w:pPr>
      <w:r w:rsidRPr="00A46EC3">
        <w:rPr>
          <w:rFonts w:ascii="Arial" w:hAnsi="Arial" w:cs="Arial"/>
        </w:rPr>
        <w:t xml:space="preserve">Antimicrobial activity was examined at the reference bacterial strains of the Collection from the Gram-positive and Gram-negative bacteria, as prescribed by </w:t>
      </w:r>
      <w:r w:rsidR="0043642B" w:rsidRPr="00A46EC3">
        <w:rPr>
          <w:rFonts w:ascii="Arial" w:hAnsi="Arial" w:cs="Arial"/>
        </w:rPr>
        <w:t xml:space="preserve">the </w:t>
      </w:r>
      <w:r w:rsidRPr="00A46EC3">
        <w:rPr>
          <w:rFonts w:ascii="Arial" w:hAnsi="Arial" w:cs="Arial"/>
        </w:rPr>
        <w:t>Clinical and Laboratory Institute, 2009. Reference bacterial strains were cultivated overnight in BHI broth at 37°C, aerobic. The suspension of the turbidity of 0.5 McFarland (density of 10</w:t>
      </w:r>
      <w:r w:rsidRPr="00A46EC3">
        <w:rPr>
          <w:rFonts w:ascii="Arial" w:hAnsi="Arial" w:cs="Arial"/>
          <w:vertAlign w:val="superscript"/>
        </w:rPr>
        <w:t>7</w:t>
      </w:r>
      <w:r w:rsidRPr="00A46EC3">
        <w:rPr>
          <w:rFonts w:ascii="Arial" w:hAnsi="Arial" w:cs="Arial"/>
        </w:rPr>
        <w:t>-10</w:t>
      </w:r>
      <w:r w:rsidRPr="00A46EC3">
        <w:rPr>
          <w:rFonts w:ascii="Arial" w:hAnsi="Arial" w:cs="Arial"/>
          <w:vertAlign w:val="superscript"/>
        </w:rPr>
        <w:t>8</w:t>
      </w:r>
      <w:r w:rsidRPr="00A46EC3">
        <w:rPr>
          <w:rFonts w:ascii="Arial" w:hAnsi="Arial" w:cs="Arial"/>
        </w:rPr>
        <w:t xml:space="preserve"> CFU/mL) in a sterile physiological solution </w:t>
      </w:r>
      <w:r w:rsidR="0043642B" w:rsidRPr="00A46EC3">
        <w:rPr>
          <w:rFonts w:ascii="Arial" w:hAnsi="Arial" w:cs="Arial"/>
        </w:rPr>
        <w:t>was</w:t>
      </w:r>
      <w:r w:rsidRPr="00A46EC3">
        <w:rPr>
          <w:rFonts w:ascii="Arial" w:hAnsi="Arial" w:cs="Arial"/>
        </w:rPr>
        <w:t xml:space="preserve"> prepared. The strains were then applied to the </w:t>
      </w:r>
      <w:r w:rsidR="002D1112" w:rsidRPr="00A46EC3">
        <w:rPr>
          <w:rFonts w:ascii="Arial" w:hAnsi="Arial" w:cs="Arial"/>
        </w:rPr>
        <w:t xml:space="preserve">surface of </w:t>
      </w:r>
      <w:r w:rsidR="0043642B" w:rsidRPr="00A46EC3">
        <w:rPr>
          <w:rFonts w:ascii="Arial" w:hAnsi="Arial" w:cs="Arial"/>
        </w:rPr>
        <w:t>Mueller-Hinton</w:t>
      </w:r>
      <w:r w:rsidRPr="00A46EC3">
        <w:rPr>
          <w:rFonts w:ascii="Arial" w:hAnsi="Arial" w:cs="Arial"/>
        </w:rPr>
        <w:t xml:space="preserve"> agar, </w:t>
      </w:r>
      <w:r w:rsidR="002D1112" w:rsidRPr="00A46EC3">
        <w:rPr>
          <w:rFonts w:ascii="Arial" w:hAnsi="Arial" w:cs="Arial"/>
        </w:rPr>
        <w:t xml:space="preserve">which was </w:t>
      </w:r>
      <w:r w:rsidRPr="00A46EC3">
        <w:rPr>
          <w:rFonts w:ascii="Arial" w:hAnsi="Arial" w:cs="Arial"/>
        </w:rPr>
        <w:t>spilled in</w:t>
      </w:r>
      <w:r w:rsidR="002D1112" w:rsidRPr="00A46EC3">
        <w:rPr>
          <w:rFonts w:ascii="Arial" w:hAnsi="Arial" w:cs="Arial"/>
        </w:rPr>
        <w:t>to</w:t>
      </w:r>
      <w:r w:rsidRPr="00A46EC3">
        <w:rPr>
          <w:rFonts w:ascii="Arial" w:hAnsi="Arial" w:cs="Arial"/>
        </w:rPr>
        <w:t xml:space="preserve"> sterile Petri plates, </w:t>
      </w:r>
      <w:r w:rsidR="002D1112" w:rsidRPr="00A46EC3">
        <w:rPr>
          <w:rFonts w:ascii="Arial" w:hAnsi="Arial" w:cs="Arial"/>
        </w:rPr>
        <w:t>with a thickness of</w:t>
      </w:r>
      <w:r w:rsidRPr="00A46EC3">
        <w:rPr>
          <w:rFonts w:ascii="Arial" w:hAnsi="Arial" w:cs="Arial"/>
        </w:rPr>
        <w:t xml:space="preserve"> 4 mm. In the agar, the recesses of the 10 mm diameter</w:t>
      </w:r>
      <w:r w:rsidR="002D1112" w:rsidRPr="00A46EC3">
        <w:rPr>
          <w:rFonts w:ascii="Arial" w:hAnsi="Arial" w:cs="Arial"/>
        </w:rPr>
        <w:t xml:space="preserve"> were made</w:t>
      </w:r>
      <w:r w:rsidRPr="00A46EC3">
        <w:rPr>
          <w:rFonts w:ascii="Arial" w:hAnsi="Arial" w:cs="Arial"/>
        </w:rPr>
        <w:t xml:space="preserve">, </w:t>
      </w:r>
      <w:r w:rsidR="002D1112" w:rsidRPr="00A46EC3">
        <w:rPr>
          <w:rFonts w:ascii="Arial" w:hAnsi="Arial" w:cs="Arial"/>
        </w:rPr>
        <w:t>and</w:t>
      </w:r>
      <w:r w:rsidRPr="00A46EC3">
        <w:rPr>
          <w:rFonts w:ascii="Arial" w:hAnsi="Arial" w:cs="Arial"/>
        </w:rPr>
        <w:t xml:space="preserve"> 100 </w:t>
      </w:r>
      <w:proofErr w:type="spellStart"/>
      <w:r w:rsidRPr="00A46EC3">
        <w:rPr>
          <w:rFonts w:ascii="Arial" w:hAnsi="Arial" w:cs="Arial"/>
        </w:rPr>
        <w:t>μL</w:t>
      </w:r>
      <w:proofErr w:type="spellEnd"/>
      <w:r w:rsidRPr="00A46EC3">
        <w:rPr>
          <w:rFonts w:ascii="Arial" w:hAnsi="Arial" w:cs="Arial"/>
        </w:rPr>
        <w:t xml:space="preserve"> </w:t>
      </w:r>
      <w:r w:rsidR="002D1112" w:rsidRPr="00A46EC3">
        <w:rPr>
          <w:rFonts w:ascii="Arial" w:hAnsi="Arial" w:cs="Arial"/>
        </w:rPr>
        <w:t xml:space="preserve">of the </w:t>
      </w:r>
      <w:r w:rsidRPr="00A46EC3">
        <w:rPr>
          <w:rFonts w:ascii="Arial" w:hAnsi="Arial" w:cs="Arial"/>
        </w:rPr>
        <w:t>extracts were added</w:t>
      </w:r>
      <w:r w:rsidR="002D1112" w:rsidRPr="00A46EC3">
        <w:rPr>
          <w:rFonts w:ascii="Arial" w:hAnsi="Arial" w:cs="Arial"/>
        </w:rPr>
        <w:t xml:space="preserve"> to each recess</w:t>
      </w:r>
      <w:r w:rsidRPr="00A46EC3">
        <w:rPr>
          <w:rFonts w:ascii="Arial" w:hAnsi="Arial" w:cs="Arial"/>
        </w:rPr>
        <w:t>. Once the plates were left at room temperature for 15 minutes</w:t>
      </w:r>
      <w:r w:rsidR="0063521B" w:rsidRPr="00A46EC3">
        <w:rPr>
          <w:rFonts w:ascii="Arial" w:hAnsi="Arial" w:cs="Arial"/>
        </w:rPr>
        <w:t xml:space="preserve"> so </w:t>
      </w:r>
      <w:r w:rsidRPr="00A46EC3">
        <w:rPr>
          <w:rFonts w:ascii="Arial" w:hAnsi="Arial" w:cs="Arial"/>
        </w:rPr>
        <w:t xml:space="preserve">that the substance </w:t>
      </w:r>
      <w:r w:rsidR="0063521B" w:rsidRPr="00A46EC3">
        <w:rPr>
          <w:rFonts w:ascii="Arial" w:hAnsi="Arial" w:cs="Arial"/>
        </w:rPr>
        <w:t>diffuses into</w:t>
      </w:r>
      <w:r w:rsidRPr="00A46EC3">
        <w:rPr>
          <w:rFonts w:ascii="Arial" w:hAnsi="Arial" w:cs="Arial"/>
        </w:rPr>
        <w:t xml:space="preserve"> the agar, they </w:t>
      </w:r>
      <w:r w:rsidR="0063521B" w:rsidRPr="00A46EC3">
        <w:rPr>
          <w:rFonts w:ascii="Arial" w:hAnsi="Arial" w:cs="Arial"/>
        </w:rPr>
        <w:t>were</w:t>
      </w:r>
      <w:r w:rsidRPr="00A46EC3">
        <w:rPr>
          <w:rFonts w:ascii="Arial" w:hAnsi="Arial" w:cs="Arial"/>
        </w:rPr>
        <w:t xml:space="preserve"> placed </w:t>
      </w:r>
      <w:r w:rsidR="0063521B" w:rsidRPr="00A46EC3">
        <w:rPr>
          <w:rFonts w:ascii="Arial" w:hAnsi="Arial" w:cs="Arial"/>
        </w:rPr>
        <w:t>in</w:t>
      </w:r>
      <w:r w:rsidRPr="00A46EC3">
        <w:rPr>
          <w:rFonts w:ascii="Arial" w:hAnsi="Arial" w:cs="Arial"/>
        </w:rPr>
        <w:t xml:space="preserve"> incubation at 37°C/24 hours. After the incubation period, the size of the inhibitory zone was measured. The concentration of extracts in this analysis was </w:t>
      </w:r>
      <w:r w:rsidR="00E10057" w:rsidRPr="00A46EC3">
        <w:rPr>
          <w:rFonts w:ascii="Arial" w:hAnsi="Arial" w:cs="Arial"/>
        </w:rPr>
        <w:t>8</w:t>
      </w:r>
      <w:r w:rsidRPr="00A46EC3">
        <w:rPr>
          <w:rFonts w:ascii="Arial" w:hAnsi="Arial" w:cs="Arial"/>
        </w:rPr>
        <w:t>0 mg/</w:t>
      </w:r>
      <w:proofErr w:type="spellStart"/>
      <w:r w:rsidRPr="00A46EC3">
        <w:rPr>
          <w:rFonts w:ascii="Arial" w:hAnsi="Arial" w:cs="Arial"/>
        </w:rPr>
        <w:t>mL.</w:t>
      </w:r>
      <w:proofErr w:type="spellEnd"/>
      <w:r w:rsidR="00540F3A" w:rsidRPr="00A46EC3">
        <w:rPr>
          <w:rFonts w:ascii="Arial" w:hAnsi="Arial" w:cs="Arial"/>
        </w:rPr>
        <w:t xml:space="preserve"> As controls, antibiotic discs of Amoxicillin (30 µg), Vancomycin (30 µg), Ampicillin (10 µg) and Imipenem (10 µg) were used.</w:t>
      </w:r>
    </w:p>
    <w:p w14:paraId="5E9D3B0B" w14:textId="77777777" w:rsidR="00790ADA" w:rsidRPr="00A46EC3" w:rsidRDefault="00790ADA" w:rsidP="00441B6F">
      <w:pPr>
        <w:pStyle w:val="Body"/>
        <w:spacing w:after="0"/>
        <w:rPr>
          <w:rFonts w:ascii="Arial" w:hAnsi="Arial" w:cs="Arial"/>
        </w:rPr>
      </w:pPr>
    </w:p>
    <w:p w14:paraId="50EEFD72" w14:textId="77777777" w:rsidR="00902823" w:rsidRPr="00A46EC3" w:rsidRDefault="00000F8F" w:rsidP="00441B6F">
      <w:pPr>
        <w:pStyle w:val="Head1"/>
        <w:spacing w:after="0"/>
        <w:jc w:val="both"/>
        <w:rPr>
          <w:rFonts w:ascii="Arial" w:hAnsi="Arial" w:cs="Arial"/>
        </w:rPr>
      </w:pPr>
      <w:r w:rsidRPr="00A46EC3">
        <w:rPr>
          <w:rFonts w:ascii="Arial" w:hAnsi="Arial" w:cs="Arial"/>
        </w:rPr>
        <w:t>3</w:t>
      </w:r>
      <w:r w:rsidR="00902823" w:rsidRPr="00A46EC3">
        <w:rPr>
          <w:rFonts w:ascii="Arial" w:hAnsi="Arial" w:cs="Arial"/>
        </w:rPr>
        <w:t xml:space="preserve">. </w:t>
      </w:r>
      <w:r w:rsidRPr="00A46EC3">
        <w:rPr>
          <w:rFonts w:ascii="Arial" w:hAnsi="Arial" w:cs="Arial"/>
        </w:rPr>
        <w:t>results and discussion</w:t>
      </w:r>
    </w:p>
    <w:p w14:paraId="7B7DE031" w14:textId="77777777" w:rsidR="00790ADA" w:rsidRPr="00A46EC3" w:rsidRDefault="00790ADA" w:rsidP="00441B6F">
      <w:pPr>
        <w:pStyle w:val="Head1"/>
        <w:spacing w:after="0"/>
        <w:jc w:val="both"/>
        <w:rPr>
          <w:rFonts w:ascii="Arial" w:hAnsi="Arial" w:cs="Arial"/>
        </w:rPr>
      </w:pPr>
    </w:p>
    <w:p w14:paraId="31279F8E" w14:textId="52189411" w:rsidR="0042068C" w:rsidRPr="00A46EC3" w:rsidRDefault="0042068C" w:rsidP="0042068C">
      <w:pPr>
        <w:pStyle w:val="Body"/>
        <w:spacing w:after="0"/>
        <w:rPr>
          <w:rFonts w:ascii="Arial" w:hAnsi="Arial" w:cs="Arial"/>
        </w:rPr>
      </w:pPr>
      <w:r w:rsidRPr="00A46EC3">
        <w:rPr>
          <w:rFonts w:ascii="Arial" w:hAnsi="Arial" w:cs="Arial"/>
        </w:rPr>
        <w:t>The isolated extracts after evaporation are light brown in color. The yield varies from 7.54% for the petroleum ether extract obtained by ultrasonic extraction to 2.33% for the ethanol extract, also obtained by ultrasonic extraction.</w:t>
      </w:r>
    </w:p>
    <w:p w14:paraId="6048D3DF" w14:textId="66FE1A29" w:rsidR="0042068C" w:rsidRPr="00A46EC3" w:rsidRDefault="0042068C" w:rsidP="0042068C">
      <w:pPr>
        <w:pStyle w:val="Body"/>
        <w:spacing w:after="0"/>
        <w:rPr>
          <w:rFonts w:ascii="Arial" w:hAnsi="Arial" w:cs="Arial"/>
        </w:rPr>
      </w:pPr>
      <w:r w:rsidRPr="00A46EC3">
        <w:rPr>
          <w:rFonts w:ascii="Arial" w:hAnsi="Arial" w:cs="Arial"/>
        </w:rPr>
        <w:t>Table 1 shows the results of the polyphenol and flavonoid content in ethanolic and petroleum ether extracts of commercial cloves. The content of total polyphenols ranges from 232.48 mg GEA/g for the ethanol extract obtained by ultrasonic extraction to 277.54 mg GEA/g for the petroleum ether extract obtained by ultrasonic extraction. Cloves are rich in more hydrophobic phenolic compounds, such as eugenol, which is one of the main compounds responsible for the biological activity of cloves. The results of the total flavonoid content range from 22.92 mg QE/g for the ethanol extract obtained by ultrasonic extraction to 33.12 mg QE/g for the petroleum ether extract, also obtained by ultrasonic extraction.</w:t>
      </w:r>
    </w:p>
    <w:p w14:paraId="3D3E850A" w14:textId="77777777" w:rsidR="0042068C" w:rsidRPr="00A46EC3" w:rsidRDefault="0042068C" w:rsidP="0042068C">
      <w:pPr>
        <w:pStyle w:val="Body"/>
        <w:spacing w:after="0"/>
        <w:rPr>
          <w:rFonts w:ascii="Arial" w:hAnsi="Arial" w:cs="Arial"/>
        </w:rPr>
      </w:pPr>
    </w:p>
    <w:p w14:paraId="2C1990AE" w14:textId="0B78BE34" w:rsidR="008D3419" w:rsidRPr="00A46EC3" w:rsidRDefault="008D3419" w:rsidP="008D3419">
      <w:pPr>
        <w:tabs>
          <w:tab w:val="left" w:pos="1080"/>
        </w:tabs>
        <w:spacing w:line="360" w:lineRule="auto"/>
        <w:jc w:val="center"/>
        <w:rPr>
          <w:rFonts w:ascii="Arial" w:hAnsi="Arial"/>
          <w:b/>
        </w:rPr>
      </w:pPr>
      <w:r w:rsidRPr="00A46EC3">
        <w:rPr>
          <w:rFonts w:ascii="Arial" w:hAnsi="Arial"/>
          <w:b/>
        </w:rPr>
        <w:t>Table 1. Results of total polyphenols and flavonoids content</w:t>
      </w:r>
    </w:p>
    <w:tbl>
      <w:tblPr>
        <w:tblW w:w="8185" w:type="dxa"/>
        <w:jc w:val="center"/>
        <w:tblLook w:val="01E0" w:firstRow="1" w:lastRow="1" w:firstColumn="1" w:lastColumn="1" w:noHBand="0" w:noVBand="0"/>
      </w:tblPr>
      <w:tblGrid>
        <w:gridCol w:w="2663"/>
        <w:gridCol w:w="2714"/>
        <w:gridCol w:w="2808"/>
      </w:tblGrid>
      <w:tr w:rsidR="008D3419" w:rsidRPr="00A46EC3" w14:paraId="0382D89D" w14:textId="77777777" w:rsidTr="00B53AF1">
        <w:trPr>
          <w:trHeight w:val="243"/>
          <w:jc w:val="center"/>
        </w:trPr>
        <w:tc>
          <w:tcPr>
            <w:tcW w:w="2663" w:type="dxa"/>
            <w:tcBorders>
              <w:top w:val="single" w:sz="4" w:space="0" w:color="auto"/>
              <w:bottom w:val="single" w:sz="4" w:space="0" w:color="auto"/>
            </w:tcBorders>
            <w:vAlign w:val="center"/>
          </w:tcPr>
          <w:p w14:paraId="6F11C191" w14:textId="0BED5318" w:rsidR="008D3419" w:rsidRPr="00A46EC3" w:rsidRDefault="008D3419" w:rsidP="00576349">
            <w:pPr>
              <w:jc w:val="both"/>
              <w:rPr>
                <w:rFonts w:ascii="Arial" w:hAnsi="Arial"/>
                <w:b/>
                <w:bCs/>
              </w:rPr>
            </w:pPr>
            <w:r w:rsidRPr="00A46EC3">
              <w:rPr>
                <w:rFonts w:ascii="Arial" w:hAnsi="Arial"/>
                <w:b/>
                <w:bCs/>
              </w:rPr>
              <w:t>Extract</w:t>
            </w:r>
          </w:p>
        </w:tc>
        <w:tc>
          <w:tcPr>
            <w:tcW w:w="2714" w:type="dxa"/>
            <w:tcBorders>
              <w:top w:val="single" w:sz="4" w:space="0" w:color="auto"/>
              <w:bottom w:val="single" w:sz="4" w:space="0" w:color="auto"/>
            </w:tcBorders>
            <w:vAlign w:val="center"/>
          </w:tcPr>
          <w:p w14:paraId="173BBFC1" w14:textId="761A4017" w:rsidR="008D3419" w:rsidRPr="00A46EC3" w:rsidRDefault="008D3419" w:rsidP="00576349">
            <w:pPr>
              <w:jc w:val="both"/>
              <w:rPr>
                <w:rFonts w:ascii="Arial" w:hAnsi="Arial"/>
                <w:b/>
                <w:bCs/>
              </w:rPr>
            </w:pPr>
            <w:r w:rsidRPr="00A46EC3">
              <w:rPr>
                <w:rFonts w:ascii="Arial" w:hAnsi="Arial"/>
                <w:b/>
                <w:bCs/>
              </w:rPr>
              <w:t xml:space="preserve">TPC </w:t>
            </w:r>
            <w:r w:rsidRPr="00A46EC3">
              <w:rPr>
                <w:rFonts w:ascii="Arial" w:hAnsi="Arial" w:cs="Arial"/>
                <w:b/>
                <w:bCs/>
              </w:rPr>
              <w:t>[mg GEA/g]</w:t>
            </w:r>
          </w:p>
        </w:tc>
        <w:tc>
          <w:tcPr>
            <w:tcW w:w="2808" w:type="dxa"/>
            <w:tcBorders>
              <w:top w:val="single" w:sz="4" w:space="0" w:color="auto"/>
              <w:bottom w:val="single" w:sz="4" w:space="0" w:color="auto"/>
            </w:tcBorders>
            <w:vAlign w:val="center"/>
          </w:tcPr>
          <w:p w14:paraId="6A380E20" w14:textId="3D0F9BB1" w:rsidR="008D3419" w:rsidRPr="00A46EC3" w:rsidRDefault="008D3419" w:rsidP="00576349">
            <w:pPr>
              <w:jc w:val="both"/>
              <w:rPr>
                <w:rFonts w:ascii="Arial" w:hAnsi="Arial"/>
                <w:b/>
                <w:bCs/>
              </w:rPr>
            </w:pPr>
            <w:r w:rsidRPr="00A46EC3">
              <w:rPr>
                <w:rFonts w:ascii="Arial" w:hAnsi="Arial"/>
                <w:b/>
                <w:bCs/>
              </w:rPr>
              <w:t xml:space="preserve">TFC </w:t>
            </w:r>
            <w:r w:rsidRPr="00A46EC3">
              <w:rPr>
                <w:rFonts w:ascii="Arial" w:hAnsi="Arial" w:cs="Arial"/>
                <w:b/>
                <w:bCs/>
              </w:rPr>
              <w:t>[mg QE/g]</w:t>
            </w:r>
          </w:p>
        </w:tc>
      </w:tr>
      <w:tr w:rsidR="008D3419" w:rsidRPr="00A46EC3" w14:paraId="7B430306" w14:textId="77777777" w:rsidTr="00B53AF1">
        <w:trPr>
          <w:trHeight w:val="250"/>
          <w:jc w:val="center"/>
        </w:trPr>
        <w:tc>
          <w:tcPr>
            <w:tcW w:w="2663" w:type="dxa"/>
            <w:tcBorders>
              <w:top w:val="single" w:sz="4" w:space="0" w:color="auto"/>
            </w:tcBorders>
            <w:vAlign w:val="center"/>
          </w:tcPr>
          <w:p w14:paraId="243ABBCD" w14:textId="3087A875" w:rsidR="008D3419" w:rsidRPr="00A46EC3" w:rsidRDefault="008D3419" w:rsidP="00576349">
            <w:pPr>
              <w:jc w:val="both"/>
              <w:rPr>
                <w:rFonts w:ascii="Arial" w:hAnsi="Arial"/>
                <w:vanish/>
              </w:rPr>
            </w:pPr>
            <w:r w:rsidRPr="00A46EC3">
              <w:rPr>
                <w:rFonts w:ascii="Arial" w:hAnsi="Arial"/>
              </w:rPr>
              <w:t>U</w:t>
            </w:r>
            <w:r w:rsidR="00B53AF1" w:rsidRPr="00A46EC3">
              <w:rPr>
                <w:rFonts w:ascii="Arial" w:hAnsi="Arial"/>
              </w:rPr>
              <w:t>AE-EtOH</w:t>
            </w:r>
          </w:p>
        </w:tc>
        <w:tc>
          <w:tcPr>
            <w:tcW w:w="2714" w:type="dxa"/>
            <w:tcBorders>
              <w:top w:val="single" w:sz="4" w:space="0" w:color="auto"/>
            </w:tcBorders>
            <w:vAlign w:val="center"/>
          </w:tcPr>
          <w:p w14:paraId="7C437E63" w14:textId="658BA158" w:rsidR="008D3419" w:rsidRPr="00A46EC3" w:rsidRDefault="009C320B" w:rsidP="00576349">
            <w:pPr>
              <w:jc w:val="both"/>
              <w:rPr>
                <w:rFonts w:ascii="Arial" w:hAnsi="Arial"/>
              </w:rPr>
            </w:pPr>
            <w:r w:rsidRPr="00A46EC3">
              <w:rPr>
                <w:rFonts w:ascii="Arial" w:hAnsi="Arial"/>
              </w:rPr>
              <w:t>232.48</w:t>
            </w:r>
          </w:p>
        </w:tc>
        <w:tc>
          <w:tcPr>
            <w:tcW w:w="2808" w:type="dxa"/>
            <w:tcBorders>
              <w:top w:val="single" w:sz="4" w:space="0" w:color="auto"/>
            </w:tcBorders>
            <w:vAlign w:val="center"/>
          </w:tcPr>
          <w:p w14:paraId="445490C7" w14:textId="4D4AD712" w:rsidR="008D3419" w:rsidRPr="00A46EC3" w:rsidRDefault="005243DB" w:rsidP="00576349">
            <w:pPr>
              <w:jc w:val="both"/>
              <w:rPr>
                <w:rFonts w:ascii="Arial" w:hAnsi="Arial"/>
              </w:rPr>
            </w:pPr>
            <w:r w:rsidRPr="00A46EC3">
              <w:rPr>
                <w:rFonts w:ascii="Arial" w:eastAsia="Arial Unicode MS" w:hAnsi="Arial" w:cs="Arial"/>
              </w:rPr>
              <w:t>22.92</w:t>
            </w:r>
          </w:p>
        </w:tc>
      </w:tr>
      <w:tr w:rsidR="008D3419" w:rsidRPr="00A46EC3" w14:paraId="5D26D84B" w14:textId="77777777" w:rsidTr="00B53AF1">
        <w:trPr>
          <w:trHeight w:val="243"/>
          <w:jc w:val="center"/>
        </w:trPr>
        <w:tc>
          <w:tcPr>
            <w:tcW w:w="2663" w:type="dxa"/>
            <w:vAlign w:val="center"/>
          </w:tcPr>
          <w:p w14:paraId="7A3DABA8" w14:textId="7D56DA67" w:rsidR="008D3419" w:rsidRPr="00A46EC3" w:rsidRDefault="00B53AF1" w:rsidP="00576349">
            <w:pPr>
              <w:jc w:val="both"/>
              <w:rPr>
                <w:rFonts w:ascii="Arial" w:hAnsi="Arial" w:cs="Arial"/>
                <w:vanish/>
              </w:rPr>
            </w:pPr>
            <w:r w:rsidRPr="00A46EC3">
              <w:rPr>
                <w:rFonts w:ascii="Arial" w:hAnsi="Arial" w:cs="Arial"/>
              </w:rPr>
              <w:t>UAE-PE</w:t>
            </w:r>
          </w:p>
        </w:tc>
        <w:tc>
          <w:tcPr>
            <w:tcW w:w="2714" w:type="dxa"/>
            <w:vAlign w:val="center"/>
          </w:tcPr>
          <w:p w14:paraId="2AEF4AA9" w14:textId="2167E4E0" w:rsidR="008D3419" w:rsidRPr="00A46EC3" w:rsidRDefault="009C320B" w:rsidP="00576349">
            <w:pPr>
              <w:jc w:val="both"/>
              <w:rPr>
                <w:rFonts w:ascii="Arial" w:hAnsi="Arial" w:cs="Arial"/>
              </w:rPr>
            </w:pPr>
            <w:r w:rsidRPr="00A46EC3">
              <w:rPr>
                <w:rFonts w:ascii="Arial" w:hAnsi="Arial" w:cs="Arial"/>
              </w:rPr>
              <w:t>277.54</w:t>
            </w:r>
          </w:p>
        </w:tc>
        <w:tc>
          <w:tcPr>
            <w:tcW w:w="2808" w:type="dxa"/>
            <w:vAlign w:val="center"/>
          </w:tcPr>
          <w:p w14:paraId="3802C405" w14:textId="31DB4B5F" w:rsidR="008D3419" w:rsidRPr="00A46EC3" w:rsidRDefault="00D14F38" w:rsidP="00576349">
            <w:pPr>
              <w:jc w:val="both"/>
              <w:rPr>
                <w:rFonts w:ascii="Arial" w:hAnsi="Arial"/>
              </w:rPr>
            </w:pPr>
            <w:r w:rsidRPr="00A46EC3">
              <w:rPr>
                <w:rFonts w:ascii="Arial" w:hAnsi="Arial"/>
              </w:rPr>
              <w:t>33</w:t>
            </w:r>
            <w:r w:rsidR="00550860" w:rsidRPr="00A46EC3">
              <w:rPr>
                <w:rFonts w:ascii="Arial" w:hAnsi="Arial"/>
              </w:rPr>
              <w:t>.12</w:t>
            </w:r>
          </w:p>
        </w:tc>
      </w:tr>
      <w:tr w:rsidR="008D3419" w:rsidRPr="00A46EC3" w14:paraId="3238ED41" w14:textId="77777777" w:rsidTr="00B53AF1">
        <w:trPr>
          <w:trHeight w:val="243"/>
          <w:jc w:val="center"/>
        </w:trPr>
        <w:tc>
          <w:tcPr>
            <w:tcW w:w="2663" w:type="dxa"/>
            <w:vAlign w:val="center"/>
          </w:tcPr>
          <w:p w14:paraId="0287CA42" w14:textId="595459B3" w:rsidR="008D3419" w:rsidRPr="00A46EC3" w:rsidRDefault="00B53AF1" w:rsidP="00576349">
            <w:pPr>
              <w:jc w:val="both"/>
              <w:rPr>
                <w:rFonts w:ascii="Arial" w:hAnsi="Arial"/>
                <w:vanish/>
              </w:rPr>
            </w:pPr>
            <w:r w:rsidRPr="00A46EC3">
              <w:rPr>
                <w:rFonts w:ascii="Arial" w:hAnsi="Arial"/>
              </w:rPr>
              <w:t>SE-EtOH</w:t>
            </w:r>
          </w:p>
        </w:tc>
        <w:tc>
          <w:tcPr>
            <w:tcW w:w="2714" w:type="dxa"/>
            <w:vAlign w:val="center"/>
          </w:tcPr>
          <w:p w14:paraId="2E66FCAD" w14:textId="2C9297E8" w:rsidR="008D3419" w:rsidRPr="00A46EC3" w:rsidRDefault="009C320B" w:rsidP="00576349">
            <w:pPr>
              <w:jc w:val="both"/>
              <w:rPr>
                <w:rFonts w:ascii="Arial" w:hAnsi="Arial"/>
              </w:rPr>
            </w:pPr>
            <w:r w:rsidRPr="00A46EC3">
              <w:rPr>
                <w:rFonts w:ascii="Arial" w:hAnsi="Arial"/>
              </w:rPr>
              <w:t>255.28</w:t>
            </w:r>
          </w:p>
        </w:tc>
        <w:tc>
          <w:tcPr>
            <w:tcW w:w="2808" w:type="dxa"/>
            <w:vAlign w:val="center"/>
          </w:tcPr>
          <w:p w14:paraId="3FF84341" w14:textId="4259DFF4" w:rsidR="008D3419" w:rsidRPr="00A46EC3" w:rsidRDefault="005243DB" w:rsidP="00576349">
            <w:pPr>
              <w:jc w:val="both"/>
              <w:rPr>
                <w:rFonts w:ascii="Arial" w:eastAsia="Arial Unicode MS" w:hAnsi="Arial" w:cs="Arial"/>
              </w:rPr>
            </w:pPr>
            <w:r w:rsidRPr="00A46EC3">
              <w:rPr>
                <w:rFonts w:ascii="Arial" w:hAnsi="Arial" w:cs="Arial"/>
              </w:rPr>
              <w:t>32.55</w:t>
            </w:r>
          </w:p>
        </w:tc>
      </w:tr>
      <w:tr w:rsidR="008D3419" w:rsidRPr="00A46EC3" w14:paraId="79903E9C" w14:textId="77777777" w:rsidTr="00B53AF1">
        <w:trPr>
          <w:trHeight w:val="50"/>
          <w:jc w:val="center"/>
        </w:trPr>
        <w:tc>
          <w:tcPr>
            <w:tcW w:w="2663" w:type="dxa"/>
            <w:tcBorders>
              <w:bottom w:val="single" w:sz="4" w:space="0" w:color="auto"/>
            </w:tcBorders>
            <w:vAlign w:val="center"/>
          </w:tcPr>
          <w:p w14:paraId="2BA1B7E5" w14:textId="05941C6E" w:rsidR="008D3419" w:rsidRPr="00A46EC3" w:rsidRDefault="00B53AF1" w:rsidP="00576349">
            <w:pPr>
              <w:jc w:val="both"/>
              <w:rPr>
                <w:rFonts w:ascii="Arial" w:hAnsi="Arial"/>
              </w:rPr>
            </w:pPr>
            <w:r w:rsidRPr="00A46EC3">
              <w:rPr>
                <w:rFonts w:ascii="Arial" w:hAnsi="Arial"/>
              </w:rPr>
              <w:t>SE-PE</w:t>
            </w:r>
          </w:p>
        </w:tc>
        <w:tc>
          <w:tcPr>
            <w:tcW w:w="2714" w:type="dxa"/>
            <w:tcBorders>
              <w:bottom w:val="single" w:sz="4" w:space="0" w:color="auto"/>
            </w:tcBorders>
            <w:vAlign w:val="center"/>
          </w:tcPr>
          <w:p w14:paraId="76188F19" w14:textId="282D3E3E" w:rsidR="008D3419" w:rsidRPr="00A46EC3" w:rsidRDefault="009C320B" w:rsidP="00576349">
            <w:pPr>
              <w:jc w:val="both"/>
              <w:rPr>
                <w:rFonts w:ascii="Arial" w:hAnsi="Arial"/>
              </w:rPr>
            </w:pPr>
            <w:r w:rsidRPr="00A46EC3">
              <w:rPr>
                <w:rFonts w:ascii="Arial" w:hAnsi="Arial"/>
              </w:rPr>
              <w:t>250.50</w:t>
            </w:r>
          </w:p>
        </w:tc>
        <w:tc>
          <w:tcPr>
            <w:tcW w:w="2808" w:type="dxa"/>
            <w:tcBorders>
              <w:bottom w:val="single" w:sz="4" w:space="0" w:color="auto"/>
            </w:tcBorders>
            <w:vAlign w:val="center"/>
          </w:tcPr>
          <w:p w14:paraId="2736BA27" w14:textId="711EB6DB" w:rsidR="008D3419" w:rsidRPr="00A46EC3" w:rsidRDefault="005243DB" w:rsidP="00576349">
            <w:pPr>
              <w:jc w:val="both"/>
              <w:rPr>
                <w:rFonts w:ascii="Arial" w:hAnsi="Arial" w:cs="Arial"/>
              </w:rPr>
            </w:pPr>
            <w:r w:rsidRPr="00A46EC3">
              <w:rPr>
                <w:rFonts w:ascii="Arial" w:hAnsi="Arial"/>
              </w:rPr>
              <w:t>30.56</w:t>
            </w:r>
          </w:p>
        </w:tc>
      </w:tr>
    </w:tbl>
    <w:p w14:paraId="435ECC92" w14:textId="69D06009" w:rsidR="008D3419" w:rsidRPr="00A46EC3" w:rsidRDefault="008D3419" w:rsidP="00B53AF1">
      <w:pPr>
        <w:pStyle w:val="BodyText3"/>
        <w:tabs>
          <w:tab w:val="left" w:pos="1080"/>
        </w:tabs>
        <w:spacing w:after="0"/>
        <w:jc w:val="both"/>
        <w:rPr>
          <w:rFonts w:ascii="Arial" w:hAnsi="Arial"/>
          <w:b/>
          <w:sz w:val="20"/>
          <w:szCs w:val="20"/>
        </w:rPr>
      </w:pPr>
    </w:p>
    <w:p w14:paraId="6094C76C" w14:textId="0E1DC52F" w:rsidR="0042068C" w:rsidRPr="00A46EC3" w:rsidRDefault="0042068C" w:rsidP="0042068C">
      <w:pPr>
        <w:pStyle w:val="Body"/>
        <w:spacing w:after="0"/>
        <w:rPr>
          <w:rFonts w:ascii="Arial" w:hAnsi="Arial" w:cs="Arial"/>
        </w:rPr>
      </w:pPr>
      <w:r w:rsidRPr="00A46EC3">
        <w:rPr>
          <w:rFonts w:ascii="Arial" w:hAnsi="Arial" w:cs="Arial"/>
        </w:rPr>
        <w:t>The results vary depending on the solvent used and the extraction method. Petroleum ether as a non-polar solvent in this case proved to be more efficient in the extraction of bioactive components from cloves using ultrasonic extraction. Since ultrasonic extraction uses cavitation and petroleum ether has low viscosity and surface tension, cavitation is more intense than in ethanol, which allows for more efficient disruption of the cell membrane and the transfer of more lipophilic components into the solvent. So</w:t>
      </w:r>
      <w:r w:rsidR="0063521B" w:rsidRPr="00A46EC3">
        <w:rPr>
          <w:rFonts w:ascii="Arial" w:hAnsi="Arial" w:cs="Arial"/>
        </w:rPr>
        <w:t>x</w:t>
      </w:r>
      <w:r w:rsidRPr="00A46EC3">
        <w:rPr>
          <w:rFonts w:ascii="Arial" w:hAnsi="Arial" w:cs="Arial"/>
        </w:rPr>
        <w:t xml:space="preserve">hlet extraction is less efficient in isolating polyphenolic compounds because it is carried out with heating, which can lead to evaporation or degradation of volatile components from the cloves. </w:t>
      </w:r>
    </w:p>
    <w:p w14:paraId="4FE6AC4D" w14:textId="77777777" w:rsidR="008D3419" w:rsidRPr="00A46EC3" w:rsidRDefault="008D3419" w:rsidP="00441B6F">
      <w:pPr>
        <w:pStyle w:val="Body"/>
        <w:spacing w:after="0"/>
        <w:rPr>
          <w:rFonts w:ascii="Arial" w:hAnsi="Arial" w:cs="Arial"/>
        </w:rPr>
      </w:pPr>
    </w:p>
    <w:p w14:paraId="5859FD64" w14:textId="73848733" w:rsidR="003E78C7" w:rsidRPr="00A46EC3" w:rsidRDefault="003E78C7" w:rsidP="00441B6F">
      <w:pPr>
        <w:pStyle w:val="Body"/>
        <w:spacing w:after="0"/>
        <w:rPr>
          <w:rFonts w:ascii="Arial" w:hAnsi="Arial" w:cs="Arial"/>
        </w:rPr>
      </w:pPr>
      <w:r w:rsidRPr="00A46EC3">
        <w:rPr>
          <w:rFonts w:ascii="Arial" w:hAnsi="Arial" w:cs="Arial"/>
        </w:rPr>
        <w:t xml:space="preserve">Table 2 shows the results of the antioxidant capacity testing of ethanolic and petroleum ether extracts of cloves. The obtained results are correlated with the content of total polyphenols and flavonoids, which affect the antioxidant capacity of the extracts. FRAP values ​​range from 10577.06 to 16978.97 </w:t>
      </w:r>
      <w:proofErr w:type="spellStart"/>
      <w:r w:rsidRPr="00A46EC3">
        <w:rPr>
          <w:rFonts w:ascii="Arial" w:hAnsi="Arial" w:cs="Arial"/>
        </w:rPr>
        <w:t>μmol</w:t>
      </w:r>
      <w:proofErr w:type="spellEnd"/>
      <w:r w:rsidRPr="00A46EC3">
        <w:rPr>
          <w:rFonts w:ascii="Arial" w:hAnsi="Arial" w:cs="Arial"/>
        </w:rPr>
        <w:t>/g, which indicates an extremely high reducing ability of the extracts. When it comes to the efficiency of neutralizing DPPH radicals, the results are expressed as IC</w:t>
      </w:r>
      <w:r w:rsidRPr="00A46EC3">
        <w:rPr>
          <w:rFonts w:ascii="Arial" w:hAnsi="Arial" w:cs="Arial"/>
          <w:vertAlign w:val="subscript"/>
        </w:rPr>
        <w:t>50</w:t>
      </w:r>
      <w:r w:rsidRPr="00A46EC3">
        <w:rPr>
          <w:rFonts w:ascii="Arial" w:hAnsi="Arial" w:cs="Arial"/>
        </w:rPr>
        <w:t xml:space="preserve"> values, i.e.</w:t>
      </w:r>
      <w:r w:rsidR="0063521B" w:rsidRPr="00A46EC3">
        <w:rPr>
          <w:rFonts w:ascii="Arial" w:hAnsi="Arial" w:cs="Arial"/>
        </w:rPr>
        <w:t>,</w:t>
      </w:r>
      <w:r w:rsidRPr="00A46EC3">
        <w:rPr>
          <w:rFonts w:ascii="Arial" w:hAnsi="Arial" w:cs="Arial"/>
        </w:rPr>
        <w:t xml:space="preserve"> the concentration of extracts that neutralizes 50% of DPPH </w:t>
      </w:r>
      <w:r w:rsidRPr="00A46EC3">
        <w:rPr>
          <w:rFonts w:ascii="Arial" w:hAnsi="Arial" w:cs="Arial"/>
        </w:rPr>
        <w:lastRenderedPageBreak/>
        <w:t>radicals. IC</w:t>
      </w:r>
      <w:r w:rsidRPr="00A46EC3">
        <w:rPr>
          <w:rFonts w:ascii="Arial" w:hAnsi="Arial" w:cs="Arial"/>
          <w:vertAlign w:val="subscript"/>
        </w:rPr>
        <w:t>50</w:t>
      </w:r>
      <w:r w:rsidRPr="00A46EC3">
        <w:rPr>
          <w:rFonts w:ascii="Arial" w:hAnsi="Arial" w:cs="Arial"/>
        </w:rPr>
        <w:t xml:space="preserve"> values ​​range from 0.0062 mg/mL for petroleum ether extract obtained by ultrasonic extraction to 0.0109 mg/mL for ethanol extract obtained by the same extraction method. Compared to ascorbic acid</w:t>
      </w:r>
      <w:r w:rsidR="0063521B" w:rsidRPr="00A46EC3">
        <w:rPr>
          <w:rFonts w:ascii="Arial" w:hAnsi="Arial" w:cs="Arial"/>
        </w:rPr>
        <w:t>,</w:t>
      </w:r>
      <w:r w:rsidRPr="00A46EC3">
        <w:rPr>
          <w:rFonts w:ascii="Arial" w:hAnsi="Arial" w:cs="Arial"/>
        </w:rPr>
        <w:t xml:space="preserve"> for which an IC</w:t>
      </w:r>
      <w:r w:rsidRPr="00A46EC3">
        <w:rPr>
          <w:rFonts w:ascii="Arial" w:hAnsi="Arial" w:cs="Arial"/>
          <w:vertAlign w:val="subscript"/>
        </w:rPr>
        <w:t>50</w:t>
      </w:r>
      <w:r w:rsidRPr="00A46EC3">
        <w:rPr>
          <w:rFonts w:ascii="Arial" w:hAnsi="Arial" w:cs="Arial"/>
        </w:rPr>
        <w:t xml:space="preserve"> value of 0.03 mg/mL was obtained, all clove extracts show greater efficiency in neutralizing DPPH radicals.</w:t>
      </w:r>
    </w:p>
    <w:p w14:paraId="73BB5ABF" w14:textId="2BCF651F" w:rsidR="00790ADA" w:rsidRPr="00A46EC3" w:rsidRDefault="00790ADA" w:rsidP="00441B6F">
      <w:pPr>
        <w:pStyle w:val="Body"/>
        <w:spacing w:after="0"/>
        <w:rPr>
          <w:rFonts w:ascii="Arial" w:hAnsi="Arial" w:cs="Arial"/>
        </w:rPr>
      </w:pPr>
    </w:p>
    <w:p w14:paraId="2D000622" w14:textId="1C079339" w:rsidR="008D3419" w:rsidRPr="00A46EC3" w:rsidRDefault="008D3419" w:rsidP="0042068C">
      <w:pPr>
        <w:tabs>
          <w:tab w:val="left" w:pos="1080"/>
        </w:tabs>
        <w:spacing w:line="360" w:lineRule="auto"/>
        <w:jc w:val="center"/>
        <w:rPr>
          <w:rFonts w:ascii="Arial" w:hAnsi="Arial"/>
          <w:b/>
        </w:rPr>
      </w:pPr>
      <w:r w:rsidRPr="00A46EC3">
        <w:rPr>
          <w:rFonts w:ascii="Arial" w:hAnsi="Arial"/>
          <w:b/>
        </w:rPr>
        <w:t xml:space="preserve">Table </w:t>
      </w:r>
      <w:r w:rsidR="0042068C" w:rsidRPr="00A46EC3">
        <w:rPr>
          <w:rFonts w:ascii="Arial" w:hAnsi="Arial"/>
          <w:b/>
        </w:rPr>
        <w:t>2. Results of antioxidant activity of clove extracts</w:t>
      </w:r>
    </w:p>
    <w:tbl>
      <w:tblPr>
        <w:tblW w:w="8177" w:type="dxa"/>
        <w:jc w:val="center"/>
        <w:tblLook w:val="01E0" w:firstRow="1" w:lastRow="1" w:firstColumn="1" w:lastColumn="1" w:noHBand="0" w:noVBand="0"/>
      </w:tblPr>
      <w:tblGrid>
        <w:gridCol w:w="2661"/>
        <w:gridCol w:w="2711"/>
        <w:gridCol w:w="2805"/>
      </w:tblGrid>
      <w:tr w:rsidR="00B53AF1" w:rsidRPr="00A46EC3" w14:paraId="7920EB21" w14:textId="77777777" w:rsidTr="00B53AF1">
        <w:trPr>
          <w:trHeight w:val="249"/>
          <w:jc w:val="center"/>
        </w:trPr>
        <w:tc>
          <w:tcPr>
            <w:tcW w:w="2661" w:type="dxa"/>
            <w:tcBorders>
              <w:top w:val="single" w:sz="4" w:space="0" w:color="auto"/>
              <w:bottom w:val="single" w:sz="4" w:space="0" w:color="auto"/>
            </w:tcBorders>
            <w:vAlign w:val="center"/>
          </w:tcPr>
          <w:p w14:paraId="71AF9B22" w14:textId="12CDDDD3" w:rsidR="00B53AF1" w:rsidRPr="00A46EC3" w:rsidRDefault="00B53AF1" w:rsidP="00B53AF1">
            <w:pPr>
              <w:jc w:val="both"/>
              <w:rPr>
                <w:rFonts w:ascii="Arial" w:hAnsi="Arial"/>
              </w:rPr>
            </w:pPr>
            <w:r w:rsidRPr="00A46EC3">
              <w:rPr>
                <w:rFonts w:ascii="Arial" w:hAnsi="Arial"/>
                <w:b/>
                <w:bCs/>
              </w:rPr>
              <w:t>Extract</w:t>
            </w:r>
          </w:p>
        </w:tc>
        <w:tc>
          <w:tcPr>
            <w:tcW w:w="2711" w:type="dxa"/>
            <w:tcBorders>
              <w:top w:val="single" w:sz="4" w:space="0" w:color="auto"/>
              <w:bottom w:val="single" w:sz="4" w:space="0" w:color="auto"/>
            </w:tcBorders>
            <w:vAlign w:val="center"/>
          </w:tcPr>
          <w:p w14:paraId="39CDD0E4" w14:textId="5314D7EA" w:rsidR="00B53AF1" w:rsidRPr="00A46EC3" w:rsidRDefault="00B53AF1" w:rsidP="00B53AF1">
            <w:pPr>
              <w:jc w:val="both"/>
              <w:rPr>
                <w:rFonts w:ascii="Arial" w:hAnsi="Arial"/>
                <w:b/>
                <w:bCs/>
              </w:rPr>
            </w:pPr>
            <w:r w:rsidRPr="00A46EC3">
              <w:rPr>
                <w:rFonts w:ascii="Arial" w:hAnsi="Arial"/>
                <w:b/>
                <w:bCs/>
              </w:rPr>
              <w:t xml:space="preserve">FRAP value </w:t>
            </w:r>
            <w:r w:rsidRPr="00A46EC3">
              <w:rPr>
                <w:rFonts w:ascii="Arial" w:hAnsi="Arial" w:cs="Arial"/>
                <w:b/>
                <w:bCs/>
              </w:rPr>
              <w:t>[</w:t>
            </w:r>
            <w:proofErr w:type="spellStart"/>
            <w:r w:rsidRPr="00A46EC3">
              <w:rPr>
                <w:rFonts w:ascii="Arial" w:hAnsi="Arial" w:cs="Arial"/>
                <w:b/>
                <w:bCs/>
              </w:rPr>
              <w:t>μmol</w:t>
            </w:r>
            <w:proofErr w:type="spellEnd"/>
            <w:r w:rsidRPr="00A46EC3">
              <w:rPr>
                <w:rFonts w:ascii="Arial" w:hAnsi="Arial" w:cs="Arial"/>
                <w:b/>
                <w:bCs/>
              </w:rPr>
              <w:t>/g]</w:t>
            </w:r>
          </w:p>
        </w:tc>
        <w:tc>
          <w:tcPr>
            <w:tcW w:w="2805" w:type="dxa"/>
            <w:tcBorders>
              <w:top w:val="single" w:sz="4" w:space="0" w:color="auto"/>
              <w:bottom w:val="single" w:sz="4" w:space="0" w:color="auto"/>
            </w:tcBorders>
            <w:vAlign w:val="center"/>
          </w:tcPr>
          <w:p w14:paraId="27D3884E" w14:textId="09355F89" w:rsidR="00B53AF1" w:rsidRPr="00A46EC3" w:rsidRDefault="00B53AF1" w:rsidP="00B53AF1">
            <w:pPr>
              <w:jc w:val="both"/>
              <w:rPr>
                <w:rFonts w:ascii="Arial" w:hAnsi="Arial"/>
                <w:b/>
                <w:bCs/>
              </w:rPr>
            </w:pPr>
            <w:r w:rsidRPr="00A46EC3">
              <w:rPr>
                <w:rFonts w:ascii="Arial" w:hAnsi="Arial"/>
                <w:b/>
                <w:bCs/>
              </w:rPr>
              <w:t>IC</w:t>
            </w:r>
            <w:r w:rsidRPr="00A46EC3">
              <w:rPr>
                <w:rFonts w:ascii="Arial" w:hAnsi="Arial"/>
                <w:b/>
                <w:bCs/>
                <w:vertAlign w:val="subscript"/>
              </w:rPr>
              <w:t>50</w:t>
            </w:r>
            <w:r w:rsidRPr="00A46EC3">
              <w:rPr>
                <w:rFonts w:ascii="Arial" w:hAnsi="Arial"/>
                <w:b/>
                <w:bCs/>
              </w:rPr>
              <w:t xml:space="preserve"> value [mg/mL]</w:t>
            </w:r>
          </w:p>
        </w:tc>
      </w:tr>
      <w:tr w:rsidR="00B53AF1" w:rsidRPr="00A46EC3" w14:paraId="69A08D0A" w14:textId="77777777" w:rsidTr="00B53AF1">
        <w:trPr>
          <w:trHeight w:val="241"/>
          <w:jc w:val="center"/>
        </w:trPr>
        <w:tc>
          <w:tcPr>
            <w:tcW w:w="2661" w:type="dxa"/>
            <w:tcBorders>
              <w:top w:val="single" w:sz="4" w:space="0" w:color="auto"/>
            </w:tcBorders>
            <w:vAlign w:val="center"/>
          </w:tcPr>
          <w:p w14:paraId="7216AB7E" w14:textId="7EC39D86" w:rsidR="00B53AF1" w:rsidRPr="00A46EC3" w:rsidRDefault="00B53AF1" w:rsidP="00B53AF1">
            <w:pPr>
              <w:jc w:val="both"/>
              <w:rPr>
                <w:rFonts w:ascii="Arial" w:hAnsi="Arial" w:cs="Arial"/>
              </w:rPr>
            </w:pPr>
            <w:r w:rsidRPr="00A46EC3">
              <w:rPr>
                <w:rFonts w:ascii="Arial" w:hAnsi="Arial"/>
              </w:rPr>
              <w:t>UAE-EtOH</w:t>
            </w:r>
          </w:p>
        </w:tc>
        <w:tc>
          <w:tcPr>
            <w:tcW w:w="2711" w:type="dxa"/>
            <w:tcBorders>
              <w:top w:val="single" w:sz="4" w:space="0" w:color="auto"/>
            </w:tcBorders>
            <w:vAlign w:val="center"/>
          </w:tcPr>
          <w:p w14:paraId="6ABDEB9E" w14:textId="7B62C106" w:rsidR="00B53AF1" w:rsidRPr="00A46EC3" w:rsidRDefault="0043581F" w:rsidP="00B53AF1">
            <w:pPr>
              <w:jc w:val="both"/>
              <w:rPr>
                <w:rFonts w:ascii="Arial" w:hAnsi="Arial" w:cs="Arial"/>
              </w:rPr>
            </w:pPr>
            <w:r w:rsidRPr="00A46EC3">
              <w:rPr>
                <w:rFonts w:ascii="Arial" w:hAnsi="Arial" w:cs="Arial"/>
              </w:rPr>
              <w:t>10577.06</w:t>
            </w:r>
          </w:p>
        </w:tc>
        <w:tc>
          <w:tcPr>
            <w:tcW w:w="2805" w:type="dxa"/>
            <w:tcBorders>
              <w:top w:val="single" w:sz="4" w:space="0" w:color="auto"/>
            </w:tcBorders>
            <w:vAlign w:val="center"/>
          </w:tcPr>
          <w:p w14:paraId="43E3C011" w14:textId="5E115382" w:rsidR="00B53AF1" w:rsidRPr="00A46EC3" w:rsidRDefault="005243DB" w:rsidP="00B53AF1">
            <w:pPr>
              <w:jc w:val="both"/>
              <w:rPr>
                <w:rFonts w:ascii="Arial" w:hAnsi="Arial" w:cs="Arial"/>
                <w:vanish/>
              </w:rPr>
            </w:pPr>
            <w:r w:rsidRPr="00A46EC3">
              <w:rPr>
                <w:rFonts w:ascii="Arial" w:hAnsi="Arial" w:cs="Arial"/>
              </w:rPr>
              <w:t>0.0109</w:t>
            </w:r>
          </w:p>
          <w:p w14:paraId="134C1A7B" w14:textId="77777777" w:rsidR="00B53AF1" w:rsidRPr="00A46EC3" w:rsidRDefault="00B53AF1" w:rsidP="00B53AF1">
            <w:pPr>
              <w:jc w:val="both"/>
              <w:rPr>
                <w:rFonts w:ascii="Arial" w:hAnsi="Arial"/>
              </w:rPr>
            </w:pPr>
          </w:p>
        </w:tc>
      </w:tr>
      <w:tr w:rsidR="00B53AF1" w:rsidRPr="00A46EC3" w14:paraId="6D7C81A6" w14:textId="77777777" w:rsidTr="00B53AF1">
        <w:trPr>
          <w:trHeight w:val="241"/>
          <w:jc w:val="center"/>
        </w:trPr>
        <w:tc>
          <w:tcPr>
            <w:tcW w:w="2661" w:type="dxa"/>
            <w:vAlign w:val="center"/>
          </w:tcPr>
          <w:p w14:paraId="3DC0DA74" w14:textId="317F0E86" w:rsidR="00B53AF1" w:rsidRPr="00A46EC3" w:rsidRDefault="00B53AF1" w:rsidP="00B53AF1">
            <w:pPr>
              <w:jc w:val="both"/>
              <w:rPr>
                <w:rFonts w:ascii="Arial" w:hAnsi="Arial"/>
              </w:rPr>
            </w:pPr>
            <w:r w:rsidRPr="00A46EC3">
              <w:rPr>
                <w:rFonts w:ascii="Arial" w:hAnsi="Arial" w:cs="Arial"/>
              </w:rPr>
              <w:t>UAE-PE</w:t>
            </w:r>
          </w:p>
        </w:tc>
        <w:tc>
          <w:tcPr>
            <w:tcW w:w="2711" w:type="dxa"/>
            <w:vAlign w:val="center"/>
          </w:tcPr>
          <w:p w14:paraId="2A896524" w14:textId="5805C5D5" w:rsidR="00B53AF1" w:rsidRPr="00A46EC3" w:rsidRDefault="00566188" w:rsidP="00B53AF1">
            <w:pPr>
              <w:jc w:val="both"/>
              <w:rPr>
                <w:rFonts w:ascii="Arial" w:hAnsi="Arial"/>
              </w:rPr>
            </w:pPr>
            <w:r w:rsidRPr="00A46EC3">
              <w:rPr>
                <w:rFonts w:ascii="Arial" w:hAnsi="Arial"/>
              </w:rPr>
              <w:t>16978.97</w:t>
            </w:r>
          </w:p>
        </w:tc>
        <w:tc>
          <w:tcPr>
            <w:tcW w:w="2805" w:type="dxa"/>
            <w:vAlign w:val="center"/>
          </w:tcPr>
          <w:p w14:paraId="52BE66D9" w14:textId="45F45382" w:rsidR="00B53AF1" w:rsidRPr="00A46EC3" w:rsidRDefault="00550860" w:rsidP="00B53AF1">
            <w:pPr>
              <w:jc w:val="both"/>
              <w:rPr>
                <w:rFonts w:ascii="Arial" w:eastAsia="Arial Unicode MS" w:hAnsi="Arial" w:cs="Arial"/>
              </w:rPr>
            </w:pPr>
            <w:r w:rsidRPr="00A46EC3">
              <w:rPr>
                <w:rFonts w:ascii="Arial" w:eastAsia="Arial Unicode MS" w:hAnsi="Arial" w:cs="Arial"/>
              </w:rPr>
              <w:t>0.0062</w:t>
            </w:r>
          </w:p>
        </w:tc>
      </w:tr>
      <w:tr w:rsidR="00B53AF1" w:rsidRPr="00A46EC3" w14:paraId="58B4AE86" w14:textId="77777777" w:rsidTr="00B53AF1">
        <w:trPr>
          <w:trHeight w:val="241"/>
          <w:jc w:val="center"/>
        </w:trPr>
        <w:tc>
          <w:tcPr>
            <w:tcW w:w="2661" w:type="dxa"/>
            <w:vAlign w:val="center"/>
          </w:tcPr>
          <w:p w14:paraId="5C86AFF2" w14:textId="725CF36F" w:rsidR="00B53AF1" w:rsidRPr="00A46EC3" w:rsidRDefault="00B53AF1" w:rsidP="00B53AF1">
            <w:pPr>
              <w:jc w:val="both"/>
              <w:rPr>
                <w:rFonts w:ascii="Arial" w:hAnsi="Arial"/>
              </w:rPr>
            </w:pPr>
            <w:r w:rsidRPr="00A46EC3">
              <w:rPr>
                <w:rFonts w:ascii="Arial" w:hAnsi="Arial"/>
              </w:rPr>
              <w:t>SE-EtOH</w:t>
            </w:r>
          </w:p>
        </w:tc>
        <w:tc>
          <w:tcPr>
            <w:tcW w:w="2711" w:type="dxa"/>
            <w:vAlign w:val="center"/>
          </w:tcPr>
          <w:p w14:paraId="3618AD75" w14:textId="1B3B7570" w:rsidR="00B53AF1" w:rsidRPr="00A46EC3" w:rsidRDefault="0043581F" w:rsidP="00B53AF1">
            <w:pPr>
              <w:jc w:val="both"/>
              <w:rPr>
                <w:rFonts w:ascii="Arial" w:hAnsi="Arial"/>
              </w:rPr>
            </w:pPr>
            <w:r w:rsidRPr="00A46EC3">
              <w:rPr>
                <w:rFonts w:ascii="Arial" w:hAnsi="Arial"/>
              </w:rPr>
              <w:t>12857.61</w:t>
            </w:r>
          </w:p>
        </w:tc>
        <w:tc>
          <w:tcPr>
            <w:tcW w:w="2805" w:type="dxa"/>
            <w:vAlign w:val="center"/>
          </w:tcPr>
          <w:p w14:paraId="3A9A9E38" w14:textId="114C8F3A" w:rsidR="00B53AF1" w:rsidRPr="00A46EC3" w:rsidRDefault="00550860" w:rsidP="00B53AF1">
            <w:pPr>
              <w:jc w:val="both"/>
              <w:rPr>
                <w:rFonts w:ascii="Arial" w:hAnsi="Arial" w:cs="Arial"/>
              </w:rPr>
            </w:pPr>
            <w:r w:rsidRPr="00A46EC3">
              <w:rPr>
                <w:rFonts w:ascii="Arial" w:hAnsi="Arial" w:cs="Arial"/>
              </w:rPr>
              <w:t>0,0075</w:t>
            </w:r>
          </w:p>
        </w:tc>
      </w:tr>
      <w:tr w:rsidR="00B53AF1" w:rsidRPr="00A46EC3" w14:paraId="333C89AE" w14:textId="77777777" w:rsidTr="00B53AF1">
        <w:trPr>
          <w:trHeight w:val="50"/>
          <w:jc w:val="center"/>
        </w:trPr>
        <w:tc>
          <w:tcPr>
            <w:tcW w:w="2661" w:type="dxa"/>
            <w:tcBorders>
              <w:bottom w:val="single" w:sz="4" w:space="0" w:color="auto"/>
            </w:tcBorders>
            <w:vAlign w:val="center"/>
          </w:tcPr>
          <w:p w14:paraId="26981EE7" w14:textId="72F3D179" w:rsidR="00B53AF1" w:rsidRPr="00A46EC3" w:rsidRDefault="00B53AF1" w:rsidP="00B53AF1">
            <w:pPr>
              <w:jc w:val="both"/>
              <w:rPr>
                <w:rFonts w:ascii="Arial" w:hAnsi="Arial"/>
              </w:rPr>
            </w:pPr>
            <w:r w:rsidRPr="00A46EC3">
              <w:rPr>
                <w:rFonts w:ascii="Arial" w:hAnsi="Arial"/>
              </w:rPr>
              <w:t>SE-PE</w:t>
            </w:r>
          </w:p>
        </w:tc>
        <w:tc>
          <w:tcPr>
            <w:tcW w:w="2711" w:type="dxa"/>
            <w:tcBorders>
              <w:bottom w:val="single" w:sz="4" w:space="0" w:color="auto"/>
            </w:tcBorders>
            <w:vAlign w:val="center"/>
          </w:tcPr>
          <w:p w14:paraId="34E63DB0" w14:textId="708354CB" w:rsidR="00B53AF1" w:rsidRPr="00A46EC3" w:rsidRDefault="00566188" w:rsidP="00B53AF1">
            <w:pPr>
              <w:jc w:val="both"/>
              <w:rPr>
                <w:rFonts w:ascii="Arial" w:hAnsi="Arial"/>
              </w:rPr>
            </w:pPr>
            <w:r w:rsidRPr="00A46EC3">
              <w:rPr>
                <w:rFonts w:ascii="Arial" w:hAnsi="Arial"/>
              </w:rPr>
              <w:t>11334.77</w:t>
            </w:r>
          </w:p>
        </w:tc>
        <w:tc>
          <w:tcPr>
            <w:tcW w:w="2805" w:type="dxa"/>
            <w:tcBorders>
              <w:bottom w:val="single" w:sz="4" w:space="0" w:color="auto"/>
            </w:tcBorders>
            <w:vAlign w:val="center"/>
          </w:tcPr>
          <w:p w14:paraId="51F15AFD" w14:textId="59BD97DD" w:rsidR="00B53AF1" w:rsidRPr="00A46EC3" w:rsidRDefault="005243DB" w:rsidP="00B53AF1">
            <w:pPr>
              <w:jc w:val="both"/>
              <w:rPr>
                <w:rFonts w:ascii="Arial" w:hAnsi="Arial" w:cs="Arial"/>
              </w:rPr>
            </w:pPr>
            <w:r w:rsidRPr="00A46EC3">
              <w:rPr>
                <w:rFonts w:ascii="Arial" w:hAnsi="Arial" w:cs="Arial"/>
              </w:rPr>
              <w:t>0,0096</w:t>
            </w:r>
          </w:p>
        </w:tc>
      </w:tr>
    </w:tbl>
    <w:p w14:paraId="347AB606" w14:textId="3AFE7846" w:rsidR="008D3419" w:rsidRPr="00A46EC3" w:rsidRDefault="008D3419" w:rsidP="008D3419">
      <w:pPr>
        <w:pStyle w:val="BodyText3"/>
        <w:tabs>
          <w:tab w:val="left" w:pos="1080"/>
        </w:tabs>
        <w:spacing w:after="0"/>
        <w:jc w:val="both"/>
        <w:rPr>
          <w:rFonts w:ascii="Arial" w:hAnsi="Arial"/>
          <w:b/>
          <w:sz w:val="20"/>
          <w:szCs w:val="20"/>
        </w:rPr>
      </w:pPr>
    </w:p>
    <w:p w14:paraId="67C9BDFD" w14:textId="0B60A957" w:rsidR="00AF510B" w:rsidRPr="00A46EC3" w:rsidRDefault="00985BF9" w:rsidP="00985BF9">
      <w:pPr>
        <w:pStyle w:val="BodyText3"/>
        <w:tabs>
          <w:tab w:val="left" w:pos="1080"/>
        </w:tabs>
        <w:jc w:val="both"/>
      </w:pPr>
      <w:r w:rsidRPr="00A46EC3">
        <w:rPr>
          <w:rFonts w:ascii="Arial" w:hAnsi="Arial"/>
          <w:bCs/>
          <w:sz w:val="20"/>
          <w:szCs w:val="20"/>
        </w:rPr>
        <w:t>According to the available literature, the phenylpropanoid eugenol is the most abundant component in cloves, so its mechanism of action in neutralizing DPPH radicals will be explained below.</w:t>
      </w:r>
      <w:r w:rsidRPr="00A46EC3">
        <w:t xml:space="preserve"> </w:t>
      </w:r>
      <w:r w:rsidR="00AF510B" w:rsidRPr="00A46EC3">
        <w:rPr>
          <w:sz w:val="20"/>
          <w:szCs w:val="20"/>
        </w:rPr>
        <w:t>Eugenol contains an aromatic nucleus in its structure to which a hydroxide group is attached. The phenolic moiety stabilizes the radical by donating H</w:t>
      </w:r>
      <w:r w:rsidR="00AF510B" w:rsidRPr="00A46EC3">
        <w:rPr>
          <w:rFonts w:cs="Helvetica"/>
          <w:sz w:val="20"/>
          <w:szCs w:val="20"/>
        </w:rPr>
        <w:t>∙</w:t>
      </w:r>
      <w:r w:rsidR="00AF510B" w:rsidRPr="00A46EC3">
        <w:rPr>
          <w:sz w:val="20"/>
          <w:szCs w:val="20"/>
        </w:rPr>
        <w:t>.</w:t>
      </w:r>
      <w:r w:rsidR="00AF510B" w:rsidRPr="00A46EC3">
        <w:t xml:space="preserve"> </w:t>
      </w:r>
      <w:r w:rsidR="00AF510B" w:rsidRPr="00A46EC3">
        <w:rPr>
          <w:rFonts w:ascii="Arial" w:hAnsi="Arial"/>
          <w:bCs/>
          <w:sz w:val="20"/>
          <w:szCs w:val="20"/>
        </w:rPr>
        <w:t xml:space="preserve">Similarly, </w:t>
      </w:r>
      <w:r w:rsidR="00482085" w:rsidRPr="00A46EC3">
        <w:rPr>
          <w:rFonts w:ascii="Arial" w:hAnsi="Arial"/>
          <w:bCs/>
          <w:sz w:val="20"/>
          <w:szCs w:val="20"/>
        </w:rPr>
        <w:t>“</w:t>
      </w:r>
      <w:r w:rsidR="00AF510B" w:rsidRPr="00A46EC3">
        <w:rPr>
          <w:rFonts w:ascii="Arial" w:hAnsi="Arial"/>
          <w:bCs/>
          <w:sz w:val="20"/>
          <w:szCs w:val="20"/>
        </w:rPr>
        <w:t xml:space="preserve">the structures of the other aromatic compounds provide a </w:t>
      </w:r>
      <w:proofErr w:type="spellStart"/>
      <w:r w:rsidR="00AF510B" w:rsidRPr="00A46EC3">
        <w:rPr>
          <w:rFonts w:ascii="Arial" w:hAnsi="Arial"/>
          <w:bCs/>
          <w:sz w:val="20"/>
          <w:szCs w:val="20"/>
        </w:rPr>
        <w:t>chromophoric</w:t>
      </w:r>
      <w:proofErr w:type="spellEnd"/>
      <w:r w:rsidR="00AF510B" w:rsidRPr="00A46EC3">
        <w:rPr>
          <w:rFonts w:ascii="Arial" w:hAnsi="Arial"/>
          <w:bCs/>
          <w:sz w:val="20"/>
          <w:szCs w:val="20"/>
        </w:rPr>
        <w:t xml:space="preserve"> system, which leads to interference in DPPH·. It is well known that phenolic groups stabilize a radical formed on phenolic carbon with their resonance structure</w:t>
      </w:r>
      <w:r w:rsidR="00482085" w:rsidRPr="00A46EC3">
        <w:rPr>
          <w:rFonts w:ascii="Arial" w:hAnsi="Arial"/>
          <w:bCs/>
          <w:sz w:val="20"/>
          <w:szCs w:val="20"/>
        </w:rPr>
        <w:t>”</w:t>
      </w:r>
      <w:r w:rsidR="00AF510B" w:rsidRPr="00A46EC3">
        <w:rPr>
          <w:rFonts w:ascii="Arial" w:hAnsi="Arial"/>
          <w:bCs/>
          <w:sz w:val="20"/>
          <w:szCs w:val="20"/>
        </w:rPr>
        <w:t xml:space="preserve"> (</w:t>
      </w:r>
      <w:proofErr w:type="spellStart"/>
      <w:r w:rsidR="00AF510B" w:rsidRPr="00A46EC3">
        <w:rPr>
          <w:rFonts w:ascii="Arial" w:hAnsi="Arial"/>
          <w:bCs/>
          <w:sz w:val="20"/>
          <w:szCs w:val="20"/>
        </w:rPr>
        <w:t>Gülçin</w:t>
      </w:r>
      <w:proofErr w:type="spellEnd"/>
      <w:r w:rsidR="00AF510B" w:rsidRPr="00A46EC3">
        <w:rPr>
          <w:rFonts w:ascii="Arial" w:hAnsi="Arial"/>
          <w:bCs/>
          <w:sz w:val="20"/>
          <w:szCs w:val="20"/>
        </w:rPr>
        <w:t>, 2011).</w:t>
      </w:r>
    </w:p>
    <w:p w14:paraId="3339D980" w14:textId="35B22E16" w:rsidR="00985BF9" w:rsidRPr="00A46EC3" w:rsidRDefault="007B2F1D" w:rsidP="00455240">
      <w:pPr>
        <w:pStyle w:val="BodyText3"/>
        <w:tabs>
          <w:tab w:val="left" w:pos="1080"/>
        </w:tabs>
        <w:spacing w:after="0" w:line="360" w:lineRule="auto"/>
        <w:jc w:val="both"/>
        <w:rPr>
          <w:rFonts w:ascii="Arial" w:hAnsi="Arial"/>
          <w:bCs/>
          <w:sz w:val="20"/>
          <w:szCs w:val="20"/>
        </w:rPr>
      </w:pPr>
      <w:r w:rsidRPr="00A46EC3">
        <w:object w:dxaOrig="9404" w:dyaOrig="4633" w14:anchorId="61859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5pt;height:199.1pt" o:ole="">
            <v:imagedata r:id="rId14" o:title=""/>
          </v:shape>
          <o:OLEObject Type="Embed" ProgID="ChemDraw.Document.6.0" ShapeID="_x0000_i1025" DrawAspect="Content" ObjectID="_1821691572" r:id="rId15"/>
        </w:object>
      </w:r>
    </w:p>
    <w:p w14:paraId="570694D5" w14:textId="5B82DAB0" w:rsidR="00455240" w:rsidRPr="00A46EC3" w:rsidRDefault="00455240" w:rsidP="00455240">
      <w:pPr>
        <w:pStyle w:val="Body"/>
        <w:spacing w:after="0"/>
        <w:jc w:val="center"/>
        <w:rPr>
          <w:rFonts w:ascii="Arial" w:hAnsi="Arial" w:cs="Arial"/>
          <w:b/>
          <w:bCs/>
        </w:rPr>
      </w:pPr>
      <w:r w:rsidRPr="00A46EC3">
        <w:rPr>
          <w:rFonts w:ascii="Arial" w:hAnsi="Arial" w:cs="Arial"/>
          <w:b/>
          <w:bCs/>
        </w:rPr>
        <w:t>Fig. 1. The proposed mechanism between eugenol and DPPH radicals</w:t>
      </w:r>
      <w:r w:rsidR="00AF510B" w:rsidRPr="00A46EC3">
        <w:rPr>
          <w:rFonts w:ascii="Arial" w:hAnsi="Arial" w:cs="Arial"/>
          <w:b/>
          <w:bCs/>
        </w:rPr>
        <w:t xml:space="preserve"> (Gulcin, 2020)</w:t>
      </w:r>
    </w:p>
    <w:p w14:paraId="6BD1DFC4" w14:textId="77777777" w:rsidR="00455240" w:rsidRPr="00A46EC3" w:rsidRDefault="00455240" w:rsidP="00985BF9">
      <w:pPr>
        <w:pStyle w:val="Body"/>
        <w:spacing w:after="0"/>
        <w:rPr>
          <w:rFonts w:ascii="Arial" w:hAnsi="Arial" w:cs="Arial"/>
        </w:rPr>
      </w:pPr>
    </w:p>
    <w:p w14:paraId="563C15DA" w14:textId="508F3237" w:rsidR="00985BF9" w:rsidRPr="00A46EC3" w:rsidRDefault="00985BF9" w:rsidP="00985BF9">
      <w:pPr>
        <w:pStyle w:val="Body"/>
        <w:spacing w:after="0"/>
        <w:rPr>
          <w:rFonts w:ascii="Arial" w:hAnsi="Arial" w:cs="Arial"/>
        </w:rPr>
      </w:pPr>
      <w:r w:rsidRPr="00A46EC3">
        <w:rPr>
          <w:rFonts w:ascii="Arial" w:hAnsi="Arial" w:cs="Arial"/>
        </w:rPr>
        <w:t>Comparative graphical representations of the results of the content of total polyphenols, flavonoids and antioxidant activity are shown in Figure 2.</w:t>
      </w:r>
    </w:p>
    <w:p w14:paraId="62A5C78A" w14:textId="77777777" w:rsidR="008D3419" w:rsidRPr="00A46EC3" w:rsidRDefault="008D3419" w:rsidP="008D3419">
      <w:pPr>
        <w:pStyle w:val="BodyText3"/>
        <w:tabs>
          <w:tab w:val="left" w:pos="1080"/>
        </w:tabs>
        <w:spacing w:after="0"/>
        <w:ind w:left="1080" w:hanging="1080"/>
        <w:jc w:val="both"/>
        <w:rPr>
          <w:rFonts w:ascii="Arial" w:hAnsi="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111"/>
      </w:tblGrid>
      <w:tr w:rsidR="00230BF2" w:rsidRPr="00A46EC3" w14:paraId="7D3CD688" w14:textId="77777777" w:rsidTr="00142083">
        <w:trPr>
          <w:trHeight w:val="2540"/>
          <w:jc w:val="center"/>
        </w:trPr>
        <w:tc>
          <w:tcPr>
            <w:tcW w:w="3969" w:type="dxa"/>
            <w:vAlign w:val="center"/>
          </w:tcPr>
          <w:p w14:paraId="75232EEF" w14:textId="1A086E31" w:rsidR="00A65061" w:rsidRPr="00A46EC3" w:rsidRDefault="00A65061" w:rsidP="00230BF2">
            <w:pPr>
              <w:pStyle w:val="Body"/>
              <w:spacing w:after="0"/>
              <w:jc w:val="center"/>
              <w:rPr>
                <w:rFonts w:ascii="Arial" w:hAnsi="Arial" w:cs="Arial"/>
                <w:sz w:val="20"/>
                <w:szCs w:val="20"/>
              </w:rPr>
            </w:pPr>
            <w:r w:rsidRPr="00A46EC3">
              <w:rPr>
                <w:rFonts w:ascii="Arial" w:hAnsi="Arial" w:cs="Arial"/>
                <w:noProof/>
              </w:rPr>
              <w:lastRenderedPageBreak/>
              <w:drawing>
                <wp:inline distT="0" distB="0" distL="0" distR="0" wp14:anchorId="305D31EC" wp14:editId="02D4257F">
                  <wp:extent cx="2400637" cy="1495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l="1072" t="1424" r="1000" b="3806"/>
                          <a:stretch/>
                        </pic:blipFill>
                        <pic:spPr bwMode="auto">
                          <a:xfrm>
                            <a:off x="0" y="0"/>
                            <a:ext cx="2457595" cy="1530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1" w:type="dxa"/>
            <w:vAlign w:val="center"/>
          </w:tcPr>
          <w:p w14:paraId="61CC7F4F" w14:textId="6A50A04D" w:rsidR="00A65061" w:rsidRPr="00A46EC3" w:rsidRDefault="00230BF2" w:rsidP="00230BF2">
            <w:pPr>
              <w:pStyle w:val="Body"/>
              <w:spacing w:after="0"/>
              <w:jc w:val="center"/>
              <w:rPr>
                <w:rFonts w:ascii="Arial" w:hAnsi="Arial" w:cs="Arial"/>
                <w:sz w:val="20"/>
                <w:szCs w:val="20"/>
              </w:rPr>
            </w:pPr>
            <w:r w:rsidRPr="00A46EC3">
              <w:rPr>
                <w:rFonts w:ascii="Arial" w:hAnsi="Arial" w:cs="Arial"/>
                <w:noProof/>
              </w:rPr>
              <w:drawing>
                <wp:inline distT="0" distB="0" distL="0" distR="0" wp14:anchorId="021142FB" wp14:editId="06EB1012">
                  <wp:extent cx="2416810" cy="147012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aturation sat="66000"/>
                                    </a14:imgEffect>
                                  </a14:imgLayer>
                                </a14:imgProps>
                              </a:ext>
                              <a:ext uri="{28A0092B-C50C-407E-A947-70E740481C1C}">
                                <a14:useLocalDpi xmlns:a14="http://schemas.microsoft.com/office/drawing/2010/main" val="0"/>
                              </a:ext>
                            </a:extLst>
                          </a:blip>
                          <a:srcRect l="1264" t="1400" r="1658" b="4031"/>
                          <a:stretch/>
                        </pic:blipFill>
                        <pic:spPr bwMode="auto">
                          <a:xfrm>
                            <a:off x="0" y="0"/>
                            <a:ext cx="2485048" cy="15116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0BF2" w:rsidRPr="00A46EC3" w14:paraId="24517526" w14:textId="77777777" w:rsidTr="00142083">
        <w:trPr>
          <w:trHeight w:val="281"/>
          <w:jc w:val="center"/>
        </w:trPr>
        <w:tc>
          <w:tcPr>
            <w:tcW w:w="3969" w:type="dxa"/>
            <w:vAlign w:val="center"/>
          </w:tcPr>
          <w:p w14:paraId="21FF21A2" w14:textId="4C50B74B" w:rsidR="00A65061" w:rsidRPr="00A46EC3" w:rsidRDefault="00A65061" w:rsidP="00230BF2">
            <w:pPr>
              <w:pStyle w:val="Body"/>
              <w:spacing w:after="0"/>
              <w:jc w:val="center"/>
              <w:rPr>
                <w:rFonts w:ascii="Arial" w:hAnsi="Arial" w:cs="Arial"/>
                <w:sz w:val="20"/>
                <w:szCs w:val="20"/>
              </w:rPr>
            </w:pPr>
            <w:r w:rsidRPr="00A46EC3">
              <w:rPr>
                <w:rFonts w:ascii="Arial" w:hAnsi="Arial" w:cs="Arial"/>
                <w:sz w:val="20"/>
                <w:szCs w:val="20"/>
              </w:rPr>
              <w:t>A</w:t>
            </w:r>
          </w:p>
        </w:tc>
        <w:tc>
          <w:tcPr>
            <w:tcW w:w="4111" w:type="dxa"/>
            <w:vAlign w:val="center"/>
          </w:tcPr>
          <w:p w14:paraId="53BA1200" w14:textId="4F94A797" w:rsidR="00A65061" w:rsidRPr="00A46EC3" w:rsidRDefault="00A65061" w:rsidP="00230BF2">
            <w:pPr>
              <w:pStyle w:val="Body"/>
              <w:spacing w:after="0"/>
              <w:jc w:val="center"/>
              <w:rPr>
                <w:rFonts w:ascii="Arial" w:hAnsi="Arial" w:cs="Arial"/>
                <w:sz w:val="20"/>
                <w:szCs w:val="20"/>
              </w:rPr>
            </w:pPr>
            <w:r w:rsidRPr="00A46EC3">
              <w:rPr>
                <w:rFonts w:ascii="Arial" w:hAnsi="Arial" w:cs="Arial"/>
                <w:sz w:val="20"/>
                <w:szCs w:val="20"/>
              </w:rPr>
              <w:t>B</w:t>
            </w:r>
          </w:p>
        </w:tc>
      </w:tr>
      <w:tr w:rsidR="00230BF2" w:rsidRPr="00A46EC3" w14:paraId="79D585A3" w14:textId="77777777" w:rsidTr="00142083">
        <w:trPr>
          <w:trHeight w:val="2397"/>
          <w:jc w:val="center"/>
        </w:trPr>
        <w:tc>
          <w:tcPr>
            <w:tcW w:w="3969" w:type="dxa"/>
            <w:vAlign w:val="center"/>
          </w:tcPr>
          <w:p w14:paraId="640802E7" w14:textId="26912CF9" w:rsidR="00A65061" w:rsidRPr="00A46EC3" w:rsidRDefault="00230BF2" w:rsidP="00230BF2">
            <w:pPr>
              <w:pStyle w:val="Body"/>
              <w:spacing w:after="0"/>
              <w:jc w:val="center"/>
              <w:rPr>
                <w:rFonts w:ascii="Arial" w:hAnsi="Arial" w:cs="Arial"/>
                <w:sz w:val="20"/>
                <w:szCs w:val="20"/>
              </w:rPr>
            </w:pPr>
            <w:r w:rsidRPr="00A46EC3">
              <w:rPr>
                <w:rFonts w:ascii="Arial" w:hAnsi="Arial" w:cs="Arial"/>
                <w:noProof/>
              </w:rPr>
              <w:drawing>
                <wp:inline distT="0" distB="0" distL="0" distR="0" wp14:anchorId="2A7714C4" wp14:editId="21099021">
                  <wp:extent cx="2360177" cy="149098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aturation sat="66000"/>
                                    </a14:imgEffect>
                                  </a14:imgLayer>
                                </a14:imgProps>
                              </a:ext>
                              <a:ext uri="{28A0092B-C50C-407E-A947-70E740481C1C}">
                                <a14:useLocalDpi xmlns:a14="http://schemas.microsoft.com/office/drawing/2010/main" val="0"/>
                              </a:ext>
                            </a:extLst>
                          </a:blip>
                          <a:srcRect l="680" t="1129" r="1542" b="1084"/>
                          <a:stretch/>
                        </pic:blipFill>
                        <pic:spPr bwMode="auto">
                          <a:xfrm>
                            <a:off x="0" y="0"/>
                            <a:ext cx="2388142" cy="15086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1" w:type="dxa"/>
            <w:vAlign w:val="center"/>
          </w:tcPr>
          <w:p w14:paraId="2264386E" w14:textId="7D468347" w:rsidR="00A65061" w:rsidRPr="00A46EC3" w:rsidRDefault="00230BF2" w:rsidP="00230BF2">
            <w:pPr>
              <w:pStyle w:val="Body"/>
              <w:spacing w:after="0"/>
              <w:jc w:val="center"/>
              <w:rPr>
                <w:rFonts w:ascii="Arial" w:hAnsi="Arial" w:cs="Arial"/>
                <w:sz w:val="20"/>
                <w:szCs w:val="20"/>
              </w:rPr>
            </w:pPr>
            <w:r w:rsidRPr="00A46EC3">
              <w:rPr>
                <w:rFonts w:ascii="Arial" w:hAnsi="Arial" w:cs="Arial"/>
                <w:noProof/>
              </w:rPr>
              <w:drawing>
                <wp:inline distT="0" distB="0" distL="0" distR="0" wp14:anchorId="4F2B61C5" wp14:editId="01652A04">
                  <wp:extent cx="2379133" cy="147523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BEBA8EAE-BF5A-486C-A8C5-ECC9F3942E4B}">
                                <a14:imgProps xmlns:a14="http://schemas.microsoft.com/office/drawing/2010/main">
                                  <a14:imgLayer r:embed="rId23">
                                    <a14:imgEffect>
                                      <a14:saturation sat="66000"/>
                                    </a14:imgEffect>
                                  </a14:imgLayer>
                                </a14:imgProps>
                              </a:ext>
                              <a:ext uri="{28A0092B-C50C-407E-A947-70E740481C1C}">
                                <a14:useLocalDpi xmlns:a14="http://schemas.microsoft.com/office/drawing/2010/main" val="0"/>
                              </a:ext>
                            </a:extLst>
                          </a:blip>
                          <a:srcRect l="1092" t="725" r="1014" b="1654"/>
                          <a:stretch/>
                        </pic:blipFill>
                        <pic:spPr bwMode="auto">
                          <a:xfrm>
                            <a:off x="0" y="0"/>
                            <a:ext cx="2408280" cy="14933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0BF2" w:rsidRPr="00A46EC3" w14:paraId="1B569BAA" w14:textId="77777777" w:rsidTr="005E0CDE">
        <w:trPr>
          <w:trHeight w:val="431"/>
          <w:jc w:val="center"/>
        </w:trPr>
        <w:tc>
          <w:tcPr>
            <w:tcW w:w="3969" w:type="dxa"/>
            <w:vAlign w:val="center"/>
          </w:tcPr>
          <w:p w14:paraId="0F74A877" w14:textId="11B898BA" w:rsidR="00A65061" w:rsidRPr="00A46EC3" w:rsidRDefault="00A65061" w:rsidP="00230BF2">
            <w:pPr>
              <w:pStyle w:val="Body"/>
              <w:spacing w:after="0"/>
              <w:jc w:val="center"/>
              <w:rPr>
                <w:rFonts w:ascii="Arial" w:hAnsi="Arial" w:cs="Arial"/>
                <w:sz w:val="20"/>
                <w:szCs w:val="20"/>
              </w:rPr>
            </w:pPr>
            <w:r w:rsidRPr="00A46EC3">
              <w:rPr>
                <w:rFonts w:ascii="Arial" w:hAnsi="Arial" w:cs="Arial"/>
                <w:sz w:val="20"/>
                <w:szCs w:val="20"/>
              </w:rPr>
              <w:t>C</w:t>
            </w:r>
          </w:p>
        </w:tc>
        <w:tc>
          <w:tcPr>
            <w:tcW w:w="4111" w:type="dxa"/>
            <w:vAlign w:val="center"/>
          </w:tcPr>
          <w:p w14:paraId="096FA697" w14:textId="69533587" w:rsidR="00A65061" w:rsidRPr="00A46EC3" w:rsidRDefault="00A65061" w:rsidP="00230BF2">
            <w:pPr>
              <w:pStyle w:val="Body"/>
              <w:spacing w:after="0"/>
              <w:jc w:val="center"/>
              <w:rPr>
                <w:rFonts w:ascii="Arial" w:hAnsi="Arial" w:cs="Arial"/>
                <w:sz w:val="20"/>
                <w:szCs w:val="20"/>
              </w:rPr>
            </w:pPr>
            <w:r w:rsidRPr="00A46EC3">
              <w:rPr>
                <w:rFonts w:ascii="Arial" w:hAnsi="Arial" w:cs="Arial"/>
                <w:sz w:val="20"/>
                <w:szCs w:val="20"/>
              </w:rPr>
              <w:t>D</w:t>
            </w:r>
          </w:p>
        </w:tc>
      </w:tr>
    </w:tbl>
    <w:p w14:paraId="4E672FBA" w14:textId="30EC6028" w:rsidR="008D3419" w:rsidRPr="00A46EC3" w:rsidRDefault="00CB2A24" w:rsidP="00CB2A24">
      <w:pPr>
        <w:pStyle w:val="Body"/>
        <w:spacing w:after="0"/>
        <w:jc w:val="center"/>
        <w:rPr>
          <w:rFonts w:ascii="Arial" w:hAnsi="Arial" w:cs="Arial"/>
          <w:b/>
          <w:bCs/>
        </w:rPr>
      </w:pPr>
      <w:r w:rsidRPr="00A46EC3">
        <w:rPr>
          <w:rFonts w:ascii="Arial" w:hAnsi="Arial" w:cs="Arial"/>
          <w:b/>
          <w:bCs/>
        </w:rPr>
        <w:t xml:space="preserve">Fig. </w:t>
      </w:r>
      <w:r w:rsidR="00455240" w:rsidRPr="00A46EC3">
        <w:rPr>
          <w:rFonts w:ascii="Arial" w:hAnsi="Arial" w:cs="Arial"/>
          <w:b/>
          <w:bCs/>
        </w:rPr>
        <w:t>2</w:t>
      </w:r>
      <w:r w:rsidRPr="00A46EC3">
        <w:rPr>
          <w:rFonts w:ascii="Arial" w:hAnsi="Arial" w:cs="Arial"/>
          <w:b/>
          <w:bCs/>
        </w:rPr>
        <w:t>. Comparative graphical representations of: (A) total polyphenol content, (B) total flavonoids, (C) reducing ability and (D) DPPH radical neutralization efficiency (IC</w:t>
      </w:r>
      <w:r w:rsidRPr="00A46EC3">
        <w:rPr>
          <w:rFonts w:ascii="Arial" w:hAnsi="Arial" w:cs="Arial"/>
          <w:b/>
          <w:bCs/>
          <w:vertAlign w:val="subscript"/>
        </w:rPr>
        <w:t>50</w:t>
      </w:r>
      <w:r w:rsidRPr="00A46EC3">
        <w:rPr>
          <w:rFonts w:ascii="Arial" w:hAnsi="Arial" w:cs="Arial"/>
          <w:b/>
          <w:bCs/>
        </w:rPr>
        <w:t xml:space="preserve"> value)</w:t>
      </w:r>
    </w:p>
    <w:p w14:paraId="3C7FA523" w14:textId="0CA0F197" w:rsidR="008D3419" w:rsidRPr="00A46EC3" w:rsidRDefault="008D3419" w:rsidP="00441B6F">
      <w:pPr>
        <w:pStyle w:val="Body"/>
        <w:spacing w:after="0"/>
        <w:rPr>
          <w:rFonts w:ascii="Arial" w:hAnsi="Arial" w:cs="Arial"/>
        </w:rPr>
      </w:pPr>
    </w:p>
    <w:p w14:paraId="0B7945AE" w14:textId="77777777" w:rsidR="00A65061" w:rsidRPr="00A46EC3" w:rsidRDefault="00A65061" w:rsidP="00441B6F">
      <w:pPr>
        <w:pStyle w:val="Body"/>
        <w:spacing w:after="0"/>
        <w:rPr>
          <w:rFonts w:ascii="Arial" w:hAnsi="Arial" w:cs="Arial"/>
        </w:rPr>
      </w:pPr>
    </w:p>
    <w:p w14:paraId="30B2058B" w14:textId="77777777" w:rsidR="0066701B" w:rsidRPr="00A46EC3" w:rsidRDefault="0066701B" w:rsidP="0066701B">
      <w:pPr>
        <w:pStyle w:val="Body"/>
        <w:rPr>
          <w:rFonts w:ascii="Arial" w:hAnsi="Arial" w:cs="Arial"/>
        </w:rPr>
      </w:pPr>
      <w:r w:rsidRPr="00A46EC3">
        <w:rPr>
          <w:rFonts w:ascii="Arial" w:hAnsi="Arial" w:cs="Arial"/>
        </w:rPr>
        <w:t xml:space="preserve">The antimicrobial activity of clove extracts was evaluated against six bacterial species, using standard antibiograms as the control to assess and compare their effectiveness. </w:t>
      </w:r>
    </w:p>
    <w:p w14:paraId="5F635C5E" w14:textId="17DDDAE8" w:rsidR="0066701B" w:rsidRPr="00A46EC3" w:rsidRDefault="0066701B" w:rsidP="0066701B">
      <w:pPr>
        <w:pStyle w:val="Body"/>
        <w:rPr>
          <w:rFonts w:ascii="Arial" w:hAnsi="Arial" w:cs="Arial"/>
        </w:rPr>
      </w:pPr>
      <w:r w:rsidRPr="00A46EC3">
        <w:rPr>
          <w:rFonts w:ascii="Arial" w:hAnsi="Arial" w:cs="Arial"/>
        </w:rPr>
        <w:t>Among Gram-negative bacteria (</w:t>
      </w:r>
      <w:r w:rsidR="00114556" w:rsidRPr="00A46EC3">
        <w:rPr>
          <w:rFonts w:ascii="Arial" w:hAnsi="Arial" w:cs="Arial"/>
        </w:rPr>
        <w:t>Table</w:t>
      </w:r>
      <w:r w:rsidRPr="00A46EC3">
        <w:rPr>
          <w:rFonts w:ascii="Arial" w:hAnsi="Arial" w:cs="Arial"/>
        </w:rPr>
        <w:t xml:space="preserve"> 3), the strongest inhibitory effect was observed against E. coli, with the largest inhibition zone for the UAE-PE extract (40</w:t>
      </w:r>
      <w:r w:rsidR="00114556" w:rsidRPr="00A46EC3">
        <w:rPr>
          <w:rFonts w:ascii="Arial" w:hAnsi="Arial" w:cs="Arial"/>
        </w:rPr>
        <w:t xml:space="preserve"> </w:t>
      </w:r>
      <w:r w:rsidRPr="00A46EC3">
        <w:rPr>
          <w:rFonts w:ascii="Arial" w:hAnsi="Arial" w:cs="Arial"/>
        </w:rPr>
        <w:t>mm). In addition, significant values were noted for the SE-PE and UAE-EtOH extracts (30</w:t>
      </w:r>
      <w:r w:rsidR="00114556" w:rsidRPr="00A46EC3">
        <w:rPr>
          <w:rFonts w:ascii="Arial" w:hAnsi="Arial" w:cs="Arial"/>
        </w:rPr>
        <w:t xml:space="preserve"> </w:t>
      </w:r>
      <w:r w:rsidRPr="00A46EC3">
        <w:rPr>
          <w:rFonts w:ascii="Arial" w:hAnsi="Arial" w:cs="Arial"/>
        </w:rPr>
        <w:t>mm).  These results exceeded the inhibition of amoxyclav (20 mm) and were comparable to or higher than imipenem (33 mm). S. enterica exhibited moderate inhibition with values ranging between 20 and 25</w:t>
      </w:r>
      <w:r w:rsidR="00114556" w:rsidRPr="00A46EC3">
        <w:rPr>
          <w:rFonts w:ascii="Arial" w:hAnsi="Arial" w:cs="Arial"/>
        </w:rPr>
        <w:t xml:space="preserve"> </w:t>
      </w:r>
      <w:r w:rsidRPr="00A46EC3">
        <w:rPr>
          <w:rFonts w:ascii="Arial" w:hAnsi="Arial" w:cs="Arial"/>
        </w:rPr>
        <w:t>mm, matching the inhibition zone of amoxiclav (21</w:t>
      </w:r>
      <w:r w:rsidR="00114556" w:rsidRPr="00A46EC3">
        <w:rPr>
          <w:rFonts w:ascii="Arial" w:hAnsi="Arial" w:cs="Arial"/>
        </w:rPr>
        <w:t xml:space="preserve"> </w:t>
      </w:r>
      <w:r w:rsidRPr="00A46EC3">
        <w:rPr>
          <w:rFonts w:ascii="Arial" w:hAnsi="Arial" w:cs="Arial"/>
        </w:rPr>
        <w:t>mm). P. aeruginosa also showed inhibition in a similar range (16-25</w:t>
      </w:r>
      <w:r w:rsidR="00114556" w:rsidRPr="00A46EC3">
        <w:rPr>
          <w:rFonts w:ascii="Arial" w:hAnsi="Arial" w:cs="Arial"/>
        </w:rPr>
        <w:t xml:space="preserve"> </w:t>
      </w:r>
      <w:r w:rsidRPr="00A46EC3">
        <w:rPr>
          <w:rFonts w:ascii="Arial" w:hAnsi="Arial" w:cs="Arial"/>
        </w:rPr>
        <w:t xml:space="preserve">mm), but UAE-PE extract was less effective (16 mm), with amoxyclav showing resistance and imipenem 20 mm. </w:t>
      </w:r>
    </w:p>
    <w:p w14:paraId="57874907" w14:textId="3DEFBBD6" w:rsidR="0066701B" w:rsidRPr="00A46EC3" w:rsidRDefault="0066701B" w:rsidP="0066701B">
      <w:pPr>
        <w:pStyle w:val="Body"/>
        <w:rPr>
          <w:rFonts w:ascii="Arial" w:hAnsi="Arial" w:cs="Arial"/>
        </w:rPr>
      </w:pPr>
      <w:r w:rsidRPr="00A46EC3">
        <w:rPr>
          <w:rFonts w:ascii="Arial" w:hAnsi="Arial" w:cs="Arial"/>
        </w:rPr>
        <w:t>Among Gram-positive bacteria (</w:t>
      </w:r>
      <w:r w:rsidR="00114556" w:rsidRPr="00A46EC3">
        <w:rPr>
          <w:rFonts w:ascii="Arial" w:hAnsi="Arial" w:cs="Arial"/>
        </w:rPr>
        <w:t>Table</w:t>
      </w:r>
      <w:r w:rsidRPr="00A46EC3">
        <w:rPr>
          <w:rFonts w:ascii="Arial" w:hAnsi="Arial" w:cs="Arial"/>
        </w:rPr>
        <w:t xml:space="preserve"> 4), S. aureus showed the highest susceptibility</w:t>
      </w:r>
      <w:r w:rsidR="00114556" w:rsidRPr="00A46EC3">
        <w:rPr>
          <w:rFonts w:ascii="Arial" w:hAnsi="Arial" w:cs="Arial"/>
        </w:rPr>
        <w:t>,</w:t>
      </w:r>
      <w:r w:rsidRPr="00A46EC3">
        <w:rPr>
          <w:rFonts w:ascii="Arial" w:hAnsi="Arial" w:cs="Arial"/>
        </w:rPr>
        <w:t xml:space="preserve"> with the UAE-EtOH extract producing a 29</w:t>
      </w:r>
      <w:r w:rsidR="00114556" w:rsidRPr="00A46EC3">
        <w:rPr>
          <w:rFonts w:ascii="Arial" w:hAnsi="Arial" w:cs="Arial"/>
        </w:rPr>
        <w:t xml:space="preserve"> </w:t>
      </w:r>
      <w:r w:rsidRPr="00A46EC3">
        <w:rPr>
          <w:rFonts w:ascii="Arial" w:hAnsi="Arial" w:cs="Arial"/>
        </w:rPr>
        <w:t>mm inhibition zone, while all extracts exceeded the vancomycin activity (20</w:t>
      </w:r>
      <w:r w:rsidR="00114556" w:rsidRPr="00A46EC3">
        <w:rPr>
          <w:rFonts w:ascii="Arial" w:hAnsi="Arial" w:cs="Arial"/>
        </w:rPr>
        <w:t xml:space="preserve"> </w:t>
      </w:r>
      <w:r w:rsidRPr="00A46EC3">
        <w:rPr>
          <w:rFonts w:ascii="Arial" w:hAnsi="Arial" w:cs="Arial"/>
        </w:rPr>
        <w:t xml:space="preserve">mm) but </w:t>
      </w:r>
      <w:r w:rsidR="00114556" w:rsidRPr="00A46EC3">
        <w:rPr>
          <w:rFonts w:ascii="Arial" w:hAnsi="Arial" w:cs="Arial"/>
        </w:rPr>
        <w:t xml:space="preserve">were </w:t>
      </w:r>
      <w:r w:rsidRPr="00A46EC3">
        <w:rPr>
          <w:rFonts w:ascii="Arial" w:hAnsi="Arial" w:cs="Arial"/>
        </w:rPr>
        <w:t>slightly below amoxyclav (33 mm). B. subtilis and L. monocytogenes exhibited moderate inhibition, where UAE-PE was the most effective (27</w:t>
      </w:r>
      <w:r w:rsidR="00114556" w:rsidRPr="00A46EC3">
        <w:rPr>
          <w:rFonts w:ascii="Arial" w:hAnsi="Arial" w:cs="Arial"/>
        </w:rPr>
        <w:t xml:space="preserve"> </w:t>
      </w:r>
      <w:r w:rsidRPr="00A46EC3">
        <w:rPr>
          <w:rFonts w:ascii="Arial" w:hAnsi="Arial" w:cs="Arial"/>
        </w:rPr>
        <w:t>mm and 25</w:t>
      </w:r>
      <w:r w:rsidR="00114556" w:rsidRPr="00A46EC3">
        <w:rPr>
          <w:rFonts w:ascii="Arial" w:hAnsi="Arial" w:cs="Arial"/>
        </w:rPr>
        <w:t xml:space="preserve"> </w:t>
      </w:r>
      <w:r w:rsidRPr="00A46EC3">
        <w:rPr>
          <w:rFonts w:ascii="Arial" w:hAnsi="Arial" w:cs="Arial"/>
        </w:rPr>
        <w:t>mm, respectively). Among antibiotics, amoxyclav was most active against Listeria (32 mm) and showed moderate activity against B. subtilis (14 mm), while vancomycin was moderately active against Listeria (18 mm) but ineffective against B. subtilis. Ampicillin was ineffective against Listeria.</w:t>
      </w:r>
    </w:p>
    <w:p w14:paraId="61498B0B" w14:textId="4E00EBFE" w:rsidR="008D3419" w:rsidRPr="00A46EC3" w:rsidRDefault="008D3419" w:rsidP="00B53AF1">
      <w:pPr>
        <w:tabs>
          <w:tab w:val="left" w:pos="1080"/>
        </w:tabs>
        <w:spacing w:line="360" w:lineRule="auto"/>
        <w:jc w:val="center"/>
        <w:rPr>
          <w:rFonts w:ascii="Arial" w:hAnsi="Arial"/>
          <w:b/>
        </w:rPr>
      </w:pPr>
      <w:bookmarkStart w:id="2" w:name="_Hlk206847071"/>
      <w:r w:rsidRPr="00A46EC3">
        <w:rPr>
          <w:rFonts w:ascii="Arial" w:hAnsi="Arial"/>
          <w:b/>
        </w:rPr>
        <w:t xml:space="preserve">Table </w:t>
      </w:r>
      <w:r w:rsidR="00B53AF1" w:rsidRPr="00A46EC3">
        <w:rPr>
          <w:rFonts w:ascii="Arial" w:hAnsi="Arial"/>
          <w:b/>
        </w:rPr>
        <w:t>3</w:t>
      </w:r>
      <w:r w:rsidRPr="00A46EC3">
        <w:rPr>
          <w:rFonts w:ascii="Arial" w:hAnsi="Arial"/>
          <w:b/>
        </w:rPr>
        <w:t>.</w:t>
      </w:r>
      <w:r w:rsidR="00B53AF1" w:rsidRPr="00A46EC3">
        <w:rPr>
          <w:rFonts w:ascii="Arial" w:hAnsi="Arial"/>
          <w:b/>
        </w:rPr>
        <w:t xml:space="preserve"> Antibacterial activity of extracts against Gram-negative bacteria</w:t>
      </w:r>
    </w:p>
    <w:tbl>
      <w:tblPr>
        <w:tblW w:w="8188" w:type="dxa"/>
        <w:jc w:val="center"/>
        <w:tblLook w:val="01E0" w:firstRow="1" w:lastRow="1" w:firstColumn="1" w:lastColumn="1" w:noHBand="0" w:noVBand="0"/>
      </w:tblPr>
      <w:tblGrid>
        <w:gridCol w:w="1459"/>
        <w:gridCol w:w="2217"/>
        <w:gridCol w:w="2268"/>
        <w:gridCol w:w="2244"/>
      </w:tblGrid>
      <w:tr w:rsidR="007B2F1D" w:rsidRPr="00A46EC3" w14:paraId="78B45387" w14:textId="77777777" w:rsidTr="00B53AF1">
        <w:trPr>
          <w:trHeight w:val="249"/>
          <w:jc w:val="center"/>
        </w:trPr>
        <w:tc>
          <w:tcPr>
            <w:tcW w:w="1459" w:type="dxa"/>
            <w:vMerge w:val="restart"/>
            <w:tcBorders>
              <w:top w:val="single" w:sz="4" w:space="0" w:color="auto"/>
            </w:tcBorders>
            <w:vAlign w:val="center"/>
          </w:tcPr>
          <w:p w14:paraId="6792BCC9" w14:textId="34B86454" w:rsidR="00B53AF1" w:rsidRPr="00A46EC3" w:rsidRDefault="00B53AF1" w:rsidP="00B53AF1">
            <w:pPr>
              <w:jc w:val="both"/>
              <w:rPr>
                <w:rFonts w:ascii="Arial" w:hAnsi="Arial"/>
                <w:b/>
                <w:bCs/>
              </w:rPr>
            </w:pPr>
            <w:r w:rsidRPr="00A46EC3">
              <w:rPr>
                <w:rFonts w:ascii="Arial" w:hAnsi="Arial"/>
                <w:b/>
                <w:bCs/>
              </w:rPr>
              <w:t>Extract</w:t>
            </w:r>
          </w:p>
        </w:tc>
        <w:tc>
          <w:tcPr>
            <w:tcW w:w="6729" w:type="dxa"/>
            <w:gridSpan w:val="3"/>
            <w:tcBorders>
              <w:top w:val="single" w:sz="4" w:space="0" w:color="auto"/>
              <w:bottom w:val="single" w:sz="4" w:space="0" w:color="auto"/>
            </w:tcBorders>
            <w:vAlign w:val="center"/>
          </w:tcPr>
          <w:p w14:paraId="2C16908E" w14:textId="615D6D78" w:rsidR="00B53AF1" w:rsidRPr="00A46EC3" w:rsidRDefault="00B53AF1" w:rsidP="00AA1971">
            <w:pPr>
              <w:rPr>
                <w:rFonts w:ascii="Arial" w:hAnsi="Arial"/>
                <w:b/>
                <w:bCs/>
              </w:rPr>
            </w:pPr>
            <w:r w:rsidRPr="00A46EC3">
              <w:rPr>
                <w:rFonts w:ascii="Arial" w:hAnsi="Arial"/>
                <w:b/>
                <w:bCs/>
              </w:rPr>
              <w:t xml:space="preserve">Inhibition zone </w:t>
            </w:r>
            <w:r w:rsidRPr="00A46EC3">
              <w:rPr>
                <w:rFonts w:ascii="Arial" w:hAnsi="Arial" w:cs="Arial"/>
                <w:b/>
                <w:bCs/>
              </w:rPr>
              <w:t>[mm]</w:t>
            </w:r>
          </w:p>
        </w:tc>
      </w:tr>
      <w:tr w:rsidR="007B2F1D" w:rsidRPr="00A46EC3" w14:paraId="266D6F9F" w14:textId="36E10245" w:rsidTr="00B53AF1">
        <w:trPr>
          <w:trHeight w:val="249"/>
          <w:jc w:val="center"/>
        </w:trPr>
        <w:tc>
          <w:tcPr>
            <w:tcW w:w="1459" w:type="dxa"/>
            <w:vMerge/>
            <w:tcBorders>
              <w:bottom w:val="single" w:sz="4" w:space="0" w:color="auto"/>
            </w:tcBorders>
            <w:vAlign w:val="center"/>
          </w:tcPr>
          <w:p w14:paraId="1D6DAC57" w14:textId="39C0CE55" w:rsidR="00B53AF1" w:rsidRPr="00A46EC3" w:rsidRDefault="00B53AF1" w:rsidP="00B53AF1">
            <w:pPr>
              <w:jc w:val="both"/>
              <w:rPr>
                <w:rFonts w:ascii="Arial" w:hAnsi="Arial"/>
              </w:rPr>
            </w:pPr>
          </w:p>
        </w:tc>
        <w:tc>
          <w:tcPr>
            <w:tcW w:w="2217" w:type="dxa"/>
            <w:tcBorders>
              <w:top w:val="single" w:sz="4" w:space="0" w:color="auto"/>
              <w:bottom w:val="single" w:sz="4" w:space="0" w:color="auto"/>
            </w:tcBorders>
            <w:vAlign w:val="center"/>
          </w:tcPr>
          <w:p w14:paraId="137943E0" w14:textId="3153BA34" w:rsidR="00B53AF1" w:rsidRPr="00A46EC3" w:rsidRDefault="00DE21A3" w:rsidP="006A07D2">
            <w:pPr>
              <w:rPr>
                <w:rFonts w:ascii="Arial" w:hAnsi="Arial"/>
                <w:b/>
                <w:bCs/>
                <w:i/>
                <w:iCs/>
              </w:rPr>
            </w:pPr>
            <w:r w:rsidRPr="00A46EC3">
              <w:rPr>
                <w:rFonts w:ascii="Arial" w:hAnsi="Arial"/>
                <w:b/>
                <w:bCs/>
                <w:i/>
                <w:iCs/>
              </w:rPr>
              <w:t>E. coli</w:t>
            </w:r>
          </w:p>
        </w:tc>
        <w:tc>
          <w:tcPr>
            <w:tcW w:w="2268" w:type="dxa"/>
            <w:tcBorders>
              <w:top w:val="single" w:sz="4" w:space="0" w:color="auto"/>
              <w:bottom w:val="single" w:sz="4" w:space="0" w:color="auto"/>
            </w:tcBorders>
            <w:vAlign w:val="center"/>
          </w:tcPr>
          <w:p w14:paraId="2E2D99AE" w14:textId="24E3C1F3" w:rsidR="00B53AF1" w:rsidRPr="00A46EC3" w:rsidRDefault="00DE21A3" w:rsidP="006A07D2">
            <w:pPr>
              <w:rPr>
                <w:rFonts w:ascii="Arial" w:hAnsi="Arial"/>
                <w:b/>
                <w:bCs/>
                <w:i/>
                <w:iCs/>
              </w:rPr>
            </w:pPr>
            <w:r w:rsidRPr="00A46EC3">
              <w:rPr>
                <w:rFonts w:ascii="Arial" w:hAnsi="Arial"/>
                <w:b/>
                <w:bCs/>
                <w:i/>
                <w:iCs/>
              </w:rPr>
              <w:t>P. aeruginosa</w:t>
            </w:r>
          </w:p>
        </w:tc>
        <w:tc>
          <w:tcPr>
            <w:tcW w:w="2244" w:type="dxa"/>
            <w:tcBorders>
              <w:top w:val="single" w:sz="4" w:space="0" w:color="auto"/>
              <w:bottom w:val="single" w:sz="4" w:space="0" w:color="auto"/>
            </w:tcBorders>
            <w:vAlign w:val="center"/>
          </w:tcPr>
          <w:p w14:paraId="7120EDE6" w14:textId="140FC1FA" w:rsidR="00B53AF1" w:rsidRPr="00A46EC3" w:rsidRDefault="00DE21A3" w:rsidP="006A07D2">
            <w:pPr>
              <w:rPr>
                <w:rFonts w:ascii="Arial" w:hAnsi="Arial"/>
                <w:b/>
                <w:bCs/>
                <w:i/>
                <w:iCs/>
              </w:rPr>
            </w:pPr>
            <w:r w:rsidRPr="00A46EC3">
              <w:rPr>
                <w:rFonts w:ascii="Arial" w:hAnsi="Arial"/>
                <w:b/>
                <w:bCs/>
                <w:i/>
                <w:iCs/>
              </w:rPr>
              <w:t>S. enterica</w:t>
            </w:r>
          </w:p>
        </w:tc>
      </w:tr>
      <w:tr w:rsidR="007B2F1D" w:rsidRPr="00A46EC3" w14:paraId="0CFFA586" w14:textId="175392C8" w:rsidTr="00B53AF1">
        <w:trPr>
          <w:trHeight w:val="241"/>
          <w:jc w:val="center"/>
        </w:trPr>
        <w:tc>
          <w:tcPr>
            <w:tcW w:w="1459" w:type="dxa"/>
            <w:tcBorders>
              <w:top w:val="single" w:sz="4" w:space="0" w:color="auto"/>
            </w:tcBorders>
            <w:vAlign w:val="center"/>
          </w:tcPr>
          <w:p w14:paraId="2BDC80FB" w14:textId="7505A716" w:rsidR="00B53AF1" w:rsidRPr="00A46EC3" w:rsidRDefault="00B53AF1" w:rsidP="00B53AF1">
            <w:pPr>
              <w:jc w:val="both"/>
              <w:rPr>
                <w:rFonts w:ascii="Arial" w:hAnsi="Arial" w:cs="Arial"/>
              </w:rPr>
            </w:pPr>
            <w:r w:rsidRPr="00A46EC3">
              <w:rPr>
                <w:rFonts w:ascii="Arial" w:hAnsi="Arial"/>
              </w:rPr>
              <w:t>UAE-EtOH</w:t>
            </w:r>
          </w:p>
        </w:tc>
        <w:tc>
          <w:tcPr>
            <w:tcW w:w="2217" w:type="dxa"/>
            <w:tcBorders>
              <w:top w:val="single" w:sz="4" w:space="0" w:color="auto"/>
            </w:tcBorders>
            <w:vAlign w:val="center"/>
          </w:tcPr>
          <w:p w14:paraId="454CDBF9" w14:textId="6223314D" w:rsidR="00B53AF1" w:rsidRPr="00A46EC3" w:rsidRDefault="00D852D2" w:rsidP="006A07D2">
            <w:pPr>
              <w:rPr>
                <w:rFonts w:ascii="Arial" w:hAnsi="Arial" w:cs="Arial"/>
              </w:rPr>
            </w:pPr>
            <w:r w:rsidRPr="00A46EC3">
              <w:rPr>
                <w:rFonts w:ascii="Arial" w:hAnsi="Arial" w:cs="Arial"/>
              </w:rPr>
              <w:t>30</w:t>
            </w:r>
          </w:p>
        </w:tc>
        <w:tc>
          <w:tcPr>
            <w:tcW w:w="2268" w:type="dxa"/>
            <w:tcBorders>
              <w:top w:val="single" w:sz="4" w:space="0" w:color="auto"/>
            </w:tcBorders>
            <w:vAlign w:val="center"/>
          </w:tcPr>
          <w:p w14:paraId="309FC18A" w14:textId="5F514179" w:rsidR="00B53AF1" w:rsidRPr="00A46EC3" w:rsidRDefault="00D852D2" w:rsidP="006A07D2">
            <w:pPr>
              <w:rPr>
                <w:rFonts w:ascii="Arial" w:hAnsi="Arial" w:cs="Arial"/>
                <w:vanish/>
              </w:rPr>
            </w:pPr>
            <w:r w:rsidRPr="00A46EC3">
              <w:rPr>
                <w:rFonts w:ascii="Arial" w:hAnsi="Arial" w:cs="Arial"/>
              </w:rPr>
              <w:t>25</w:t>
            </w:r>
          </w:p>
          <w:p w14:paraId="7BD09C0D" w14:textId="77777777" w:rsidR="00B53AF1" w:rsidRPr="00A46EC3" w:rsidRDefault="00B53AF1" w:rsidP="006A07D2">
            <w:pPr>
              <w:rPr>
                <w:rFonts w:ascii="Arial" w:hAnsi="Arial"/>
              </w:rPr>
            </w:pPr>
          </w:p>
        </w:tc>
        <w:tc>
          <w:tcPr>
            <w:tcW w:w="2244" w:type="dxa"/>
            <w:tcBorders>
              <w:top w:val="single" w:sz="4" w:space="0" w:color="auto"/>
            </w:tcBorders>
            <w:vAlign w:val="center"/>
          </w:tcPr>
          <w:p w14:paraId="7C32D0CE" w14:textId="25B157B3" w:rsidR="00B53AF1" w:rsidRPr="00A46EC3" w:rsidRDefault="00D852D2" w:rsidP="006A07D2">
            <w:pPr>
              <w:rPr>
                <w:rFonts w:ascii="Arial" w:hAnsi="Arial" w:cs="Arial"/>
                <w:vanish/>
              </w:rPr>
            </w:pPr>
            <w:r w:rsidRPr="00A46EC3">
              <w:rPr>
                <w:rFonts w:ascii="Arial" w:hAnsi="Arial" w:cs="Arial"/>
              </w:rPr>
              <w:t>20</w:t>
            </w:r>
          </w:p>
        </w:tc>
      </w:tr>
      <w:tr w:rsidR="007B2F1D" w:rsidRPr="00A46EC3" w14:paraId="3A95F98D" w14:textId="448159FC" w:rsidTr="00B53AF1">
        <w:trPr>
          <w:trHeight w:val="241"/>
          <w:jc w:val="center"/>
        </w:trPr>
        <w:tc>
          <w:tcPr>
            <w:tcW w:w="1459" w:type="dxa"/>
            <w:vAlign w:val="center"/>
          </w:tcPr>
          <w:p w14:paraId="5EE79434" w14:textId="74E7DD61" w:rsidR="00B53AF1" w:rsidRPr="00A46EC3" w:rsidRDefault="00B53AF1" w:rsidP="00B53AF1">
            <w:pPr>
              <w:jc w:val="both"/>
              <w:rPr>
                <w:rFonts w:ascii="Arial" w:hAnsi="Arial"/>
              </w:rPr>
            </w:pPr>
            <w:r w:rsidRPr="00A46EC3">
              <w:rPr>
                <w:rFonts w:ascii="Arial" w:hAnsi="Arial" w:cs="Arial"/>
              </w:rPr>
              <w:t>UAE-PE</w:t>
            </w:r>
          </w:p>
        </w:tc>
        <w:tc>
          <w:tcPr>
            <w:tcW w:w="2217" w:type="dxa"/>
            <w:vAlign w:val="center"/>
          </w:tcPr>
          <w:p w14:paraId="752D79F6" w14:textId="479C3A87" w:rsidR="00B53AF1" w:rsidRPr="00A46EC3" w:rsidRDefault="00AA1166" w:rsidP="006A07D2">
            <w:pPr>
              <w:rPr>
                <w:rFonts w:ascii="Arial" w:hAnsi="Arial"/>
              </w:rPr>
            </w:pPr>
            <w:r w:rsidRPr="00A46EC3">
              <w:rPr>
                <w:rFonts w:ascii="Arial" w:hAnsi="Arial"/>
              </w:rPr>
              <w:t>40</w:t>
            </w:r>
          </w:p>
        </w:tc>
        <w:tc>
          <w:tcPr>
            <w:tcW w:w="2268" w:type="dxa"/>
            <w:vAlign w:val="center"/>
          </w:tcPr>
          <w:p w14:paraId="6CACC1DC" w14:textId="35A67DC6" w:rsidR="00B53AF1" w:rsidRPr="00A46EC3" w:rsidRDefault="00AA1166" w:rsidP="006A07D2">
            <w:pPr>
              <w:rPr>
                <w:rFonts w:ascii="Arial" w:eastAsia="Arial Unicode MS" w:hAnsi="Arial" w:cs="Arial"/>
              </w:rPr>
            </w:pPr>
            <w:r w:rsidRPr="00A46EC3">
              <w:rPr>
                <w:rFonts w:ascii="Arial" w:eastAsia="Arial Unicode MS" w:hAnsi="Arial" w:cs="Arial"/>
              </w:rPr>
              <w:t>16</w:t>
            </w:r>
          </w:p>
        </w:tc>
        <w:tc>
          <w:tcPr>
            <w:tcW w:w="2244" w:type="dxa"/>
            <w:vAlign w:val="center"/>
          </w:tcPr>
          <w:p w14:paraId="3165E8CC" w14:textId="164A8E04" w:rsidR="00B53AF1" w:rsidRPr="00A46EC3" w:rsidRDefault="00AA1166" w:rsidP="006A07D2">
            <w:pPr>
              <w:rPr>
                <w:rFonts w:ascii="Arial" w:eastAsia="Arial Unicode MS" w:hAnsi="Arial" w:cs="Arial"/>
              </w:rPr>
            </w:pPr>
            <w:r w:rsidRPr="00A46EC3">
              <w:rPr>
                <w:rFonts w:ascii="Arial" w:eastAsia="Arial Unicode MS" w:hAnsi="Arial" w:cs="Arial"/>
              </w:rPr>
              <w:t>25</w:t>
            </w:r>
          </w:p>
        </w:tc>
      </w:tr>
      <w:tr w:rsidR="007B2F1D" w:rsidRPr="00A46EC3" w14:paraId="0772263D" w14:textId="2DA0A231" w:rsidTr="00B53AF1">
        <w:trPr>
          <w:trHeight w:val="241"/>
          <w:jc w:val="center"/>
        </w:trPr>
        <w:tc>
          <w:tcPr>
            <w:tcW w:w="1459" w:type="dxa"/>
            <w:vAlign w:val="center"/>
          </w:tcPr>
          <w:p w14:paraId="26936DF7" w14:textId="7E24C77F" w:rsidR="00B53AF1" w:rsidRPr="00A46EC3" w:rsidRDefault="00B53AF1" w:rsidP="00B53AF1">
            <w:pPr>
              <w:jc w:val="both"/>
              <w:rPr>
                <w:rFonts w:ascii="Arial" w:hAnsi="Arial"/>
              </w:rPr>
            </w:pPr>
            <w:r w:rsidRPr="00A46EC3">
              <w:rPr>
                <w:rFonts w:ascii="Arial" w:hAnsi="Arial"/>
              </w:rPr>
              <w:t>SE-EtOH</w:t>
            </w:r>
          </w:p>
        </w:tc>
        <w:tc>
          <w:tcPr>
            <w:tcW w:w="2217" w:type="dxa"/>
            <w:vAlign w:val="center"/>
          </w:tcPr>
          <w:p w14:paraId="00EE6B1C" w14:textId="64453143" w:rsidR="00B53AF1" w:rsidRPr="00A46EC3" w:rsidRDefault="00DE21A3" w:rsidP="006A07D2">
            <w:pPr>
              <w:rPr>
                <w:rFonts w:ascii="Arial" w:hAnsi="Arial"/>
              </w:rPr>
            </w:pPr>
            <w:r w:rsidRPr="00A46EC3">
              <w:rPr>
                <w:rFonts w:ascii="Arial" w:hAnsi="Arial"/>
              </w:rPr>
              <w:t>26</w:t>
            </w:r>
          </w:p>
        </w:tc>
        <w:tc>
          <w:tcPr>
            <w:tcW w:w="2268" w:type="dxa"/>
            <w:vAlign w:val="center"/>
          </w:tcPr>
          <w:p w14:paraId="558FC47F" w14:textId="002FC39B" w:rsidR="00B53AF1" w:rsidRPr="00A46EC3" w:rsidRDefault="00DE21A3" w:rsidP="006A07D2">
            <w:pPr>
              <w:rPr>
                <w:rFonts w:ascii="Arial" w:hAnsi="Arial" w:cs="Arial"/>
              </w:rPr>
            </w:pPr>
            <w:r w:rsidRPr="00A46EC3">
              <w:rPr>
                <w:rFonts w:ascii="Arial" w:hAnsi="Arial" w:cs="Arial"/>
              </w:rPr>
              <w:t>23</w:t>
            </w:r>
          </w:p>
        </w:tc>
        <w:tc>
          <w:tcPr>
            <w:tcW w:w="2244" w:type="dxa"/>
            <w:vAlign w:val="center"/>
          </w:tcPr>
          <w:p w14:paraId="067B019A" w14:textId="3033B7D6" w:rsidR="00B53AF1" w:rsidRPr="00A46EC3" w:rsidRDefault="00DE21A3" w:rsidP="006A07D2">
            <w:pPr>
              <w:rPr>
                <w:rFonts w:ascii="Arial" w:hAnsi="Arial" w:cs="Arial"/>
              </w:rPr>
            </w:pPr>
            <w:r w:rsidRPr="00A46EC3">
              <w:rPr>
                <w:rFonts w:ascii="Arial" w:hAnsi="Arial" w:cs="Arial"/>
              </w:rPr>
              <w:t>21</w:t>
            </w:r>
          </w:p>
        </w:tc>
      </w:tr>
      <w:tr w:rsidR="00B53AF1" w:rsidRPr="00A46EC3" w14:paraId="5E8253E5" w14:textId="37F93595" w:rsidTr="00B53AF1">
        <w:trPr>
          <w:trHeight w:val="50"/>
          <w:jc w:val="center"/>
        </w:trPr>
        <w:tc>
          <w:tcPr>
            <w:tcW w:w="1459" w:type="dxa"/>
            <w:tcBorders>
              <w:bottom w:val="single" w:sz="4" w:space="0" w:color="auto"/>
            </w:tcBorders>
            <w:vAlign w:val="center"/>
          </w:tcPr>
          <w:p w14:paraId="4131B8E5" w14:textId="64065DAD" w:rsidR="00B53AF1" w:rsidRPr="00A46EC3" w:rsidRDefault="00B53AF1" w:rsidP="00B53AF1">
            <w:pPr>
              <w:jc w:val="both"/>
              <w:rPr>
                <w:rFonts w:ascii="Arial" w:hAnsi="Arial"/>
              </w:rPr>
            </w:pPr>
            <w:r w:rsidRPr="00A46EC3">
              <w:rPr>
                <w:rFonts w:ascii="Arial" w:hAnsi="Arial"/>
              </w:rPr>
              <w:t>SE-PE</w:t>
            </w:r>
          </w:p>
        </w:tc>
        <w:tc>
          <w:tcPr>
            <w:tcW w:w="2217" w:type="dxa"/>
            <w:tcBorders>
              <w:bottom w:val="single" w:sz="4" w:space="0" w:color="auto"/>
            </w:tcBorders>
            <w:vAlign w:val="center"/>
          </w:tcPr>
          <w:p w14:paraId="2B8EEEA7" w14:textId="44EA9574" w:rsidR="00B53AF1" w:rsidRPr="00A46EC3" w:rsidRDefault="00FB7F39" w:rsidP="006A07D2">
            <w:pPr>
              <w:rPr>
                <w:rFonts w:ascii="Arial" w:hAnsi="Arial"/>
              </w:rPr>
            </w:pPr>
            <w:r w:rsidRPr="00A46EC3">
              <w:rPr>
                <w:rFonts w:ascii="Arial" w:hAnsi="Arial"/>
              </w:rPr>
              <w:t>30</w:t>
            </w:r>
          </w:p>
        </w:tc>
        <w:tc>
          <w:tcPr>
            <w:tcW w:w="2268" w:type="dxa"/>
            <w:tcBorders>
              <w:bottom w:val="single" w:sz="4" w:space="0" w:color="auto"/>
            </w:tcBorders>
            <w:vAlign w:val="center"/>
          </w:tcPr>
          <w:p w14:paraId="25663EC2" w14:textId="4FD5CA4A" w:rsidR="00B53AF1" w:rsidRPr="00A46EC3" w:rsidRDefault="00FB7F39" w:rsidP="006A07D2">
            <w:pPr>
              <w:rPr>
                <w:rFonts w:ascii="Arial" w:hAnsi="Arial" w:cs="Arial"/>
              </w:rPr>
            </w:pPr>
            <w:r w:rsidRPr="00A46EC3">
              <w:rPr>
                <w:rFonts w:ascii="Arial" w:hAnsi="Arial" w:cs="Arial"/>
              </w:rPr>
              <w:t>20</w:t>
            </w:r>
          </w:p>
        </w:tc>
        <w:tc>
          <w:tcPr>
            <w:tcW w:w="2244" w:type="dxa"/>
            <w:tcBorders>
              <w:bottom w:val="single" w:sz="4" w:space="0" w:color="auto"/>
            </w:tcBorders>
            <w:vAlign w:val="center"/>
          </w:tcPr>
          <w:p w14:paraId="6E89574A" w14:textId="1BA6A078" w:rsidR="00B53AF1" w:rsidRPr="00A46EC3" w:rsidRDefault="00FB7F39" w:rsidP="006A07D2">
            <w:pPr>
              <w:rPr>
                <w:rFonts w:ascii="Arial" w:hAnsi="Arial" w:cs="Arial"/>
              </w:rPr>
            </w:pPr>
            <w:r w:rsidRPr="00A46EC3">
              <w:rPr>
                <w:rFonts w:ascii="Arial" w:hAnsi="Arial" w:cs="Arial"/>
              </w:rPr>
              <w:t>21</w:t>
            </w:r>
          </w:p>
        </w:tc>
      </w:tr>
    </w:tbl>
    <w:p w14:paraId="48D9539B" w14:textId="77777777" w:rsidR="008D3419" w:rsidRPr="00A46EC3" w:rsidRDefault="008D3419" w:rsidP="008D3419">
      <w:pPr>
        <w:pStyle w:val="BodyText3"/>
        <w:tabs>
          <w:tab w:val="left" w:pos="1080"/>
        </w:tabs>
        <w:spacing w:after="0"/>
        <w:jc w:val="both"/>
        <w:rPr>
          <w:rFonts w:ascii="Arial" w:hAnsi="Arial"/>
          <w:b/>
          <w:sz w:val="20"/>
          <w:szCs w:val="20"/>
        </w:rPr>
      </w:pPr>
    </w:p>
    <w:bookmarkEnd w:id="2"/>
    <w:p w14:paraId="54692BDC" w14:textId="77777777" w:rsidR="008D3419" w:rsidRPr="00A46EC3" w:rsidRDefault="008D3419" w:rsidP="008D3419">
      <w:pPr>
        <w:pStyle w:val="BodyText3"/>
        <w:tabs>
          <w:tab w:val="left" w:pos="1080"/>
        </w:tabs>
        <w:spacing w:after="0"/>
        <w:ind w:left="1080" w:hanging="1080"/>
        <w:jc w:val="both"/>
        <w:rPr>
          <w:rFonts w:ascii="Arial" w:hAnsi="Arial"/>
          <w:b/>
          <w:sz w:val="20"/>
          <w:szCs w:val="20"/>
        </w:rPr>
      </w:pPr>
    </w:p>
    <w:p w14:paraId="44E7E794" w14:textId="2E28EC7F" w:rsidR="008D3419" w:rsidRPr="00A46EC3" w:rsidRDefault="008D3419" w:rsidP="00441B6F">
      <w:pPr>
        <w:pStyle w:val="Body"/>
        <w:spacing w:after="0"/>
        <w:rPr>
          <w:rFonts w:ascii="Arial" w:hAnsi="Arial" w:cs="Arial"/>
        </w:rPr>
      </w:pPr>
    </w:p>
    <w:p w14:paraId="0DF0F272" w14:textId="09121F68" w:rsidR="00B53AF1" w:rsidRPr="00A46EC3" w:rsidRDefault="00B53AF1" w:rsidP="00B53AF1">
      <w:pPr>
        <w:tabs>
          <w:tab w:val="left" w:pos="1080"/>
        </w:tabs>
        <w:spacing w:line="360" w:lineRule="auto"/>
        <w:jc w:val="center"/>
        <w:rPr>
          <w:rFonts w:ascii="Arial" w:hAnsi="Arial"/>
          <w:b/>
        </w:rPr>
      </w:pPr>
      <w:r w:rsidRPr="00A46EC3">
        <w:rPr>
          <w:rFonts w:ascii="Arial" w:hAnsi="Arial"/>
          <w:b/>
        </w:rPr>
        <w:t>Table 4. Antibacterial activity of extracts against Gram-positive bacteria</w:t>
      </w:r>
    </w:p>
    <w:tbl>
      <w:tblPr>
        <w:tblW w:w="8188" w:type="dxa"/>
        <w:jc w:val="center"/>
        <w:tblLook w:val="01E0" w:firstRow="1" w:lastRow="1" w:firstColumn="1" w:lastColumn="1" w:noHBand="0" w:noVBand="0"/>
      </w:tblPr>
      <w:tblGrid>
        <w:gridCol w:w="1459"/>
        <w:gridCol w:w="2217"/>
        <w:gridCol w:w="2268"/>
        <w:gridCol w:w="2244"/>
      </w:tblGrid>
      <w:tr w:rsidR="007B2F1D" w:rsidRPr="00A46EC3" w14:paraId="1BFF8949" w14:textId="77777777" w:rsidTr="00B53AF1">
        <w:trPr>
          <w:trHeight w:val="249"/>
          <w:jc w:val="center"/>
        </w:trPr>
        <w:tc>
          <w:tcPr>
            <w:tcW w:w="1459" w:type="dxa"/>
            <w:vMerge w:val="restart"/>
            <w:tcBorders>
              <w:top w:val="single" w:sz="4" w:space="0" w:color="auto"/>
            </w:tcBorders>
            <w:vAlign w:val="center"/>
          </w:tcPr>
          <w:p w14:paraId="6F91A5B3" w14:textId="77777777" w:rsidR="00B53AF1" w:rsidRPr="00A46EC3" w:rsidRDefault="00B53AF1" w:rsidP="00576349">
            <w:pPr>
              <w:jc w:val="both"/>
              <w:rPr>
                <w:rFonts w:ascii="Arial" w:hAnsi="Arial"/>
                <w:b/>
                <w:bCs/>
              </w:rPr>
            </w:pPr>
            <w:r w:rsidRPr="00A46EC3">
              <w:rPr>
                <w:rFonts w:ascii="Arial" w:hAnsi="Arial"/>
                <w:b/>
                <w:bCs/>
              </w:rPr>
              <w:t>Extract</w:t>
            </w:r>
          </w:p>
        </w:tc>
        <w:tc>
          <w:tcPr>
            <w:tcW w:w="6729" w:type="dxa"/>
            <w:gridSpan w:val="3"/>
            <w:tcBorders>
              <w:top w:val="single" w:sz="4" w:space="0" w:color="auto"/>
              <w:bottom w:val="single" w:sz="4" w:space="0" w:color="auto"/>
            </w:tcBorders>
            <w:vAlign w:val="center"/>
          </w:tcPr>
          <w:p w14:paraId="418EBD43" w14:textId="77777777" w:rsidR="00B53AF1" w:rsidRPr="00A46EC3" w:rsidRDefault="00B53AF1" w:rsidP="00AA1971">
            <w:pPr>
              <w:rPr>
                <w:rFonts w:ascii="Arial" w:hAnsi="Arial"/>
                <w:b/>
                <w:bCs/>
              </w:rPr>
            </w:pPr>
            <w:r w:rsidRPr="00A46EC3">
              <w:rPr>
                <w:rFonts w:ascii="Arial" w:hAnsi="Arial"/>
                <w:b/>
                <w:bCs/>
              </w:rPr>
              <w:t xml:space="preserve">Inhibition zone </w:t>
            </w:r>
            <w:r w:rsidRPr="00A46EC3">
              <w:rPr>
                <w:rFonts w:ascii="Arial" w:hAnsi="Arial" w:cs="Arial"/>
                <w:b/>
                <w:bCs/>
              </w:rPr>
              <w:t>[mm]</w:t>
            </w:r>
          </w:p>
        </w:tc>
      </w:tr>
      <w:tr w:rsidR="007B2F1D" w:rsidRPr="00A46EC3" w14:paraId="631DD974" w14:textId="77777777" w:rsidTr="00B53AF1">
        <w:trPr>
          <w:trHeight w:val="249"/>
          <w:jc w:val="center"/>
        </w:trPr>
        <w:tc>
          <w:tcPr>
            <w:tcW w:w="1459" w:type="dxa"/>
            <w:vMerge/>
            <w:tcBorders>
              <w:bottom w:val="single" w:sz="4" w:space="0" w:color="auto"/>
            </w:tcBorders>
            <w:vAlign w:val="center"/>
          </w:tcPr>
          <w:p w14:paraId="3542761C" w14:textId="77777777" w:rsidR="00B53AF1" w:rsidRPr="00A46EC3" w:rsidRDefault="00B53AF1" w:rsidP="00576349">
            <w:pPr>
              <w:jc w:val="both"/>
              <w:rPr>
                <w:rFonts w:ascii="Arial" w:hAnsi="Arial"/>
              </w:rPr>
            </w:pPr>
          </w:p>
        </w:tc>
        <w:tc>
          <w:tcPr>
            <w:tcW w:w="2217" w:type="dxa"/>
            <w:tcBorders>
              <w:top w:val="single" w:sz="4" w:space="0" w:color="auto"/>
              <w:bottom w:val="single" w:sz="4" w:space="0" w:color="auto"/>
            </w:tcBorders>
            <w:vAlign w:val="center"/>
          </w:tcPr>
          <w:p w14:paraId="51B9D9AD" w14:textId="1E4D8732" w:rsidR="00B53AF1" w:rsidRPr="00A46EC3" w:rsidRDefault="00DE21A3" w:rsidP="006A07D2">
            <w:pPr>
              <w:rPr>
                <w:rFonts w:ascii="Arial" w:hAnsi="Arial"/>
                <w:b/>
                <w:bCs/>
                <w:i/>
                <w:iCs/>
              </w:rPr>
            </w:pPr>
            <w:r w:rsidRPr="00A46EC3">
              <w:rPr>
                <w:rFonts w:ascii="Arial" w:hAnsi="Arial"/>
                <w:b/>
                <w:bCs/>
                <w:i/>
                <w:iCs/>
              </w:rPr>
              <w:t>S. aureus</w:t>
            </w:r>
          </w:p>
        </w:tc>
        <w:tc>
          <w:tcPr>
            <w:tcW w:w="2268" w:type="dxa"/>
            <w:tcBorders>
              <w:top w:val="single" w:sz="4" w:space="0" w:color="auto"/>
              <w:bottom w:val="single" w:sz="4" w:space="0" w:color="auto"/>
            </w:tcBorders>
            <w:vAlign w:val="center"/>
          </w:tcPr>
          <w:p w14:paraId="61E0A2F4" w14:textId="2953E356" w:rsidR="00B53AF1" w:rsidRPr="00A46EC3" w:rsidRDefault="00DE21A3" w:rsidP="006A07D2">
            <w:pPr>
              <w:rPr>
                <w:rFonts w:ascii="Arial" w:hAnsi="Arial"/>
                <w:b/>
                <w:bCs/>
                <w:i/>
                <w:iCs/>
              </w:rPr>
            </w:pPr>
            <w:r w:rsidRPr="00A46EC3">
              <w:rPr>
                <w:rFonts w:ascii="Arial" w:hAnsi="Arial"/>
                <w:b/>
                <w:bCs/>
                <w:i/>
                <w:iCs/>
              </w:rPr>
              <w:t>B. subtilis</w:t>
            </w:r>
          </w:p>
        </w:tc>
        <w:tc>
          <w:tcPr>
            <w:tcW w:w="2244" w:type="dxa"/>
            <w:tcBorders>
              <w:top w:val="single" w:sz="4" w:space="0" w:color="auto"/>
              <w:bottom w:val="single" w:sz="4" w:space="0" w:color="auto"/>
            </w:tcBorders>
            <w:vAlign w:val="center"/>
          </w:tcPr>
          <w:p w14:paraId="01D85412" w14:textId="0E083765" w:rsidR="00B53AF1" w:rsidRPr="00A46EC3" w:rsidRDefault="00DE21A3" w:rsidP="006A07D2">
            <w:pPr>
              <w:rPr>
                <w:rFonts w:ascii="Arial" w:hAnsi="Arial"/>
                <w:b/>
                <w:bCs/>
                <w:i/>
                <w:iCs/>
              </w:rPr>
            </w:pPr>
            <w:r w:rsidRPr="00A46EC3">
              <w:rPr>
                <w:rFonts w:ascii="Arial" w:hAnsi="Arial"/>
                <w:b/>
                <w:bCs/>
                <w:i/>
                <w:iCs/>
              </w:rPr>
              <w:t>L. monocytogenes</w:t>
            </w:r>
          </w:p>
        </w:tc>
      </w:tr>
      <w:tr w:rsidR="007B2F1D" w:rsidRPr="00A46EC3" w14:paraId="1DEE86C9" w14:textId="77777777" w:rsidTr="00B53AF1">
        <w:trPr>
          <w:trHeight w:val="241"/>
          <w:jc w:val="center"/>
        </w:trPr>
        <w:tc>
          <w:tcPr>
            <w:tcW w:w="1459" w:type="dxa"/>
            <w:tcBorders>
              <w:top w:val="single" w:sz="4" w:space="0" w:color="auto"/>
            </w:tcBorders>
            <w:vAlign w:val="center"/>
          </w:tcPr>
          <w:p w14:paraId="0B2C29B6" w14:textId="77777777" w:rsidR="00B53AF1" w:rsidRPr="00A46EC3" w:rsidRDefault="00B53AF1" w:rsidP="00576349">
            <w:pPr>
              <w:jc w:val="both"/>
              <w:rPr>
                <w:rFonts w:ascii="Arial" w:hAnsi="Arial" w:cs="Arial"/>
              </w:rPr>
            </w:pPr>
            <w:r w:rsidRPr="00A46EC3">
              <w:rPr>
                <w:rFonts w:ascii="Arial" w:hAnsi="Arial"/>
              </w:rPr>
              <w:t>UAE-EtOH</w:t>
            </w:r>
          </w:p>
        </w:tc>
        <w:tc>
          <w:tcPr>
            <w:tcW w:w="2217" w:type="dxa"/>
            <w:tcBorders>
              <w:top w:val="single" w:sz="4" w:space="0" w:color="auto"/>
            </w:tcBorders>
            <w:vAlign w:val="center"/>
          </w:tcPr>
          <w:p w14:paraId="3848EB2F" w14:textId="738275F8" w:rsidR="00B53AF1" w:rsidRPr="00A46EC3" w:rsidRDefault="00162AD2" w:rsidP="006A07D2">
            <w:pPr>
              <w:rPr>
                <w:rFonts w:ascii="Arial" w:hAnsi="Arial" w:cs="Arial"/>
              </w:rPr>
            </w:pPr>
            <w:r w:rsidRPr="00A46EC3">
              <w:rPr>
                <w:rFonts w:ascii="Arial" w:hAnsi="Arial" w:cs="Arial"/>
              </w:rPr>
              <w:t>29</w:t>
            </w:r>
          </w:p>
        </w:tc>
        <w:tc>
          <w:tcPr>
            <w:tcW w:w="2268" w:type="dxa"/>
            <w:tcBorders>
              <w:top w:val="single" w:sz="4" w:space="0" w:color="auto"/>
            </w:tcBorders>
            <w:vAlign w:val="center"/>
          </w:tcPr>
          <w:p w14:paraId="6073292A" w14:textId="758AFDF2" w:rsidR="00B53AF1" w:rsidRPr="00A46EC3" w:rsidRDefault="00162AD2" w:rsidP="006A07D2">
            <w:pPr>
              <w:rPr>
                <w:rFonts w:ascii="Arial" w:hAnsi="Arial" w:cs="Arial"/>
                <w:vanish/>
              </w:rPr>
            </w:pPr>
            <w:r w:rsidRPr="00A46EC3">
              <w:rPr>
                <w:rFonts w:ascii="Arial" w:hAnsi="Arial" w:cs="Arial"/>
              </w:rPr>
              <w:t>16</w:t>
            </w:r>
          </w:p>
          <w:p w14:paraId="3CFF07D9" w14:textId="77777777" w:rsidR="00B53AF1" w:rsidRPr="00A46EC3" w:rsidRDefault="00B53AF1" w:rsidP="006A07D2">
            <w:pPr>
              <w:rPr>
                <w:rFonts w:ascii="Arial" w:hAnsi="Arial"/>
              </w:rPr>
            </w:pPr>
          </w:p>
        </w:tc>
        <w:tc>
          <w:tcPr>
            <w:tcW w:w="2244" w:type="dxa"/>
            <w:tcBorders>
              <w:top w:val="single" w:sz="4" w:space="0" w:color="auto"/>
            </w:tcBorders>
            <w:vAlign w:val="center"/>
          </w:tcPr>
          <w:p w14:paraId="1EDCF6A3" w14:textId="3D5F2CAD" w:rsidR="00B53AF1" w:rsidRPr="00A46EC3" w:rsidRDefault="00162AD2" w:rsidP="006A07D2">
            <w:pPr>
              <w:rPr>
                <w:rFonts w:ascii="Arial" w:hAnsi="Arial" w:cs="Arial"/>
                <w:vanish/>
              </w:rPr>
            </w:pPr>
            <w:r w:rsidRPr="00A46EC3">
              <w:rPr>
                <w:rFonts w:ascii="Arial" w:hAnsi="Arial" w:cs="Arial"/>
              </w:rPr>
              <w:t>19</w:t>
            </w:r>
          </w:p>
        </w:tc>
      </w:tr>
      <w:tr w:rsidR="007B2F1D" w:rsidRPr="00A46EC3" w14:paraId="50A374C3" w14:textId="77777777" w:rsidTr="00B53AF1">
        <w:trPr>
          <w:trHeight w:val="241"/>
          <w:jc w:val="center"/>
        </w:trPr>
        <w:tc>
          <w:tcPr>
            <w:tcW w:w="1459" w:type="dxa"/>
            <w:vAlign w:val="center"/>
          </w:tcPr>
          <w:p w14:paraId="62B59001" w14:textId="77777777" w:rsidR="00B53AF1" w:rsidRPr="00A46EC3" w:rsidRDefault="00B53AF1" w:rsidP="00576349">
            <w:pPr>
              <w:jc w:val="both"/>
              <w:rPr>
                <w:rFonts w:ascii="Arial" w:hAnsi="Arial"/>
              </w:rPr>
            </w:pPr>
            <w:r w:rsidRPr="00A46EC3">
              <w:rPr>
                <w:rFonts w:ascii="Arial" w:hAnsi="Arial" w:cs="Arial"/>
              </w:rPr>
              <w:t>UAE-PE</w:t>
            </w:r>
          </w:p>
        </w:tc>
        <w:tc>
          <w:tcPr>
            <w:tcW w:w="2217" w:type="dxa"/>
            <w:vAlign w:val="center"/>
          </w:tcPr>
          <w:p w14:paraId="6A625F09" w14:textId="6C859FDE" w:rsidR="00B53AF1" w:rsidRPr="00A46EC3" w:rsidRDefault="00B33120" w:rsidP="006A07D2">
            <w:pPr>
              <w:rPr>
                <w:rFonts w:ascii="Arial" w:hAnsi="Arial"/>
              </w:rPr>
            </w:pPr>
            <w:r w:rsidRPr="00A46EC3">
              <w:rPr>
                <w:rFonts w:ascii="Arial" w:hAnsi="Arial"/>
              </w:rPr>
              <w:t>25</w:t>
            </w:r>
          </w:p>
        </w:tc>
        <w:tc>
          <w:tcPr>
            <w:tcW w:w="2268" w:type="dxa"/>
            <w:vAlign w:val="center"/>
          </w:tcPr>
          <w:p w14:paraId="5AE4D2F4" w14:textId="533EE083" w:rsidR="00B53AF1" w:rsidRPr="00A46EC3" w:rsidRDefault="00B33120" w:rsidP="006A07D2">
            <w:pPr>
              <w:rPr>
                <w:rFonts w:ascii="Arial" w:eastAsia="Arial Unicode MS" w:hAnsi="Arial" w:cs="Arial"/>
              </w:rPr>
            </w:pPr>
            <w:r w:rsidRPr="00A46EC3">
              <w:rPr>
                <w:rFonts w:ascii="Arial" w:eastAsia="Arial Unicode MS" w:hAnsi="Arial" w:cs="Arial"/>
              </w:rPr>
              <w:t>27</w:t>
            </w:r>
          </w:p>
        </w:tc>
        <w:tc>
          <w:tcPr>
            <w:tcW w:w="2244" w:type="dxa"/>
            <w:vAlign w:val="center"/>
          </w:tcPr>
          <w:p w14:paraId="177DD00E" w14:textId="37E580F9" w:rsidR="00B53AF1" w:rsidRPr="00A46EC3" w:rsidRDefault="00B33120" w:rsidP="006A07D2">
            <w:pPr>
              <w:rPr>
                <w:rFonts w:ascii="Arial" w:eastAsia="Arial Unicode MS" w:hAnsi="Arial" w:cs="Arial"/>
              </w:rPr>
            </w:pPr>
            <w:r w:rsidRPr="00A46EC3">
              <w:rPr>
                <w:rFonts w:ascii="Arial" w:eastAsia="Arial Unicode MS" w:hAnsi="Arial" w:cs="Arial"/>
              </w:rPr>
              <w:t>25</w:t>
            </w:r>
          </w:p>
        </w:tc>
      </w:tr>
      <w:tr w:rsidR="007B2F1D" w:rsidRPr="00A46EC3" w14:paraId="4F78D119" w14:textId="77777777" w:rsidTr="00B53AF1">
        <w:trPr>
          <w:trHeight w:val="241"/>
          <w:jc w:val="center"/>
        </w:trPr>
        <w:tc>
          <w:tcPr>
            <w:tcW w:w="1459" w:type="dxa"/>
            <w:vAlign w:val="center"/>
          </w:tcPr>
          <w:p w14:paraId="29C34837" w14:textId="77777777" w:rsidR="00B53AF1" w:rsidRPr="00A46EC3" w:rsidRDefault="00B53AF1" w:rsidP="00576349">
            <w:pPr>
              <w:jc w:val="both"/>
              <w:rPr>
                <w:rFonts w:ascii="Arial" w:hAnsi="Arial"/>
              </w:rPr>
            </w:pPr>
            <w:r w:rsidRPr="00A46EC3">
              <w:rPr>
                <w:rFonts w:ascii="Arial" w:hAnsi="Arial"/>
              </w:rPr>
              <w:t>SE-EtOH</w:t>
            </w:r>
          </w:p>
        </w:tc>
        <w:tc>
          <w:tcPr>
            <w:tcW w:w="2217" w:type="dxa"/>
            <w:vAlign w:val="center"/>
          </w:tcPr>
          <w:p w14:paraId="43B6249F" w14:textId="223B51F0" w:rsidR="00B53AF1" w:rsidRPr="00A46EC3" w:rsidRDefault="00DE21A3" w:rsidP="006A07D2">
            <w:pPr>
              <w:rPr>
                <w:rFonts w:ascii="Arial" w:hAnsi="Arial"/>
              </w:rPr>
            </w:pPr>
            <w:r w:rsidRPr="00A46EC3">
              <w:rPr>
                <w:rFonts w:ascii="Arial" w:hAnsi="Arial"/>
              </w:rPr>
              <w:t>25</w:t>
            </w:r>
          </w:p>
        </w:tc>
        <w:tc>
          <w:tcPr>
            <w:tcW w:w="2268" w:type="dxa"/>
            <w:vAlign w:val="center"/>
          </w:tcPr>
          <w:p w14:paraId="3DA7BBE8" w14:textId="5424103E" w:rsidR="00B53AF1" w:rsidRPr="00A46EC3" w:rsidRDefault="00DE21A3" w:rsidP="006A07D2">
            <w:pPr>
              <w:rPr>
                <w:rFonts w:ascii="Arial" w:hAnsi="Arial" w:cs="Arial"/>
              </w:rPr>
            </w:pPr>
            <w:r w:rsidRPr="00A46EC3">
              <w:rPr>
                <w:rFonts w:ascii="Arial" w:hAnsi="Arial" w:cs="Arial"/>
              </w:rPr>
              <w:t>23</w:t>
            </w:r>
          </w:p>
        </w:tc>
        <w:tc>
          <w:tcPr>
            <w:tcW w:w="2244" w:type="dxa"/>
            <w:vAlign w:val="center"/>
          </w:tcPr>
          <w:p w14:paraId="66E08C72" w14:textId="5B7EC6E1" w:rsidR="00B53AF1" w:rsidRPr="00A46EC3" w:rsidRDefault="00DE21A3" w:rsidP="006A07D2">
            <w:pPr>
              <w:rPr>
                <w:rFonts w:ascii="Arial" w:hAnsi="Arial" w:cs="Arial"/>
              </w:rPr>
            </w:pPr>
            <w:r w:rsidRPr="00A46EC3">
              <w:rPr>
                <w:rFonts w:ascii="Arial" w:hAnsi="Arial" w:cs="Arial"/>
              </w:rPr>
              <w:t>20</w:t>
            </w:r>
          </w:p>
        </w:tc>
      </w:tr>
      <w:tr w:rsidR="007B2F1D" w:rsidRPr="00A46EC3" w14:paraId="5BCFFE9F" w14:textId="77777777" w:rsidTr="00B53AF1">
        <w:trPr>
          <w:trHeight w:val="50"/>
          <w:jc w:val="center"/>
        </w:trPr>
        <w:tc>
          <w:tcPr>
            <w:tcW w:w="1459" w:type="dxa"/>
            <w:tcBorders>
              <w:bottom w:val="single" w:sz="4" w:space="0" w:color="auto"/>
            </w:tcBorders>
            <w:vAlign w:val="center"/>
          </w:tcPr>
          <w:p w14:paraId="68FA8432" w14:textId="77777777" w:rsidR="00B53AF1" w:rsidRPr="00A46EC3" w:rsidRDefault="00B53AF1" w:rsidP="00576349">
            <w:pPr>
              <w:jc w:val="both"/>
              <w:rPr>
                <w:rFonts w:ascii="Arial" w:hAnsi="Arial"/>
              </w:rPr>
            </w:pPr>
            <w:r w:rsidRPr="00A46EC3">
              <w:rPr>
                <w:rFonts w:ascii="Arial" w:hAnsi="Arial"/>
              </w:rPr>
              <w:t>SE-PE</w:t>
            </w:r>
          </w:p>
        </w:tc>
        <w:tc>
          <w:tcPr>
            <w:tcW w:w="2217" w:type="dxa"/>
            <w:tcBorders>
              <w:bottom w:val="single" w:sz="4" w:space="0" w:color="auto"/>
            </w:tcBorders>
            <w:vAlign w:val="center"/>
          </w:tcPr>
          <w:p w14:paraId="6DAE6361" w14:textId="5CB441F7" w:rsidR="00B53AF1" w:rsidRPr="00A46EC3" w:rsidRDefault="00FB7F39" w:rsidP="006A07D2">
            <w:pPr>
              <w:rPr>
                <w:rFonts w:ascii="Arial" w:hAnsi="Arial"/>
              </w:rPr>
            </w:pPr>
            <w:r w:rsidRPr="00A46EC3">
              <w:rPr>
                <w:rFonts w:ascii="Arial" w:hAnsi="Arial"/>
              </w:rPr>
              <w:t>27</w:t>
            </w:r>
          </w:p>
        </w:tc>
        <w:tc>
          <w:tcPr>
            <w:tcW w:w="2268" w:type="dxa"/>
            <w:tcBorders>
              <w:bottom w:val="single" w:sz="4" w:space="0" w:color="auto"/>
            </w:tcBorders>
            <w:vAlign w:val="center"/>
          </w:tcPr>
          <w:p w14:paraId="56276BAF" w14:textId="13D3729C" w:rsidR="00B53AF1" w:rsidRPr="00A46EC3" w:rsidRDefault="00FB7F39" w:rsidP="006A07D2">
            <w:pPr>
              <w:rPr>
                <w:rFonts w:ascii="Arial" w:hAnsi="Arial" w:cs="Arial"/>
              </w:rPr>
            </w:pPr>
            <w:r w:rsidRPr="00A46EC3">
              <w:rPr>
                <w:rFonts w:ascii="Arial" w:hAnsi="Arial" w:cs="Arial"/>
              </w:rPr>
              <w:t>17</w:t>
            </w:r>
          </w:p>
        </w:tc>
        <w:tc>
          <w:tcPr>
            <w:tcW w:w="2244" w:type="dxa"/>
            <w:tcBorders>
              <w:bottom w:val="single" w:sz="4" w:space="0" w:color="auto"/>
            </w:tcBorders>
            <w:vAlign w:val="center"/>
          </w:tcPr>
          <w:p w14:paraId="415B04B2" w14:textId="5BB9008C" w:rsidR="00B53AF1" w:rsidRPr="00A46EC3" w:rsidRDefault="00FB7F39" w:rsidP="006A07D2">
            <w:pPr>
              <w:rPr>
                <w:rFonts w:ascii="Arial" w:hAnsi="Arial" w:cs="Arial"/>
              </w:rPr>
            </w:pPr>
            <w:r w:rsidRPr="00A46EC3">
              <w:rPr>
                <w:rFonts w:ascii="Arial" w:hAnsi="Arial" w:cs="Arial"/>
              </w:rPr>
              <w:t>19</w:t>
            </w:r>
          </w:p>
        </w:tc>
      </w:tr>
    </w:tbl>
    <w:p w14:paraId="5568116C" w14:textId="77777777" w:rsidR="00B53AF1" w:rsidRPr="00A46EC3" w:rsidRDefault="00B53AF1" w:rsidP="00B53AF1">
      <w:pPr>
        <w:pStyle w:val="BodyText3"/>
        <w:tabs>
          <w:tab w:val="left" w:pos="1080"/>
        </w:tabs>
        <w:spacing w:after="0"/>
        <w:jc w:val="both"/>
        <w:rPr>
          <w:rFonts w:ascii="Arial" w:hAnsi="Arial"/>
          <w:b/>
          <w:color w:val="FF0000"/>
          <w:sz w:val="20"/>
          <w:szCs w:val="20"/>
        </w:rPr>
      </w:pPr>
    </w:p>
    <w:p w14:paraId="50635AFF" w14:textId="778EB0AB" w:rsidR="0066701B" w:rsidRPr="00A46EC3" w:rsidRDefault="0066701B" w:rsidP="0066701B">
      <w:pPr>
        <w:pStyle w:val="Body"/>
        <w:rPr>
          <w:rFonts w:ascii="Arial" w:hAnsi="Arial" w:cs="Arial"/>
        </w:rPr>
      </w:pPr>
      <w:r w:rsidRPr="00A46EC3">
        <w:rPr>
          <w:rFonts w:ascii="Arial" w:hAnsi="Arial" w:cs="Arial"/>
        </w:rPr>
        <w:t xml:space="preserve">Overall, ultrasonic extraction generally yielded stronger antimicrobial effects than Soxhlet, while solvent choice influenced activity depending on bacterial species: petroleum ether favored </w:t>
      </w:r>
      <w:r w:rsidR="00837C2B" w:rsidRPr="00A46EC3">
        <w:rPr>
          <w:rFonts w:ascii="Arial" w:hAnsi="Arial" w:cs="Arial"/>
          <w:i/>
          <w:iCs/>
        </w:rPr>
        <w:t>Escherichia</w:t>
      </w:r>
      <w:r w:rsidRPr="00A46EC3">
        <w:rPr>
          <w:rFonts w:ascii="Arial" w:hAnsi="Arial" w:cs="Arial"/>
          <w:i/>
          <w:iCs/>
        </w:rPr>
        <w:t xml:space="preserve"> coli</w:t>
      </w:r>
      <w:r w:rsidRPr="00A46EC3">
        <w:rPr>
          <w:rFonts w:ascii="Arial" w:hAnsi="Arial" w:cs="Arial"/>
        </w:rPr>
        <w:t xml:space="preserve">, </w:t>
      </w:r>
      <w:r w:rsidRPr="00A46EC3">
        <w:rPr>
          <w:rFonts w:ascii="Arial" w:hAnsi="Arial" w:cs="Arial"/>
          <w:i/>
          <w:iCs/>
        </w:rPr>
        <w:t>Salmonella</w:t>
      </w:r>
      <w:r w:rsidR="00837C2B" w:rsidRPr="00A46EC3">
        <w:rPr>
          <w:rFonts w:ascii="Arial" w:hAnsi="Arial" w:cs="Arial"/>
          <w:i/>
          <w:iCs/>
        </w:rPr>
        <w:t xml:space="preserve"> enterica</w:t>
      </w:r>
      <w:r w:rsidRPr="00A46EC3">
        <w:rPr>
          <w:rFonts w:ascii="Arial" w:hAnsi="Arial" w:cs="Arial"/>
        </w:rPr>
        <w:t xml:space="preserve">, </w:t>
      </w:r>
      <w:r w:rsidRPr="00A46EC3">
        <w:rPr>
          <w:rFonts w:ascii="Arial" w:hAnsi="Arial" w:cs="Arial"/>
          <w:i/>
          <w:iCs/>
        </w:rPr>
        <w:t>Listeria</w:t>
      </w:r>
      <w:r w:rsidR="00837C2B" w:rsidRPr="00A46EC3">
        <w:rPr>
          <w:rFonts w:ascii="Arial" w:hAnsi="Arial" w:cs="Arial"/>
          <w:i/>
          <w:iCs/>
        </w:rPr>
        <w:t xml:space="preserve"> monocytogenes</w:t>
      </w:r>
      <w:r w:rsidRPr="00A46EC3">
        <w:rPr>
          <w:rFonts w:ascii="Arial" w:hAnsi="Arial" w:cs="Arial"/>
        </w:rPr>
        <w:t xml:space="preserve">, and </w:t>
      </w:r>
      <w:r w:rsidRPr="00A46EC3">
        <w:rPr>
          <w:rFonts w:ascii="Arial" w:hAnsi="Arial" w:cs="Arial"/>
          <w:i/>
          <w:iCs/>
        </w:rPr>
        <w:t>Bacillus subtilis</w:t>
      </w:r>
      <w:r w:rsidRPr="00A46EC3">
        <w:rPr>
          <w:rFonts w:ascii="Arial" w:hAnsi="Arial" w:cs="Arial"/>
        </w:rPr>
        <w:t xml:space="preserve">, whereas ethanol was more effective against </w:t>
      </w:r>
      <w:r w:rsidRPr="00A46EC3">
        <w:rPr>
          <w:rFonts w:ascii="Arial" w:hAnsi="Arial" w:cs="Arial"/>
          <w:i/>
          <w:iCs/>
        </w:rPr>
        <w:t xml:space="preserve">Pseudomonas </w:t>
      </w:r>
      <w:r w:rsidR="00837C2B" w:rsidRPr="00A46EC3">
        <w:rPr>
          <w:rFonts w:ascii="Arial" w:hAnsi="Arial" w:cs="Arial"/>
          <w:i/>
          <w:iCs/>
        </w:rPr>
        <w:t>aeruginosa</w:t>
      </w:r>
      <w:r w:rsidR="00837C2B" w:rsidRPr="00A46EC3">
        <w:rPr>
          <w:rFonts w:ascii="Arial" w:hAnsi="Arial" w:cs="Arial"/>
        </w:rPr>
        <w:t xml:space="preserve"> </w:t>
      </w:r>
      <w:r w:rsidRPr="00A46EC3">
        <w:rPr>
          <w:rFonts w:ascii="Arial" w:hAnsi="Arial" w:cs="Arial"/>
        </w:rPr>
        <w:t xml:space="preserve">and </w:t>
      </w:r>
      <w:r w:rsidR="00837C2B" w:rsidRPr="00A46EC3">
        <w:rPr>
          <w:rFonts w:ascii="Arial" w:hAnsi="Arial" w:cs="Arial"/>
          <w:i/>
          <w:iCs/>
        </w:rPr>
        <w:t xml:space="preserve">Staphylococcus </w:t>
      </w:r>
      <w:r w:rsidRPr="00A46EC3">
        <w:rPr>
          <w:rFonts w:ascii="Arial" w:hAnsi="Arial" w:cs="Arial"/>
          <w:i/>
          <w:iCs/>
        </w:rPr>
        <w:t>aureus</w:t>
      </w:r>
      <w:r w:rsidRPr="00A46EC3">
        <w:rPr>
          <w:rFonts w:ascii="Arial" w:hAnsi="Arial" w:cs="Arial"/>
        </w:rPr>
        <w:t>. In comparison to the antibiotic controls, clove extracts demonstrated comparable or even superior activity in several cases, highlighting their potential as natural antimicrobial agents.</w:t>
      </w:r>
    </w:p>
    <w:p w14:paraId="0C956632" w14:textId="068E5893" w:rsidR="0066701B" w:rsidRPr="00A46EC3" w:rsidRDefault="0066701B" w:rsidP="0066701B">
      <w:pPr>
        <w:pStyle w:val="Body"/>
        <w:rPr>
          <w:rFonts w:ascii="Arial" w:hAnsi="Arial" w:cs="Arial"/>
        </w:rPr>
      </w:pPr>
      <w:r w:rsidRPr="00A46EC3">
        <w:rPr>
          <w:rFonts w:ascii="Arial" w:hAnsi="Arial" w:cs="Arial"/>
        </w:rPr>
        <w:t xml:space="preserve">The results of our research show that the antimicrobial activity of clove extracts depends on the extraction method and choice of solvent. Ultrasonic extraction in combination with petroleum ether gave the most pronounced inhibition zones in </w:t>
      </w:r>
      <w:r w:rsidRPr="00A46EC3">
        <w:rPr>
          <w:rFonts w:ascii="Arial" w:hAnsi="Arial" w:cs="Arial"/>
          <w:i/>
          <w:iCs/>
        </w:rPr>
        <w:t>E. coli</w:t>
      </w:r>
      <w:r w:rsidRPr="00A46EC3">
        <w:rPr>
          <w:rFonts w:ascii="Arial" w:hAnsi="Arial" w:cs="Arial"/>
        </w:rPr>
        <w:t xml:space="preserve">. Although eugenol is more often reported in the literature as more effective against Gram-positive bacteria, in our study it also showed a strong effect on Gram-negative strains. The study by Jeyakumar and Lawrence (2021) confirmed that eugenol acts on </w:t>
      </w:r>
      <w:r w:rsidRPr="00A46EC3">
        <w:rPr>
          <w:rFonts w:ascii="Arial" w:hAnsi="Arial" w:cs="Arial"/>
          <w:i/>
          <w:iCs/>
        </w:rPr>
        <w:t>E. coli</w:t>
      </w:r>
      <w:r w:rsidRPr="00A46EC3">
        <w:rPr>
          <w:rFonts w:ascii="Arial" w:hAnsi="Arial" w:cs="Arial"/>
        </w:rPr>
        <w:t xml:space="preserve"> by increasing membrane permeability and leakage of intracellular contents, which leads to cell damage. A similar mechanism was observed in </w:t>
      </w:r>
      <w:r w:rsidRPr="00A46EC3">
        <w:rPr>
          <w:rFonts w:ascii="Arial" w:hAnsi="Arial" w:cs="Arial"/>
          <w:i/>
          <w:iCs/>
        </w:rPr>
        <w:t>Salmonella typhi</w:t>
      </w:r>
      <w:r w:rsidRPr="00A46EC3">
        <w:rPr>
          <w:rFonts w:ascii="Arial" w:hAnsi="Arial" w:cs="Arial"/>
        </w:rPr>
        <w:t xml:space="preserve"> (Pandima et al., 2010), where eugenol primarily disrupts the integrity of the cytoplasmic membrane, causes leakage of intracellular proteins and causes morphological damage to the cell surface, which ultimately leads to cell death. In extracts obtained with ethanol, a polar solvent, flavonoids and phenolic acids were dominantly present, which had the most pronounced effect on </w:t>
      </w:r>
      <w:r w:rsidR="00837C2B" w:rsidRPr="00A46EC3">
        <w:rPr>
          <w:rFonts w:ascii="Arial" w:hAnsi="Arial" w:cs="Arial"/>
          <w:i/>
          <w:iCs/>
        </w:rPr>
        <w:t>P.</w:t>
      </w:r>
      <w:r w:rsidRPr="00A46EC3">
        <w:rPr>
          <w:rFonts w:ascii="Arial" w:hAnsi="Arial" w:cs="Arial"/>
          <w:i/>
          <w:iCs/>
        </w:rPr>
        <w:t xml:space="preserve"> aeruginosa</w:t>
      </w:r>
      <w:r w:rsidRPr="00A46EC3">
        <w:rPr>
          <w:rFonts w:ascii="Arial" w:hAnsi="Arial" w:cs="Arial"/>
        </w:rPr>
        <w:t xml:space="preserve"> and </w:t>
      </w:r>
      <w:r w:rsidRPr="00A46EC3">
        <w:rPr>
          <w:rFonts w:ascii="Arial" w:hAnsi="Arial" w:cs="Arial"/>
          <w:i/>
          <w:iCs/>
        </w:rPr>
        <w:t>S</w:t>
      </w:r>
      <w:r w:rsidR="00837C2B" w:rsidRPr="00A46EC3">
        <w:rPr>
          <w:rFonts w:ascii="Arial" w:hAnsi="Arial" w:cs="Arial"/>
          <w:i/>
          <w:iCs/>
        </w:rPr>
        <w:t>.</w:t>
      </w:r>
      <w:r w:rsidRPr="00A46EC3">
        <w:rPr>
          <w:rFonts w:ascii="Arial" w:hAnsi="Arial" w:cs="Arial"/>
          <w:i/>
          <w:iCs/>
        </w:rPr>
        <w:t xml:space="preserve"> aureus</w:t>
      </w:r>
      <w:r w:rsidRPr="00A46EC3">
        <w:rPr>
          <w:rFonts w:ascii="Arial" w:hAnsi="Arial" w:cs="Arial"/>
        </w:rPr>
        <w:t xml:space="preserve">. Their mechanism includes the generation of reactive oxygen species (ROS), DNA damage, inhibition of key enzymes, and disruption of bacterial signaling (Al-Tawalbeh et al., 2025). The results of Soxhlet extraction were weaker, probably due to the loss of thermolabile compounds during heating (Zhang et al., 2018). </w:t>
      </w:r>
    </w:p>
    <w:p w14:paraId="3BFE0967" w14:textId="5E378B47" w:rsidR="00A050E5" w:rsidRPr="00A46EC3" w:rsidRDefault="00482085" w:rsidP="0066701B">
      <w:pPr>
        <w:pStyle w:val="Body"/>
        <w:spacing w:after="0"/>
        <w:rPr>
          <w:rFonts w:ascii="Arial" w:hAnsi="Arial" w:cs="Arial"/>
        </w:rPr>
      </w:pPr>
      <w:r w:rsidRPr="00A46EC3">
        <w:rPr>
          <w:rFonts w:ascii="Arial" w:hAnsi="Arial" w:cs="Arial"/>
        </w:rPr>
        <w:t>“</w:t>
      </w:r>
      <w:r w:rsidR="0066701B" w:rsidRPr="00A46EC3">
        <w:rPr>
          <w:rFonts w:ascii="Arial" w:hAnsi="Arial" w:cs="Arial"/>
        </w:rPr>
        <w:t>Other studies have highlighted that clove extracts, particularly those rich in eugenol, exhibit strong antibacterial activity against both Gram-positive and Gram-negative bacteria, including clinical multidrug-resistant (MDR) S. aureus strains</w:t>
      </w:r>
      <w:r w:rsidRPr="00A46EC3">
        <w:rPr>
          <w:rFonts w:ascii="Arial" w:hAnsi="Arial" w:cs="Arial"/>
        </w:rPr>
        <w:t>”</w:t>
      </w:r>
      <w:r w:rsidR="0066701B" w:rsidRPr="00A46EC3">
        <w:rPr>
          <w:rFonts w:ascii="Arial" w:hAnsi="Arial" w:cs="Arial"/>
        </w:rPr>
        <w:t xml:space="preserve"> (Xu et al., 2016; Das et al., 2016; Yassin et al., 2020). Eugenol specifically exerts its antibacterial effects by inducing reactive oxygen species (ROS), causing DNA damage, and disrupting bacterial membranes, ultimately leading to cell death. These combined actions underscore the potential of eugenol and clove extracts as broad-spectrum natural antimicrobial agents. Liñán-Atero et al. (2024) demonstrated that clove essential oil (CEO), exhibits strong antibacterial as well as antifungal activity against foodborne pathogens and fungi, and due to its lipophilic nature and the presence of phenols, aldehydes, and ketones, it represents a promising natural food preservative. In the study by Kumari et al. (2013)</w:t>
      </w:r>
      <w:r w:rsidR="0040493A" w:rsidRPr="00A46EC3">
        <w:rPr>
          <w:rFonts w:ascii="Arial" w:hAnsi="Arial" w:cs="Arial"/>
        </w:rPr>
        <w:t>,</w:t>
      </w:r>
      <w:r w:rsidR="0066701B" w:rsidRPr="00A46EC3">
        <w:rPr>
          <w:rFonts w:ascii="Arial" w:hAnsi="Arial" w:cs="Arial"/>
        </w:rPr>
        <w:t xml:space="preserve"> clove bud extracts were prepared using Soxhlet extraction</w:t>
      </w:r>
      <w:r w:rsidR="0040493A" w:rsidRPr="00A46EC3">
        <w:rPr>
          <w:rFonts w:ascii="Arial" w:hAnsi="Arial" w:cs="Arial"/>
        </w:rPr>
        <w:t xml:space="preserve"> </w:t>
      </w:r>
      <w:r w:rsidR="0066701B" w:rsidRPr="00A46EC3">
        <w:rPr>
          <w:rFonts w:ascii="Arial" w:hAnsi="Arial" w:cs="Arial"/>
        </w:rPr>
        <w:t xml:space="preserve">with various </w:t>
      </w:r>
      <w:r w:rsidR="0066701B" w:rsidRPr="00A46EC3">
        <w:rPr>
          <w:rFonts w:ascii="Arial" w:hAnsi="Arial" w:cs="Arial"/>
        </w:rPr>
        <w:lastRenderedPageBreak/>
        <w:t>solvents, and petroleum ether extract had stronger antibacterial activity than ethanolic extracts. The higher efficacy of petroleum ether is likely due to better extraction of lipophilic compounds like eugenol, which aligns with our results</w:t>
      </w:r>
      <w:r w:rsidR="0040493A" w:rsidRPr="00A46EC3">
        <w:rPr>
          <w:rFonts w:ascii="Arial" w:hAnsi="Arial" w:cs="Arial"/>
        </w:rPr>
        <w:t>,</w:t>
      </w:r>
      <w:r w:rsidR="0066701B" w:rsidRPr="00A46EC3">
        <w:rPr>
          <w:rFonts w:ascii="Arial" w:hAnsi="Arial" w:cs="Arial"/>
        </w:rPr>
        <w:t xml:space="preserve"> where ethanolic extracts were effective but slightly less potent. </w:t>
      </w:r>
    </w:p>
    <w:p w14:paraId="1B0EAC18" w14:textId="13034DE9" w:rsidR="00A050E5" w:rsidRPr="00A46EC3" w:rsidRDefault="00482085" w:rsidP="0066701B">
      <w:pPr>
        <w:pStyle w:val="Body"/>
        <w:spacing w:after="0"/>
        <w:rPr>
          <w:rFonts w:ascii="Arial" w:hAnsi="Arial" w:cs="Arial"/>
        </w:rPr>
      </w:pPr>
      <w:r w:rsidRPr="00A46EC3">
        <w:rPr>
          <w:rFonts w:ascii="Arial" w:hAnsi="Arial" w:cs="Arial"/>
        </w:rPr>
        <w:t>“</w:t>
      </w:r>
      <w:r w:rsidR="0066701B" w:rsidRPr="00A46EC3">
        <w:rPr>
          <w:rFonts w:ascii="Arial" w:hAnsi="Arial" w:cs="Arial"/>
        </w:rPr>
        <w:t xml:space="preserve">The ethanolic extract of </w:t>
      </w:r>
      <w:r w:rsidR="0066701B" w:rsidRPr="00A46EC3">
        <w:rPr>
          <w:rFonts w:ascii="Arial" w:hAnsi="Arial" w:cs="Arial"/>
          <w:i/>
          <w:iCs/>
        </w:rPr>
        <w:t>Syzygium aromaticum</w:t>
      </w:r>
      <w:r w:rsidR="0066701B" w:rsidRPr="00A46EC3">
        <w:rPr>
          <w:rFonts w:ascii="Arial" w:hAnsi="Arial" w:cs="Arial"/>
        </w:rPr>
        <w:t xml:space="preserve"> demonstrated antimicrobial activity against both Gram-positive and Gram-negative bacteria</w:t>
      </w:r>
      <w:r w:rsidRPr="00A46EC3">
        <w:rPr>
          <w:rFonts w:ascii="Arial" w:hAnsi="Arial" w:cs="Arial"/>
        </w:rPr>
        <w:t>”</w:t>
      </w:r>
      <w:r w:rsidR="0066701B" w:rsidRPr="00A46EC3">
        <w:rPr>
          <w:rFonts w:ascii="Arial" w:hAnsi="Arial" w:cs="Arial"/>
        </w:rPr>
        <w:t xml:space="preserve"> (</w:t>
      </w:r>
      <w:proofErr w:type="spellStart"/>
      <w:r w:rsidR="0066701B" w:rsidRPr="00A46EC3">
        <w:rPr>
          <w:rFonts w:ascii="Arial" w:hAnsi="Arial" w:cs="Arial"/>
        </w:rPr>
        <w:t>Afanyibo</w:t>
      </w:r>
      <w:proofErr w:type="spellEnd"/>
      <w:r w:rsidR="0066701B" w:rsidRPr="00A46EC3">
        <w:rPr>
          <w:rFonts w:ascii="Arial" w:hAnsi="Arial" w:cs="Arial"/>
        </w:rPr>
        <w:t xml:space="preserve"> et al., 2018), with Gram-positive strains such as </w:t>
      </w:r>
      <w:r w:rsidR="0066701B" w:rsidRPr="00A46EC3">
        <w:rPr>
          <w:rFonts w:ascii="Arial" w:hAnsi="Arial" w:cs="Arial"/>
          <w:i/>
          <w:iCs/>
        </w:rPr>
        <w:t>S. aureus</w:t>
      </w:r>
      <w:r w:rsidR="0066701B" w:rsidRPr="00A46EC3">
        <w:rPr>
          <w:rFonts w:ascii="Arial" w:hAnsi="Arial" w:cs="Arial"/>
        </w:rPr>
        <w:t xml:space="preserve"> and </w:t>
      </w:r>
      <w:r w:rsidR="0066701B" w:rsidRPr="00A46EC3">
        <w:rPr>
          <w:rFonts w:ascii="Arial" w:hAnsi="Arial" w:cs="Arial"/>
          <w:i/>
          <w:iCs/>
        </w:rPr>
        <w:t>L. monocytogenes</w:t>
      </w:r>
      <w:r w:rsidR="0066701B" w:rsidRPr="00A46EC3">
        <w:rPr>
          <w:rFonts w:ascii="Arial" w:hAnsi="Arial" w:cs="Arial"/>
        </w:rPr>
        <w:t xml:space="preserve"> generally being more susceptible, showing larger inhibition zones. Gram-negative bacteria (</w:t>
      </w:r>
      <w:r w:rsidR="0066701B" w:rsidRPr="00A46EC3">
        <w:rPr>
          <w:rFonts w:ascii="Arial" w:hAnsi="Arial" w:cs="Arial"/>
          <w:i/>
          <w:iCs/>
        </w:rPr>
        <w:t>E. coli</w:t>
      </w:r>
      <w:r w:rsidR="0066701B" w:rsidRPr="00A46EC3">
        <w:rPr>
          <w:rFonts w:ascii="Arial" w:hAnsi="Arial" w:cs="Arial"/>
        </w:rPr>
        <w:t xml:space="preserve">, </w:t>
      </w:r>
      <w:r w:rsidR="0066701B" w:rsidRPr="00A46EC3">
        <w:rPr>
          <w:rFonts w:ascii="Arial" w:hAnsi="Arial" w:cs="Arial"/>
          <w:i/>
          <w:iCs/>
        </w:rPr>
        <w:t>P. aeruginosa</w:t>
      </w:r>
      <w:r w:rsidR="0066701B" w:rsidRPr="00A46EC3">
        <w:rPr>
          <w:rFonts w:ascii="Arial" w:hAnsi="Arial" w:cs="Arial"/>
        </w:rPr>
        <w:t xml:space="preserve">, </w:t>
      </w:r>
      <w:r w:rsidR="0066701B" w:rsidRPr="00A46EC3">
        <w:rPr>
          <w:rFonts w:ascii="Arial" w:hAnsi="Arial" w:cs="Arial"/>
          <w:i/>
          <w:iCs/>
        </w:rPr>
        <w:t>Salmonella</w:t>
      </w:r>
      <w:r w:rsidR="0066701B" w:rsidRPr="00A46EC3">
        <w:rPr>
          <w:rFonts w:ascii="Arial" w:hAnsi="Arial" w:cs="Arial"/>
        </w:rPr>
        <w:t xml:space="preserve">, </w:t>
      </w:r>
      <w:r w:rsidR="0066701B" w:rsidRPr="00A46EC3">
        <w:rPr>
          <w:rFonts w:ascii="Arial" w:hAnsi="Arial" w:cs="Arial"/>
          <w:i/>
          <w:iCs/>
        </w:rPr>
        <w:t>Shigella</w:t>
      </w:r>
      <w:r w:rsidR="0066701B" w:rsidRPr="00A46EC3">
        <w:rPr>
          <w:rFonts w:ascii="Arial" w:hAnsi="Arial" w:cs="Arial"/>
        </w:rPr>
        <w:t xml:space="preserve">) were mostly affected bacteriostatically, with activity varying depending on the strain and extract concentration. These findings are consistent with previous studies (Hoque et al., 2008) reporting that </w:t>
      </w:r>
      <w:r w:rsidRPr="00A46EC3">
        <w:rPr>
          <w:rFonts w:ascii="Arial" w:hAnsi="Arial" w:cs="Arial"/>
        </w:rPr>
        <w:t>“</w:t>
      </w:r>
      <w:r w:rsidR="0066701B" w:rsidRPr="00A46EC3">
        <w:rPr>
          <w:rFonts w:ascii="Arial" w:hAnsi="Arial" w:cs="Arial"/>
        </w:rPr>
        <w:t xml:space="preserve">the ethanolic extract of clove exhibits strong activity against Gram-positive foodborne pathogens while being less effective against Gram-negative bacteria such as </w:t>
      </w:r>
      <w:r w:rsidR="0066701B" w:rsidRPr="00A46EC3">
        <w:rPr>
          <w:rFonts w:ascii="Arial" w:hAnsi="Arial" w:cs="Arial"/>
          <w:i/>
          <w:iCs/>
        </w:rPr>
        <w:t>E. coli</w:t>
      </w:r>
      <w:r w:rsidR="0066701B" w:rsidRPr="00A46EC3">
        <w:rPr>
          <w:rFonts w:ascii="Arial" w:hAnsi="Arial" w:cs="Arial"/>
        </w:rPr>
        <w:t xml:space="preserve"> and </w:t>
      </w:r>
      <w:r w:rsidR="0066701B" w:rsidRPr="00A46EC3">
        <w:rPr>
          <w:rFonts w:ascii="Arial" w:hAnsi="Arial" w:cs="Arial"/>
          <w:i/>
          <w:iCs/>
        </w:rPr>
        <w:t>Salmonella</w:t>
      </w:r>
      <w:r w:rsidR="0066701B" w:rsidRPr="00A46EC3">
        <w:rPr>
          <w:rFonts w:ascii="Arial" w:hAnsi="Arial" w:cs="Arial"/>
        </w:rPr>
        <w:t xml:space="preserve"> enteritidis, likely due to differences in cell wall structure</w:t>
      </w:r>
      <w:r w:rsidRPr="00A46EC3">
        <w:rPr>
          <w:rFonts w:ascii="Arial" w:hAnsi="Arial" w:cs="Arial"/>
        </w:rPr>
        <w:t>”</w:t>
      </w:r>
      <w:r w:rsidR="0066701B" w:rsidRPr="00A46EC3">
        <w:rPr>
          <w:rFonts w:ascii="Arial" w:hAnsi="Arial" w:cs="Arial"/>
        </w:rPr>
        <w:t xml:space="preserve">. Additionally, synergistic effects have been observed when clove extracts are combined with antibiotics such as imipenem or amoxicillin/clavulanic acid, enhancing efficacy against multidrug-resistant strains like </w:t>
      </w:r>
      <w:r w:rsidR="0066701B" w:rsidRPr="00A46EC3">
        <w:rPr>
          <w:rFonts w:ascii="Arial" w:hAnsi="Arial" w:cs="Arial"/>
          <w:i/>
          <w:iCs/>
        </w:rPr>
        <w:t>P</w:t>
      </w:r>
      <w:r w:rsidR="00837C2B" w:rsidRPr="00A46EC3">
        <w:rPr>
          <w:rFonts w:ascii="Arial" w:hAnsi="Arial" w:cs="Arial"/>
          <w:i/>
          <w:iCs/>
        </w:rPr>
        <w:t>.</w:t>
      </w:r>
      <w:r w:rsidR="0066701B" w:rsidRPr="00A46EC3">
        <w:rPr>
          <w:rFonts w:ascii="Arial" w:hAnsi="Arial" w:cs="Arial"/>
          <w:i/>
          <w:iCs/>
        </w:rPr>
        <w:t xml:space="preserve"> aeruginosa</w:t>
      </w:r>
      <w:r w:rsidR="0066701B" w:rsidRPr="00A46EC3">
        <w:rPr>
          <w:rFonts w:ascii="Arial" w:hAnsi="Arial" w:cs="Arial"/>
        </w:rPr>
        <w:t xml:space="preserve"> (Al-Tawalbeh et al., 2025). </w:t>
      </w:r>
    </w:p>
    <w:p w14:paraId="5A7E38AC" w14:textId="42023371" w:rsidR="0066701B" w:rsidRPr="00A46EC3" w:rsidRDefault="0066701B" w:rsidP="0066701B">
      <w:pPr>
        <w:pStyle w:val="Body"/>
        <w:spacing w:after="0"/>
        <w:rPr>
          <w:rFonts w:ascii="Arial" w:hAnsi="Arial" w:cs="Arial"/>
        </w:rPr>
      </w:pPr>
      <w:r w:rsidRPr="00A46EC3">
        <w:rPr>
          <w:rFonts w:ascii="Arial" w:hAnsi="Arial" w:cs="Arial"/>
        </w:rPr>
        <w:t xml:space="preserve">The review article by Marchese et al. (2017) confirmed that the primary target of eugenol is the bacterial membrane, while additional secondary mechanisms may vary depending on the microorganism. These findings show that </w:t>
      </w:r>
      <w:r w:rsidR="00EC72EC" w:rsidRPr="00A46EC3">
        <w:rPr>
          <w:rFonts w:ascii="Arial" w:hAnsi="Arial" w:cs="Arial"/>
        </w:rPr>
        <w:t xml:space="preserve">the </w:t>
      </w:r>
      <w:r w:rsidRPr="00A46EC3">
        <w:rPr>
          <w:rFonts w:ascii="Arial" w:hAnsi="Arial" w:cs="Arial"/>
        </w:rPr>
        <w:t>extraction method and solvent define the chemical profile and selective antimicrobial activity of clove extracts. Eugenol primarily disrupts the bacterial membrane, while flavonoids and phenolic acids act through oxidative and enzyme-mediated stress. This underlines their potential as natural antimicrobial agents, with extraction strategy and compound composition being key factors for efficacy.</w:t>
      </w:r>
    </w:p>
    <w:p w14:paraId="4CC5F7E2" w14:textId="77777777" w:rsidR="00790ADA" w:rsidRPr="00A46EC3" w:rsidRDefault="00790ADA" w:rsidP="00441B6F">
      <w:pPr>
        <w:pStyle w:val="Body"/>
        <w:spacing w:after="0"/>
        <w:rPr>
          <w:rFonts w:ascii="Arial" w:hAnsi="Arial" w:cs="Arial"/>
        </w:rPr>
      </w:pPr>
    </w:p>
    <w:p w14:paraId="61C36501" w14:textId="77777777" w:rsidR="00B01FCD" w:rsidRPr="00A46EC3" w:rsidRDefault="00000F8F" w:rsidP="00441B6F">
      <w:pPr>
        <w:pStyle w:val="ConcHead"/>
        <w:spacing w:after="0"/>
        <w:jc w:val="both"/>
        <w:rPr>
          <w:rFonts w:ascii="Arial" w:hAnsi="Arial" w:cs="Arial"/>
        </w:rPr>
      </w:pPr>
      <w:r w:rsidRPr="00A46EC3">
        <w:rPr>
          <w:rFonts w:ascii="Arial" w:hAnsi="Arial" w:cs="Arial"/>
        </w:rPr>
        <w:t xml:space="preserve">4. </w:t>
      </w:r>
      <w:r w:rsidR="00B01FCD" w:rsidRPr="00A46EC3">
        <w:rPr>
          <w:rFonts w:ascii="Arial" w:hAnsi="Arial" w:cs="Arial"/>
        </w:rPr>
        <w:t>Conclusion</w:t>
      </w:r>
    </w:p>
    <w:p w14:paraId="2006B148" w14:textId="77777777" w:rsidR="00790ADA" w:rsidRPr="00A46EC3" w:rsidRDefault="00790ADA" w:rsidP="00441B6F">
      <w:pPr>
        <w:pStyle w:val="ConcHead"/>
        <w:spacing w:after="0"/>
        <w:jc w:val="both"/>
        <w:rPr>
          <w:rFonts w:ascii="Arial" w:hAnsi="Arial" w:cs="Arial"/>
        </w:rPr>
      </w:pPr>
    </w:p>
    <w:p w14:paraId="515AF74D" w14:textId="77777777" w:rsidR="007B2F1D" w:rsidRPr="00A46EC3" w:rsidRDefault="007B2F1D" w:rsidP="00441B6F">
      <w:pPr>
        <w:pStyle w:val="Body"/>
        <w:spacing w:after="0"/>
        <w:rPr>
          <w:rFonts w:ascii="Arial" w:hAnsi="Arial" w:cs="Arial"/>
        </w:rPr>
      </w:pPr>
      <w:r w:rsidRPr="00A46EC3">
        <w:rPr>
          <w:rFonts w:ascii="Arial" w:hAnsi="Arial" w:cs="Arial"/>
        </w:rPr>
        <w:t xml:space="preserve">The results of this study indicate that using ultrasonic extraction and a non-polar solvent (petroleum ether), most bioactive components are extracted from commercial cloves, which is reflected in the antioxidant activity of that extract. However, ethanol proved to be more efficient in the extraction of polyphenolic compounds using Soxhlet extraction. The lowest content of bioactive components was isolated by ultrasonic extraction, using ethanol as an extraction solvent. The results of the content of polyphenols and flavonoids are correlated with the results of antioxidant capacity. Regarding the antibacterial activity of the prepared extracts, a high sensitivity of the reference bacterial strains to all tested extracts was recorded. </w:t>
      </w:r>
    </w:p>
    <w:p w14:paraId="1228DB01" w14:textId="44666013" w:rsidR="00602B54" w:rsidRPr="00A46EC3" w:rsidRDefault="00602B54" w:rsidP="00441B6F"/>
    <w:p w14:paraId="278E53FF" w14:textId="218829E1" w:rsidR="00602B54" w:rsidRPr="00A46EC3" w:rsidRDefault="00827690" w:rsidP="00827690">
      <w:pPr>
        <w:jc w:val="both"/>
        <w:rPr>
          <w:b/>
          <w:bCs/>
          <w:sz w:val="22"/>
          <w:szCs w:val="22"/>
        </w:rPr>
      </w:pPr>
      <w:r w:rsidRPr="00A46EC3">
        <w:rPr>
          <w:b/>
          <w:bCs/>
          <w:sz w:val="22"/>
          <w:szCs w:val="22"/>
        </w:rPr>
        <w:t>DISCLAIMER (ARTIFICIAL INTELLIGENCE)</w:t>
      </w:r>
    </w:p>
    <w:p w14:paraId="4D40DA68" w14:textId="77777777" w:rsidR="00827690" w:rsidRPr="00A46EC3" w:rsidRDefault="00827690" w:rsidP="00827690">
      <w:pPr>
        <w:jc w:val="both"/>
      </w:pPr>
    </w:p>
    <w:p w14:paraId="1D07180B" w14:textId="77D0A2F5" w:rsidR="00602B54" w:rsidRPr="00A46EC3" w:rsidRDefault="00602B54" w:rsidP="00827690">
      <w:pPr>
        <w:jc w:val="both"/>
      </w:pPr>
      <w:r w:rsidRPr="00A46EC3">
        <w:t xml:space="preserve">Author(s) hereby declare that NO generative AI technologies such as Large Language Models (ChatGPT, COPILOT, etc.) and text-to-image generators have been used during the writing or editing of this manuscript. </w:t>
      </w:r>
    </w:p>
    <w:p w14:paraId="5DD81E15" w14:textId="77777777" w:rsidR="00DF71C7" w:rsidRPr="00A46EC3" w:rsidRDefault="00DF71C7" w:rsidP="00441B6F">
      <w:pPr>
        <w:pStyle w:val="ReferHead"/>
        <w:spacing w:after="0"/>
        <w:jc w:val="both"/>
        <w:rPr>
          <w:rFonts w:ascii="Arial" w:hAnsi="Arial" w:cs="Arial"/>
        </w:rPr>
      </w:pPr>
    </w:p>
    <w:p w14:paraId="399F12B0" w14:textId="77777777" w:rsidR="00B01FCD" w:rsidRPr="00A46EC3" w:rsidRDefault="00B01FCD" w:rsidP="00441B6F">
      <w:pPr>
        <w:pStyle w:val="ReferHead"/>
        <w:spacing w:after="0"/>
        <w:jc w:val="both"/>
        <w:rPr>
          <w:rFonts w:ascii="Arial" w:hAnsi="Arial" w:cs="Arial"/>
        </w:rPr>
      </w:pPr>
      <w:r w:rsidRPr="00A46EC3">
        <w:rPr>
          <w:rFonts w:ascii="Arial" w:hAnsi="Arial" w:cs="Arial"/>
        </w:rPr>
        <w:t>References</w:t>
      </w:r>
    </w:p>
    <w:p w14:paraId="269CBAF0" w14:textId="77777777" w:rsidR="00790ADA" w:rsidRPr="00A46EC3" w:rsidRDefault="00790ADA" w:rsidP="00441B6F">
      <w:pPr>
        <w:pStyle w:val="ReferHead"/>
        <w:spacing w:after="0"/>
        <w:jc w:val="both"/>
        <w:rPr>
          <w:rFonts w:ascii="Arial" w:hAnsi="Arial" w:cs="Arial"/>
        </w:rPr>
      </w:pPr>
    </w:p>
    <w:p w14:paraId="49115096" w14:textId="69A6AFD6"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Afanyibo, Y. , Anani, K. , Esseh, K. , Sadji, Y. , Idoh, K. , Koudouvo, K. , Agbonon, A. , Améyapoh, Y. , Tozo, K. and Gbeassor, M. (2018) Antimicrobial Activities of Syzygium aromaticum (L.) Merr. &amp; L.M. Perry (Myrtaceae) Fruit Extracts on Six Standard Microorganisms and Their Clinical Counterpart. Open Access Library Journal, 5, 1-13.</w:t>
      </w:r>
    </w:p>
    <w:p w14:paraId="577BD44B" w14:textId="011977B0"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Akter, A., Neela, F. A., Khan, M. S. I., Islam, M. S., &amp; Alam, M. F. (2010). Screening of ethanol, petroleum ether and chloroform extracts of medicinal plants, </w:t>
      </w:r>
      <w:r w:rsidRPr="00A46EC3">
        <w:rPr>
          <w:rFonts w:ascii="Arial" w:hAnsi="Arial" w:cs="Arial"/>
          <w:i/>
          <w:iCs/>
          <w:lang w:val="bs-Latn-BA"/>
        </w:rPr>
        <w:t>Lawsonia inermis</w:t>
      </w:r>
      <w:r w:rsidRPr="00A46EC3">
        <w:rPr>
          <w:rFonts w:ascii="Arial" w:hAnsi="Arial" w:cs="Arial"/>
          <w:lang w:val="bs-Latn-BA"/>
        </w:rPr>
        <w:t xml:space="preserve"> L. and </w:t>
      </w:r>
      <w:r w:rsidRPr="00A46EC3">
        <w:rPr>
          <w:rFonts w:ascii="Arial" w:hAnsi="Arial" w:cs="Arial"/>
          <w:i/>
          <w:iCs/>
          <w:lang w:val="bs-Latn-BA"/>
        </w:rPr>
        <w:t>Mimosa pudica</w:t>
      </w:r>
      <w:r w:rsidRPr="00A46EC3">
        <w:rPr>
          <w:rFonts w:ascii="Arial" w:hAnsi="Arial" w:cs="Arial"/>
          <w:lang w:val="bs-Latn-BA"/>
        </w:rPr>
        <w:t xml:space="preserve"> L. for antibacterial activity. </w:t>
      </w:r>
      <w:r w:rsidRPr="00A46EC3">
        <w:rPr>
          <w:rFonts w:ascii="Arial" w:hAnsi="Arial" w:cs="Arial"/>
          <w:i/>
          <w:iCs/>
          <w:lang w:val="bs-Latn-BA"/>
        </w:rPr>
        <w:t>Indian Journal of Pharmaceutical Sciences</w:t>
      </w:r>
      <w:r w:rsidRPr="00A46EC3">
        <w:rPr>
          <w:rFonts w:ascii="Arial" w:hAnsi="Arial" w:cs="Arial"/>
          <w:lang w:val="bs-Latn-BA"/>
        </w:rPr>
        <w:t>, 72(3), 388-392.</w:t>
      </w:r>
    </w:p>
    <w:p w14:paraId="448C1E3B" w14:textId="090F8280"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Alanazi, A.K., Alqasmi, M.H., Alrouji, M., Kuriri, F.A., Almuhanna, Y. Joseph, B. et al. </w:t>
      </w:r>
      <w:r w:rsidR="00D025B9" w:rsidRPr="00A46EC3">
        <w:rPr>
          <w:rFonts w:ascii="Arial" w:hAnsi="Arial" w:cs="Arial"/>
          <w:lang w:val="bs-Latn-BA"/>
        </w:rPr>
        <w:t>(</w:t>
      </w:r>
      <w:r w:rsidRPr="00A46EC3">
        <w:rPr>
          <w:rFonts w:ascii="Arial" w:hAnsi="Arial" w:cs="Arial"/>
          <w:lang w:val="bs-Latn-BA"/>
        </w:rPr>
        <w:t>2022</w:t>
      </w:r>
      <w:r w:rsidR="00D025B9" w:rsidRPr="00A46EC3">
        <w:rPr>
          <w:rFonts w:ascii="Arial" w:hAnsi="Arial" w:cs="Arial"/>
          <w:lang w:val="bs-Latn-BA"/>
        </w:rPr>
        <w:t>)</w:t>
      </w:r>
      <w:r w:rsidRPr="00A46EC3">
        <w:rPr>
          <w:rFonts w:ascii="Arial" w:hAnsi="Arial" w:cs="Arial"/>
          <w:lang w:val="bs-Latn-BA"/>
        </w:rPr>
        <w:t xml:space="preserve">. Antibacterial activity of </w:t>
      </w:r>
      <w:r w:rsidRPr="00A46EC3">
        <w:rPr>
          <w:rFonts w:ascii="Arial" w:hAnsi="Arial" w:cs="Arial"/>
          <w:i/>
          <w:iCs/>
          <w:lang w:val="bs-Latn-BA"/>
        </w:rPr>
        <w:t>Syzygium aromaticum</w:t>
      </w:r>
      <w:r w:rsidRPr="00A46EC3">
        <w:rPr>
          <w:rFonts w:ascii="Arial" w:hAnsi="Arial" w:cs="Arial"/>
          <w:lang w:val="bs-Latn-BA"/>
        </w:rPr>
        <w:t xml:space="preserve"> (Clove) bud oil and its interaction with </w:t>
      </w:r>
      <w:r w:rsidRPr="00A46EC3">
        <w:rPr>
          <w:rFonts w:ascii="Arial" w:hAnsi="Arial" w:cs="Arial"/>
          <w:lang w:val="bs-Latn-BA"/>
        </w:rPr>
        <w:lastRenderedPageBreak/>
        <w:t xml:space="preserve">imipenem in controlling wound infections in rats caused by methicillin-resistant </w:t>
      </w:r>
      <w:r w:rsidRPr="00A46EC3">
        <w:rPr>
          <w:rFonts w:ascii="Arial" w:hAnsi="Arial" w:cs="Arial"/>
          <w:i/>
          <w:iCs/>
          <w:lang w:val="bs-Latn-BA"/>
        </w:rPr>
        <w:t>Staphylococcus aureus</w:t>
      </w:r>
      <w:r w:rsidRPr="00A46EC3">
        <w:rPr>
          <w:rFonts w:ascii="Arial" w:hAnsi="Arial" w:cs="Arial"/>
          <w:lang w:val="bs-Latn-BA"/>
        </w:rPr>
        <w:t xml:space="preserve">. </w:t>
      </w:r>
      <w:r w:rsidRPr="00A46EC3">
        <w:rPr>
          <w:rFonts w:ascii="Arial" w:hAnsi="Arial" w:cs="Arial"/>
          <w:i/>
          <w:iCs/>
          <w:lang w:val="bs-Latn-BA"/>
        </w:rPr>
        <w:t>Molecules</w:t>
      </w:r>
      <w:r w:rsidRPr="00A46EC3">
        <w:rPr>
          <w:rFonts w:ascii="Arial" w:hAnsi="Arial" w:cs="Arial"/>
          <w:lang w:val="bs-Latn-BA"/>
        </w:rPr>
        <w:t>, 27, 8551.</w:t>
      </w:r>
    </w:p>
    <w:p w14:paraId="4E70A73B" w14:textId="44710E3E"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Al-Tawalbeh, D.M., Saha, S.K., Hani, U., Paul, S.K., Sharmin, M., Basak, S. Begum, S.A. et al. </w:t>
      </w:r>
      <w:r w:rsidR="00D025B9" w:rsidRPr="00A46EC3">
        <w:rPr>
          <w:rFonts w:ascii="Arial" w:hAnsi="Arial" w:cs="Arial"/>
          <w:lang w:val="bs-Latn-BA"/>
        </w:rPr>
        <w:t>(</w:t>
      </w:r>
      <w:r w:rsidRPr="00A46EC3">
        <w:rPr>
          <w:rFonts w:ascii="Arial" w:hAnsi="Arial" w:cs="Arial"/>
          <w:lang w:val="bs-Latn-BA"/>
        </w:rPr>
        <w:t>2025</w:t>
      </w:r>
      <w:r w:rsidR="00D025B9" w:rsidRPr="00A46EC3">
        <w:rPr>
          <w:rFonts w:ascii="Arial" w:hAnsi="Arial" w:cs="Arial"/>
          <w:lang w:val="bs-Latn-BA"/>
        </w:rPr>
        <w:t>)</w:t>
      </w:r>
      <w:r w:rsidRPr="00A46EC3">
        <w:rPr>
          <w:rFonts w:ascii="Arial" w:hAnsi="Arial" w:cs="Arial"/>
          <w:lang w:val="bs-Latn-BA"/>
        </w:rPr>
        <w:t xml:space="preserve">. Comparative antibacterial activity of clove extract against </w:t>
      </w:r>
      <w:r w:rsidRPr="00A46EC3">
        <w:rPr>
          <w:rFonts w:ascii="Arial" w:hAnsi="Arial" w:cs="Arial"/>
          <w:i/>
          <w:iCs/>
          <w:lang w:val="bs-Latn-BA"/>
        </w:rPr>
        <w:t>Pseudomonas aeruginosa</w:t>
      </w:r>
      <w:r w:rsidRPr="00A46EC3">
        <w:rPr>
          <w:rFonts w:ascii="Arial" w:hAnsi="Arial" w:cs="Arial"/>
          <w:lang w:val="bs-Latn-BA"/>
        </w:rPr>
        <w:t xml:space="preserve">. </w:t>
      </w:r>
      <w:r w:rsidRPr="00A46EC3">
        <w:rPr>
          <w:rFonts w:ascii="Arial" w:hAnsi="Arial" w:cs="Arial"/>
          <w:i/>
          <w:iCs/>
          <w:lang w:val="bs-Latn-BA"/>
        </w:rPr>
        <w:t>BMC Complementary Medicine and Therapies</w:t>
      </w:r>
      <w:r w:rsidRPr="00A46EC3">
        <w:rPr>
          <w:rFonts w:ascii="Arial" w:hAnsi="Arial" w:cs="Arial"/>
          <w:lang w:val="bs-Latn-BA"/>
        </w:rPr>
        <w:t>, 25(1), 7.</w:t>
      </w:r>
    </w:p>
    <w:p w14:paraId="53C9DD5B" w14:textId="2A2A97E7" w:rsidR="006B06E1" w:rsidRPr="00A46EC3" w:rsidRDefault="006B06E1" w:rsidP="00D75514">
      <w:pPr>
        <w:ind w:left="284" w:hanging="284"/>
        <w:jc w:val="both"/>
        <w:rPr>
          <w:rFonts w:ascii="Arial" w:hAnsi="Arial" w:cs="Arial"/>
          <w:lang w:val="bs-Latn-BA"/>
        </w:rPr>
      </w:pPr>
      <w:r w:rsidRPr="00A46EC3">
        <w:rPr>
          <w:rFonts w:ascii="Arial" w:hAnsi="Arial" w:cs="Arial"/>
          <w:lang w:val="bs-Latn-BA"/>
        </w:rPr>
        <w:t xml:space="preserve">Benzie, IFF., Strain, JJ. (1999). Ferric reducing antioxidant power assay: Direct measure of total antioxidant activity of biological fluids and modified version for simultaneous measurement of total antioxidant power and ascorbic acid concentration. </w:t>
      </w:r>
      <w:r w:rsidRPr="00A46EC3">
        <w:rPr>
          <w:rFonts w:ascii="Arial" w:hAnsi="Arial" w:cs="Arial"/>
          <w:i/>
          <w:iCs/>
          <w:lang w:val="bs-Latn-BA"/>
        </w:rPr>
        <w:t>Methods in Enzymology</w:t>
      </w:r>
      <w:r w:rsidRPr="00A46EC3">
        <w:rPr>
          <w:rFonts w:ascii="Arial" w:hAnsi="Arial" w:cs="Arial"/>
          <w:lang w:val="bs-Latn-BA"/>
        </w:rPr>
        <w:t xml:space="preserve">, </w:t>
      </w:r>
      <w:r w:rsidRPr="00A46EC3">
        <w:rPr>
          <w:rFonts w:ascii="Arial" w:hAnsi="Arial" w:cs="Arial"/>
          <w:i/>
          <w:iCs/>
          <w:lang w:val="bs-Latn-BA"/>
        </w:rPr>
        <w:t>299</w:t>
      </w:r>
      <w:r w:rsidRPr="00A46EC3">
        <w:rPr>
          <w:rFonts w:ascii="Arial" w:hAnsi="Arial" w:cs="Arial"/>
          <w:lang w:val="bs-Latn-BA"/>
        </w:rPr>
        <w:t>, 15-27.</w:t>
      </w:r>
    </w:p>
    <w:p w14:paraId="52CC6E8E" w14:textId="452912FA"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Boughendjioua, H., 2018. Essential oil composition of </w:t>
      </w:r>
      <w:r w:rsidRPr="00A46EC3">
        <w:rPr>
          <w:rFonts w:ascii="Arial" w:hAnsi="Arial" w:cs="Arial"/>
          <w:i/>
          <w:iCs/>
          <w:lang w:val="bs-Latn-BA"/>
        </w:rPr>
        <w:t>Syzygium aromaticum</w:t>
      </w:r>
      <w:r w:rsidRPr="00A46EC3">
        <w:rPr>
          <w:rFonts w:ascii="Arial" w:hAnsi="Arial" w:cs="Arial"/>
          <w:lang w:val="bs-Latn-BA"/>
        </w:rPr>
        <w:t xml:space="preserve"> (L.). </w:t>
      </w:r>
      <w:r w:rsidRPr="00A46EC3">
        <w:rPr>
          <w:rFonts w:ascii="Arial" w:hAnsi="Arial" w:cs="Arial"/>
          <w:i/>
          <w:iCs/>
          <w:lang w:val="bs-Latn-BA"/>
        </w:rPr>
        <w:t>International Research Journal of Pharmacy and Medical Sciences</w:t>
      </w:r>
      <w:r w:rsidRPr="00A46EC3">
        <w:rPr>
          <w:rFonts w:ascii="Arial" w:hAnsi="Arial" w:cs="Arial"/>
          <w:lang w:val="bs-Latn-BA"/>
        </w:rPr>
        <w:t>, 1(3), 26</w:t>
      </w:r>
      <w:r w:rsidR="00D025B9" w:rsidRPr="00A46EC3">
        <w:rPr>
          <w:rFonts w:ascii="Arial" w:hAnsi="Arial" w:cs="Arial"/>
          <w:lang w:val="bs-Latn-BA"/>
        </w:rPr>
        <w:t>-</w:t>
      </w:r>
      <w:r w:rsidRPr="00A46EC3">
        <w:rPr>
          <w:rFonts w:ascii="Arial" w:hAnsi="Arial" w:cs="Arial"/>
          <w:lang w:val="bs-Latn-BA"/>
        </w:rPr>
        <w:t>28.</w:t>
      </w:r>
    </w:p>
    <w:p w14:paraId="07BA1B8D" w14:textId="1CC9F4CF"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Chaieb, K., Zmantar, T., Ksouri, R., Hajlaoui, H., Mahdouani, K., Abdelly, C. &amp; Bakhrouf, A. </w:t>
      </w:r>
      <w:r w:rsidR="00D025B9" w:rsidRPr="00A46EC3">
        <w:rPr>
          <w:rFonts w:ascii="Arial" w:hAnsi="Arial" w:cs="Arial"/>
          <w:lang w:val="bs-Latn-BA"/>
        </w:rPr>
        <w:t>(</w:t>
      </w:r>
      <w:r w:rsidRPr="00A46EC3">
        <w:rPr>
          <w:rFonts w:ascii="Arial" w:hAnsi="Arial" w:cs="Arial"/>
          <w:lang w:val="bs-Latn-BA"/>
        </w:rPr>
        <w:t>2007</w:t>
      </w:r>
      <w:r w:rsidR="00D025B9" w:rsidRPr="00A46EC3">
        <w:rPr>
          <w:rFonts w:ascii="Arial" w:hAnsi="Arial" w:cs="Arial"/>
          <w:lang w:val="bs-Latn-BA"/>
        </w:rPr>
        <w:t>)</w:t>
      </w:r>
      <w:r w:rsidRPr="00A46EC3">
        <w:rPr>
          <w:rFonts w:ascii="Arial" w:hAnsi="Arial" w:cs="Arial"/>
          <w:lang w:val="bs-Latn-BA"/>
        </w:rPr>
        <w:t>. The chemical composition and biological activity of clove (</w:t>
      </w:r>
      <w:r w:rsidRPr="00A46EC3">
        <w:rPr>
          <w:rFonts w:ascii="Arial" w:hAnsi="Arial" w:cs="Arial"/>
          <w:i/>
          <w:iCs/>
          <w:lang w:val="bs-Latn-BA"/>
        </w:rPr>
        <w:t>Syzygium aromaticum</w:t>
      </w:r>
      <w:r w:rsidRPr="00A46EC3">
        <w:rPr>
          <w:rFonts w:ascii="Arial" w:hAnsi="Arial" w:cs="Arial"/>
          <w:lang w:val="bs-Latn-BA"/>
        </w:rPr>
        <w:t xml:space="preserve">) essential oil. </w:t>
      </w:r>
      <w:r w:rsidRPr="00A46EC3">
        <w:rPr>
          <w:rFonts w:ascii="Arial" w:hAnsi="Arial" w:cs="Arial"/>
          <w:i/>
          <w:iCs/>
          <w:lang w:val="bs-Latn-BA"/>
        </w:rPr>
        <w:t>Phytotherapy Research</w:t>
      </w:r>
      <w:r w:rsidRPr="00A46EC3">
        <w:rPr>
          <w:rFonts w:ascii="Arial" w:hAnsi="Arial" w:cs="Arial"/>
          <w:lang w:val="bs-Latn-BA"/>
        </w:rPr>
        <w:t>, 21(6), 501</w:t>
      </w:r>
      <w:r w:rsidR="00D025B9" w:rsidRPr="00A46EC3">
        <w:rPr>
          <w:rFonts w:ascii="Arial" w:hAnsi="Arial" w:cs="Arial"/>
          <w:lang w:val="bs-Latn-BA"/>
        </w:rPr>
        <w:t>-</w:t>
      </w:r>
      <w:r w:rsidRPr="00A46EC3">
        <w:rPr>
          <w:rFonts w:ascii="Arial" w:hAnsi="Arial" w:cs="Arial"/>
          <w:lang w:val="bs-Latn-BA"/>
        </w:rPr>
        <w:t>506.</w:t>
      </w:r>
    </w:p>
    <w:p w14:paraId="09BF9B29" w14:textId="735E46D7"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Cortés-Rojas, D.F., de Souza, C.R.F. &amp; Oliveira, W.P.</w:t>
      </w:r>
      <w:r w:rsidR="00D025B9" w:rsidRPr="00A46EC3">
        <w:rPr>
          <w:rFonts w:ascii="Arial" w:hAnsi="Arial" w:cs="Arial"/>
          <w:lang w:val="bs-Latn-BA"/>
        </w:rPr>
        <w:t xml:space="preserve"> (</w:t>
      </w:r>
      <w:r w:rsidRPr="00A46EC3">
        <w:rPr>
          <w:rFonts w:ascii="Arial" w:hAnsi="Arial" w:cs="Arial"/>
          <w:lang w:val="bs-Latn-BA"/>
        </w:rPr>
        <w:t>2014</w:t>
      </w:r>
      <w:r w:rsidR="00D025B9" w:rsidRPr="00A46EC3">
        <w:rPr>
          <w:rFonts w:ascii="Arial" w:hAnsi="Arial" w:cs="Arial"/>
          <w:lang w:val="bs-Latn-BA"/>
        </w:rPr>
        <w:t>)</w:t>
      </w:r>
      <w:r w:rsidRPr="00A46EC3">
        <w:rPr>
          <w:rFonts w:ascii="Arial" w:hAnsi="Arial" w:cs="Arial"/>
          <w:lang w:val="bs-Latn-BA"/>
        </w:rPr>
        <w:t>. Clove (</w:t>
      </w:r>
      <w:r w:rsidRPr="00A46EC3">
        <w:rPr>
          <w:rFonts w:ascii="Arial" w:hAnsi="Arial" w:cs="Arial"/>
          <w:i/>
          <w:iCs/>
          <w:lang w:val="bs-Latn-BA"/>
        </w:rPr>
        <w:t>Syzygium aromaticum</w:t>
      </w:r>
      <w:r w:rsidRPr="00A46EC3">
        <w:rPr>
          <w:rFonts w:ascii="Arial" w:hAnsi="Arial" w:cs="Arial"/>
          <w:lang w:val="bs-Latn-BA"/>
        </w:rPr>
        <w:t xml:space="preserve">): A precious spice. </w:t>
      </w:r>
      <w:r w:rsidRPr="00A46EC3">
        <w:rPr>
          <w:rFonts w:ascii="Arial" w:hAnsi="Arial" w:cs="Arial"/>
          <w:i/>
          <w:iCs/>
          <w:lang w:val="bs-Latn-BA"/>
        </w:rPr>
        <w:t>Asian Pacific Journal of Tropical Biomedicine</w:t>
      </w:r>
      <w:r w:rsidRPr="00A46EC3">
        <w:rPr>
          <w:rFonts w:ascii="Arial" w:hAnsi="Arial" w:cs="Arial"/>
          <w:lang w:val="bs-Latn-BA"/>
        </w:rPr>
        <w:t>, 4(2),</w:t>
      </w:r>
      <w:r w:rsidR="00D025B9" w:rsidRPr="00A46EC3">
        <w:rPr>
          <w:rFonts w:ascii="Arial" w:hAnsi="Arial" w:cs="Arial"/>
          <w:lang w:val="bs-Latn-BA"/>
        </w:rPr>
        <w:t xml:space="preserve"> </w:t>
      </w:r>
      <w:r w:rsidRPr="00A46EC3">
        <w:rPr>
          <w:rFonts w:ascii="Arial" w:hAnsi="Arial" w:cs="Arial"/>
          <w:lang w:val="bs-Latn-BA"/>
        </w:rPr>
        <w:t>90</w:t>
      </w:r>
      <w:r w:rsidR="00D025B9" w:rsidRPr="00A46EC3">
        <w:rPr>
          <w:rFonts w:ascii="Arial" w:hAnsi="Arial" w:cs="Arial"/>
          <w:lang w:val="bs-Latn-BA"/>
        </w:rPr>
        <w:t>-</w:t>
      </w:r>
      <w:r w:rsidRPr="00A46EC3">
        <w:rPr>
          <w:rFonts w:ascii="Arial" w:hAnsi="Arial" w:cs="Arial"/>
          <w:lang w:val="bs-Latn-BA"/>
        </w:rPr>
        <w:t>96.</w:t>
      </w:r>
    </w:p>
    <w:p w14:paraId="672E5CFB" w14:textId="4706685C"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Das, B., Mandal, D., Dash, S. K., Chattopadhyay, S., Tripathy, S., Dolai, D. P., Dey, S. K., Roy, S., (2016). Eugenol provokes ROS-mediated membrane damage-associated antibacterial activity against clinically isolated multidrug-resistant Staphylococcus aureus strains. Infect Dis Res and Treat, 9, IDRT. S31741.</w:t>
      </w:r>
    </w:p>
    <w:p w14:paraId="16B02A72" w14:textId="4129B596"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Didehdar, M., Chegini, Z. &amp; Shariati, A. </w:t>
      </w:r>
      <w:r w:rsidR="00D025B9" w:rsidRPr="00A46EC3">
        <w:rPr>
          <w:rFonts w:ascii="Arial" w:hAnsi="Arial" w:cs="Arial"/>
          <w:lang w:val="bs-Latn-BA"/>
        </w:rPr>
        <w:t>(</w:t>
      </w:r>
      <w:r w:rsidRPr="00A46EC3">
        <w:rPr>
          <w:rFonts w:ascii="Arial" w:hAnsi="Arial" w:cs="Arial"/>
          <w:lang w:val="bs-Latn-BA"/>
        </w:rPr>
        <w:t>2022</w:t>
      </w:r>
      <w:r w:rsidR="00D025B9" w:rsidRPr="00A46EC3">
        <w:rPr>
          <w:rFonts w:ascii="Arial" w:hAnsi="Arial" w:cs="Arial"/>
          <w:lang w:val="bs-Latn-BA"/>
        </w:rPr>
        <w:t>)</w:t>
      </w:r>
      <w:r w:rsidRPr="00A46EC3">
        <w:rPr>
          <w:rFonts w:ascii="Arial" w:hAnsi="Arial" w:cs="Arial"/>
          <w:lang w:val="bs-Latn-BA"/>
        </w:rPr>
        <w:t xml:space="preserve">. Eugenol: A novel therapeutic agent for the inhibition of Candida species infection. </w:t>
      </w:r>
      <w:r w:rsidRPr="00A46EC3">
        <w:rPr>
          <w:rFonts w:ascii="Arial" w:hAnsi="Arial" w:cs="Arial"/>
          <w:i/>
          <w:iCs/>
          <w:lang w:val="bs-Latn-BA"/>
        </w:rPr>
        <w:t>Frontiers in Pharmacology</w:t>
      </w:r>
      <w:r w:rsidRPr="00A46EC3">
        <w:rPr>
          <w:rFonts w:ascii="Arial" w:hAnsi="Arial" w:cs="Arial"/>
          <w:lang w:val="bs-Latn-BA"/>
        </w:rPr>
        <w:t>, 13</w:t>
      </w:r>
      <w:r w:rsidR="00D025B9" w:rsidRPr="00A46EC3">
        <w:rPr>
          <w:rFonts w:ascii="Arial" w:hAnsi="Arial" w:cs="Arial"/>
          <w:lang w:val="bs-Latn-BA"/>
        </w:rPr>
        <w:t xml:space="preserve">, </w:t>
      </w:r>
      <w:r w:rsidRPr="00A46EC3">
        <w:rPr>
          <w:rFonts w:ascii="Arial" w:hAnsi="Arial" w:cs="Arial"/>
          <w:lang w:val="bs-Latn-BA"/>
        </w:rPr>
        <w:t>872127.</w:t>
      </w:r>
    </w:p>
    <w:p w14:paraId="7F5913E1" w14:textId="60464564"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El-Saber Batiha, G., Alkazmi, L.M., Wasef, L.G., Beshbishy, A.M., Nadwa, E.H., Rashwan, E.K.</w:t>
      </w:r>
      <w:r w:rsidR="00D025B9" w:rsidRPr="00A46EC3">
        <w:rPr>
          <w:rFonts w:ascii="Arial" w:hAnsi="Arial" w:cs="Arial"/>
          <w:lang w:val="bs-Latn-BA"/>
        </w:rPr>
        <w:t xml:space="preserve"> (</w:t>
      </w:r>
      <w:r w:rsidRPr="00A46EC3">
        <w:rPr>
          <w:rFonts w:ascii="Arial" w:hAnsi="Arial" w:cs="Arial"/>
          <w:lang w:val="bs-Latn-BA"/>
        </w:rPr>
        <w:t>2020</w:t>
      </w:r>
      <w:r w:rsidR="00D025B9" w:rsidRPr="00A46EC3">
        <w:rPr>
          <w:rFonts w:ascii="Arial" w:hAnsi="Arial" w:cs="Arial"/>
          <w:lang w:val="bs-Latn-BA"/>
        </w:rPr>
        <w:t>)</w:t>
      </w:r>
      <w:r w:rsidRPr="00A46EC3">
        <w:rPr>
          <w:rFonts w:ascii="Arial" w:hAnsi="Arial" w:cs="Arial"/>
          <w:lang w:val="bs-Latn-BA"/>
        </w:rPr>
        <w:t xml:space="preserve">. </w:t>
      </w:r>
      <w:r w:rsidRPr="00A46EC3">
        <w:rPr>
          <w:rFonts w:ascii="Arial" w:hAnsi="Arial" w:cs="Arial"/>
          <w:i/>
          <w:iCs/>
          <w:lang w:val="bs-Latn-BA"/>
        </w:rPr>
        <w:t>Syzygium aromaticum</w:t>
      </w:r>
      <w:r w:rsidRPr="00A46EC3">
        <w:rPr>
          <w:rFonts w:ascii="Arial" w:hAnsi="Arial" w:cs="Arial"/>
          <w:lang w:val="bs-Latn-BA"/>
        </w:rPr>
        <w:t xml:space="preserve"> L. (Myrtaceae): Traditional uses, bioactive chemical constituents, pharmacological and toxicological activities. </w:t>
      </w:r>
      <w:r w:rsidRPr="00A46EC3">
        <w:rPr>
          <w:rFonts w:ascii="Arial" w:hAnsi="Arial" w:cs="Arial"/>
          <w:i/>
          <w:iCs/>
          <w:lang w:val="bs-Latn-BA"/>
        </w:rPr>
        <w:t>Biomolecules</w:t>
      </w:r>
      <w:r w:rsidRPr="00A46EC3">
        <w:rPr>
          <w:rFonts w:ascii="Arial" w:hAnsi="Arial" w:cs="Arial"/>
          <w:lang w:val="bs-Latn-BA"/>
        </w:rPr>
        <w:t>, 10(2), 202.</w:t>
      </w:r>
    </w:p>
    <w:p w14:paraId="175C8EFC" w14:textId="1E7E5619"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Filho, G.A., Cesar, J.O. &amp; Ramos, J.V. </w:t>
      </w:r>
      <w:r w:rsidR="00D025B9" w:rsidRPr="00A46EC3">
        <w:rPr>
          <w:rFonts w:ascii="Arial" w:hAnsi="Arial" w:cs="Arial"/>
          <w:lang w:val="bs-Latn-BA"/>
        </w:rPr>
        <w:t>(</w:t>
      </w:r>
      <w:r w:rsidRPr="00A46EC3">
        <w:rPr>
          <w:rFonts w:ascii="Arial" w:hAnsi="Arial" w:cs="Arial"/>
          <w:lang w:val="bs-Latn-BA"/>
        </w:rPr>
        <w:t>2013</w:t>
      </w:r>
      <w:r w:rsidR="00D025B9" w:rsidRPr="00A46EC3">
        <w:rPr>
          <w:rFonts w:ascii="Arial" w:hAnsi="Arial" w:cs="Arial"/>
          <w:lang w:val="bs-Latn-BA"/>
        </w:rPr>
        <w:t>)</w:t>
      </w:r>
      <w:r w:rsidRPr="00A46EC3">
        <w:rPr>
          <w:rFonts w:ascii="Arial" w:hAnsi="Arial" w:cs="Arial"/>
          <w:lang w:val="bs-Latn-BA"/>
        </w:rPr>
        <w:t>. Cravo from India. [Online] Available at: http://www.ceplac.gov.br/radar.htm</w:t>
      </w:r>
    </w:p>
    <w:p w14:paraId="54E610EB" w14:textId="200CB2A6"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 xml:space="preserve">Freitas, V.D., Coelho, E.L.J., Moreira, J.M.A.R., Dutra, V., Sousa, V.R.F. &amp; Almeida, A.d.B.P.F. </w:t>
      </w:r>
      <w:r w:rsidR="00D90964" w:rsidRPr="00A46EC3">
        <w:rPr>
          <w:rFonts w:ascii="Arial" w:hAnsi="Arial" w:cs="Arial"/>
          <w:lang w:val="bs-Latn-BA"/>
        </w:rPr>
        <w:t>(</w:t>
      </w:r>
      <w:r w:rsidRPr="00A46EC3">
        <w:rPr>
          <w:rFonts w:ascii="Arial" w:hAnsi="Arial" w:cs="Arial"/>
          <w:lang w:val="bs-Latn-BA"/>
        </w:rPr>
        <w:t>2025</w:t>
      </w:r>
      <w:r w:rsidR="00D90964" w:rsidRPr="00A46EC3">
        <w:rPr>
          <w:rFonts w:ascii="Arial" w:hAnsi="Arial" w:cs="Arial"/>
          <w:lang w:val="bs-Latn-BA"/>
        </w:rPr>
        <w:t>)</w:t>
      </w:r>
      <w:r w:rsidRPr="00A46EC3">
        <w:rPr>
          <w:rFonts w:ascii="Arial" w:hAnsi="Arial" w:cs="Arial"/>
          <w:lang w:val="bs-Latn-BA"/>
        </w:rPr>
        <w:t>. Antibacterial activity of clove essential oil (</w:t>
      </w:r>
      <w:r w:rsidRPr="00A46EC3">
        <w:rPr>
          <w:rFonts w:ascii="Arial" w:hAnsi="Arial" w:cs="Arial"/>
          <w:i/>
          <w:iCs/>
          <w:lang w:val="bs-Latn-BA"/>
        </w:rPr>
        <w:t>Syzygium aromaticum</w:t>
      </w:r>
      <w:r w:rsidRPr="00A46EC3">
        <w:rPr>
          <w:rFonts w:ascii="Arial" w:hAnsi="Arial" w:cs="Arial"/>
          <w:lang w:val="bs-Latn-BA"/>
        </w:rPr>
        <w:t xml:space="preserve">) against oxacillin-resistant </w:t>
      </w:r>
      <w:r w:rsidRPr="00A46EC3">
        <w:rPr>
          <w:rFonts w:ascii="Arial" w:hAnsi="Arial" w:cs="Arial"/>
          <w:i/>
          <w:iCs/>
          <w:lang w:val="bs-Latn-BA"/>
        </w:rPr>
        <w:t>Staphylococcus pseudintermedius</w:t>
      </w:r>
      <w:r w:rsidRPr="00A46EC3">
        <w:rPr>
          <w:rFonts w:ascii="Arial" w:hAnsi="Arial" w:cs="Arial"/>
          <w:lang w:val="bs-Latn-BA"/>
        </w:rPr>
        <w:t xml:space="preserve"> isolated from dogs with otitis externa. </w:t>
      </w:r>
      <w:r w:rsidRPr="00A46EC3">
        <w:rPr>
          <w:rFonts w:ascii="Arial" w:hAnsi="Arial" w:cs="Arial"/>
          <w:i/>
          <w:iCs/>
          <w:lang w:val="bs-Latn-BA"/>
        </w:rPr>
        <w:t>Pathogens</w:t>
      </w:r>
      <w:r w:rsidRPr="00A46EC3">
        <w:rPr>
          <w:rFonts w:ascii="Arial" w:hAnsi="Arial" w:cs="Arial"/>
          <w:lang w:val="bs-Latn-BA"/>
        </w:rPr>
        <w:t>, 14(7), 709.</w:t>
      </w:r>
    </w:p>
    <w:p w14:paraId="785833A5" w14:textId="6ED4542E" w:rsidR="003378D3" w:rsidRPr="00A46EC3" w:rsidRDefault="003378D3" w:rsidP="00D75514">
      <w:pPr>
        <w:ind w:left="284" w:hanging="284"/>
        <w:jc w:val="both"/>
        <w:rPr>
          <w:rFonts w:ascii="Arial" w:hAnsi="Arial" w:cs="Arial"/>
          <w:lang w:val="bs-Latn-BA"/>
        </w:rPr>
      </w:pPr>
      <w:r w:rsidRPr="00A46EC3">
        <w:rPr>
          <w:rFonts w:ascii="Arial" w:hAnsi="Arial" w:cs="Arial"/>
          <w:lang w:val="bs-Latn-BA"/>
        </w:rPr>
        <w:t>Gulcin, I. (2011).</w:t>
      </w:r>
      <w:r w:rsidRPr="00A46EC3">
        <w:t xml:space="preserve"> </w:t>
      </w:r>
      <w:r w:rsidRPr="00A46EC3">
        <w:rPr>
          <w:rFonts w:ascii="Arial" w:hAnsi="Arial" w:cs="Arial"/>
          <w:lang w:val="bs-Latn-BA"/>
        </w:rPr>
        <w:t xml:space="preserve">Antioxidant Activity of Eugenol: A Structure–Activity Relationship Study. </w:t>
      </w:r>
      <w:r w:rsidRPr="00A46EC3">
        <w:rPr>
          <w:rFonts w:ascii="Arial" w:hAnsi="Arial" w:cs="Arial"/>
          <w:i/>
          <w:iCs/>
          <w:lang w:val="bs-Latn-BA"/>
        </w:rPr>
        <w:t>Journal of Medicinal Food</w:t>
      </w:r>
      <w:r w:rsidRPr="00A46EC3">
        <w:rPr>
          <w:rFonts w:ascii="Arial" w:hAnsi="Arial" w:cs="Arial"/>
          <w:lang w:val="bs-Latn-BA"/>
        </w:rPr>
        <w:t xml:space="preserve">, </w:t>
      </w:r>
      <w:r w:rsidRPr="00A46EC3">
        <w:rPr>
          <w:rFonts w:ascii="Arial" w:hAnsi="Arial" w:cs="Arial"/>
          <w:i/>
          <w:iCs/>
          <w:lang w:val="bs-Latn-BA"/>
        </w:rPr>
        <w:t>14</w:t>
      </w:r>
      <w:r w:rsidRPr="00A46EC3">
        <w:rPr>
          <w:rFonts w:ascii="Arial" w:hAnsi="Arial" w:cs="Arial"/>
          <w:lang w:val="bs-Latn-BA"/>
        </w:rPr>
        <w:t>(9), 975-985.</w:t>
      </w:r>
    </w:p>
    <w:p w14:paraId="78AE2A0E" w14:textId="7ACBD285" w:rsidR="00AF510B" w:rsidRPr="00A46EC3" w:rsidRDefault="00AF510B" w:rsidP="00D75514">
      <w:pPr>
        <w:ind w:left="284" w:hanging="284"/>
        <w:jc w:val="both"/>
        <w:rPr>
          <w:rFonts w:ascii="Arial" w:hAnsi="Arial" w:cs="Arial"/>
          <w:lang w:val="bs-Latn-BA"/>
        </w:rPr>
      </w:pPr>
      <w:r w:rsidRPr="00A46EC3">
        <w:rPr>
          <w:rFonts w:ascii="Arial" w:hAnsi="Arial" w:cs="Arial"/>
          <w:lang w:val="bs-Latn-BA"/>
        </w:rPr>
        <w:t xml:space="preserve">Gulcin, I. (2020). Antioxidants and antioxidant methods: an updated overview. </w:t>
      </w:r>
      <w:r w:rsidRPr="00A46EC3">
        <w:rPr>
          <w:rFonts w:ascii="Arial" w:hAnsi="Arial" w:cs="Arial"/>
          <w:i/>
          <w:iCs/>
        </w:rPr>
        <w:t>Archives of Toxicology</w:t>
      </w:r>
      <w:r w:rsidRPr="00A46EC3">
        <w:rPr>
          <w:rFonts w:ascii="Arial" w:hAnsi="Arial" w:cs="Arial"/>
        </w:rPr>
        <w:t xml:space="preserve">, </w:t>
      </w:r>
      <w:r w:rsidRPr="00A46EC3">
        <w:rPr>
          <w:rFonts w:ascii="Arial" w:hAnsi="Arial" w:cs="Arial"/>
          <w:i/>
          <w:iCs/>
        </w:rPr>
        <w:t>94</w:t>
      </w:r>
      <w:r w:rsidRPr="00A46EC3">
        <w:rPr>
          <w:rFonts w:ascii="Arial" w:hAnsi="Arial" w:cs="Arial"/>
        </w:rPr>
        <w:t xml:space="preserve">, 651-715. </w:t>
      </w:r>
    </w:p>
    <w:p w14:paraId="1923EA21" w14:textId="7FB5B358"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Haro-González, J.N., Castillo-Herrera, G.A., Martínez-Velázquez, M. &amp; Espinosa-Andrews, H.</w:t>
      </w:r>
      <w:r w:rsidR="00D90964" w:rsidRPr="00A46EC3">
        <w:rPr>
          <w:rFonts w:ascii="Arial" w:hAnsi="Arial" w:cs="Arial"/>
          <w:lang w:val="bs-Latn-BA"/>
        </w:rPr>
        <w:t xml:space="preserve"> (</w:t>
      </w:r>
      <w:r w:rsidRPr="00A46EC3">
        <w:rPr>
          <w:rFonts w:ascii="Arial" w:hAnsi="Arial" w:cs="Arial"/>
          <w:lang w:val="bs-Latn-BA"/>
        </w:rPr>
        <w:t>2021</w:t>
      </w:r>
      <w:r w:rsidR="00D90964" w:rsidRPr="00A46EC3">
        <w:rPr>
          <w:rFonts w:ascii="Arial" w:hAnsi="Arial" w:cs="Arial"/>
          <w:lang w:val="bs-Latn-BA"/>
        </w:rPr>
        <w:t>)</w:t>
      </w:r>
      <w:r w:rsidRPr="00A46EC3">
        <w:rPr>
          <w:rFonts w:ascii="Arial" w:hAnsi="Arial" w:cs="Arial"/>
          <w:lang w:val="bs-Latn-BA"/>
        </w:rPr>
        <w:t>. Clove essential oil (</w:t>
      </w:r>
      <w:r w:rsidRPr="00A46EC3">
        <w:rPr>
          <w:rFonts w:ascii="Arial" w:hAnsi="Arial" w:cs="Arial"/>
          <w:i/>
          <w:iCs/>
          <w:lang w:val="bs-Latn-BA"/>
        </w:rPr>
        <w:t>Syzygium aromaticum</w:t>
      </w:r>
      <w:r w:rsidRPr="00A46EC3">
        <w:rPr>
          <w:rFonts w:ascii="Arial" w:hAnsi="Arial" w:cs="Arial"/>
          <w:lang w:val="bs-Latn-BA"/>
        </w:rPr>
        <w:t xml:space="preserve"> L. Myrtaceae): Extraction, chemical composition, food applications, and essential bioactivity for human health. </w:t>
      </w:r>
      <w:r w:rsidRPr="00A46EC3">
        <w:rPr>
          <w:rFonts w:ascii="Arial" w:hAnsi="Arial" w:cs="Arial"/>
          <w:i/>
          <w:iCs/>
          <w:lang w:val="bs-Latn-BA"/>
        </w:rPr>
        <w:t>Molecules</w:t>
      </w:r>
      <w:r w:rsidRPr="00A46EC3">
        <w:rPr>
          <w:rFonts w:ascii="Arial" w:hAnsi="Arial" w:cs="Arial"/>
          <w:lang w:val="bs-Latn-BA"/>
        </w:rPr>
        <w:t>, 26(21), 6387.</w:t>
      </w:r>
    </w:p>
    <w:p w14:paraId="11D9B6E7" w14:textId="2CD67126"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Hemalatha, R., Nivetha, P., Mohanapriya, C., Sharmila, G., Muthukumaran, C. &amp; Gopinath, M.</w:t>
      </w:r>
      <w:r w:rsidR="00D90964" w:rsidRPr="00A46EC3">
        <w:rPr>
          <w:rFonts w:ascii="Arial" w:hAnsi="Arial" w:cs="Arial"/>
          <w:lang w:val="bs-Latn-BA"/>
        </w:rPr>
        <w:t xml:space="preserve"> (</w:t>
      </w:r>
      <w:r w:rsidRPr="00A46EC3">
        <w:rPr>
          <w:rFonts w:ascii="Arial" w:hAnsi="Arial" w:cs="Arial"/>
          <w:lang w:val="bs-Latn-BA"/>
        </w:rPr>
        <w:t>2016</w:t>
      </w:r>
      <w:r w:rsidR="00D90964" w:rsidRPr="00A46EC3">
        <w:rPr>
          <w:rFonts w:ascii="Arial" w:hAnsi="Arial" w:cs="Arial"/>
          <w:lang w:val="bs-Latn-BA"/>
        </w:rPr>
        <w:t>)</w:t>
      </w:r>
      <w:r w:rsidRPr="00A46EC3">
        <w:rPr>
          <w:rFonts w:ascii="Arial" w:hAnsi="Arial" w:cs="Arial"/>
          <w:lang w:val="bs-Latn-BA"/>
        </w:rPr>
        <w:t xml:space="preserve">. Phytochemical composition, GC-MS analysis, </w:t>
      </w:r>
      <w:r w:rsidRPr="00A46EC3">
        <w:rPr>
          <w:rFonts w:ascii="Arial" w:hAnsi="Arial" w:cs="Arial"/>
          <w:i/>
          <w:iCs/>
          <w:lang w:val="bs-Latn-BA"/>
        </w:rPr>
        <w:t>in vitro</w:t>
      </w:r>
      <w:r w:rsidRPr="00A46EC3">
        <w:rPr>
          <w:rFonts w:ascii="Arial" w:hAnsi="Arial" w:cs="Arial"/>
          <w:lang w:val="bs-Latn-BA"/>
        </w:rPr>
        <w:t xml:space="preserve"> antioxidant and antibacterial potential of clove flower bud (</w:t>
      </w:r>
      <w:r w:rsidRPr="00A46EC3">
        <w:rPr>
          <w:rFonts w:ascii="Arial" w:hAnsi="Arial" w:cs="Arial"/>
          <w:i/>
          <w:iCs/>
          <w:lang w:val="bs-Latn-BA"/>
        </w:rPr>
        <w:t>Eugenia caryophyllus</w:t>
      </w:r>
      <w:r w:rsidRPr="00A46EC3">
        <w:rPr>
          <w:rFonts w:ascii="Arial" w:hAnsi="Arial" w:cs="Arial"/>
          <w:lang w:val="bs-Latn-BA"/>
        </w:rPr>
        <w:t xml:space="preserve">) methanolic extract. </w:t>
      </w:r>
      <w:r w:rsidRPr="00A46EC3">
        <w:rPr>
          <w:rFonts w:ascii="Arial" w:hAnsi="Arial" w:cs="Arial"/>
          <w:i/>
          <w:iCs/>
          <w:lang w:val="bs-Latn-BA"/>
        </w:rPr>
        <w:t>Journal of Food Science and Technology</w:t>
      </w:r>
      <w:r w:rsidRPr="00A46EC3">
        <w:rPr>
          <w:rFonts w:ascii="Arial" w:hAnsi="Arial" w:cs="Arial"/>
          <w:lang w:val="bs-Latn-BA"/>
        </w:rPr>
        <w:t>, 53, 1189</w:t>
      </w:r>
      <w:r w:rsidR="00D90964" w:rsidRPr="00A46EC3">
        <w:rPr>
          <w:rFonts w:ascii="Arial" w:hAnsi="Arial" w:cs="Arial"/>
          <w:lang w:val="bs-Latn-BA"/>
        </w:rPr>
        <w:t>-</w:t>
      </w:r>
      <w:r w:rsidRPr="00A46EC3">
        <w:rPr>
          <w:rFonts w:ascii="Arial" w:hAnsi="Arial" w:cs="Arial"/>
          <w:lang w:val="bs-Latn-BA"/>
        </w:rPr>
        <w:t>1198.</w:t>
      </w:r>
    </w:p>
    <w:p w14:paraId="2C1C0CC1" w14:textId="1B61F1EF"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Hoque, M. M., Bari, M. L., Juneja, V. K., &amp; Kawamoto, S. (2008). Antimicrobial activity of cloves and cinnamon extracts against foodborne pathogens and spoilage bacteria, and inactivation of Listeria monocytogenes in ground chicken meat with their essential oils. National Food Research Institute Report, No. 72, 9–21.</w:t>
      </w:r>
    </w:p>
    <w:p w14:paraId="27C4A53A" w14:textId="57F76C14" w:rsidR="00A050E5" w:rsidRPr="00A46EC3" w:rsidRDefault="006F7618" w:rsidP="00A050E5">
      <w:pPr>
        <w:ind w:left="284" w:hanging="284"/>
        <w:jc w:val="both"/>
        <w:rPr>
          <w:rFonts w:ascii="Arial" w:hAnsi="Arial" w:cs="Arial"/>
          <w:lang w:val="bs-Latn-BA"/>
        </w:rPr>
      </w:pPr>
      <w:r w:rsidRPr="00A46EC3">
        <w:rPr>
          <w:rFonts w:ascii="Arial" w:hAnsi="Arial" w:cs="Arial"/>
          <w:lang w:val="bs-Latn-BA"/>
        </w:rPr>
        <w:t>Horozi</w:t>
      </w:r>
      <w:r w:rsidR="009E3392" w:rsidRPr="00A46EC3">
        <w:rPr>
          <w:rFonts w:ascii="Arial" w:hAnsi="Arial" w:cs="Arial"/>
          <w:lang w:val="bs-Latn-BA"/>
        </w:rPr>
        <w:t>ć</w:t>
      </w:r>
      <w:r w:rsidRPr="00A46EC3">
        <w:rPr>
          <w:rFonts w:ascii="Arial" w:hAnsi="Arial" w:cs="Arial"/>
          <w:lang w:val="bs-Latn-BA"/>
        </w:rPr>
        <w:t>, E</w:t>
      </w:r>
      <w:r w:rsidR="009E3392" w:rsidRPr="00A46EC3">
        <w:rPr>
          <w:rFonts w:ascii="Arial" w:hAnsi="Arial" w:cs="Arial"/>
          <w:lang w:val="bs-Latn-BA"/>
        </w:rPr>
        <w:t>.</w:t>
      </w:r>
      <w:r w:rsidRPr="00A46EC3">
        <w:rPr>
          <w:rFonts w:ascii="Arial" w:hAnsi="Arial" w:cs="Arial"/>
          <w:lang w:val="bs-Latn-BA"/>
        </w:rPr>
        <w:t>, Zuki</w:t>
      </w:r>
      <w:r w:rsidR="009E3392" w:rsidRPr="00A46EC3">
        <w:rPr>
          <w:rFonts w:ascii="Arial" w:hAnsi="Arial" w:cs="Arial"/>
          <w:lang w:val="bs-Latn-BA"/>
        </w:rPr>
        <w:t>ć</w:t>
      </w:r>
      <w:r w:rsidRPr="00A46EC3">
        <w:rPr>
          <w:rFonts w:ascii="Arial" w:hAnsi="Arial" w:cs="Arial"/>
          <w:lang w:val="bs-Latn-BA"/>
        </w:rPr>
        <w:t>, A</w:t>
      </w:r>
      <w:r w:rsidR="009E3392" w:rsidRPr="00A46EC3">
        <w:rPr>
          <w:rFonts w:ascii="Arial" w:hAnsi="Arial" w:cs="Arial"/>
          <w:lang w:val="bs-Latn-BA"/>
        </w:rPr>
        <w:t>.</w:t>
      </w:r>
      <w:r w:rsidRPr="00A46EC3">
        <w:rPr>
          <w:rFonts w:ascii="Arial" w:hAnsi="Arial" w:cs="Arial"/>
          <w:lang w:val="bs-Latn-BA"/>
        </w:rPr>
        <w:t>, Kolarevi</w:t>
      </w:r>
      <w:r w:rsidR="009E3392" w:rsidRPr="00A46EC3">
        <w:rPr>
          <w:rFonts w:ascii="Arial" w:hAnsi="Arial" w:cs="Arial"/>
          <w:lang w:val="bs-Latn-BA"/>
        </w:rPr>
        <w:t>ć</w:t>
      </w:r>
      <w:r w:rsidRPr="00A46EC3">
        <w:rPr>
          <w:rFonts w:ascii="Arial" w:hAnsi="Arial" w:cs="Arial"/>
          <w:lang w:val="bs-Latn-BA"/>
        </w:rPr>
        <w:t>, L</w:t>
      </w:r>
      <w:r w:rsidR="009E3392" w:rsidRPr="00A46EC3">
        <w:rPr>
          <w:rFonts w:ascii="Arial" w:hAnsi="Arial" w:cs="Arial"/>
          <w:lang w:val="bs-Latn-BA"/>
        </w:rPr>
        <w:t>.</w:t>
      </w:r>
      <w:r w:rsidRPr="00A46EC3">
        <w:rPr>
          <w:rFonts w:ascii="Arial" w:hAnsi="Arial" w:cs="Arial"/>
          <w:lang w:val="bs-Latn-BA"/>
        </w:rPr>
        <w:t>, Bjelo</w:t>
      </w:r>
      <w:r w:rsidR="009E3392" w:rsidRPr="00A46EC3">
        <w:rPr>
          <w:rFonts w:ascii="Arial" w:hAnsi="Arial" w:cs="Arial"/>
          <w:lang w:val="bs-Latn-BA"/>
        </w:rPr>
        <w:t>š</w:t>
      </w:r>
      <w:r w:rsidRPr="00A46EC3">
        <w:rPr>
          <w:rFonts w:ascii="Arial" w:hAnsi="Arial" w:cs="Arial"/>
          <w:lang w:val="bs-Latn-BA"/>
        </w:rPr>
        <w:t>evi</w:t>
      </w:r>
      <w:r w:rsidR="009E3392" w:rsidRPr="00A46EC3">
        <w:rPr>
          <w:rFonts w:ascii="Arial" w:hAnsi="Arial" w:cs="Arial"/>
          <w:lang w:val="bs-Latn-BA"/>
        </w:rPr>
        <w:t>ć</w:t>
      </w:r>
      <w:r w:rsidRPr="00A46EC3">
        <w:rPr>
          <w:rFonts w:ascii="Arial" w:hAnsi="Arial" w:cs="Arial"/>
          <w:lang w:val="bs-Latn-BA"/>
        </w:rPr>
        <w:t>, D</w:t>
      </w:r>
      <w:r w:rsidR="009E3392" w:rsidRPr="00A46EC3">
        <w:rPr>
          <w:rFonts w:ascii="Arial" w:hAnsi="Arial" w:cs="Arial"/>
          <w:lang w:val="bs-Latn-BA"/>
        </w:rPr>
        <w:t>.</w:t>
      </w:r>
      <w:r w:rsidRPr="00A46EC3">
        <w:rPr>
          <w:rFonts w:ascii="Arial" w:hAnsi="Arial" w:cs="Arial"/>
          <w:lang w:val="bs-Latn-BA"/>
        </w:rPr>
        <w:t>, Ademovi</w:t>
      </w:r>
      <w:r w:rsidR="009E3392" w:rsidRPr="00A46EC3">
        <w:rPr>
          <w:rFonts w:ascii="Arial" w:hAnsi="Arial" w:cs="Arial"/>
          <w:lang w:val="bs-Latn-BA"/>
        </w:rPr>
        <w:t>ć</w:t>
      </w:r>
      <w:r w:rsidRPr="00A46EC3">
        <w:rPr>
          <w:rFonts w:ascii="Arial" w:hAnsi="Arial" w:cs="Arial"/>
          <w:lang w:val="bs-Latn-BA"/>
        </w:rPr>
        <w:t>, Z</w:t>
      </w:r>
      <w:r w:rsidR="009E3392" w:rsidRPr="00A46EC3">
        <w:rPr>
          <w:rFonts w:ascii="Arial" w:hAnsi="Arial" w:cs="Arial"/>
          <w:lang w:val="bs-Latn-BA"/>
        </w:rPr>
        <w:t>.</w:t>
      </w:r>
      <w:r w:rsidRPr="00A46EC3">
        <w:rPr>
          <w:rFonts w:ascii="Arial" w:hAnsi="Arial" w:cs="Arial"/>
          <w:lang w:val="bs-Latn-BA"/>
        </w:rPr>
        <w:t xml:space="preserve">, </w:t>
      </w:r>
      <w:r w:rsidR="009E3392" w:rsidRPr="00A46EC3">
        <w:rPr>
          <w:rFonts w:ascii="Arial" w:hAnsi="Arial" w:cs="Arial"/>
          <w:lang w:val="bs-Latn-BA"/>
        </w:rPr>
        <w:t>Š</w:t>
      </w:r>
      <w:r w:rsidRPr="00A46EC3">
        <w:rPr>
          <w:rFonts w:ascii="Arial" w:hAnsi="Arial" w:cs="Arial"/>
          <w:lang w:val="bs-Latn-BA"/>
        </w:rPr>
        <w:t>ari</w:t>
      </w:r>
      <w:r w:rsidR="009E3392" w:rsidRPr="00A46EC3">
        <w:rPr>
          <w:rFonts w:ascii="Arial" w:hAnsi="Arial" w:cs="Arial"/>
          <w:lang w:val="bs-Latn-BA"/>
        </w:rPr>
        <w:t>ć</w:t>
      </w:r>
      <w:r w:rsidRPr="00A46EC3">
        <w:rPr>
          <w:rFonts w:ascii="Arial" w:hAnsi="Arial" w:cs="Arial"/>
          <w:lang w:val="bs-Latn-BA"/>
        </w:rPr>
        <w:t>-Kundali</w:t>
      </w:r>
      <w:r w:rsidR="009E3392" w:rsidRPr="00A46EC3">
        <w:rPr>
          <w:rFonts w:ascii="Arial" w:hAnsi="Arial" w:cs="Arial"/>
          <w:lang w:val="bs-Latn-BA"/>
        </w:rPr>
        <w:t>ć</w:t>
      </w:r>
      <w:r w:rsidRPr="00A46EC3">
        <w:rPr>
          <w:rFonts w:ascii="Arial" w:hAnsi="Arial" w:cs="Arial"/>
          <w:lang w:val="bs-Latn-BA"/>
        </w:rPr>
        <w:t>, B</w:t>
      </w:r>
      <w:r w:rsidR="009E3392" w:rsidRPr="00A46EC3">
        <w:rPr>
          <w:rFonts w:ascii="Arial" w:hAnsi="Arial" w:cs="Arial"/>
          <w:lang w:val="bs-Latn-BA"/>
        </w:rPr>
        <w:t>.</w:t>
      </w:r>
      <w:r w:rsidRPr="00A46EC3">
        <w:rPr>
          <w:rFonts w:ascii="Arial" w:hAnsi="Arial" w:cs="Arial"/>
          <w:lang w:val="bs-Latn-BA"/>
        </w:rPr>
        <w:t>, Husejnagi</w:t>
      </w:r>
      <w:r w:rsidR="009E3392" w:rsidRPr="00A46EC3">
        <w:rPr>
          <w:rFonts w:ascii="Arial" w:hAnsi="Arial" w:cs="Arial"/>
          <w:lang w:val="bs-Latn-BA"/>
        </w:rPr>
        <w:t>ć</w:t>
      </w:r>
      <w:r w:rsidRPr="00A46EC3">
        <w:rPr>
          <w:rFonts w:ascii="Arial" w:hAnsi="Arial" w:cs="Arial"/>
          <w:lang w:val="bs-Latn-BA"/>
        </w:rPr>
        <w:t>, D</w:t>
      </w:r>
      <w:r w:rsidR="009E3392" w:rsidRPr="00A46EC3">
        <w:rPr>
          <w:rFonts w:ascii="Arial" w:hAnsi="Arial" w:cs="Arial"/>
          <w:lang w:val="bs-Latn-BA"/>
        </w:rPr>
        <w:t>.</w:t>
      </w:r>
      <w:r w:rsidRPr="00A46EC3">
        <w:rPr>
          <w:rFonts w:ascii="Arial" w:hAnsi="Arial" w:cs="Arial"/>
          <w:lang w:val="bs-Latn-BA"/>
        </w:rPr>
        <w:t>, Kudumovi</w:t>
      </w:r>
      <w:r w:rsidR="009E3392" w:rsidRPr="00A46EC3">
        <w:rPr>
          <w:rFonts w:ascii="Arial" w:hAnsi="Arial" w:cs="Arial"/>
          <w:lang w:val="bs-Latn-BA"/>
        </w:rPr>
        <w:t>ć</w:t>
      </w:r>
      <w:r w:rsidRPr="00A46EC3">
        <w:rPr>
          <w:rFonts w:ascii="Arial" w:hAnsi="Arial" w:cs="Arial"/>
          <w:lang w:val="bs-Latn-BA"/>
        </w:rPr>
        <w:t>, A</w:t>
      </w:r>
      <w:r w:rsidR="009E3392" w:rsidRPr="00A46EC3">
        <w:rPr>
          <w:rFonts w:ascii="Arial" w:hAnsi="Arial" w:cs="Arial"/>
          <w:lang w:val="bs-Latn-BA"/>
        </w:rPr>
        <w:t>.</w:t>
      </w:r>
      <w:r w:rsidRPr="00A46EC3">
        <w:rPr>
          <w:rFonts w:ascii="Arial" w:hAnsi="Arial" w:cs="Arial"/>
          <w:lang w:val="bs-Latn-BA"/>
        </w:rPr>
        <w:t>, Hamzi</w:t>
      </w:r>
      <w:r w:rsidR="009E3392" w:rsidRPr="00A46EC3">
        <w:rPr>
          <w:rFonts w:ascii="Arial" w:hAnsi="Arial" w:cs="Arial"/>
          <w:lang w:val="bs-Latn-BA"/>
        </w:rPr>
        <w:t>ć</w:t>
      </w:r>
      <w:r w:rsidRPr="00A46EC3">
        <w:rPr>
          <w:rFonts w:ascii="Arial" w:hAnsi="Arial" w:cs="Arial"/>
          <w:lang w:val="bs-Latn-BA"/>
        </w:rPr>
        <w:t xml:space="preserve">, S. (2019). Evaluation of antibacterial and antioxidant activity of methanol needle extracts of </w:t>
      </w:r>
      <w:r w:rsidRPr="00A46EC3">
        <w:rPr>
          <w:rFonts w:ascii="Arial" w:hAnsi="Arial" w:cs="Arial"/>
          <w:i/>
          <w:iCs/>
          <w:lang w:val="bs-Latn-BA"/>
        </w:rPr>
        <w:t>Larix Decidua</w:t>
      </w:r>
      <w:r w:rsidRPr="00A46EC3">
        <w:rPr>
          <w:rFonts w:ascii="Arial" w:hAnsi="Arial" w:cs="Arial"/>
          <w:lang w:val="bs-Latn-BA"/>
        </w:rPr>
        <w:t xml:space="preserve"> Mill., </w:t>
      </w:r>
      <w:r w:rsidRPr="00A46EC3">
        <w:rPr>
          <w:rFonts w:ascii="Arial" w:hAnsi="Arial" w:cs="Arial"/>
          <w:i/>
          <w:iCs/>
          <w:lang w:val="bs-Latn-BA"/>
        </w:rPr>
        <w:t>Picea Abies</w:t>
      </w:r>
      <w:r w:rsidRPr="00A46EC3">
        <w:rPr>
          <w:rFonts w:ascii="Arial" w:hAnsi="Arial" w:cs="Arial"/>
          <w:lang w:val="bs-Latn-BA"/>
        </w:rPr>
        <w:t xml:space="preserve"> (L.) H. Karst. and </w:t>
      </w:r>
      <w:r w:rsidRPr="00A46EC3">
        <w:rPr>
          <w:rFonts w:ascii="Arial" w:hAnsi="Arial" w:cs="Arial"/>
          <w:i/>
          <w:iCs/>
          <w:lang w:val="bs-Latn-BA"/>
        </w:rPr>
        <w:t>Pinus Nigra</w:t>
      </w:r>
      <w:r w:rsidRPr="00A46EC3">
        <w:rPr>
          <w:rFonts w:ascii="Arial" w:hAnsi="Arial" w:cs="Arial"/>
          <w:lang w:val="bs-Latn-BA"/>
        </w:rPr>
        <w:t xml:space="preserve"> JF Arnold. </w:t>
      </w:r>
      <w:r w:rsidRPr="00A46EC3">
        <w:rPr>
          <w:rFonts w:ascii="Arial" w:hAnsi="Arial" w:cs="Arial"/>
          <w:i/>
          <w:iCs/>
          <w:lang w:val="bs-Latn-BA"/>
        </w:rPr>
        <w:t>TTEM</w:t>
      </w:r>
      <w:r w:rsidRPr="00A46EC3">
        <w:rPr>
          <w:rFonts w:ascii="Arial" w:hAnsi="Arial" w:cs="Arial"/>
          <w:lang w:val="bs-Latn-BA"/>
        </w:rPr>
        <w:t xml:space="preserve">, </w:t>
      </w:r>
      <w:r w:rsidRPr="00A46EC3">
        <w:rPr>
          <w:rFonts w:ascii="Arial" w:hAnsi="Arial" w:cs="Arial"/>
          <w:i/>
          <w:iCs/>
          <w:lang w:val="bs-Latn-BA"/>
        </w:rPr>
        <w:t>14</w:t>
      </w:r>
      <w:r w:rsidRPr="00A46EC3">
        <w:rPr>
          <w:rFonts w:ascii="Arial" w:hAnsi="Arial" w:cs="Arial"/>
          <w:lang w:val="bs-Latn-BA"/>
        </w:rPr>
        <w:t>(1), 14-19.</w:t>
      </w:r>
    </w:p>
    <w:p w14:paraId="7EC017D1" w14:textId="51B54088"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 xml:space="preserve">Jeyakumar, G. E., &amp; Lawrence, R. (2021). Mechanisms of bactericidal action of Eugenol against Escherichia coli. Journal of Herbal Medicine, 26, 100406. </w:t>
      </w:r>
    </w:p>
    <w:p w14:paraId="684A7742" w14:textId="10D8FFC3"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lastRenderedPageBreak/>
        <w:t>Kim, K.H., Rateb, M., Hassan, H., Elbestawy, M.K.M., El-Sherbiny, G.M. &amp; Moghannem, S.A.</w:t>
      </w:r>
      <w:r w:rsidR="00D90964" w:rsidRPr="00A46EC3">
        <w:rPr>
          <w:rFonts w:ascii="Arial" w:hAnsi="Arial" w:cs="Arial"/>
          <w:lang w:val="bs-Latn-BA"/>
        </w:rPr>
        <w:t xml:space="preserve"> (</w:t>
      </w:r>
      <w:r w:rsidRPr="00A46EC3">
        <w:rPr>
          <w:rFonts w:ascii="Arial" w:hAnsi="Arial" w:cs="Arial"/>
          <w:lang w:val="bs-Latn-BA"/>
        </w:rPr>
        <w:t>2023</w:t>
      </w:r>
      <w:r w:rsidR="00D90964" w:rsidRPr="00A46EC3">
        <w:rPr>
          <w:rFonts w:ascii="Arial" w:hAnsi="Arial" w:cs="Arial"/>
          <w:lang w:val="bs-Latn-BA"/>
        </w:rPr>
        <w:t>)</w:t>
      </w:r>
      <w:r w:rsidRPr="00A46EC3">
        <w:rPr>
          <w:rFonts w:ascii="Arial" w:hAnsi="Arial" w:cs="Arial"/>
          <w:lang w:val="bs-Latn-BA"/>
        </w:rPr>
        <w:t xml:space="preserve">. Antibacterial, antibiofilm and anti-inflammatory activities of eugenol clove essential oil against resistant </w:t>
      </w:r>
      <w:r w:rsidRPr="00A46EC3">
        <w:rPr>
          <w:rFonts w:ascii="Arial" w:hAnsi="Arial" w:cs="Arial"/>
          <w:i/>
          <w:iCs/>
          <w:lang w:val="bs-Latn-BA"/>
        </w:rPr>
        <w:t>Helicobacter pylori</w:t>
      </w:r>
      <w:r w:rsidRPr="00A46EC3">
        <w:rPr>
          <w:rFonts w:ascii="Arial" w:hAnsi="Arial" w:cs="Arial"/>
          <w:lang w:val="bs-Latn-BA"/>
        </w:rPr>
        <w:t xml:space="preserve">. </w:t>
      </w:r>
      <w:r w:rsidRPr="00A46EC3">
        <w:rPr>
          <w:rFonts w:ascii="Arial" w:hAnsi="Arial" w:cs="Arial"/>
          <w:i/>
          <w:iCs/>
          <w:lang w:val="bs-Latn-BA"/>
        </w:rPr>
        <w:t>Molecules</w:t>
      </w:r>
      <w:r w:rsidRPr="00A46EC3">
        <w:rPr>
          <w:rFonts w:ascii="Arial" w:hAnsi="Arial" w:cs="Arial"/>
          <w:lang w:val="bs-Latn-BA"/>
        </w:rPr>
        <w:t>, 28, 2448.</w:t>
      </w:r>
    </w:p>
    <w:p w14:paraId="269FD8F3" w14:textId="58ECD918"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Kumari, S., Moorthi, S., &amp; Kalpana, S. (2013). Antimicrobial activity of different extracts of Syzygium aromaticum (Linn.) against foodborne pathogens. International Journal of Current Microbiology and Applied Sciences, 2(11), 30–35</w:t>
      </w:r>
    </w:p>
    <w:p w14:paraId="0BCE19CA" w14:textId="5CAEB413"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Lakshmi Praba, K., Jagan Mohan, R. &amp; Loganathan, M.</w:t>
      </w:r>
      <w:r w:rsidR="00FA7AC8" w:rsidRPr="00A46EC3">
        <w:rPr>
          <w:rFonts w:ascii="Arial" w:hAnsi="Arial" w:cs="Arial"/>
          <w:lang w:val="bs-Latn-BA"/>
        </w:rPr>
        <w:t xml:space="preserve"> (</w:t>
      </w:r>
      <w:r w:rsidRPr="00A46EC3">
        <w:rPr>
          <w:rFonts w:ascii="Arial" w:hAnsi="Arial" w:cs="Arial"/>
          <w:lang w:val="bs-Latn-BA"/>
        </w:rPr>
        <w:t>2022</w:t>
      </w:r>
      <w:r w:rsidR="00FA7AC8" w:rsidRPr="00A46EC3">
        <w:rPr>
          <w:rFonts w:ascii="Arial" w:hAnsi="Arial" w:cs="Arial"/>
          <w:lang w:val="bs-Latn-BA"/>
        </w:rPr>
        <w:t>)</w:t>
      </w:r>
      <w:r w:rsidRPr="00A46EC3">
        <w:rPr>
          <w:rFonts w:ascii="Arial" w:hAnsi="Arial" w:cs="Arial"/>
          <w:lang w:val="bs-Latn-BA"/>
        </w:rPr>
        <w:t xml:space="preserve">. </w:t>
      </w:r>
      <w:r w:rsidR="00FA7AC8" w:rsidRPr="00A46EC3">
        <w:rPr>
          <w:rFonts w:ascii="Arial" w:hAnsi="Arial" w:cs="Arial"/>
          <w:lang w:val="bs-Latn-BA"/>
        </w:rPr>
        <w:t>O</w:t>
      </w:r>
      <w:r w:rsidRPr="00A46EC3">
        <w:rPr>
          <w:rFonts w:ascii="Arial" w:hAnsi="Arial" w:cs="Arial"/>
          <w:lang w:val="bs-Latn-BA"/>
        </w:rPr>
        <w:t>ptimization of concentration of clove (</w:t>
      </w:r>
      <w:r w:rsidRPr="00A46EC3">
        <w:rPr>
          <w:rFonts w:ascii="Arial" w:hAnsi="Arial" w:cs="Arial"/>
          <w:i/>
          <w:iCs/>
          <w:lang w:val="bs-Latn-BA"/>
        </w:rPr>
        <w:t>Syzygium aromaticum</w:t>
      </w:r>
      <w:r w:rsidRPr="00A46EC3">
        <w:rPr>
          <w:rFonts w:ascii="Arial" w:hAnsi="Arial" w:cs="Arial"/>
          <w:lang w:val="bs-Latn-BA"/>
        </w:rPr>
        <w:t xml:space="preserve">) extract on reduction of histamine content during fermentation of Idli batter. </w:t>
      </w:r>
      <w:r w:rsidRPr="00A46EC3">
        <w:rPr>
          <w:rFonts w:ascii="Arial" w:hAnsi="Arial" w:cs="Arial"/>
          <w:i/>
          <w:iCs/>
          <w:lang w:val="bs-Latn-BA"/>
        </w:rPr>
        <w:t xml:space="preserve">International Journal of </w:t>
      </w:r>
      <w:r w:rsidR="00FA7AC8" w:rsidRPr="00A46EC3">
        <w:rPr>
          <w:rFonts w:ascii="Arial" w:hAnsi="Arial" w:cs="Arial"/>
          <w:i/>
          <w:iCs/>
          <w:lang w:val="bs-Latn-BA"/>
        </w:rPr>
        <w:t xml:space="preserve">Life Science and </w:t>
      </w:r>
      <w:r w:rsidRPr="00A46EC3">
        <w:rPr>
          <w:rFonts w:ascii="Arial" w:hAnsi="Arial" w:cs="Arial"/>
          <w:i/>
          <w:iCs/>
          <w:lang w:val="bs-Latn-BA"/>
        </w:rPr>
        <w:t>Pharma</w:t>
      </w:r>
      <w:r w:rsidR="00FA7AC8" w:rsidRPr="00A46EC3">
        <w:rPr>
          <w:rFonts w:ascii="Arial" w:hAnsi="Arial" w:cs="Arial"/>
          <w:i/>
          <w:iCs/>
          <w:lang w:val="bs-Latn-BA"/>
        </w:rPr>
        <w:t xml:space="preserve"> Research</w:t>
      </w:r>
      <w:r w:rsidRPr="00A46EC3">
        <w:rPr>
          <w:rFonts w:ascii="Arial" w:hAnsi="Arial" w:cs="Arial"/>
          <w:lang w:val="bs-Latn-BA"/>
        </w:rPr>
        <w:t>, 12, L53</w:t>
      </w:r>
      <w:r w:rsidR="00FA7AC8" w:rsidRPr="00A46EC3">
        <w:rPr>
          <w:rFonts w:ascii="Arial" w:hAnsi="Arial" w:cs="Arial"/>
          <w:lang w:val="bs-Latn-BA"/>
        </w:rPr>
        <w:t>-</w:t>
      </w:r>
      <w:r w:rsidRPr="00A46EC3">
        <w:rPr>
          <w:rFonts w:ascii="Arial" w:hAnsi="Arial" w:cs="Arial"/>
          <w:lang w:val="bs-Latn-BA"/>
        </w:rPr>
        <w:t>L61.</w:t>
      </w:r>
    </w:p>
    <w:p w14:paraId="7CC002B1" w14:textId="636A2E88"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Liñán-Atero, R., Aghababaei, F., Rodríguez García, S., Hasiri, Z., Ziogkas, D., Moreno, A. &amp; Hadidi, M.</w:t>
      </w:r>
      <w:r w:rsidR="00FA7AC8" w:rsidRPr="00A46EC3">
        <w:rPr>
          <w:rFonts w:ascii="Arial" w:hAnsi="Arial" w:cs="Arial"/>
          <w:lang w:val="bs-Latn-BA"/>
        </w:rPr>
        <w:t xml:space="preserve"> (</w:t>
      </w:r>
      <w:r w:rsidRPr="00A46EC3">
        <w:rPr>
          <w:rFonts w:ascii="Arial" w:hAnsi="Arial" w:cs="Arial"/>
          <w:lang w:val="bs-Latn-BA"/>
        </w:rPr>
        <w:t>2024</w:t>
      </w:r>
      <w:r w:rsidR="00FA7AC8" w:rsidRPr="00A46EC3">
        <w:rPr>
          <w:rFonts w:ascii="Arial" w:hAnsi="Arial" w:cs="Arial"/>
          <w:lang w:val="bs-Latn-BA"/>
        </w:rPr>
        <w:t>)</w:t>
      </w:r>
      <w:r w:rsidRPr="00A46EC3">
        <w:rPr>
          <w:rFonts w:ascii="Arial" w:hAnsi="Arial" w:cs="Arial"/>
          <w:lang w:val="bs-Latn-BA"/>
        </w:rPr>
        <w:t xml:space="preserve">. Clove essential oil: Chemical profile, biological activities, encapsulation strategies, and food applications. </w:t>
      </w:r>
      <w:r w:rsidRPr="00A46EC3">
        <w:rPr>
          <w:rFonts w:ascii="Arial" w:hAnsi="Arial" w:cs="Arial"/>
          <w:i/>
          <w:iCs/>
          <w:lang w:val="bs-Latn-BA"/>
        </w:rPr>
        <w:t>Antioxidants</w:t>
      </w:r>
      <w:r w:rsidRPr="00A46EC3">
        <w:rPr>
          <w:rFonts w:ascii="Arial" w:hAnsi="Arial" w:cs="Arial"/>
          <w:lang w:val="bs-Latn-BA"/>
        </w:rPr>
        <w:t>, 13(4), 488.</w:t>
      </w:r>
    </w:p>
    <w:p w14:paraId="6D3435DC" w14:textId="71019CE3"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Lone, Z.A. &amp; Jain, N.K.</w:t>
      </w:r>
      <w:r w:rsidR="00FA7AC8" w:rsidRPr="00A46EC3">
        <w:rPr>
          <w:rFonts w:ascii="Arial" w:hAnsi="Arial" w:cs="Arial"/>
          <w:lang w:val="bs-Latn-BA"/>
        </w:rPr>
        <w:t xml:space="preserve"> (</w:t>
      </w:r>
      <w:r w:rsidRPr="00A46EC3">
        <w:rPr>
          <w:rFonts w:ascii="Arial" w:hAnsi="Arial" w:cs="Arial"/>
          <w:lang w:val="bs-Latn-BA"/>
        </w:rPr>
        <w:t>2022</w:t>
      </w:r>
      <w:r w:rsidR="00FA7AC8" w:rsidRPr="00A46EC3">
        <w:rPr>
          <w:rFonts w:ascii="Arial" w:hAnsi="Arial" w:cs="Arial"/>
          <w:lang w:val="bs-Latn-BA"/>
        </w:rPr>
        <w:t>)</w:t>
      </w:r>
      <w:r w:rsidRPr="00A46EC3">
        <w:rPr>
          <w:rFonts w:ascii="Arial" w:hAnsi="Arial" w:cs="Arial"/>
          <w:lang w:val="bs-Latn-BA"/>
        </w:rPr>
        <w:t>. Phytochemical analysis of clove (</w:t>
      </w:r>
      <w:r w:rsidRPr="00A46EC3">
        <w:rPr>
          <w:rFonts w:ascii="Arial" w:hAnsi="Arial" w:cs="Arial"/>
          <w:i/>
          <w:iCs/>
          <w:lang w:val="bs-Latn-BA"/>
        </w:rPr>
        <w:t>Syzygium aromaticum</w:t>
      </w:r>
      <w:r w:rsidRPr="00A46EC3">
        <w:rPr>
          <w:rFonts w:ascii="Arial" w:hAnsi="Arial" w:cs="Arial"/>
          <w:lang w:val="bs-Latn-BA"/>
        </w:rPr>
        <w:t xml:space="preserve">) dried flower buds extract and its therapeutic importance. </w:t>
      </w:r>
      <w:r w:rsidRPr="00A46EC3">
        <w:rPr>
          <w:rFonts w:ascii="Arial" w:hAnsi="Arial" w:cs="Arial"/>
          <w:i/>
          <w:iCs/>
          <w:lang w:val="bs-Latn-BA"/>
        </w:rPr>
        <w:t>Journal of Drug Delivery &amp; Therapeutics</w:t>
      </w:r>
      <w:r w:rsidRPr="00A46EC3">
        <w:rPr>
          <w:rFonts w:ascii="Arial" w:hAnsi="Arial" w:cs="Arial"/>
          <w:lang w:val="bs-Latn-BA"/>
        </w:rPr>
        <w:t>, 12(4-S), 87</w:t>
      </w:r>
      <w:r w:rsidR="00FA7AC8" w:rsidRPr="00A46EC3">
        <w:rPr>
          <w:rFonts w:ascii="Arial" w:hAnsi="Arial" w:cs="Arial"/>
          <w:lang w:val="bs-Latn-BA"/>
        </w:rPr>
        <w:t>-</w:t>
      </w:r>
      <w:r w:rsidRPr="00A46EC3">
        <w:rPr>
          <w:rFonts w:ascii="Arial" w:hAnsi="Arial" w:cs="Arial"/>
          <w:lang w:val="bs-Latn-BA"/>
        </w:rPr>
        <w:t>92.</w:t>
      </w:r>
    </w:p>
    <w:p w14:paraId="070338FA" w14:textId="4DFBCD69"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Lopez, P., Sanchez, C., Batlle, R. &amp; Nerín, C.</w:t>
      </w:r>
      <w:r w:rsidR="00FA7AC8" w:rsidRPr="00A46EC3">
        <w:rPr>
          <w:rFonts w:ascii="Arial" w:hAnsi="Arial" w:cs="Arial"/>
          <w:lang w:val="bs-Latn-BA"/>
        </w:rPr>
        <w:t xml:space="preserve"> (</w:t>
      </w:r>
      <w:r w:rsidRPr="00A46EC3">
        <w:rPr>
          <w:rFonts w:ascii="Arial" w:hAnsi="Arial" w:cs="Arial"/>
          <w:lang w:val="bs-Latn-BA"/>
        </w:rPr>
        <w:t>2005</w:t>
      </w:r>
      <w:r w:rsidR="00FA7AC8" w:rsidRPr="00A46EC3">
        <w:rPr>
          <w:rFonts w:ascii="Arial" w:hAnsi="Arial" w:cs="Arial"/>
          <w:lang w:val="bs-Latn-BA"/>
        </w:rPr>
        <w:t>)</w:t>
      </w:r>
      <w:r w:rsidRPr="00A46EC3">
        <w:rPr>
          <w:rFonts w:ascii="Arial" w:hAnsi="Arial" w:cs="Arial"/>
          <w:lang w:val="bs-Latn-BA"/>
        </w:rPr>
        <w:t xml:space="preserve">. Solid- and vapor-phase antimicrobial activities of six essential oils: Susceptibility of selected foodborne bacterial and fungal strains. </w:t>
      </w:r>
      <w:r w:rsidRPr="00A46EC3">
        <w:rPr>
          <w:rFonts w:ascii="Arial" w:hAnsi="Arial" w:cs="Arial"/>
          <w:i/>
          <w:iCs/>
          <w:lang w:val="bs-Latn-BA"/>
        </w:rPr>
        <w:t>Journal of Agricultural and Food Chemistry</w:t>
      </w:r>
      <w:r w:rsidRPr="00A46EC3">
        <w:rPr>
          <w:rFonts w:ascii="Arial" w:hAnsi="Arial" w:cs="Arial"/>
          <w:lang w:val="bs-Latn-BA"/>
        </w:rPr>
        <w:t>, 53, 6939</w:t>
      </w:r>
      <w:r w:rsidR="00FA7AC8" w:rsidRPr="00A46EC3">
        <w:rPr>
          <w:rFonts w:ascii="Arial" w:hAnsi="Arial" w:cs="Arial"/>
          <w:lang w:val="bs-Latn-BA"/>
        </w:rPr>
        <w:t>-</w:t>
      </w:r>
      <w:r w:rsidRPr="00A46EC3">
        <w:rPr>
          <w:rFonts w:ascii="Arial" w:hAnsi="Arial" w:cs="Arial"/>
          <w:lang w:val="bs-Latn-BA"/>
        </w:rPr>
        <w:t>6946.</w:t>
      </w:r>
    </w:p>
    <w:p w14:paraId="09B87BA6" w14:textId="601AAE9B" w:rsidR="009157E4" w:rsidRPr="00A46EC3" w:rsidRDefault="009157E4" w:rsidP="00D75514">
      <w:pPr>
        <w:ind w:left="284" w:hanging="284"/>
        <w:jc w:val="both"/>
        <w:rPr>
          <w:rFonts w:ascii="Arial" w:hAnsi="Arial" w:cs="Arial"/>
          <w:lang w:val="bs-Latn-BA"/>
        </w:rPr>
      </w:pPr>
      <w:r w:rsidRPr="00A46EC3">
        <w:rPr>
          <w:rFonts w:ascii="Arial" w:hAnsi="Arial" w:cs="Arial"/>
          <w:lang w:val="bs-Latn-BA"/>
        </w:rPr>
        <w:t>Marchese A, Barbieri R, Coppo E, Orhan IE, Daglia M, Nabavi SF, Izadi M, Abdollahi M, Nabavi SM, Ajami M. Antimicrobial activity of eugenol and essential oils containing eugenol: A mechanistic viewpoint. Crit Rev Microbiol. 2017 Nov;43(6):668-689. doi: 10.1080/1040841X.2017.1295225. Epub 2017 Mar 27. PMID: 28346030.</w:t>
      </w:r>
    </w:p>
    <w:p w14:paraId="7C30B326" w14:textId="567B0419" w:rsidR="009157E4" w:rsidRPr="00A46EC3" w:rsidRDefault="00D75514" w:rsidP="009157E4">
      <w:pPr>
        <w:ind w:left="284" w:hanging="284"/>
        <w:jc w:val="both"/>
        <w:rPr>
          <w:rFonts w:ascii="Arial" w:hAnsi="Arial" w:cs="Arial"/>
          <w:lang w:val="bs-Latn-BA"/>
        </w:rPr>
      </w:pPr>
      <w:r w:rsidRPr="00A46EC3">
        <w:rPr>
          <w:rFonts w:ascii="Arial" w:hAnsi="Arial" w:cs="Arial"/>
          <w:lang w:val="bs-Latn-BA"/>
        </w:rPr>
        <w:t>Matan, N., Rimkeeree, H., Mawson, A.J., Chompreeda, P., Haruthaithanasan, V. &amp; Parker, M.</w:t>
      </w:r>
      <w:r w:rsidR="00FA7AC8" w:rsidRPr="00A46EC3">
        <w:rPr>
          <w:rFonts w:ascii="Arial" w:hAnsi="Arial" w:cs="Arial"/>
          <w:lang w:val="bs-Latn-BA"/>
        </w:rPr>
        <w:t xml:space="preserve"> (</w:t>
      </w:r>
      <w:r w:rsidRPr="00A46EC3">
        <w:rPr>
          <w:rFonts w:ascii="Arial" w:hAnsi="Arial" w:cs="Arial"/>
          <w:lang w:val="bs-Latn-BA"/>
        </w:rPr>
        <w:t>2006</w:t>
      </w:r>
      <w:r w:rsidR="00FA7AC8" w:rsidRPr="00A46EC3">
        <w:rPr>
          <w:rFonts w:ascii="Arial" w:hAnsi="Arial" w:cs="Arial"/>
          <w:lang w:val="bs-Latn-BA"/>
        </w:rPr>
        <w:t>)</w:t>
      </w:r>
      <w:r w:rsidRPr="00A46EC3">
        <w:rPr>
          <w:rFonts w:ascii="Arial" w:hAnsi="Arial" w:cs="Arial"/>
          <w:lang w:val="bs-Latn-BA"/>
        </w:rPr>
        <w:t xml:space="preserve">. Antimicrobial activity of cinnamon and clove oils under modified atmosphere conditions. </w:t>
      </w:r>
      <w:r w:rsidRPr="00A46EC3">
        <w:rPr>
          <w:rFonts w:ascii="Arial" w:hAnsi="Arial" w:cs="Arial"/>
          <w:i/>
          <w:iCs/>
          <w:lang w:val="bs-Latn-BA"/>
        </w:rPr>
        <w:t>International Journal of Food Microbiology</w:t>
      </w:r>
      <w:r w:rsidRPr="00A46EC3">
        <w:rPr>
          <w:rFonts w:ascii="Arial" w:hAnsi="Arial" w:cs="Arial"/>
          <w:lang w:val="bs-Latn-BA"/>
        </w:rPr>
        <w:t>, 107,</w:t>
      </w:r>
      <w:r w:rsidR="00FA7AC8" w:rsidRPr="00A46EC3">
        <w:rPr>
          <w:rFonts w:ascii="Arial" w:hAnsi="Arial" w:cs="Arial"/>
          <w:lang w:val="bs-Latn-BA"/>
        </w:rPr>
        <w:t xml:space="preserve"> </w:t>
      </w:r>
      <w:r w:rsidRPr="00A46EC3">
        <w:rPr>
          <w:rFonts w:ascii="Arial" w:hAnsi="Arial" w:cs="Arial"/>
          <w:lang w:val="bs-Latn-BA"/>
        </w:rPr>
        <w:t>180</w:t>
      </w:r>
      <w:r w:rsidR="00FA7AC8" w:rsidRPr="00A46EC3">
        <w:rPr>
          <w:rFonts w:ascii="Arial" w:hAnsi="Arial" w:cs="Arial"/>
          <w:lang w:val="bs-Latn-BA"/>
        </w:rPr>
        <w:t>-</w:t>
      </w:r>
      <w:r w:rsidRPr="00A46EC3">
        <w:rPr>
          <w:rFonts w:ascii="Arial" w:hAnsi="Arial" w:cs="Arial"/>
          <w:lang w:val="bs-Latn-BA"/>
        </w:rPr>
        <w:t>185.</w:t>
      </w:r>
    </w:p>
    <w:p w14:paraId="1ADF1317" w14:textId="56A12686"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Mostafa, A.A., Elden, S.S., Abdallah, H.M., El-Hawary, S.S. &amp; Abdelwahab, S.I.</w:t>
      </w:r>
      <w:r w:rsidR="00FA7AC8" w:rsidRPr="00A46EC3">
        <w:rPr>
          <w:rFonts w:ascii="Arial" w:hAnsi="Arial" w:cs="Arial"/>
          <w:lang w:val="bs-Latn-BA"/>
        </w:rPr>
        <w:t xml:space="preserve"> (</w:t>
      </w:r>
      <w:r w:rsidRPr="00A46EC3">
        <w:rPr>
          <w:rFonts w:ascii="Arial" w:hAnsi="Arial" w:cs="Arial"/>
          <w:lang w:val="bs-Latn-BA"/>
        </w:rPr>
        <w:t>2023</w:t>
      </w:r>
      <w:r w:rsidR="00FA7AC8" w:rsidRPr="00A46EC3">
        <w:rPr>
          <w:rFonts w:ascii="Arial" w:hAnsi="Arial" w:cs="Arial"/>
          <w:lang w:val="bs-Latn-BA"/>
        </w:rPr>
        <w:t>)</w:t>
      </w:r>
      <w:r w:rsidRPr="00A46EC3">
        <w:rPr>
          <w:rFonts w:ascii="Arial" w:hAnsi="Arial" w:cs="Arial"/>
          <w:lang w:val="bs-Latn-BA"/>
        </w:rPr>
        <w:t xml:space="preserve">. Phytochemical analysis, antiproliferative and antifungal activities of different </w:t>
      </w:r>
      <w:r w:rsidRPr="00A46EC3">
        <w:rPr>
          <w:rFonts w:ascii="Arial" w:hAnsi="Arial" w:cs="Arial"/>
          <w:i/>
          <w:iCs/>
          <w:lang w:val="bs-Latn-BA"/>
        </w:rPr>
        <w:t>Syzygium aromaticum</w:t>
      </w:r>
      <w:r w:rsidRPr="00A46EC3">
        <w:rPr>
          <w:rFonts w:ascii="Arial" w:hAnsi="Arial" w:cs="Arial"/>
          <w:lang w:val="bs-Latn-BA"/>
        </w:rPr>
        <w:t xml:space="preserve"> solvent extracts. </w:t>
      </w:r>
      <w:r w:rsidRPr="00A46EC3">
        <w:rPr>
          <w:rFonts w:ascii="Arial" w:hAnsi="Arial" w:cs="Arial"/>
          <w:i/>
          <w:iCs/>
          <w:lang w:val="bs-Latn-BA"/>
        </w:rPr>
        <w:t>Journal of King Saud University – Science</w:t>
      </w:r>
      <w:r w:rsidRPr="00A46EC3">
        <w:rPr>
          <w:rFonts w:ascii="Arial" w:hAnsi="Arial" w:cs="Arial"/>
          <w:lang w:val="bs-Latn-BA"/>
        </w:rPr>
        <w:t>, 35(1), 102362.</w:t>
      </w:r>
    </w:p>
    <w:p w14:paraId="27041B4A" w14:textId="71926CAD" w:rsidR="005E2732" w:rsidRPr="00A46EC3" w:rsidRDefault="005E2732" w:rsidP="00D75514">
      <w:pPr>
        <w:ind w:left="284" w:hanging="284"/>
        <w:jc w:val="both"/>
        <w:rPr>
          <w:rFonts w:ascii="Arial" w:hAnsi="Arial" w:cs="Arial"/>
          <w:lang w:val="bs-Latn-BA"/>
        </w:rPr>
      </w:pPr>
      <w:r w:rsidRPr="00A46EC3">
        <w:rPr>
          <w:rFonts w:ascii="Arial" w:hAnsi="Arial" w:cs="Arial"/>
          <w:lang w:val="bs-Latn-BA"/>
        </w:rPr>
        <w:t xml:space="preserve">Olajire, AA., Azeez, L. (2011). Total antioxidant activity, phenolic, flavonoid and ascorbic acid contents of Nigerian vegetables. </w:t>
      </w:r>
      <w:r w:rsidRPr="00A46EC3">
        <w:rPr>
          <w:rFonts w:ascii="Arial" w:hAnsi="Arial" w:cs="Arial"/>
          <w:i/>
          <w:iCs/>
          <w:lang w:val="bs-Latn-BA"/>
        </w:rPr>
        <w:t>African Journal of Food Science and Technology</w:t>
      </w:r>
      <w:r w:rsidRPr="00A46EC3">
        <w:rPr>
          <w:rFonts w:ascii="Arial" w:hAnsi="Arial" w:cs="Arial"/>
          <w:lang w:val="bs-Latn-BA"/>
        </w:rPr>
        <w:t xml:space="preserve">, </w:t>
      </w:r>
      <w:r w:rsidRPr="00A46EC3">
        <w:rPr>
          <w:rFonts w:ascii="Arial" w:hAnsi="Arial" w:cs="Arial"/>
          <w:i/>
          <w:iCs/>
          <w:lang w:val="bs-Latn-BA"/>
        </w:rPr>
        <w:t>2</w:t>
      </w:r>
      <w:r w:rsidRPr="00A46EC3">
        <w:rPr>
          <w:rFonts w:ascii="Arial" w:hAnsi="Arial" w:cs="Arial"/>
          <w:lang w:val="bs-Latn-BA"/>
        </w:rPr>
        <w:t>(2), 22-29.</w:t>
      </w:r>
    </w:p>
    <w:p w14:paraId="7AEC22B5" w14:textId="4437AD67"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Pandey, V.K., Srivastava, S., Verma, A., Dash, K.K., Singh, R., Dar, A.H.</w:t>
      </w:r>
      <w:r w:rsidR="00D21997" w:rsidRPr="00A46EC3">
        <w:rPr>
          <w:rFonts w:ascii="Arial" w:hAnsi="Arial" w:cs="Arial"/>
          <w:lang w:val="bs-Latn-BA"/>
        </w:rPr>
        <w:t>,</w:t>
      </w:r>
      <w:r w:rsidRPr="00A46EC3">
        <w:rPr>
          <w:rFonts w:ascii="Arial" w:hAnsi="Arial" w:cs="Arial"/>
          <w:lang w:val="bs-Latn-BA"/>
        </w:rPr>
        <w:t xml:space="preserve"> </w:t>
      </w:r>
      <w:r w:rsidR="00D21997" w:rsidRPr="00A46EC3">
        <w:rPr>
          <w:rFonts w:ascii="Arial" w:hAnsi="Arial" w:cs="Arial"/>
          <w:lang w:val="bs-Latn-BA"/>
        </w:rPr>
        <w:t>et al.</w:t>
      </w:r>
      <w:r w:rsidRPr="00A46EC3">
        <w:rPr>
          <w:rFonts w:ascii="Arial" w:hAnsi="Arial" w:cs="Arial"/>
          <w:lang w:val="bs-Latn-BA"/>
        </w:rPr>
        <w:t xml:space="preserve"> </w:t>
      </w:r>
      <w:r w:rsidR="00D21997" w:rsidRPr="00A46EC3">
        <w:rPr>
          <w:rFonts w:ascii="Arial" w:hAnsi="Arial" w:cs="Arial"/>
          <w:lang w:val="bs-Latn-BA"/>
        </w:rPr>
        <w:t>(</w:t>
      </w:r>
      <w:r w:rsidRPr="00A46EC3">
        <w:rPr>
          <w:rFonts w:ascii="Arial" w:hAnsi="Arial" w:cs="Arial"/>
          <w:lang w:val="bs-Latn-BA"/>
        </w:rPr>
        <w:t>202</w:t>
      </w:r>
      <w:r w:rsidR="00D21997" w:rsidRPr="00A46EC3">
        <w:rPr>
          <w:rFonts w:ascii="Arial" w:hAnsi="Arial" w:cs="Arial"/>
          <w:lang w:val="bs-Latn-BA"/>
        </w:rPr>
        <w:t>4)</w:t>
      </w:r>
      <w:r w:rsidRPr="00A46EC3">
        <w:rPr>
          <w:rFonts w:ascii="Arial" w:hAnsi="Arial" w:cs="Arial"/>
          <w:lang w:val="bs-Latn-BA"/>
        </w:rPr>
        <w:t>. Bioactive properties of clove (</w:t>
      </w:r>
      <w:r w:rsidRPr="00A46EC3">
        <w:rPr>
          <w:rFonts w:ascii="Arial" w:hAnsi="Arial" w:cs="Arial"/>
          <w:i/>
          <w:iCs/>
          <w:lang w:val="bs-Latn-BA"/>
        </w:rPr>
        <w:t>Syzygium aromaticum</w:t>
      </w:r>
      <w:r w:rsidRPr="00A46EC3">
        <w:rPr>
          <w:rFonts w:ascii="Arial" w:hAnsi="Arial" w:cs="Arial"/>
          <w:lang w:val="bs-Latn-BA"/>
        </w:rPr>
        <w:t xml:space="preserve">) essential oil nanoemulsion: A comprehensive review. </w:t>
      </w:r>
      <w:r w:rsidRPr="00A46EC3">
        <w:rPr>
          <w:rFonts w:ascii="Arial" w:hAnsi="Arial" w:cs="Arial"/>
          <w:i/>
          <w:iCs/>
          <w:lang w:val="bs-Latn-BA"/>
        </w:rPr>
        <w:t>Heliyon</w:t>
      </w:r>
      <w:r w:rsidRPr="00A46EC3">
        <w:rPr>
          <w:rFonts w:ascii="Arial" w:hAnsi="Arial" w:cs="Arial"/>
          <w:lang w:val="bs-Latn-BA"/>
        </w:rPr>
        <w:t>, 10(</w:t>
      </w:r>
      <w:r w:rsidR="00D21997" w:rsidRPr="00A46EC3">
        <w:rPr>
          <w:rFonts w:ascii="Arial" w:hAnsi="Arial" w:cs="Arial"/>
          <w:lang w:val="bs-Latn-BA"/>
        </w:rPr>
        <w:t>1</w:t>
      </w:r>
      <w:r w:rsidRPr="00A46EC3">
        <w:rPr>
          <w:rFonts w:ascii="Arial" w:hAnsi="Arial" w:cs="Arial"/>
          <w:lang w:val="bs-Latn-BA"/>
        </w:rPr>
        <w:t>), e22437.</w:t>
      </w:r>
    </w:p>
    <w:p w14:paraId="0D19934B" w14:textId="5C500845"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Pandima Devi, K., Arif Nisha, S., Sakthivel, R., &amp; Karutha Pandian, S. (2010). Eugenol (an essential oil of clove) acts as an antibacterial agent against Salmonella typhi by disrupting the cellular membrane. Journal of Ethnopharmacology, 130(1), 107–115.</w:t>
      </w:r>
    </w:p>
    <w:p w14:paraId="4FFC7349" w14:textId="4708E21D"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Pei, R.S., Zhou, F., Ji, B.P. &amp; Xu, J.</w:t>
      </w:r>
      <w:r w:rsidR="00BD7163" w:rsidRPr="00A46EC3">
        <w:rPr>
          <w:rFonts w:ascii="Arial" w:hAnsi="Arial" w:cs="Arial"/>
          <w:lang w:val="bs-Latn-BA"/>
        </w:rPr>
        <w:t xml:space="preserve"> (</w:t>
      </w:r>
      <w:r w:rsidRPr="00A46EC3">
        <w:rPr>
          <w:rFonts w:ascii="Arial" w:hAnsi="Arial" w:cs="Arial"/>
          <w:lang w:val="bs-Latn-BA"/>
        </w:rPr>
        <w:t>2009</w:t>
      </w:r>
      <w:r w:rsidR="00BD7163" w:rsidRPr="00A46EC3">
        <w:rPr>
          <w:rFonts w:ascii="Arial" w:hAnsi="Arial" w:cs="Arial"/>
          <w:lang w:val="bs-Latn-BA"/>
        </w:rPr>
        <w:t>)</w:t>
      </w:r>
      <w:r w:rsidRPr="00A46EC3">
        <w:rPr>
          <w:rFonts w:ascii="Arial" w:hAnsi="Arial" w:cs="Arial"/>
          <w:lang w:val="bs-Latn-BA"/>
        </w:rPr>
        <w:t xml:space="preserve">. Evaluation of combined antibacterial effects of eugenol, cinnamaldehyde, thymol, and carvacrol against </w:t>
      </w:r>
      <w:r w:rsidRPr="00A46EC3">
        <w:rPr>
          <w:rFonts w:ascii="Arial" w:hAnsi="Arial" w:cs="Arial"/>
          <w:i/>
          <w:iCs/>
          <w:lang w:val="bs-Latn-BA"/>
        </w:rPr>
        <w:t>E. coli</w:t>
      </w:r>
      <w:r w:rsidRPr="00A46EC3">
        <w:rPr>
          <w:rFonts w:ascii="Arial" w:hAnsi="Arial" w:cs="Arial"/>
          <w:lang w:val="bs-Latn-BA"/>
        </w:rPr>
        <w:t xml:space="preserve"> with an improved method. </w:t>
      </w:r>
      <w:r w:rsidRPr="00A46EC3">
        <w:rPr>
          <w:rFonts w:ascii="Arial" w:hAnsi="Arial" w:cs="Arial"/>
          <w:i/>
          <w:iCs/>
          <w:lang w:val="bs-Latn-BA"/>
        </w:rPr>
        <w:t>Journal of Food Science</w:t>
      </w:r>
      <w:r w:rsidRPr="00A46EC3">
        <w:rPr>
          <w:rFonts w:ascii="Arial" w:hAnsi="Arial" w:cs="Arial"/>
          <w:lang w:val="bs-Latn-BA"/>
        </w:rPr>
        <w:t>, 74, M379</w:t>
      </w:r>
      <w:r w:rsidR="00BD7163" w:rsidRPr="00A46EC3">
        <w:rPr>
          <w:rFonts w:ascii="Arial" w:hAnsi="Arial" w:cs="Arial"/>
          <w:lang w:val="bs-Latn-BA"/>
        </w:rPr>
        <w:t>-</w:t>
      </w:r>
      <w:r w:rsidRPr="00A46EC3">
        <w:rPr>
          <w:rFonts w:ascii="Arial" w:hAnsi="Arial" w:cs="Arial"/>
          <w:lang w:val="bs-Latn-BA"/>
        </w:rPr>
        <w:t>M383.</w:t>
      </w:r>
    </w:p>
    <w:p w14:paraId="22DFA956" w14:textId="6A84FFB5"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Sarrami, N., Pemberton, M., Thornhill, M. &amp; Theaker, E.D.</w:t>
      </w:r>
      <w:r w:rsidR="00BD7163" w:rsidRPr="00A46EC3">
        <w:rPr>
          <w:rFonts w:ascii="Arial" w:hAnsi="Arial" w:cs="Arial"/>
          <w:lang w:val="bs-Latn-BA"/>
        </w:rPr>
        <w:t xml:space="preserve"> (</w:t>
      </w:r>
      <w:r w:rsidRPr="00A46EC3">
        <w:rPr>
          <w:rFonts w:ascii="Arial" w:hAnsi="Arial" w:cs="Arial"/>
          <w:lang w:val="bs-Latn-BA"/>
        </w:rPr>
        <w:t>2002</w:t>
      </w:r>
      <w:r w:rsidR="00BD7163" w:rsidRPr="00A46EC3">
        <w:rPr>
          <w:rFonts w:ascii="Arial" w:hAnsi="Arial" w:cs="Arial"/>
          <w:lang w:val="bs-Latn-BA"/>
        </w:rPr>
        <w:t>)</w:t>
      </w:r>
      <w:r w:rsidRPr="00A46EC3">
        <w:rPr>
          <w:rFonts w:ascii="Arial" w:hAnsi="Arial" w:cs="Arial"/>
          <w:lang w:val="bs-Latn-BA"/>
        </w:rPr>
        <w:t xml:space="preserve">. Adverse reactions associated with the use of eugenol in dentistry. </w:t>
      </w:r>
      <w:r w:rsidRPr="00A46EC3">
        <w:rPr>
          <w:rFonts w:ascii="Arial" w:hAnsi="Arial" w:cs="Arial"/>
          <w:i/>
          <w:iCs/>
          <w:lang w:val="bs-Latn-BA"/>
        </w:rPr>
        <w:t>British Dental Journal</w:t>
      </w:r>
      <w:r w:rsidRPr="00A46EC3">
        <w:rPr>
          <w:rFonts w:ascii="Arial" w:hAnsi="Arial" w:cs="Arial"/>
          <w:lang w:val="bs-Latn-BA"/>
        </w:rPr>
        <w:t>, 193, 253.</w:t>
      </w:r>
    </w:p>
    <w:p w14:paraId="79701EB5" w14:textId="3F625EA3"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Shehu, I., Sanusi, S.B. i Saka, H.K.</w:t>
      </w:r>
      <w:r w:rsidR="003A0C74" w:rsidRPr="00A46EC3">
        <w:rPr>
          <w:rFonts w:ascii="Arial" w:hAnsi="Arial" w:cs="Arial"/>
          <w:lang w:val="bs-Latn-BA"/>
        </w:rPr>
        <w:t xml:space="preserve"> (</w:t>
      </w:r>
      <w:r w:rsidRPr="00A46EC3">
        <w:rPr>
          <w:rFonts w:ascii="Arial" w:hAnsi="Arial" w:cs="Arial"/>
          <w:lang w:val="bs-Latn-BA"/>
        </w:rPr>
        <w:t>2023</w:t>
      </w:r>
      <w:r w:rsidR="003A0C74" w:rsidRPr="00A46EC3">
        <w:rPr>
          <w:rFonts w:ascii="Arial" w:hAnsi="Arial" w:cs="Arial"/>
          <w:lang w:val="bs-Latn-BA"/>
        </w:rPr>
        <w:t>)</w:t>
      </w:r>
      <w:r w:rsidRPr="00A46EC3">
        <w:rPr>
          <w:rFonts w:ascii="Arial" w:hAnsi="Arial" w:cs="Arial"/>
          <w:lang w:val="bs-Latn-BA"/>
        </w:rPr>
        <w:t>. Study on antibacterial activity of clove (</w:t>
      </w:r>
      <w:r w:rsidRPr="00A46EC3">
        <w:rPr>
          <w:rFonts w:ascii="Arial" w:hAnsi="Arial" w:cs="Arial"/>
          <w:i/>
          <w:iCs/>
          <w:lang w:val="bs-Latn-BA"/>
        </w:rPr>
        <w:t>Syzygium aromaticum</w:t>
      </w:r>
      <w:r w:rsidRPr="00A46EC3">
        <w:rPr>
          <w:rFonts w:ascii="Arial" w:hAnsi="Arial" w:cs="Arial"/>
          <w:lang w:val="bs-Latn-BA"/>
        </w:rPr>
        <w:t xml:space="preserve">) crude extract against </w:t>
      </w:r>
      <w:r w:rsidRPr="00A46EC3">
        <w:rPr>
          <w:rFonts w:ascii="Arial" w:hAnsi="Arial" w:cs="Arial"/>
          <w:i/>
          <w:iCs/>
          <w:lang w:val="bs-Latn-BA"/>
        </w:rPr>
        <w:t>Staphylococcus aureus</w:t>
      </w:r>
      <w:r w:rsidRPr="00A46EC3">
        <w:rPr>
          <w:rFonts w:ascii="Arial" w:hAnsi="Arial" w:cs="Arial"/>
          <w:lang w:val="bs-Latn-BA"/>
        </w:rPr>
        <w:t xml:space="preserve">, </w:t>
      </w:r>
      <w:r w:rsidRPr="00A46EC3">
        <w:rPr>
          <w:rFonts w:ascii="Arial" w:hAnsi="Arial" w:cs="Arial"/>
          <w:i/>
          <w:iCs/>
          <w:lang w:val="bs-Latn-BA"/>
        </w:rPr>
        <w:t>Escherichia coli</w:t>
      </w:r>
      <w:r w:rsidRPr="00A46EC3">
        <w:rPr>
          <w:rFonts w:ascii="Arial" w:hAnsi="Arial" w:cs="Arial"/>
          <w:lang w:val="bs-Latn-BA"/>
        </w:rPr>
        <w:t xml:space="preserve">, </w:t>
      </w:r>
      <w:r w:rsidRPr="00A46EC3">
        <w:rPr>
          <w:rFonts w:ascii="Arial" w:hAnsi="Arial" w:cs="Arial"/>
          <w:i/>
          <w:iCs/>
          <w:lang w:val="bs-Latn-BA"/>
        </w:rPr>
        <w:t>Salmonella</w:t>
      </w:r>
      <w:r w:rsidRPr="00A46EC3">
        <w:rPr>
          <w:rFonts w:ascii="Arial" w:hAnsi="Arial" w:cs="Arial"/>
          <w:lang w:val="bs-Latn-BA"/>
        </w:rPr>
        <w:t xml:space="preserve"> sp. and </w:t>
      </w:r>
      <w:r w:rsidRPr="00A46EC3">
        <w:rPr>
          <w:rFonts w:ascii="Arial" w:hAnsi="Arial" w:cs="Arial"/>
          <w:i/>
          <w:iCs/>
          <w:lang w:val="bs-Latn-BA"/>
        </w:rPr>
        <w:t>Pseudomonas</w:t>
      </w:r>
      <w:r w:rsidRPr="00A46EC3">
        <w:rPr>
          <w:rFonts w:ascii="Arial" w:hAnsi="Arial" w:cs="Arial"/>
          <w:lang w:val="bs-Latn-BA"/>
        </w:rPr>
        <w:t xml:space="preserve"> sp. </w:t>
      </w:r>
      <w:r w:rsidRPr="00A46EC3">
        <w:rPr>
          <w:rFonts w:ascii="Arial" w:hAnsi="Arial" w:cs="Arial"/>
          <w:i/>
          <w:iCs/>
          <w:lang w:val="bs-Latn-BA"/>
        </w:rPr>
        <w:t>Science World Journal</w:t>
      </w:r>
      <w:r w:rsidRPr="00A46EC3">
        <w:rPr>
          <w:rFonts w:ascii="Arial" w:hAnsi="Arial" w:cs="Arial"/>
          <w:lang w:val="bs-Latn-BA"/>
        </w:rPr>
        <w:t>, 18(1)</w:t>
      </w:r>
      <w:r w:rsidR="003A0C74" w:rsidRPr="00A46EC3">
        <w:rPr>
          <w:rFonts w:ascii="Arial" w:hAnsi="Arial" w:cs="Arial"/>
          <w:lang w:val="bs-Latn-BA"/>
        </w:rPr>
        <w:t>, 97-100.</w:t>
      </w:r>
    </w:p>
    <w:p w14:paraId="6FAF782C" w14:textId="15C9A3A1" w:rsidR="005E0CDE" w:rsidRPr="00A46EC3" w:rsidRDefault="005E0CDE" w:rsidP="00D75514">
      <w:pPr>
        <w:ind w:left="284" w:hanging="284"/>
        <w:jc w:val="both"/>
        <w:rPr>
          <w:rFonts w:ascii="Arial" w:hAnsi="Arial" w:cs="Arial"/>
          <w:lang w:val="bs-Latn-BA"/>
        </w:rPr>
      </w:pPr>
      <w:r w:rsidRPr="00A46EC3">
        <w:rPr>
          <w:rFonts w:ascii="Arial" w:hAnsi="Arial" w:cs="Arial"/>
          <w:lang w:val="bs-Latn-BA"/>
        </w:rPr>
        <w:t xml:space="preserve">Singleton, VL., Orthofer, R., Lamuela-Raventós, RM. (1999). Analysis of total phenols and other oxidation substrates and antioxidants by means of Folin-Ciocalteu reagent. </w:t>
      </w:r>
      <w:r w:rsidRPr="00A46EC3">
        <w:rPr>
          <w:rFonts w:ascii="Arial" w:hAnsi="Arial" w:cs="Arial"/>
          <w:i/>
          <w:iCs/>
          <w:lang w:val="bs-Latn-BA"/>
        </w:rPr>
        <w:t>Methods in Enzymology</w:t>
      </w:r>
      <w:r w:rsidRPr="00A46EC3">
        <w:rPr>
          <w:rFonts w:ascii="Arial" w:hAnsi="Arial" w:cs="Arial"/>
          <w:lang w:val="bs-Latn-BA"/>
        </w:rPr>
        <w:t xml:space="preserve">, </w:t>
      </w:r>
      <w:r w:rsidRPr="00A46EC3">
        <w:rPr>
          <w:rFonts w:ascii="Arial" w:hAnsi="Arial" w:cs="Arial"/>
          <w:i/>
          <w:iCs/>
          <w:lang w:val="bs-Latn-BA"/>
        </w:rPr>
        <w:t>299</w:t>
      </w:r>
      <w:r w:rsidRPr="00A46EC3">
        <w:rPr>
          <w:rFonts w:ascii="Arial" w:hAnsi="Arial" w:cs="Arial"/>
          <w:lang w:val="bs-Latn-BA"/>
        </w:rPr>
        <w:t>, 152-178.</w:t>
      </w:r>
    </w:p>
    <w:p w14:paraId="5D56F71E" w14:textId="1B1AD6CF"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Ulanowska, M. &amp; Olas, B.</w:t>
      </w:r>
      <w:r w:rsidR="003A0C74" w:rsidRPr="00A46EC3">
        <w:rPr>
          <w:rFonts w:ascii="Arial" w:hAnsi="Arial" w:cs="Arial"/>
          <w:lang w:val="bs-Latn-BA"/>
        </w:rPr>
        <w:t xml:space="preserve"> (</w:t>
      </w:r>
      <w:r w:rsidRPr="00A46EC3">
        <w:rPr>
          <w:rFonts w:ascii="Arial" w:hAnsi="Arial" w:cs="Arial"/>
          <w:lang w:val="bs-Latn-BA"/>
        </w:rPr>
        <w:t>2021</w:t>
      </w:r>
      <w:r w:rsidR="003A0C74" w:rsidRPr="00A46EC3">
        <w:rPr>
          <w:rFonts w:ascii="Arial" w:hAnsi="Arial" w:cs="Arial"/>
          <w:lang w:val="bs-Latn-BA"/>
        </w:rPr>
        <w:t>)</w:t>
      </w:r>
      <w:r w:rsidRPr="00A46EC3">
        <w:rPr>
          <w:rFonts w:ascii="Arial" w:hAnsi="Arial" w:cs="Arial"/>
          <w:lang w:val="bs-Latn-BA"/>
        </w:rPr>
        <w:t>. Biological properties and prospects for the application of eugenol – </w:t>
      </w:r>
      <w:r w:rsidR="003A0C74" w:rsidRPr="00A46EC3">
        <w:rPr>
          <w:rFonts w:ascii="Arial" w:hAnsi="Arial" w:cs="Arial"/>
          <w:lang w:val="bs-Latn-BA"/>
        </w:rPr>
        <w:t>A</w:t>
      </w:r>
      <w:r w:rsidRPr="00A46EC3">
        <w:rPr>
          <w:rFonts w:ascii="Arial" w:hAnsi="Arial" w:cs="Arial"/>
          <w:lang w:val="bs-Latn-BA"/>
        </w:rPr>
        <w:t xml:space="preserve"> Review. </w:t>
      </w:r>
      <w:r w:rsidRPr="00A46EC3">
        <w:rPr>
          <w:rFonts w:ascii="Arial" w:hAnsi="Arial" w:cs="Arial"/>
          <w:i/>
          <w:iCs/>
          <w:lang w:val="bs-Latn-BA"/>
        </w:rPr>
        <w:t>International Journal of Molecular Sciences</w:t>
      </w:r>
      <w:r w:rsidRPr="00A46EC3">
        <w:rPr>
          <w:rFonts w:ascii="Arial" w:hAnsi="Arial" w:cs="Arial"/>
          <w:lang w:val="bs-Latn-BA"/>
        </w:rPr>
        <w:t>, 22(7), 3671.</w:t>
      </w:r>
    </w:p>
    <w:p w14:paraId="6C53335B" w14:textId="7B81F627"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t>Uwineza, P. A. &amp; Waśkiewicz, A.</w:t>
      </w:r>
      <w:r w:rsidR="003A0C74" w:rsidRPr="00A46EC3">
        <w:rPr>
          <w:rFonts w:ascii="Arial" w:hAnsi="Arial" w:cs="Arial"/>
          <w:lang w:val="bs-Latn-BA"/>
        </w:rPr>
        <w:t xml:space="preserve"> (</w:t>
      </w:r>
      <w:r w:rsidRPr="00A46EC3">
        <w:rPr>
          <w:rFonts w:ascii="Arial" w:hAnsi="Arial" w:cs="Arial"/>
          <w:lang w:val="bs-Latn-BA"/>
        </w:rPr>
        <w:t>2020</w:t>
      </w:r>
      <w:r w:rsidR="003A0C74" w:rsidRPr="00A46EC3">
        <w:rPr>
          <w:rFonts w:ascii="Arial" w:hAnsi="Arial" w:cs="Arial"/>
          <w:lang w:val="bs-Latn-BA"/>
        </w:rPr>
        <w:t>)</w:t>
      </w:r>
      <w:r w:rsidRPr="00A46EC3">
        <w:rPr>
          <w:rFonts w:ascii="Arial" w:hAnsi="Arial" w:cs="Arial"/>
          <w:lang w:val="bs-Latn-BA"/>
        </w:rPr>
        <w:t xml:space="preserve">. Recent Advances in Supercritical Fluid Extraction of Natural Bioactive Compounds from Natural Plant Materials. </w:t>
      </w:r>
      <w:r w:rsidRPr="00A46EC3">
        <w:rPr>
          <w:rFonts w:ascii="Arial" w:hAnsi="Arial" w:cs="Arial"/>
          <w:i/>
          <w:iCs/>
          <w:lang w:val="bs-Latn-BA"/>
        </w:rPr>
        <w:t>Molecules</w:t>
      </w:r>
      <w:r w:rsidRPr="00A46EC3">
        <w:rPr>
          <w:rFonts w:ascii="Arial" w:hAnsi="Arial" w:cs="Arial"/>
          <w:lang w:val="bs-Latn-BA"/>
        </w:rPr>
        <w:t>, 25(17), 3847.</w:t>
      </w:r>
    </w:p>
    <w:p w14:paraId="4EE614C2" w14:textId="65FEF83D" w:rsidR="00D75514" w:rsidRPr="00A46EC3" w:rsidRDefault="00D75514" w:rsidP="00D75514">
      <w:pPr>
        <w:ind w:left="284" w:hanging="284"/>
        <w:jc w:val="both"/>
        <w:rPr>
          <w:rFonts w:ascii="Arial" w:hAnsi="Arial" w:cs="Arial"/>
          <w:lang w:val="bs-Latn-BA"/>
        </w:rPr>
      </w:pPr>
      <w:r w:rsidRPr="00A46EC3">
        <w:rPr>
          <w:rFonts w:ascii="Arial" w:hAnsi="Arial" w:cs="Arial"/>
          <w:lang w:val="bs-Latn-BA"/>
        </w:rPr>
        <w:lastRenderedPageBreak/>
        <w:t>Wadi, M.A., Alwan, M.A., Abbas, M., Fidhe, M.A., Tauma, J.A. &amp; Mlaghee, S.M.</w:t>
      </w:r>
      <w:r w:rsidR="003A0C74" w:rsidRPr="00A46EC3">
        <w:rPr>
          <w:rFonts w:ascii="Arial" w:hAnsi="Arial" w:cs="Arial"/>
          <w:lang w:val="bs-Latn-BA"/>
        </w:rPr>
        <w:t xml:space="preserve"> (</w:t>
      </w:r>
      <w:r w:rsidRPr="00A46EC3">
        <w:rPr>
          <w:rFonts w:ascii="Arial" w:hAnsi="Arial" w:cs="Arial"/>
          <w:lang w:val="bs-Latn-BA"/>
        </w:rPr>
        <w:t>2025</w:t>
      </w:r>
      <w:r w:rsidR="003A0C74" w:rsidRPr="00A46EC3">
        <w:rPr>
          <w:rFonts w:ascii="Arial" w:hAnsi="Arial" w:cs="Arial"/>
          <w:lang w:val="bs-Latn-BA"/>
        </w:rPr>
        <w:t>)</w:t>
      </w:r>
      <w:r w:rsidRPr="00A46EC3">
        <w:rPr>
          <w:rFonts w:ascii="Arial" w:hAnsi="Arial" w:cs="Arial"/>
          <w:lang w:val="bs-Latn-BA"/>
        </w:rPr>
        <w:t>. Evaluation of antibacterial activity and chemical analysis of clove aqueous extract (</w:t>
      </w:r>
      <w:r w:rsidRPr="00A46EC3">
        <w:rPr>
          <w:rFonts w:ascii="Arial" w:hAnsi="Arial" w:cs="Arial"/>
          <w:i/>
          <w:iCs/>
          <w:lang w:val="bs-Latn-BA"/>
        </w:rPr>
        <w:t>Syzygium aromaticum</w:t>
      </w:r>
      <w:r w:rsidRPr="00A46EC3">
        <w:rPr>
          <w:rFonts w:ascii="Arial" w:hAnsi="Arial" w:cs="Arial"/>
          <w:lang w:val="bs-Latn-BA"/>
        </w:rPr>
        <w:t xml:space="preserve">). </w:t>
      </w:r>
      <w:r w:rsidRPr="00A46EC3">
        <w:rPr>
          <w:rFonts w:ascii="Arial" w:hAnsi="Arial" w:cs="Arial"/>
          <w:i/>
          <w:iCs/>
          <w:lang w:val="bs-Latn-BA"/>
        </w:rPr>
        <w:t>BMC Complementary Medicine and Therapies</w:t>
      </w:r>
      <w:r w:rsidRPr="00A46EC3">
        <w:rPr>
          <w:rFonts w:ascii="Arial" w:hAnsi="Arial" w:cs="Arial"/>
          <w:lang w:val="bs-Latn-BA"/>
        </w:rPr>
        <w:t>, 25</w:t>
      </w:r>
      <w:r w:rsidR="003A0C74" w:rsidRPr="00A46EC3">
        <w:rPr>
          <w:rFonts w:ascii="Arial" w:hAnsi="Arial" w:cs="Arial"/>
          <w:lang w:val="bs-Latn-BA"/>
        </w:rPr>
        <w:t xml:space="preserve">(1), </w:t>
      </w:r>
      <w:r w:rsidRPr="00A46EC3">
        <w:rPr>
          <w:rFonts w:ascii="Arial" w:hAnsi="Arial" w:cs="Arial"/>
          <w:lang w:val="bs-Latn-BA"/>
        </w:rPr>
        <w:t>146</w:t>
      </w:r>
      <w:r w:rsidR="003A0C74" w:rsidRPr="00A46EC3">
        <w:rPr>
          <w:rFonts w:ascii="Arial" w:hAnsi="Arial" w:cs="Arial"/>
          <w:lang w:val="bs-Latn-BA"/>
        </w:rPr>
        <w:t>.</w:t>
      </w:r>
    </w:p>
    <w:p w14:paraId="36DD3D0D" w14:textId="14631CF9" w:rsidR="00A050E5" w:rsidRPr="00A46EC3" w:rsidRDefault="00A050E5" w:rsidP="00D75514">
      <w:pPr>
        <w:ind w:left="284" w:hanging="284"/>
        <w:jc w:val="both"/>
        <w:rPr>
          <w:rFonts w:ascii="Arial" w:hAnsi="Arial" w:cs="Arial"/>
          <w:lang w:val="bs-Latn-BA"/>
        </w:rPr>
      </w:pPr>
      <w:r w:rsidRPr="00A46EC3">
        <w:rPr>
          <w:rFonts w:ascii="Arial" w:hAnsi="Arial" w:cs="Arial"/>
          <w:lang w:val="bs-Latn-BA"/>
        </w:rPr>
        <w:t>Xu, J.-G., Liu, T., Hu, Q.-P., &amp; Cao, X.-M. (2016). Chemical Composition, Antibacterial Properties and Mechanism of Action of Essential Oil from Clove Buds against Staphylococcus aureus. Molecules, 21(9), 1194.</w:t>
      </w:r>
    </w:p>
    <w:p w14:paraId="2A796A62" w14:textId="1D3DBE10" w:rsidR="007871D5" w:rsidRPr="00A46EC3" w:rsidRDefault="00D75514" w:rsidP="00A050E5">
      <w:pPr>
        <w:ind w:left="284" w:hanging="284"/>
        <w:jc w:val="both"/>
        <w:rPr>
          <w:rFonts w:ascii="Arial" w:hAnsi="Arial" w:cs="Arial"/>
          <w:lang w:val="bs-Latn-BA"/>
        </w:rPr>
      </w:pPr>
      <w:r w:rsidRPr="00A46EC3">
        <w:rPr>
          <w:rFonts w:ascii="Arial" w:hAnsi="Arial" w:cs="Arial"/>
          <w:lang w:val="bs-Latn-BA"/>
        </w:rPr>
        <w:t>Yassin, M.T., Mostafa, A.A.-F. &amp; Al-Askar, A.A.</w:t>
      </w:r>
      <w:r w:rsidR="003A0C74" w:rsidRPr="00A46EC3">
        <w:rPr>
          <w:rFonts w:ascii="Arial" w:hAnsi="Arial" w:cs="Arial"/>
          <w:lang w:val="bs-Latn-BA"/>
        </w:rPr>
        <w:t xml:space="preserve"> (</w:t>
      </w:r>
      <w:r w:rsidRPr="00A46EC3">
        <w:rPr>
          <w:rFonts w:ascii="Arial" w:hAnsi="Arial" w:cs="Arial"/>
          <w:lang w:val="bs-Latn-BA"/>
        </w:rPr>
        <w:t>2020</w:t>
      </w:r>
      <w:r w:rsidR="003A0C74" w:rsidRPr="00A46EC3">
        <w:rPr>
          <w:rFonts w:ascii="Arial" w:hAnsi="Arial" w:cs="Arial"/>
          <w:lang w:val="bs-Latn-BA"/>
        </w:rPr>
        <w:t>)</w:t>
      </w:r>
      <w:r w:rsidRPr="00A46EC3">
        <w:rPr>
          <w:rFonts w:ascii="Arial" w:hAnsi="Arial" w:cs="Arial"/>
          <w:lang w:val="bs-Latn-BA"/>
        </w:rPr>
        <w:t xml:space="preserve">. </w:t>
      </w:r>
      <w:r w:rsidRPr="00A46EC3">
        <w:rPr>
          <w:rFonts w:ascii="Arial" w:hAnsi="Arial" w:cs="Arial"/>
          <w:i/>
          <w:iCs/>
          <w:lang w:val="bs-Latn-BA"/>
        </w:rPr>
        <w:t>In vitro</w:t>
      </w:r>
      <w:r w:rsidRPr="00A46EC3">
        <w:rPr>
          <w:rFonts w:ascii="Arial" w:hAnsi="Arial" w:cs="Arial"/>
          <w:lang w:val="bs-Latn-BA"/>
        </w:rPr>
        <w:t xml:space="preserve"> anticandidal potency of </w:t>
      </w:r>
      <w:r w:rsidRPr="00A46EC3">
        <w:rPr>
          <w:rFonts w:ascii="Arial" w:hAnsi="Arial" w:cs="Arial"/>
          <w:i/>
          <w:iCs/>
          <w:lang w:val="bs-Latn-BA"/>
        </w:rPr>
        <w:t>Syzygium aromaticum</w:t>
      </w:r>
      <w:r w:rsidRPr="00A46EC3">
        <w:rPr>
          <w:rFonts w:ascii="Arial" w:hAnsi="Arial" w:cs="Arial"/>
          <w:lang w:val="bs-Latn-BA"/>
        </w:rPr>
        <w:t xml:space="preserve"> (clove) extracts against vaginal candidiasis. </w:t>
      </w:r>
      <w:r w:rsidRPr="00A46EC3">
        <w:rPr>
          <w:rFonts w:ascii="Arial" w:hAnsi="Arial" w:cs="Arial"/>
          <w:i/>
          <w:iCs/>
          <w:lang w:val="bs-Latn-BA"/>
        </w:rPr>
        <w:t>BMC Complementary Medicine and Therapies</w:t>
      </w:r>
      <w:r w:rsidRPr="00A46EC3">
        <w:rPr>
          <w:rFonts w:ascii="Arial" w:hAnsi="Arial" w:cs="Arial"/>
          <w:lang w:val="bs-Latn-BA"/>
        </w:rPr>
        <w:t>, 20(1), 25.</w:t>
      </w:r>
    </w:p>
    <w:p w14:paraId="407B81AE" w14:textId="6BD5C245" w:rsidR="009157E4" w:rsidRPr="00A46EC3" w:rsidRDefault="009157E4" w:rsidP="00A050E5">
      <w:pPr>
        <w:ind w:left="284" w:hanging="284"/>
        <w:jc w:val="both"/>
        <w:rPr>
          <w:rFonts w:ascii="Arial" w:hAnsi="Arial" w:cs="Arial"/>
          <w:lang w:val="bs-Latn-BA"/>
        </w:rPr>
      </w:pPr>
      <w:r w:rsidRPr="00A46EC3">
        <w:rPr>
          <w:rFonts w:ascii="Arial" w:hAnsi="Arial" w:cs="Arial"/>
          <w:lang w:val="bs-Latn-BA"/>
        </w:rPr>
        <w:t>Yassin, M. T., Al-Askar, A. A., Mostafa, A. A.-F., &amp; El-Sheikh, M. A. (2020). Bioactivity of Syzygium aromaticum (L.) Merr. &amp; L.M. Perry extracts as potential antimicrobial and anticancer agents. Journal of King Saud University - Science, 32(8), 3273–3278.</w:t>
      </w:r>
    </w:p>
    <w:p w14:paraId="21A94794" w14:textId="4094E827" w:rsidR="00A050E5" w:rsidRPr="00AF510B" w:rsidRDefault="00A050E5" w:rsidP="007871D5">
      <w:pPr>
        <w:ind w:left="284" w:hanging="284"/>
        <w:jc w:val="both"/>
        <w:rPr>
          <w:rFonts w:ascii="Arial" w:hAnsi="Arial" w:cs="Arial"/>
          <w:lang w:val="bs-Latn-BA"/>
        </w:rPr>
        <w:sectPr w:rsidR="00A050E5" w:rsidRPr="00AF510B" w:rsidSect="001A4BF6">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A46EC3">
        <w:rPr>
          <w:rFonts w:ascii="Arial" w:hAnsi="Arial" w:cs="Arial"/>
          <w:lang w:val="bs-Latn-BA"/>
        </w:rPr>
        <w:t>Zhang, Q. W., Lin, L. G., &amp; Ye, W. C. (2018). Techniques for extraction and isolation of natural products: a comprehensive review. Chinese medicine, 13, 20.</w:t>
      </w:r>
    </w:p>
    <w:p w14:paraId="762BBC0C" w14:textId="77777777" w:rsidR="00B01FCD" w:rsidRPr="00AF510B" w:rsidRDefault="00B01FCD" w:rsidP="00441B6F">
      <w:pPr>
        <w:pStyle w:val="Appendix"/>
        <w:spacing w:after="0"/>
        <w:jc w:val="both"/>
        <w:rPr>
          <w:rFonts w:ascii="Arial" w:hAnsi="Arial" w:cs="Arial"/>
          <w:b w:val="0"/>
        </w:rPr>
      </w:pPr>
    </w:p>
    <w:sectPr w:rsidR="00B01FCD" w:rsidRPr="00AF510B" w:rsidSect="001A4BF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C3074" w14:textId="77777777" w:rsidR="0005566C" w:rsidRDefault="0005566C" w:rsidP="00C37E61">
      <w:r>
        <w:separator/>
      </w:r>
    </w:p>
  </w:endnote>
  <w:endnote w:type="continuationSeparator" w:id="0">
    <w:p w14:paraId="780EA394" w14:textId="77777777" w:rsidR="0005566C" w:rsidRDefault="000556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1F48" w14:textId="77777777" w:rsidR="00DF71C7" w:rsidRDefault="00DF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2227" w14:textId="77777777" w:rsidR="00DF71C7" w:rsidRDefault="00DF7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D30D" w14:textId="0E257371" w:rsidR="00754C9A" w:rsidRPr="00DF71C7" w:rsidRDefault="00754C9A" w:rsidP="00DF71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1C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BE323" w14:textId="77777777" w:rsidR="0005566C" w:rsidRDefault="0005566C" w:rsidP="00C37E61">
      <w:r>
        <w:separator/>
      </w:r>
    </w:p>
  </w:footnote>
  <w:footnote w:type="continuationSeparator" w:id="0">
    <w:p w14:paraId="2A1291F3" w14:textId="77777777" w:rsidR="0005566C" w:rsidRDefault="000556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2129" w14:textId="4295CACB" w:rsidR="00DF71C7" w:rsidRDefault="0005566C">
    <w:pPr>
      <w:pStyle w:val="Header"/>
    </w:pPr>
    <w:r>
      <w:rPr>
        <w:noProof/>
      </w:rPr>
      <w:pict w14:anchorId="4352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662D" w14:textId="42FD676B" w:rsidR="00DF71C7" w:rsidRDefault="0005566C">
    <w:pPr>
      <w:pStyle w:val="Header"/>
    </w:pPr>
    <w:r>
      <w:rPr>
        <w:noProof/>
      </w:rPr>
      <w:pict w14:anchorId="55915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F133" w14:textId="61B775C0" w:rsidR="00296529" w:rsidRPr="00296529" w:rsidRDefault="0005566C" w:rsidP="00296529">
    <w:pPr>
      <w:ind w:left="2160"/>
      <w:jc w:val="center"/>
      <w:rPr>
        <w:rFonts w:ascii="Times New Roman" w:eastAsia="Calibri" w:hAnsi="Times New Roman"/>
        <w:i/>
        <w:sz w:val="18"/>
        <w:szCs w:val="22"/>
      </w:rPr>
    </w:pPr>
    <w:r>
      <w:rPr>
        <w:noProof/>
      </w:rPr>
      <w:pict w14:anchorId="50E7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03E0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CB90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79B0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6600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3408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43275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B2483" w14:textId="01F657C2" w:rsidR="00DF71C7" w:rsidRDefault="0005566C">
    <w:pPr>
      <w:pStyle w:val="Header"/>
    </w:pPr>
    <w:r>
      <w:rPr>
        <w:noProof/>
      </w:rPr>
      <w:pict w14:anchorId="151C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BD99" w14:textId="236BF6D6" w:rsidR="00DF71C7" w:rsidRDefault="0005566C">
    <w:pPr>
      <w:pStyle w:val="Header"/>
    </w:pPr>
    <w:r>
      <w:rPr>
        <w:noProof/>
      </w:rPr>
      <w:pict w14:anchorId="23D7A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66A9" w14:textId="342CA3F9" w:rsidR="00DF71C7" w:rsidRDefault="0005566C">
    <w:pPr>
      <w:pStyle w:val="Header"/>
    </w:pPr>
    <w:r>
      <w:rPr>
        <w:noProof/>
      </w:rPr>
      <w:pict w14:anchorId="458FA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294CBA"/>
    <w:multiLevelType w:val="hybridMultilevel"/>
    <w:tmpl w:val="814CB28C"/>
    <w:lvl w:ilvl="0" w:tplc="A5DE9F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78E"/>
    <w:rsid w:val="00030174"/>
    <w:rsid w:val="0004579C"/>
    <w:rsid w:val="0005566C"/>
    <w:rsid w:val="000605A6"/>
    <w:rsid w:val="00065A49"/>
    <w:rsid w:val="00090724"/>
    <w:rsid w:val="000A47FA"/>
    <w:rsid w:val="000A65D3"/>
    <w:rsid w:val="000B0235"/>
    <w:rsid w:val="000B1D43"/>
    <w:rsid w:val="000B1E33"/>
    <w:rsid w:val="000C086A"/>
    <w:rsid w:val="000D689F"/>
    <w:rsid w:val="000E7B7B"/>
    <w:rsid w:val="000E7D62"/>
    <w:rsid w:val="00103357"/>
    <w:rsid w:val="00114556"/>
    <w:rsid w:val="00123C9F"/>
    <w:rsid w:val="00126190"/>
    <w:rsid w:val="00130F17"/>
    <w:rsid w:val="001320BF"/>
    <w:rsid w:val="00142083"/>
    <w:rsid w:val="00162AD2"/>
    <w:rsid w:val="00163BC4"/>
    <w:rsid w:val="00191062"/>
    <w:rsid w:val="00192B72"/>
    <w:rsid w:val="001A29D8"/>
    <w:rsid w:val="001A4BF6"/>
    <w:rsid w:val="001A5CAA"/>
    <w:rsid w:val="001B0427"/>
    <w:rsid w:val="001D3A51"/>
    <w:rsid w:val="001E10D2"/>
    <w:rsid w:val="001E25B4"/>
    <w:rsid w:val="001E44FE"/>
    <w:rsid w:val="00200595"/>
    <w:rsid w:val="00204835"/>
    <w:rsid w:val="00230BF2"/>
    <w:rsid w:val="00231920"/>
    <w:rsid w:val="0023195C"/>
    <w:rsid w:val="0024282C"/>
    <w:rsid w:val="002460DC"/>
    <w:rsid w:val="00250985"/>
    <w:rsid w:val="002556F6"/>
    <w:rsid w:val="00275D16"/>
    <w:rsid w:val="00283105"/>
    <w:rsid w:val="00284C4C"/>
    <w:rsid w:val="00287E68"/>
    <w:rsid w:val="00296529"/>
    <w:rsid w:val="002B27FB"/>
    <w:rsid w:val="002B685A"/>
    <w:rsid w:val="002C57D2"/>
    <w:rsid w:val="002D1112"/>
    <w:rsid w:val="002E0D56"/>
    <w:rsid w:val="00315186"/>
    <w:rsid w:val="0033343E"/>
    <w:rsid w:val="003378D3"/>
    <w:rsid w:val="003512C2"/>
    <w:rsid w:val="00371FB6"/>
    <w:rsid w:val="003763C1"/>
    <w:rsid w:val="00376BBE"/>
    <w:rsid w:val="0039224F"/>
    <w:rsid w:val="003A0C74"/>
    <w:rsid w:val="003A43A4"/>
    <w:rsid w:val="003A7E18"/>
    <w:rsid w:val="003C4C86"/>
    <w:rsid w:val="003C6258"/>
    <w:rsid w:val="003D2202"/>
    <w:rsid w:val="003E2904"/>
    <w:rsid w:val="003E78C7"/>
    <w:rsid w:val="00401927"/>
    <w:rsid w:val="004036C5"/>
    <w:rsid w:val="0040493A"/>
    <w:rsid w:val="0041027F"/>
    <w:rsid w:val="00412475"/>
    <w:rsid w:val="00413C01"/>
    <w:rsid w:val="0042068C"/>
    <w:rsid w:val="00423789"/>
    <w:rsid w:val="0043581F"/>
    <w:rsid w:val="0043642B"/>
    <w:rsid w:val="00440F43"/>
    <w:rsid w:val="00441B6F"/>
    <w:rsid w:val="004456B6"/>
    <w:rsid w:val="00446221"/>
    <w:rsid w:val="00450E62"/>
    <w:rsid w:val="004539DB"/>
    <w:rsid w:val="00455240"/>
    <w:rsid w:val="00470AE9"/>
    <w:rsid w:val="00471A80"/>
    <w:rsid w:val="00482085"/>
    <w:rsid w:val="00482BC6"/>
    <w:rsid w:val="004B3C26"/>
    <w:rsid w:val="004D305E"/>
    <w:rsid w:val="004D4277"/>
    <w:rsid w:val="00502516"/>
    <w:rsid w:val="00505F06"/>
    <w:rsid w:val="00506828"/>
    <w:rsid w:val="005243DB"/>
    <w:rsid w:val="0053056E"/>
    <w:rsid w:val="00540F3A"/>
    <w:rsid w:val="00550860"/>
    <w:rsid w:val="00554FDA"/>
    <w:rsid w:val="00566188"/>
    <w:rsid w:val="00567C7B"/>
    <w:rsid w:val="00587F60"/>
    <w:rsid w:val="005B2CA7"/>
    <w:rsid w:val="005C784C"/>
    <w:rsid w:val="005D17F6"/>
    <w:rsid w:val="005E0CDE"/>
    <w:rsid w:val="005E2732"/>
    <w:rsid w:val="005E5539"/>
    <w:rsid w:val="00602B54"/>
    <w:rsid w:val="00602BF5"/>
    <w:rsid w:val="00617FDD"/>
    <w:rsid w:val="00633614"/>
    <w:rsid w:val="00633F68"/>
    <w:rsid w:val="0063521B"/>
    <w:rsid w:val="00636EB2"/>
    <w:rsid w:val="006375B8"/>
    <w:rsid w:val="006617C8"/>
    <w:rsid w:val="0066510A"/>
    <w:rsid w:val="0066701B"/>
    <w:rsid w:val="00673F9F"/>
    <w:rsid w:val="00686953"/>
    <w:rsid w:val="00687DEA"/>
    <w:rsid w:val="00687E67"/>
    <w:rsid w:val="006967F7"/>
    <w:rsid w:val="00697351"/>
    <w:rsid w:val="006A07D2"/>
    <w:rsid w:val="006A250C"/>
    <w:rsid w:val="006A31ED"/>
    <w:rsid w:val="006B06E1"/>
    <w:rsid w:val="006B21D3"/>
    <w:rsid w:val="006B57D0"/>
    <w:rsid w:val="006D09BC"/>
    <w:rsid w:val="006D1086"/>
    <w:rsid w:val="006D30FF"/>
    <w:rsid w:val="006D6940"/>
    <w:rsid w:val="006F11EC"/>
    <w:rsid w:val="006F7618"/>
    <w:rsid w:val="0070082C"/>
    <w:rsid w:val="00722BCD"/>
    <w:rsid w:val="007369E6"/>
    <w:rsid w:val="00746E59"/>
    <w:rsid w:val="00754C9A"/>
    <w:rsid w:val="0075599A"/>
    <w:rsid w:val="00761D52"/>
    <w:rsid w:val="00762447"/>
    <w:rsid w:val="0077749E"/>
    <w:rsid w:val="007871D5"/>
    <w:rsid w:val="00790ADA"/>
    <w:rsid w:val="007A48C1"/>
    <w:rsid w:val="007B2F1D"/>
    <w:rsid w:val="007D2288"/>
    <w:rsid w:val="007E088F"/>
    <w:rsid w:val="007F7B32"/>
    <w:rsid w:val="00804BC2"/>
    <w:rsid w:val="0081431A"/>
    <w:rsid w:val="00827690"/>
    <w:rsid w:val="0083216F"/>
    <w:rsid w:val="008343DA"/>
    <w:rsid w:val="00837C2B"/>
    <w:rsid w:val="00860000"/>
    <w:rsid w:val="00863BD3"/>
    <w:rsid w:val="008641ED"/>
    <w:rsid w:val="00866D66"/>
    <w:rsid w:val="008671C6"/>
    <w:rsid w:val="00875803"/>
    <w:rsid w:val="00885BEA"/>
    <w:rsid w:val="008B459E"/>
    <w:rsid w:val="008B4EFD"/>
    <w:rsid w:val="008D3419"/>
    <w:rsid w:val="008D7E51"/>
    <w:rsid w:val="008E13AE"/>
    <w:rsid w:val="008E1506"/>
    <w:rsid w:val="008E710C"/>
    <w:rsid w:val="008F2475"/>
    <w:rsid w:val="008F69D6"/>
    <w:rsid w:val="00902823"/>
    <w:rsid w:val="009157E4"/>
    <w:rsid w:val="00915CA6"/>
    <w:rsid w:val="0092704E"/>
    <w:rsid w:val="00927834"/>
    <w:rsid w:val="00931460"/>
    <w:rsid w:val="009500A6"/>
    <w:rsid w:val="00957C18"/>
    <w:rsid w:val="009659BA"/>
    <w:rsid w:val="00983040"/>
    <w:rsid w:val="00985BF9"/>
    <w:rsid w:val="00991775"/>
    <w:rsid w:val="009A4AEA"/>
    <w:rsid w:val="009B3FB9"/>
    <w:rsid w:val="009C2465"/>
    <w:rsid w:val="009C320B"/>
    <w:rsid w:val="009C3406"/>
    <w:rsid w:val="009D35A0"/>
    <w:rsid w:val="009D7EB7"/>
    <w:rsid w:val="009E048A"/>
    <w:rsid w:val="009E08E9"/>
    <w:rsid w:val="009E2EE8"/>
    <w:rsid w:val="009E3392"/>
    <w:rsid w:val="009E3DB9"/>
    <w:rsid w:val="009E6E35"/>
    <w:rsid w:val="009F0EDA"/>
    <w:rsid w:val="00A023F9"/>
    <w:rsid w:val="00A03B96"/>
    <w:rsid w:val="00A045F8"/>
    <w:rsid w:val="00A050E5"/>
    <w:rsid w:val="00A05B19"/>
    <w:rsid w:val="00A1134E"/>
    <w:rsid w:val="00A143D1"/>
    <w:rsid w:val="00A2473F"/>
    <w:rsid w:val="00A24E7E"/>
    <w:rsid w:val="00A258C3"/>
    <w:rsid w:val="00A347C0"/>
    <w:rsid w:val="00A46EC3"/>
    <w:rsid w:val="00A51431"/>
    <w:rsid w:val="00A52C8A"/>
    <w:rsid w:val="00A539AD"/>
    <w:rsid w:val="00A56254"/>
    <w:rsid w:val="00A65061"/>
    <w:rsid w:val="00A672DE"/>
    <w:rsid w:val="00A94063"/>
    <w:rsid w:val="00AA1166"/>
    <w:rsid w:val="00AA1971"/>
    <w:rsid w:val="00AA4AB7"/>
    <w:rsid w:val="00AA6219"/>
    <w:rsid w:val="00AA74E0"/>
    <w:rsid w:val="00AB703F"/>
    <w:rsid w:val="00AC6BB8"/>
    <w:rsid w:val="00AD39B7"/>
    <w:rsid w:val="00AE008F"/>
    <w:rsid w:val="00AF13B4"/>
    <w:rsid w:val="00AF510B"/>
    <w:rsid w:val="00B01FCD"/>
    <w:rsid w:val="00B1776C"/>
    <w:rsid w:val="00B33120"/>
    <w:rsid w:val="00B46054"/>
    <w:rsid w:val="00B50D7F"/>
    <w:rsid w:val="00B52583"/>
    <w:rsid w:val="00B52896"/>
    <w:rsid w:val="00B53AF1"/>
    <w:rsid w:val="00B95236"/>
    <w:rsid w:val="00B96BD9"/>
    <w:rsid w:val="00BA1B01"/>
    <w:rsid w:val="00BA2641"/>
    <w:rsid w:val="00BB37AA"/>
    <w:rsid w:val="00BC53A0"/>
    <w:rsid w:val="00BC6637"/>
    <w:rsid w:val="00BD7163"/>
    <w:rsid w:val="00BE62AD"/>
    <w:rsid w:val="00BF121F"/>
    <w:rsid w:val="00BF1F80"/>
    <w:rsid w:val="00C1020F"/>
    <w:rsid w:val="00C166EF"/>
    <w:rsid w:val="00C17EB0"/>
    <w:rsid w:val="00C27F5F"/>
    <w:rsid w:val="00C30A0F"/>
    <w:rsid w:val="00C35BA9"/>
    <w:rsid w:val="00C37E61"/>
    <w:rsid w:val="00C65CD7"/>
    <w:rsid w:val="00C70F1B"/>
    <w:rsid w:val="00C71A47"/>
    <w:rsid w:val="00C7464C"/>
    <w:rsid w:val="00C76B8D"/>
    <w:rsid w:val="00C84394"/>
    <w:rsid w:val="00C85588"/>
    <w:rsid w:val="00CA0BB9"/>
    <w:rsid w:val="00CB2A24"/>
    <w:rsid w:val="00CD6755"/>
    <w:rsid w:val="00CD6856"/>
    <w:rsid w:val="00CE0089"/>
    <w:rsid w:val="00CE53B6"/>
    <w:rsid w:val="00CE793C"/>
    <w:rsid w:val="00CF193C"/>
    <w:rsid w:val="00D025B9"/>
    <w:rsid w:val="00D03AB6"/>
    <w:rsid w:val="00D14F38"/>
    <w:rsid w:val="00D16D81"/>
    <w:rsid w:val="00D173F1"/>
    <w:rsid w:val="00D21997"/>
    <w:rsid w:val="00D74CB0"/>
    <w:rsid w:val="00D75514"/>
    <w:rsid w:val="00D8295D"/>
    <w:rsid w:val="00D852D2"/>
    <w:rsid w:val="00D90964"/>
    <w:rsid w:val="00DA6B22"/>
    <w:rsid w:val="00DB1166"/>
    <w:rsid w:val="00DC2A65"/>
    <w:rsid w:val="00DC4BF0"/>
    <w:rsid w:val="00DE15F0"/>
    <w:rsid w:val="00DE21A3"/>
    <w:rsid w:val="00DE5663"/>
    <w:rsid w:val="00DE78AA"/>
    <w:rsid w:val="00DF71C7"/>
    <w:rsid w:val="00E000D6"/>
    <w:rsid w:val="00E053D0"/>
    <w:rsid w:val="00E10057"/>
    <w:rsid w:val="00E15994"/>
    <w:rsid w:val="00E3114E"/>
    <w:rsid w:val="00E31A70"/>
    <w:rsid w:val="00E35B02"/>
    <w:rsid w:val="00E35C40"/>
    <w:rsid w:val="00E44146"/>
    <w:rsid w:val="00E57D23"/>
    <w:rsid w:val="00E66496"/>
    <w:rsid w:val="00E66B35"/>
    <w:rsid w:val="00E66E10"/>
    <w:rsid w:val="00E751EF"/>
    <w:rsid w:val="00E769F6"/>
    <w:rsid w:val="00E80E5F"/>
    <w:rsid w:val="00E8407C"/>
    <w:rsid w:val="00E84F3C"/>
    <w:rsid w:val="00EA012C"/>
    <w:rsid w:val="00EC6A55"/>
    <w:rsid w:val="00EC72EC"/>
    <w:rsid w:val="00ED0288"/>
    <w:rsid w:val="00EE52CB"/>
    <w:rsid w:val="00EE7741"/>
    <w:rsid w:val="00EF581D"/>
    <w:rsid w:val="00EF7FD8"/>
    <w:rsid w:val="00F06F59"/>
    <w:rsid w:val="00F17988"/>
    <w:rsid w:val="00F469F0"/>
    <w:rsid w:val="00F53273"/>
    <w:rsid w:val="00F66091"/>
    <w:rsid w:val="00F755E4"/>
    <w:rsid w:val="00F77D02"/>
    <w:rsid w:val="00FA7AC8"/>
    <w:rsid w:val="00FB3A86"/>
    <w:rsid w:val="00FB7F39"/>
    <w:rsid w:val="00FC5BD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445B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Nerijeenospominjanje1">
    <w:name w:val="Neriješeno spominjanj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75514"/>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07/relationships/hdphoto" Target="media/hdphoto4.wdp"/><Relationship Id="rId28" Type="http://schemas.openxmlformats.org/officeDocument/2006/relationships/fontTable" Target="fontTable.xml"/><Relationship Id="rId10" Type="http://schemas.openxmlformats.org/officeDocument/2006/relationships/footer" Target="footer1.xml"/><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FD0C-456B-4A80-924F-300CA009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185</TotalTime>
  <Pages>11</Pages>
  <Words>5210</Words>
  <Characters>29699</Characters>
  <Application>Microsoft Office Word</Application>
  <DocSecurity>0</DocSecurity>
  <Lines>247</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34840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29</cp:revision>
  <cp:lastPrinted>1999-07-06T11:00:00Z</cp:lastPrinted>
  <dcterms:created xsi:type="dcterms:W3CDTF">2025-09-23T08:29:00Z</dcterms:created>
  <dcterms:modified xsi:type="dcterms:W3CDTF">2025-10-11T07:08:00Z</dcterms:modified>
</cp:coreProperties>
</file>