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8F00" w14:textId="77777777" w:rsidR="00B15C72" w:rsidRDefault="00B15C72" w:rsidP="000E2590">
      <w:pPr>
        <w:spacing w:after="0"/>
        <w:jc w:val="center"/>
        <w:rPr>
          <w:rFonts w:ascii="Arial" w:hAnsi="Arial" w:cs="Arial"/>
          <w:b/>
          <w:sz w:val="36"/>
          <w:szCs w:val="24"/>
          <w:lang w:val="en-US"/>
        </w:rPr>
      </w:pPr>
    </w:p>
    <w:p w14:paraId="5F47C3FF" w14:textId="77777777" w:rsidR="00802596" w:rsidRPr="00B15C72" w:rsidRDefault="00802596" w:rsidP="000E2590">
      <w:pPr>
        <w:spacing w:after="0"/>
        <w:jc w:val="center"/>
        <w:rPr>
          <w:rFonts w:ascii="Arial" w:hAnsi="Arial" w:cs="Arial"/>
          <w:b/>
          <w:sz w:val="36"/>
          <w:szCs w:val="24"/>
          <w:lang w:val="en-US"/>
        </w:rPr>
      </w:pPr>
      <w:r w:rsidRPr="00B15C72">
        <w:rPr>
          <w:rFonts w:ascii="Arial" w:hAnsi="Arial" w:cs="Arial"/>
          <w:b/>
          <w:sz w:val="36"/>
          <w:szCs w:val="24"/>
          <w:lang w:val="en-US"/>
        </w:rPr>
        <w:t>PRODUCTION OF SODIUM NITRITE BASED ON</w:t>
      </w:r>
    </w:p>
    <w:p w14:paraId="5F36F509" w14:textId="77777777" w:rsidR="001E74C0" w:rsidRPr="00B15C72" w:rsidRDefault="00802596" w:rsidP="000E2590">
      <w:pPr>
        <w:spacing w:after="0"/>
        <w:jc w:val="center"/>
        <w:rPr>
          <w:rFonts w:ascii="Arial" w:hAnsi="Arial" w:cs="Arial"/>
          <w:b/>
          <w:sz w:val="36"/>
          <w:szCs w:val="24"/>
          <w:lang w:val="en-US"/>
        </w:rPr>
      </w:pPr>
      <w:r w:rsidRPr="00B15C72">
        <w:rPr>
          <w:rFonts w:ascii="Arial" w:hAnsi="Arial" w:cs="Arial"/>
          <w:b/>
          <w:sz w:val="36"/>
          <w:szCs w:val="24"/>
          <w:lang w:val="en-US"/>
        </w:rPr>
        <w:t>STAGED ABSORPTION OF NITROUS GASES USING A SOLUTION OF TRIBUTYL PHOSPHATE AND IRON SULFUR OXIDE</w:t>
      </w:r>
    </w:p>
    <w:p w14:paraId="5A634D95" w14:textId="77777777" w:rsidR="00802596" w:rsidRDefault="00802596" w:rsidP="00802596">
      <w:pPr>
        <w:spacing w:after="0"/>
        <w:jc w:val="center"/>
        <w:rPr>
          <w:rFonts w:ascii="Times New Roman" w:hAnsi="Times New Roman" w:cs="Times New Roman"/>
          <w:b/>
          <w:sz w:val="24"/>
          <w:szCs w:val="24"/>
          <w:lang w:val="en-US"/>
        </w:rPr>
      </w:pPr>
    </w:p>
    <w:p w14:paraId="3F60E521" w14:textId="3E38379E" w:rsidR="00F91DA0" w:rsidRPr="003D3C3D" w:rsidRDefault="003D3C3D" w:rsidP="00802596">
      <w:pPr>
        <w:spacing w:after="0"/>
        <w:jc w:val="center"/>
        <w:rPr>
          <w:rFonts w:ascii="Times New Roman" w:hAnsi="Times New Roman" w:cs="Times New Roman"/>
          <w:sz w:val="20"/>
          <w:szCs w:val="20"/>
          <w:lang w:val="en-US"/>
        </w:rPr>
      </w:pPr>
      <w:r w:rsidRPr="003D3C3D">
        <w:rPr>
          <w:rFonts w:ascii="Arial" w:eastAsiaTheme="minorEastAsia" w:hAnsi="Arial" w:cs="Arial"/>
          <w:noProof/>
          <w:sz w:val="20"/>
          <w:szCs w:val="20"/>
          <w:lang w:val="en-US"/>
        </w:rPr>
        <w:t>Original Research Article</w:t>
      </w:r>
    </w:p>
    <w:p w14:paraId="14509F1F" w14:textId="77777777" w:rsidR="00802596" w:rsidRDefault="00802596" w:rsidP="00802596">
      <w:pPr>
        <w:spacing w:after="0"/>
        <w:jc w:val="both"/>
        <w:rPr>
          <w:rFonts w:ascii="Times New Roman" w:hAnsi="Times New Roman" w:cs="Times New Roman"/>
          <w:sz w:val="24"/>
          <w:szCs w:val="24"/>
          <w:lang w:val="en-US"/>
        </w:rPr>
      </w:pPr>
    </w:p>
    <w:p w14:paraId="73F5137E" w14:textId="77777777" w:rsidR="00802596" w:rsidRDefault="00802596" w:rsidP="00802596">
      <w:pPr>
        <w:spacing w:after="0"/>
        <w:ind w:firstLine="708"/>
        <w:jc w:val="both"/>
        <w:rPr>
          <w:rFonts w:ascii="Times New Roman" w:hAnsi="Times New Roman" w:cs="Times New Roman"/>
          <w:sz w:val="24"/>
          <w:szCs w:val="24"/>
          <w:lang w:val="en-US"/>
        </w:rPr>
      </w:pPr>
    </w:p>
    <w:p w14:paraId="76A0701E" w14:textId="77777777" w:rsidR="007B00CF" w:rsidRPr="007B00CF" w:rsidRDefault="00802596" w:rsidP="007B00CF">
      <w:pPr>
        <w:pStyle w:val="NormalWeb"/>
        <w:spacing w:before="0" w:beforeAutospacing="0" w:after="0" w:afterAutospacing="0"/>
        <w:jc w:val="both"/>
        <w:rPr>
          <w:rFonts w:ascii="Arial" w:hAnsi="Arial" w:cs="Arial"/>
          <w:sz w:val="20"/>
          <w:szCs w:val="20"/>
          <w:lang w:val="en-US"/>
        </w:rPr>
      </w:pPr>
      <w:r w:rsidRPr="000E2590">
        <w:rPr>
          <w:rFonts w:ascii="Arial" w:hAnsi="Arial" w:cs="Arial"/>
          <w:b/>
          <w:sz w:val="20"/>
          <w:szCs w:val="20"/>
          <w:lang w:val="en-US"/>
        </w:rPr>
        <w:t>Abstract.</w:t>
      </w:r>
      <w:r w:rsidRPr="000E2590">
        <w:rPr>
          <w:rFonts w:ascii="Arial" w:hAnsi="Arial" w:cs="Arial"/>
          <w:sz w:val="20"/>
          <w:szCs w:val="20"/>
          <w:lang w:val="en-US"/>
        </w:rPr>
        <w:t xml:space="preserve"> </w:t>
      </w:r>
      <w:r w:rsidR="007B00CF" w:rsidRPr="007B00CF">
        <w:rPr>
          <w:rFonts w:ascii="Arial" w:hAnsi="Arial" w:cs="Arial"/>
          <w:sz w:val="20"/>
          <w:szCs w:val="20"/>
          <w:lang w:val="en-US"/>
        </w:rPr>
        <w:t xml:space="preserve">The manuscript entitled </w:t>
      </w:r>
      <w:r w:rsidR="007B00CF" w:rsidRPr="007B00CF">
        <w:rPr>
          <w:rStyle w:val="Emphasis"/>
          <w:rFonts w:ascii="Arial" w:hAnsi="Arial" w:cs="Arial"/>
          <w:sz w:val="20"/>
          <w:szCs w:val="20"/>
          <w:lang w:val="en-US"/>
        </w:rPr>
        <w:t>“Production of Sodium Nitrite Based on Staged Absorption of Nitrous Gases Using a Solution of Tributyl Phosphate and Iron Sulfur Oxide”</w:t>
      </w:r>
      <w:r w:rsidR="007B00CF" w:rsidRPr="007B00CF">
        <w:rPr>
          <w:rFonts w:ascii="Arial" w:hAnsi="Arial" w:cs="Arial"/>
          <w:sz w:val="20"/>
          <w:szCs w:val="20"/>
          <w:lang w:val="en-US"/>
        </w:rPr>
        <w:t xml:space="preserve"> presents a comprehensive study on the development of a stepwise absorption method for nitrogen oxides using tributyl phosphate (TBP) and iron sulfate solutions, aimed at efficient sodium nitrite production. The work is scientifically significant as it addresses the environmental and industrial challenges associated with nitrogen oxide emissions, converting hazardous gases into a valuable chemical product. The research demonstrates the optimization of absorption conditions, such as solvent composition, temperature, and the ratio of TBP to iron sulfate, achieving an absorption efficiency up to 99.91%, with subsequent regeneration of absorbents and production of high-purity sodium nitrite (99.2% mass fraction).</w:t>
      </w:r>
    </w:p>
    <w:p w14:paraId="03FA27FD" w14:textId="77777777" w:rsidR="007B00CF" w:rsidRPr="007B00CF" w:rsidRDefault="007B00CF" w:rsidP="007B00CF">
      <w:pPr>
        <w:pStyle w:val="NormalWeb"/>
        <w:spacing w:before="0" w:beforeAutospacing="0" w:after="0" w:afterAutospacing="0"/>
        <w:jc w:val="both"/>
        <w:rPr>
          <w:rFonts w:ascii="Arial" w:hAnsi="Arial" w:cs="Arial"/>
          <w:sz w:val="20"/>
          <w:szCs w:val="20"/>
          <w:lang w:val="en-US"/>
        </w:rPr>
      </w:pPr>
      <w:r w:rsidRPr="007B00CF">
        <w:rPr>
          <w:rFonts w:ascii="Arial" w:hAnsi="Arial" w:cs="Arial"/>
          <w:sz w:val="20"/>
          <w:szCs w:val="20"/>
          <w:lang w:val="en-US"/>
        </w:rPr>
        <w:t>The study is methodologically robust, employing laboratory-scale experiments, systematic stepwise absorption in multiple absorbers, and advanced analytical techniques including IR spectroscopy to validate the quality of the synthesized sodium nitrite compared to imported standards. The results are practically relevant for the chemical industry, providing an environmentally friendly and economically efficient approach to nitrite production, while minimizing toxic gas emissions and energy consumption. Moreover, the proposed method has potential implications for industrial scalability and the sustainable production of sodium nitrite, which is essential in food, pharmaceutical, and chemical applications.</w:t>
      </w:r>
    </w:p>
    <w:p w14:paraId="2EDCB668" w14:textId="77777777" w:rsidR="007B00CF" w:rsidRPr="007B00CF" w:rsidRDefault="007B00CF" w:rsidP="007B00CF">
      <w:pPr>
        <w:pStyle w:val="NormalWeb"/>
        <w:spacing w:before="0" w:beforeAutospacing="0" w:after="0" w:afterAutospacing="0"/>
        <w:jc w:val="both"/>
        <w:rPr>
          <w:rFonts w:ascii="Arial" w:hAnsi="Arial" w:cs="Arial"/>
          <w:sz w:val="20"/>
          <w:szCs w:val="20"/>
          <w:lang w:val="en-US"/>
        </w:rPr>
      </w:pPr>
      <w:r w:rsidRPr="007B00CF">
        <w:rPr>
          <w:rFonts w:ascii="Arial" w:hAnsi="Arial" w:cs="Arial"/>
          <w:sz w:val="20"/>
          <w:szCs w:val="20"/>
          <w:lang w:val="en-US"/>
        </w:rPr>
        <w:t>Overall, this manuscript offers a valuable contribution to both scientific understanding and industrial practice by integrating fundamental research on nitrogen oxide absorption with practical applications in sodium nitrite synthesis, and it provides a foundation for further studies on optimizing multistage gas absorption technologies.</w:t>
      </w:r>
    </w:p>
    <w:p w14:paraId="1BF9C18F" w14:textId="668E27F9" w:rsidR="00802596" w:rsidRPr="000E2590" w:rsidRDefault="00802596" w:rsidP="00802596">
      <w:pPr>
        <w:spacing w:after="0"/>
        <w:ind w:firstLine="708"/>
        <w:jc w:val="both"/>
        <w:rPr>
          <w:rFonts w:ascii="Arial" w:hAnsi="Arial" w:cs="Arial"/>
          <w:sz w:val="20"/>
          <w:szCs w:val="20"/>
          <w:lang w:val="en-US"/>
        </w:rPr>
      </w:pPr>
    </w:p>
    <w:p w14:paraId="659EF7FC"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b/>
          <w:sz w:val="20"/>
          <w:szCs w:val="20"/>
          <w:lang w:val="en-US"/>
        </w:rPr>
        <w:t>Keywords:</w:t>
      </w:r>
      <w:r w:rsidRPr="000E2590">
        <w:rPr>
          <w:rFonts w:ascii="Arial" w:hAnsi="Arial" w:cs="Arial"/>
          <w:sz w:val="20"/>
          <w:szCs w:val="20"/>
          <w:lang w:val="en-US"/>
        </w:rPr>
        <w:t xml:space="preserve"> nitrogen oxides, tributyl phosphate, absorption, nitric acid iron sulfate, sodium hydroxide, sodium nitrate, sodium nitrite, desorption, absorption.</w:t>
      </w:r>
    </w:p>
    <w:p w14:paraId="1E9C7469" w14:textId="77777777" w:rsidR="00802596" w:rsidRPr="000E2590" w:rsidRDefault="00802596" w:rsidP="00802596">
      <w:pPr>
        <w:spacing w:after="0"/>
        <w:ind w:firstLine="708"/>
        <w:jc w:val="both"/>
        <w:rPr>
          <w:rFonts w:ascii="Arial" w:hAnsi="Arial" w:cs="Arial"/>
          <w:sz w:val="20"/>
          <w:szCs w:val="20"/>
          <w:lang w:val="en-US"/>
        </w:rPr>
      </w:pPr>
    </w:p>
    <w:p w14:paraId="732AAF44" w14:textId="237F079C" w:rsidR="00802596" w:rsidRDefault="00802596" w:rsidP="00802596">
      <w:pPr>
        <w:spacing w:after="0"/>
        <w:ind w:firstLine="708"/>
        <w:jc w:val="both"/>
        <w:rPr>
          <w:rFonts w:ascii="Arial" w:hAnsi="Arial" w:cs="Arial"/>
          <w:sz w:val="20"/>
          <w:szCs w:val="20"/>
          <w:lang w:val="en-US"/>
        </w:rPr>
      </w:pPr>
      <w:r w:rsidRPr="000E2590">
        <w:rPr>
          <w:rFonts w:ascii="Arial" w:hAnsi="Arial" w:cs="Arial"/>
          <w:b/>
          <w:sz w:val="20"/>
          <w:szCs w:val="20"/>
          <w:lang w:val="en-US"/>
        </w:rPr>
        <w:t>Introduction.</w:t>
      </w:r>
      <w:r w:rsidRPr="000E2590">
        <w:rPr>
          <w:rFonts w:ascii="Arial" w:hAnsi="Arial" w:cs="Arial"/>
          <w:sz w:val="20"/>
          <w:szCs w:val="20"/>
          <w:lang w:val="en-US"/>
        </w:rPr>
        <w:t xml:space="preserve"> Currently, the level of risk to the environment and public health from the effects of various pollutants, such as suspended solids, sulfur dioxide, nitrogen dioxide and oxide, carbon monoxide, as well as copper, all registered pollutants are harmful to the human body, leading to damage to respiratory organs, skin, nervous system, eyes, and metabolic disorders. Therefore, the processing of exhaust gases into useful products is relevant. [1].</w:t>
      </w:r>
    </w:p>
    <w:p w14:paraId="5B53A7D7" w14:textId="1E8D46B1" w:rsidR="007E3DB8" w:rsidRDefault="007E3DB8" w:rsidP="00802596">
      <w:pPr>
        <w:spacing w:after="0"/>
        <w:ind w:firstLine="708"/>
        <w:jc w:val="both"/>
        <w:rPr>
          <w:rFonts w:ascii="Arial" w:hAnsi="Arial" w:cs="Arial"/>
          <w:sz w:val="20"/>
          <w:szCs w:val="20"/>
          <w:lang w:val="en-US"/>
        </w:rPr>
      </w:pPr>
      <w:r w:rsidRPr="007E3DB8">
        <w:rPr>
          <w:rFonts w:ascii="Arial" w:hAnsi="Arial" w:cs="Arial"/>
          <w:color w:val="222222"/>
          <w:sz w:val="20"/>
          <w:szCs w:val="20"/>
          <w:shd w:val="clear" w:color="auto" w:fill="FFFFFF"/>
          <w:lang w:val="en-US"/>
        </w:rPr>
        <w:t>In recent years, a burgeoning scholarly interest has emerged in recycling waste materials. A noteworthy investigation has been directed toward converting waste-expanded polystyrene into three distinct anion exchange resins, enabling their efficacious deployment as lead and copper absorption agents. The viability of modifying expanded polystyrene waste through three distinctive techniques was scrupulously examined, involving the judicious application of sulfuric acid to engender sulfonated polystyrene, subsequently harnessed for extracting heavy metal ions from wastewater. These resins were denoted by the nomenclatures PSS-01, PSS-02, and PSS-03. The modified ion exchange was comprehensively characterized utilizing advanced analytical techniques, including FTIR, XRD, and zero-charge point (</w:t>
      </w:r>
      <w:proofErr w:type="spellStart"/>
      <w:r w:rsidRPr="007E3DB8">
        <w:rPr>
          <w:rFonts w:ascii="Arial" w:hAnsi="Arial" w:cs="Arial"/>
          <w:color w:val="222222"/>
          <w:sz w:val="20"/>
          <w:szCs w:val="20"/>
          <w:shd w:val="clear" w:color="auto" w:fill="FFFFFF"/>
          <w:lang w:val="en-US"/>
        </w:rPr>
        <w:t>pH</w:t>
      </w:r>
      <w:r w:rsidRPr="007E3DB8">
        <w:rPr>
          <w:rFonts w:ascii="Arial" w:hAnsi="Arial" w:cs="Arial"/>
          <w:color w:val="222222"/>
          <w:sz w:val="20"/>
          <w:szCs w:val="20"/>
          <w:shd w:val="clear" w:color="auto" w:fill="FFFFFF"/>
          <w:vertAlign w:val="subscript"/>
          <w:lang w:val="en-US"/>
        </w:rPr>
        <w:t>PZC</w:t>
      </w:r>
      <w:proofErr w:type="spellEnd"/>
      <w:r w:rsidRPr="007E3DB8">
        <w:rPr>
          <w:rFonts w:ascii="Arial" w:hAnsi="Arial" w:cs="Arial"/>
          <w:color w:val="222222"/>
          <w:sz w:val="20"/>
          <w:szCs w:val="20"/>
          <w:shd w:val="clear" w:color="auto" w:fill="FFFFFF"/>
          <w:lang w:val="en-US"/>
        </w:rPr>
        <w:t>). To ascertain the kinetics of adsorption, pseudo-second-order models were adroitly employed.</w:t>
      </w:r>
      <w:r w:rsidRPr="007E3DB8">
        <w:rPr>
          <w:rFonts w:ascii="Arial" w:hAnsi="Arial" w:cs="Arial"/>
          <w:sz w:val="20"/>
          <w:szCs w:val="20"/>
          <w:lang w:val="en-US"/>
        </w:rPr>
        <w:t xml:space="preserve"> </w:t>
      </w:r>
      <w:r>
        <w:rPr>
          <w:rFonts w:ascii="Arial" w:hAnsi="Arial" w:cs="Arial"/>
          <w:sz w:val="20"/>
          <w:szCs w:val="20"/>
          <w:lang w:val="en-US"/>
        </w:rPr>
        <w:t>[2</w:t>
      </w:r>
      <w:r w:rsidRPr="000E2590">
        <w:rPr>
          <w:rFonts w:ascii="Arial" w:hAnsi="Arial" w:cs="Arial"/>
          <w:sz w:val="20"/>
          <w:szCs w:val="20"/>
          <w:lang w:val="en-US"/>
        </w:rPr>
        <w:t>].</w:t>
      </w:r>
    </w:p>
    <w:p w14:paraId="2CDDC60D" w14:textId="45EECB23" w:rsidR="007E3DB8" w:rsidRPr="007E3DB8" w:rsidRDefault="007E3DB8" w:rsidP="00802596">
      <w:pPr>
        <w:spacing w:after="0"/>
        <w:ind w:firstLine="708"/>
        <w:jc w:val="both"/>
        <w:rPr>
          <w:rFonts w:ascii="Arial" w:hAnsi="Arial" w:cs="Arial"/>
          <w:sz w:val="20"/>
          <w:szCs w:val="20"/>
          <w:lang w:val="en-US"/>
        </w:rPr>
      </w:pPr>
      <w:r w:rsidRPr="007E3DB8">
        <w:rPr>
          <w:rFonts w:ascii="Arial" w:hAnsi="Arial" w:cs="Arial"/>
          <w:color w:val="333333"/>
          <w:sz w:val="20"/>
          <w:szCs w:val="20"/>
          <w:lang w:val="en-US"/>
        </w:rPr>
        <w:t>A sulfonated polystyrene-iron composite magnetic material (</w:t>
      </w:r>
      <w:proofErr w:type="spellStart"/>
      <w:r w:rsidRPr="007E3DB8">
        <w:rPr>
          <w:rFonts w:ascii="Arial" w:hAnsi="Arial" w:cs="Arial"/>
          <w:color w:val="333333"/>
          <w:sz w:val="20"/>
          <w:szCs w:val="20"/>
          <w:lang w:val="en-US"/>
        </w:rPr>
        <w:t>PSSFe</w:t>
      </w:r>
      <w:proofErr w:type="spellEnd"/>
      <w:r w:rsidRPr="007E3DB8">
        <w:rPr>
          <w:rFonts w:ascii="Arial" w:hAnsi="Arial" w:cs="Arial"/>
          <w:color w:val="333333"/>
          <w:sz w:val="20"/>
          <w:szCs w:val="20"/>
          <w:lang w:val="en-US"/>
        </w:rPr>
        <w:t xml:space="preserve">), which is nonpolluting, was synthesized using high-temperature reflux in a simple system. It was applied for the first time to the adsorption and removal of two dyes (methylene blue (MB) and </w:t>
      </w:r>
      <w:proofErr w:type="spellStart"/>
      <w:r w:rsidRPr="007E3DB8">
        <w:rPr>
          <w:rFonts w:ascii="Arial" w:hAnsi="Arial" w:cs="Arial"/>
          <w:color w:val="333333"/>
          <w:sz w:val="20"/>
          <w:szCs w:val="20"/>
          <w:lang w:val="en-US"/>
        </w:rPr>
        <w:t>congo</w:t>
      </w:r>
      <w:proofErr w:type="spellEnd"/>
      <w:r w:rsidRPr="007E3DB8">
        <w:rPr>
          <w:rFonts w:ascii="Arial" w:hAnsi="Arial" w:cs="Arial"/>
          <w:color w:val="333333"/>
          <w:sz w:val="20"/>
          <w:szCs w:val="20"/>
          <w:lang w:val="en-US"/>
        </w:rPr>
        <w:t xml:space="preserve"> red (CR)) from wastewater. The cost of synthesis is lower and simpler and then that of the large sites active in </w:t>
      </w:r>
      <w:proofErr w:type="spellStart"/>
      <w:r w:rsidRPr="007E3DB8">
        <w:rPr>
          <w:rFonts w:ascii="Arial" w:hAnsi="Arial" w:cs="Arial"/>
          <w:color w:val="333333"/>
          <w:sz w:val="20"/>
          <w:szCs w:val="20"/>
          <w:lang w:val="en-US"/>
        </w:rPr>
        <w:t>PSSFe</w:t>
      </w:r>
      <w:proofErr w:type="spellEnd"/>
      <w:r w:rsidRPr="007E3DB8">
        <w:rPr>
          <w:rFonts w:ascii="Arial" w:hAnsi="Arial" w:cs="Arial"/>
          <w:color w:val="333333"/>
          <w:sz w:val="20"/>
          <w:szCs w:val="20"/>
          <w:lang w:val="en-US"/>
        </w:rPr>
        <w:t>, making it efficient cost effective for a large variety of dyes. Scanning electron microscopy (SEM), x-ray diffraction (XRD), thermogravimetric analysis (TGA-DTGA), infrared spectroscopy (FTIR), and the pH of the point of zero charge (</w:t>
      </w:r>
      <w:proofErr w:type="spellStart"/>
      <w:r w:rsidRPr="007E3DB8">
        <w:rPr>
          <w:rFonts w:ascii="Arial" w:hAnsi="Arial" w:cs="Arial"/>
          <w:color w:val="333333"/>
          <w:sz w:val="20"/>
          <w:szCs w:val="20"/>
          <w:lang w:val="en-US"/>
        </w:rPr>
        <w:t>pH</w:t>
      </w:r>
      <w:r w:rsidRPr="007E3DB8">
        <w:rPr>
          <w:rFonts w:ascii="Arial" w:hAnsi="Arial" w:cs="Arial"/>
          <w:color w:val="333333"/>
          <w:sz w:val="20"/>
          <w:szCs w:val="20"/>
          <w:vertAlign w:val="subscript"/>
          <w:lang w:val="en-US"/>
        </w:rPr>
        <w:t>PZC</w:t>
      </w:r>
      <w:proofErr w:type="spellEnd"/>
      <w:r w:rsidRPr="007E3DB8">
        <w:rPr>
          <w:rFonts w:ascii="Arial" w:hAnsi="Arial" w:cs="Arial"/>
          <w:color w:val="333333"/>
          <w:sz w:val="20"/>
          <w:szCs w:val="20"/>
          <w:lang w:val="en-US"/>
        </w:rPr>
        <w:t xml:space="preserve">) were used to characterize the morphology and microstructure of the magnetic sample. The </w:t>
      </w:r>
      <w:r w:rsidRPr="007E3DB8">
        <w:rPr>
          <w:rFonts w:ascii="Arial" w:hAnsi="Arial" w:cs="Arial"/>
          <w:color w:val="333333"/>
          <w:sz w:val="20"/>
          <w:szCs w:val="20"/>
          <w:lang w:val="en-US"/>
        </w:rPr>
        <w:lastRenderedPageBreak/>
        <w:t xml:space="preserve">adsorption of methylene blue and </w:t>
      </w:r>
      <w:proofErr w:type="spellStart"/>
      <w:r w:rsidRPr="007E3DB8">
        <w:rPr>
          <w:rFonts w:ascii="Arial" w:hAnsi="Arial" w:cs="Arial"/>
          <w:color w:val="333333"/>
          <w:sz w:val="20"/>
          <w:szCs w:val="20"/>
          <w:lang w:val="en-US"/>
        </w:rPr>
        <w:t>congo</w:t>
      </w:r>
      <w:proofErr w:type="spellEnd"/>
      <w:r w:rsidRPr="007E3DB8">
        <w:rPr>
          <w:rFonts w:ascii="Arial" w:hAnsi="Arial" w:cs="Arial"/>
          <w:color w:val="333333"/>
          <w:sz w:val="20"/>
          <w:szCs w:val="20"/>
          <w:lang w:val="en-US"/>
        </w:rPr>
        <w:t xml:space="preserve"> red as a function of various factors, such as the effect of pH, time and temperature, was investigated.</w:t>
      </w:r>
      <w:r w:rsidRPr="007E3DB8">
        <w:rPr>
          <w:rFonts w:ascii="Arial" w:hAnsi="Arial" w:cs="Arial"/>
          <w:color w:val="222222"/>
          <w:sz w:val="20"/>
          <w:szCs w:val="20"/>
          <w:shd w:val="clear" w:color="auto" w:fill="FFFFFF"/>
          <w:lang w:val="en-US"/>
        </w:rPr>
        <w:t xml:space="preserve"> </w:t>
      </w:r>
      <w:r w:rsidRPr="007E3DB8">
        <w:rPr>
          <w:rFonts w:ascii="Arial" w:hAnsi="Arial" w:cs="Arial"/>
          <w:sz w:val="20"/>
          <w:szCs w:val="20"/>
          <w:lang w:val="en-US"/>
        </w:rPr>
        <w:t xml:space="preserve"> </w:t>
      </w:r>
      <w:r>
        <w:rPr>
          <w:rFonts w:ascii="Arial" w:hAnsi="Arial" w:cs="Arial"/>
          <w:sz w:val="20"/>
          <w:szCs w:val="20"/>
          <w:lang w:val="en-US"/>
        </w:rPr>
        <w:t>[3</w:t>
      </w:r>
      <w:r w:rsidRPr="000E2590">
        <w:rPr>
          <w:rFonts w:ascii="Arial" w:hAnsi="Arial" w:cs="Arial"/>
          <w:sz w:val="20"/>
          <w:szCs w:val="20"/>
          <w:lang w:val="en-US"/>
        </w:rPr>
        <w:t>].</w:t>
      </w:r>
    </w:p>
    <w:p w14:paraId="4792BCB6" w14:textId="013A0EB8"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producing sodium nitrite from nitrous gases. The method of producing sodium nitrite from concentrated nitrous gases involves the complete or partial absorption of nitrogen oxides by alkaline solutions under increased pressure, while the inversion of nitrite-nitrate solutions, after the separation of crystalline sodium nitrite from them, is carried out under pressure, and the blowing of nitrogen oxide is carried out by nitrous gases, which are then directed to alkaline absorption</w:t>
      </w:r>
      <w:r w:rsidR="002C722E">
        <w:rPr>
          <w:rFonts w:ascii="Arial" w:hAnsi="Arial" w:cs="Arial"/>
          <w:sz w:val="20"/>
          <w:szCs w:val="20"/>
          <w:lang w:val="en-US"/>
        </w:rPr>
        <w:t xml:space="preserve"> [19]</w:t>
      </w:r>
      <w:r w:rsidRPr="000E2590">
        <w:rPr>
          <w:rFonts w:ascii="Arial" w:hAnsi="Arial" w:cs="Arial"/>
          <w:sz w:val="20"/>
          <w:szCs w:val="20"/>
          <w:lang w:val="en-US"/>
        </w:rPr>
        <w:t xml:space="preserve">. The blowing of nitrogen oxide from inverted gases is carried out by part of the nitrous gases, which then mix in fractions with the main flow of nitrous gases, thereby regulating the ratio at the level of 1:1. Exhaust gases are used to blow away nitrogen oxide residues. Using the proposed method allows for the conservation of ammonia, as well as the reduction of steam, electricity, and soda consumption for the same volume </w:t>
      </w:r>
      <w:r w:rsidR="007E3DB8">
        <w:rPr>
          <w:rFonts w:ascii="Arial" w:hAnsi="Arial" w:cs="Arial"/>
          <w:sz w:val="20"/>
          <w:szCs w:val="20"/>
          <w:lang w:val="en-US"/>
        </w:rPr>
        <w:t>of sodium nitrite production. [4</w:t>
      </w:r>
      <w:r w:rsidRPr="000E2590">
        <w:rPr>
          <w:rFonts w:ascii="Arial" w:hAnsi="Arial" w:cs="Arial"/>
          <w:sz w:val="20"/>
          <w:szCs w:val="20"/>
          <w:lang w:val="en-US"/>
        </w:rPr>
        <w:t>].</w:t>
      </w:r>
    </w:p>
    <w:p w14:paraId="635E7971" w14:textId="1F624FD2"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It should be noted that modern technologies for sausage production involve the use of a significant amount of non-meat components of plant and animal proteins, food hydrocolloids, and thickeners. All these components significantly affect the color of meat and meat products, as their use in recipes leads to a decrease in the amount of myoglobin. In this regard, to ensure a consumer-attractive appearance and color of finished products, food coloring agents of various origins are widely used. Today, it is the color that is one of the most important quality indicators of meat products. The food supplement E250 deserves special attention. Sodium nitrite (NaNO</w:t>
      </w:r>
      <w:r w:rsidRPr="000E2590">
        <w:rPr>
          <w:rFonts w:ascii="Arial" w:hAnsi="Arial" w:cs="Arial"/>
          <w:sz w:val="20"/>
          <w:szCs w:val="20"/>
          <w:vertAlign w:val="subscript"/>
          <w:lang w:val="en-US"/>
        </w:rPr>
        <w:t>2</w:t>
      </w:r>
      <w:r w:rsidRPr="000E2590">
        <w:rPr>
          <w:rFonts w:ascii="Arial" w:hAnsi="Arial" w:cs="Arial"/>
          <w:sz w:val="20"/>
          <w:szCs w:val="20"/>
          <w:lang w:val="en-US"/>
        </w:rPr>
        <w:t>) is a color enhancer and preservative in the food industry for meat and fish products</w:t>
      </w:r>
      <w:r w:rsidR="002C722E">
        <w:rPr>
          <w:rFonts w:ascii="Arial" w:hAnsi="Arial" w:cs="Arial"/>
          <w:sz w:val="20"/>
          <w:szCs w:val="20"/>
          <w:lang w:val="en-US"/>
        </w:rPr>
        <w:t xml:space="preserve"> [20]</w:t>
      </w:r>
      <w:r w:rsidRPr="000E2590">
        <w:rPr>
          <w:rFonts w:ascii="Arial" w:hAnsi="Arial" w:cs="Arial"/>
          <w:sz w:val="20"/>
          <w:szCs w:val="20"/>
          <w:lang w:val="en-US"/>
        </w:rPr>
        <w:t>. On the one hand, sodium nitrite is a substance of chemical origin that is unsafe in excess, and on the other hand, it is a multifunctional food additive that is an indispensable helper for practically every meat processing technologist. Its amazingly unique properties practically exclude the possibility of finding a full-fledged alternative to it among food additives and components of natural or microbiological origin. It is necessary to consider that excluding or reducing the use of nitrite in technologies that provide for its use can l</w:t>
      </w:r>
      <w:r w:rsidR="007E3DB8">
        <w:rPr>
          <w:rFonts w:ascii="Arial" w:hAnsi="Arial" w:cs="Arial"/>
          <w:sz w:val="20"/>
          <w:szCs w:val="20"/>
          <w:lang w:val="en-US"/>
        </w:rPr>
        <w:t>ead to microbiological risks [5-7</w:t>
      </w:r>
      <w:r w:rsidRPr="000E2590">
        <w:rPr>
          <w:rFonts w:ascii="Arial" w:hAnsi="Arial" w:cs="Arial"/>
          <w:sz w:val="20"/>
          <w:szCs w:val="20"/>
          <w:lang w:val="en-US"/>
        </w:rPr>
        <w:t>].</w:t>
      </w:r>
    </w:p>
    <w:p w14:paraId="3A65D066" w14:textId="77777777" w:rsidR="00802596" w:rsidRPr="000E2590" w:rsidRDefault="00802596" w:rsidP="000C59C0">
      <w:pPr>
        <w:ind w:firstLine="708"/>
        <w:jc w:val="both"/>
        <w:rPr>
          <w:rFonts w:ascii="Arial" w:hAnsi="Arial" w:cs="Arial"/>
          <w:sz w:val="20"/>
          <w:szCs w:val="20"/>
          <w:lang w:val="en-US"/>
        </w:rPr>
      </w:pPr>
      <w:r w:rsidRPr="000E2590">
        <w:rPr>
          <w:rFonts w:ascii="Arial" w:hAnsi="Arial" w:cs="Arial"/>
          <w:sz w:val="20"/>
          <w:szCs w:val="20"/>
          <w:lang w:val="en-US"/>
        </w:rPr>
        <w:t>The production of sodium nitrite on an industrial scale is based on the absorption of nitrogen oxides by alkaline solutions of sodium carbonate (soda) or sodium hydroxide (sodium hydroxide) with the formation of sodium nitrite according to the reactions:</w:t>
      </w:r>
    </w:p>
    <w:p w14:paraId="6EF8A58E" w14:textId="1D8246FD"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Na</w:t>
      </w:r>
      <w:r w:rsidRPr="00EE6F6E">
        <w:rPr>
          <w:rFonts w:ascii="Arial" w:hAnsi="Arial" w:cs="Arial"/>
          <w:sz w:val="20"/>
          <w:szCs w:val="20"/>
          <w:vertAlign w:val="subscript"/>
          <w:lang w:val="es-US"/>
        </w:rPr>
        <w:t>2</w:t>
      </w:r>
      <w:r w:rsidRPr="00EE6F6E">
        <w:rPr>
          <w:rFonts w:ascii="Arial" w:hAnsi="Arial" w:cs="Arial"/>
          <w:sz w:val="20"/>
          <w:szCs w:val="20"/>
          <w:lang w:val="es-US"/>
        </w:rPr>
        <w:t>CO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N</w:t>
      </w:r>
      <w:r w:rsidRPr="00EE6F6E">
        <w:rPr>
          <w:rFonts w:ascii="Arial" w:hAnsi="Arial" w:cs="Arial"/>
          <w:sz w:val="20"/>
          <w:szCs w:val="20"/>
          <w:vertAlign w:val="subscript"/>
          <w:lang w:val="es-US"/>
        </w:rPr>
        <w:t>2</w:t>
      </w:r>
      <w:r w:rsidRPr="00EE6F6E">
        <w:rPr>
          <w:rFonts w:ascii="Arial" w:hAnsi="Arial" w:cs="Arial"/>
          <w:sz w:val="20"/>
          <w:szCs w:val="20"/>
          <w:lang w:val="es-US"/>
        </w:rPr>
        <w:t>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007B00CF" w:rsidRPr="00EE6F6E">
        <w:rPr>
          <w:rFonts w:ascii="Arial" w:hAnsi="Arial" w:cs="Arial"/>
          <w:sz w:val="20"/>
          <w:szCs w:val="20"/>
          <w:lang w:val="es-US"/>
        </w:rPr>
        <w:t xml:space="preserve"> </w:t>
      </w:r>
      <w:r w:rsidRPr="00EE6F6E">
        <w:rPr>
          <w:rFonts w:ascii="Arial" w:hAnsi="Arial" w:cs="Arial"/>
          <w:sz w:val="20"/>
          <w:szCs w:val="20"/>
          <w:lang w:val="es-US"/>
        </w:rPr>
        <w:t>2NaNO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w:t>
      </w:r>
      <w:proofErr w:type="gramStart"/>
      <w:r w:rsidRPr="00EE6F6E">
        <w:rPr>
          <w:rFonts w:ascii="Arial" w:hAnsi="Arial" w:cs="Arial"/>
          <w:sz w:val="20"/>
          <w:szCs w:val="20"/>
          <w:lang w:val="es-US"/>
        </w:rPr>
        <w:t>CO</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roofErr w:type="gramEnd"/>
    </w:p>
    <w:p w14:paraId="53F423E2" w14:textId="15056CA5"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2NaOH + N</w:t>
      </w:r>
      <w:r w:rsidRPr="00EE6F6E">
        <w:rPr>
          <w:rFonts w:ascii="Arial" w:hAnsi="Arial" w:cs="Arial"/>
          <w:sz w:val="20"/>
          <w:szCs w:val="20"/>
          <w:vertAlign w:val="subscript"/>
          <w:lang w:val="es-US"/>
        </w:rPr>
        <w:t>2</w:t>
      </w:r>
      <w:r w:rsidRPr="00EE6F6E">
        <w:rPr>
          <w:rFonts w:ascii="Arial" w:hAnsi="Arial" w:cs="Arial"/>
          <w:sz w:val="20"/>
          <w:szCs w:val="20"/>
          <w:lang w:val="es-US"/>
        </w:rPr>
        <w:t>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Pr="00EE6F6E">
        <w:rPr>
          <w:rFonts w:ascii="Arial" w:hAnsi="Arial" w:cs="Arial"/>
          <w:sz w:val="20"/>
          <w:szCs w:val="20"/>
          <w:lang w:val="es-US"/>
        </w:rPr>
        <w:t xml:space="preserve"> 2NaNO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w:t>
      </w:r>
      <w:proofErr w:type="gramStart"/>
      <w:r w:rsidRPr="00EE6F6E">
        <w:rPr>
          <w:rFonts w:ascii="Arial" w:hAnsi="Arial" w:cs="Arial"/>
          <w:sz w:val="20"/>
          <w:szCs w:val="20"/>
          <w:lang w:val="es-US"/>
        </w:rPr>
        <w:t>H</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O </w:t>
      </w:r>
      <w:r w:rsidRPr="00EE6F6E">
        <w:rPr>
          <w:rFonts w:ascii="Arial" w:hAnsi="Arial" w:cs="Arial"/>
          <w:sz w:val="20"/>
          <w:szCs w:val="20"/>
          <w:lang w:val="es-US"/>
        </w:rPr>
        <w:t>;</w:t>
      </w:r>
      <w:proofErr w:type="gramEnd"/>
    </w:p>
    <w:p w14:paraId="58117323" w14:textId="1E28C54B"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Na</w:t>
      </w:r>
      <w:r w:rsidRPr="00EE6F6E">
        <w:rPr>
          <w:rFonts w:ascii="Arial" w:hAnsi="Arial" w:cs="Arial"/>
          <w:sz w:val="20"/>
          <w:szCs w:val="20"/>
          <w:vertAlign w:val="subscript"/>
          <w:lang w:val="es-US"/>
        </w:rPr>
        <w:t>2</w:t>
      </w:r>
      <w:r w:rsidRPr="00EE6F6E">
        <w:rPr>
          <w:rFonts w:ascii="Arial" w:hAnsi="Arial" w:cs="Arial"/>
          <w:sz w:val="20"/>
          <w:szCs w:val="20"/>
          <w:lang w:val="es-US"/>
        </w:rPr>
        <w:t>CO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+ 2NO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Pr="00EE6F6E">
        <w:rPr>
          <w:rFonts w:ascii="Arial" w:hAnsi="Arial" w:cs="Arial"/>
          <w:sz w:val="20"/>
          <w:szCs w:val="20"/>
          <w:lang w:val="es-US"/>
        </w:rPr>
        <w:t xml:space="preserve"> 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w:t>
      </w:r>
      <w:proofErr w:type="gramStart"/>
      <w:r w:rsidRPr="00EE6F6E">
        <w:rPr>
          <w:rFonts w:ascii="Arial" w:hAnsi="Arial" w:cs="Arial"/>
          <w:sz w:val="20"/>
          <w:szCs w:val="20"/>
          <w:lang w:val="es-US"/>
        </w:rPr>
        <w:t>CO</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roofErr w:type="gramEnd"/>
    </w:p>
    <w:p w14:paraId="307ADDFB" w14:textId="5732E30C" w:rsidR="00802596" w:rsidRPr="00EE6F6E" w:rsidRDefault="00802596" w:rsidP="00802596">
      <w:pPr>
        <w:spacing w:after="0"/>
        <w:ind w:firstLine="708"/>
        <w:jc w:val="center"/>
        <w:rPr>
          <w:rFonts w:ascii="Arial" w:hAnsi="Arial" w:cs="Arial"/>
          <w:sz w:val="20"/>
          <w:szCs w:val="20"/>
          <w:lang w:val="es-US"/>
        </w:rPr>
      </w:pPr>
      <w:r w:rsidRPr="00EE6F6E">
        <w:rPr>
          <w:rFonts w:ascii="Arial" w:hAnsi="Arial" w:cs="Arial"/>
          <w:sz w:val="20"/>
          <w:szCs w:val="20"/>
          <w:lang w:val="es-US"/>
        </w:rPr>
        <w:t>2NaOH + 2NO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Pr="00EE6F6E">
        <w:rPr>
          <w:rFonts w:ascii="Arial" w:hAnsi="Arial" w:cs="Arial"/>
          <w:sz w:val="20"/>
          <w:szCs w:val="20"/>
          <w:lang w:val="es-US"/>
        </w:rPr>
        <w:t xml:space="preserve"> 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H</w:t>
      </w:r>
      <w:proofErr w:type="gramStart"/>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roofErr w:type="gramEnd"/>
    </w:p>
    <w:p w14:paraId="74A2BEF9" w14:textId="7BB3CBA4" w:rsidR="00802596" w:rsidRPr="000E2590" w:rsidRDefault="00802596" w:rsidP="000C59C0">
      <w:pPr>
        <w:spacing w:before="240" w:after="0"/>
        <w:ind w:firstLine="708"/>
        <w:jc w:val="both"/>
        <w:rPr>
          <w:rFonts w:ascii="Arial" w:hAnsi="Arial" w:cs="Arial"/>
          <w:sz w:val="20"/>
          <w:szCs w:val="20"/>
          <w:lang w:val="en-US"/>
        </w:rPr>
      </w:pPr>
      <w:r w:rsidRPr="000E2590">
        <w:rPr>
          <w:rFonts w:ascii="Arial" w:hAnsi="Arial" w:cs="Arial"/>
          <w:sz w:val="20"/>
          <w:szCs w:val="20"/>
          <w:lang w:val="en-US"/>
        </w:rPr>
        <w:t>Usually, they strive to ensure that as little NaNO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is formed as possible in parallel with NaNO</w:t>
      </w:r>
      <w:r w:rsidRPr="000E2590">
        <w:rPr>
          <w:rFonts w:ascii="Arial" w:hAnsi="Arial" w:cs="Arial"/>
          <w:sz w:val="20"/>
          <w:szCs w:val="20"/>
          <w:vertAlign w:val="subscript"/>
          <w:lang w:val="en-US"/>
        </w:rPr>
        <w:t>2</w:t>
      </w:r>
      <w:r w:rsidRPr="000E2590">
        <w:rPr>
          <w:rFonts w:ascii="Arial" w:hAnsi="Arial" w:cs="Arial"/>
          <w:sz w:val="20"/>
          <w:szCs w:val="20"/>
          <w:lang w:val="en-US"/>
        </w:rPr>
        <w:t>, which is especially important in individual cases, for example, if sodium nitrite solutions are used in the production of caprolactam or in obtaining high-quality sodium nitrite. It has been established that to achieve this goal, it is necessary to maintain a NO:NO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ratio in the gas throughout the entire process of oxide absorption by the alkaline solution, not exceeding 1:1. The rate at which nitrogen oxides are absorbed by alkali solutions is determined by the reactions of the oxides with water. The neutralization reaction of the acids obtained as a result of absorption does not control the rate of the total reaction. Comparison of reactions occurring in an acidic environment with the above shows that alkaline absorption eliminates the shortcomings of acidic absorption associated with the release of nitrogen oxide, the low oxidation rate of which greatly hinders its use. Numerous studies of nitrogen oxide absorption processes show that when nitrogen dioxide or nitrogen dioxide is absorbed by alkalis, equivalent amounts of nitric acid and n</w:t>
      </w:r>
      <w:r w:rsidR="007E3DB8">
        <w:rPr>
          <w:rFonts w:ascii="Arial" w:hAnsi="Arial" w:cs="Arial"/>
          <w:sz w:val="20"/>
          <w:szCs w:val="20"/>
          <w:lang w:val="en-US"/>
        </w:rPr>
        <w:t>itric acid salts are obtained [8</w:t>
      </w:r>
      <w:r w:rsidRPr="000E2590">
        <w:rPr>
          <w:rFonts w:ascii="Arial" w:hAnsi="Arial" w:cs="Arial"/>
          <w:sz w:val="20"/>
          <w:szCs w:val="20"/>
          <w:lang w:val="en-US"/>
        </w:rPr>
        <w:t>].</w:t>
      </w:r>
    </w:p>
    <w:p w14:paraId="228539AA" w14:textId="5CEBFCFE"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production of sodium nitrite was based on the alkaline absorption of nitrogen oxides from low-concentration nitrous gases under atmospheric pressure after acid absorption in nitric acid production, maintaining such an oxidation state of nitrous gases was not particularly difficult. However, in modern nitric acid production facilities, alkaline purification of exhaust gases from nitrogen oxides is not practiced. Therefore, targeted installations for the production of sodium nitrite are based on the processing of concentrated nitrous gases, and to achieve deep purification of exhaust gases from nitrogen oxides, at least at the final stage of absorption, increased pressure is used [</w:t>
      </w:r>
      <w:r w:rsidR="007E3DB8">
        <w:rPr>
          <w:rFonts w:ascii="Arial" w:hAnsi="Arial" w:cs="Arial"/>
          <w:sz w:val="20"/>
          <w:szCs w:val="20"/>
          <w:lang w:val="en-US"/>
        </w:rPr>
        <w:t>9</w:t>
      </w:r>
      <w:r w:rsidRPr="000E2590">
        <w:rPr>
          <w:rFonts w:ascii="Arial" w:hAnsi="Arial" w:cs="Arial"/>
          <w:sz w:val="20"/>
          <w:szCs w:val="20"/>
          <w:lang w:val="en-US"/>
        </w:rPr>
        <w:t>].</w:t>
      </w:r>
    </w:p>
    <w:p w14:paraId="6C01F51D" w14:textId="7F57F56D"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In the most advanced sodium nitrite production, ammonia oxidation is carried out under atmospheric pressure, 90% of all nitrogen oxides are absorbed by a soda solution from hot nitrous gases, then the cooled gas is compressed to 4 atm and the remaining nitrogen oxides (10% of the total amount of nitrogen oxides obtained by ammonia conversion) are absorbed by a soda solution under this pressure in a sanitary absorption column, from</w:t>
      </w:r>
      <w:r w:rsidR="000C59C0" w:rsidRPr="000E2590">
        <w:rPr>
          <w:rFonts w:ascii="Arial" w:hAnsi="Arial" w:cs="Arial"/>
          <w:sz w:val="20"/>
          <w:szCs w:val="20"/>
          <w:lang w:val="en-US"/>
        </w:rPr>
        <w:t xml:space="preserve"> which the gas contains up to 0,</w:t>
      </w:r>
      <w:r w:rsidRPr="000E2590">
        <w:rPr>
          <w:rFonts w:ascii="Arial" w:hAnsi="Arial" w:cs="Arial"/>
          <w:sz w:val="20"/>
          <w:szCs w:val="20"/>
          <w:lang w:val="en-US"/>
        </w:rPr>
        <w:t xml:space="preserve">3 vol. of nitrogen oxides, therefore further purification is carried out using </w:t>
      </w:r>
      <w:r w:rsidR="007E3DB8">
        <w:rPr>
          <w:rFonts w:ascii="Arial" w:hAnsi="Arial" w:cs="Arial"/>
          <w:sz w:val="20"/>
          <w:szCs w:val="20"/>
          <w:lang w:val="en-US"/>
        </w:rPr>
        <w:t>ammonia on a special catalyst [10</w:t>
      </w:r>
      <w:r w:rsidRPr="000E2590">
        <w:rPr>
          <w:rFonts w:ascii="Arial" w:hAnsi="Arial" w:cs="Arial"/>
          <w:sz w:val="20"/>
          <w:szCs w:val="20"/>
          <w:lang w:val="en-US"/>
        </w:rPr>
        <w:t>].</w:t>
      </w:r>
    </w:p>
    <w:p w14:paraId="222548E1" w14:textId="5F46B021"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lastRenderedPageBreak/>
        <w:t>The work presents a method for obtaining sodium nitrite and an absorption apparatus for carrying out the process, according to which the absorption of the hot gas mixture obtained as a result of the oxidation of ammonia and containing water vapor, oxygen, and nitrogen oxides in the aqueous solution of sodium hydroxide is carried out in a vertical multi-section cylindrical absorption apparatus, as well as the washing of exhaust gases, according to the method, the absorption is carried out in an apparatus filled with a sodium hydroxide solution, the concentration of sodium hydroxide in the circulating so</w:t>
      </w:r>
      <w:r w:rsidR="000C59C0" w:rsidRPr="000E2590">
        <w:rPr>
          <w:rFonts w:ascii="Arial" w:hAnsi="Arial" w:cs="Arial"/>
          <w:sz w:val="20"/>
          <w:szCs w:val="20"/>
          <w:lang w:val="en-US"/>
        </w:rPr>
        <w:t>lution is maintained at least 2,</w:t>
      </w:r>
      <w:r w:rsidRPr="000E2590">
        <w:rPr>
          <w:rFonts w:ascii="Arial" w:hAnsi="Arial" w:cs="Arial"/>
          <w:sz w:val="20"/>
          <w:szCs w:val="20"/>
          <w:lang w:val="en-US"/>
        </w:rPr>
        <w:t xml:space="preserve">0%, and the washing of exhaust gases is carried out with a 40% sodium hydroxide solution, an absorption apparatus containing a vertical cylindrical housing, inside which are plates dividing the housing's internal space into sections, nozzles for supplying the circulating solution, for the output of the producing solution, and for the removal of exhaust gases, according to the invention, the housing's internal space is divided into upper and lower compartments by a partition on which a gas bubbler is installed, the plates dividing the housing space into sections are made </w:t>
      </w:r>
      <w:r w:rsidR="00751E56" w:rsidRPr="000E2590">
        <w:rPr>
          <w:rFonts w:ascii="Arial" w:hAnsi="Arial" w:cs="Arial"/>
          <w:sz w:val="20"/>
          <w:szCs w:val="20"/>
          <w:lang w:val="en-US"/>
        </w:rPr>
        <w:t xml:space="preserve">sieve-like </w:t>
      </w:r>
      <w:r w:rsidRPr="000E2590">
        <w:rPr>
          <w:rFonts w:ascii="Arial" w:hAnsi="Arial" w:cs="Arial"/>
          <w:sz w:val="20"/>
          <w:szCs w:val="20"/>
          <w:lang w:val="en-US"/>
        </w:rPr>
        <w:t>and are located only in the upper compartment, and at a height of 2/3 of the upper compartment, at least two separation plates with overflow tubes are installed, one of the plates communicates with the lower compartment of the apparatus, the other - with the lower part of the upper compartment; the bubbler is made in the form of a cylinder, the upper end of which is equipped with a perforated partition. Carrying out the absorption of a hot gas mixture in an absorption apparatus filled with sodium hydroxide solution, with the supply of a strong nitrous gas and a concentrated sodium hydroxide solution to the lower part of the apparatus's upper compartment and withdrawal from the upper part of the first separation plate along the flow, allows for an increase in the ratio of sodium nitrite to sodium nitrate at the absorption stage, which ensures an increase in product yield. In some cases, sodium nitrite is obtained without the admixture of sodium nitrate. Due to the maximum activation of the absorbent, sodium nitrite with a low content of sodium hydroxide is obtained, which is an important quality indicator of the product. The supply of gas entering at high speed to the lower part of the upper compartment of the absorption apparatus ensures the foaming of the concentrated sodium hydroxide solution. The resulting emulsion rises upwards, providin</w:t>
      </w:r>
      <w:r w:rsidR="007E3DB8">
        <w:rPr>
          <w:rFonts w:ascii="Arial" w:hAnsi="Arial" w:cs="Arial"/>
          <w:sz w:val="20"/>
          <w:szCs w:val="20"/>
          <w:lang w:val="en-US"/>
        </w:rPr>
        <w:t>g a developed contact surface [11</w:t>
      </w:r>
      <w:r w:rsidRPr="000E2590">
        <w:rPr>
          <w:rFonts w:ascii="Arial" w:hAnsi="Arial" w:cs="Arial"/>
          <w:sz w:val="20"/>
          <w:szCs w:val="20"/>
          <w:lang w:val="en-US"/>
        </w:rPr>
        <w:t>].</w:t>
      </w:r>
    </w:p>
    <w:p w14:paraId="0B69B695" w14:textId="2281A880"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The work presents a method for obtaining sodium nitrite and zinc oxide, according to which sodium nitrite is obtained by heating sodium nitrate with metal, followed by dissolving the resulting solid substance in water, precipitating the insoluble metal oxide and the sodium nitrite residue in solution, and heating the metal in the form of fine particles is carried out together with grinding ceramic balls in a bath of molten sodium nitrate inside a rotating drum of a ball mill at a temperature range of 308-320°C. By using zinc as a metal, a precipitating insoluble zinc oxide is obtained, which is used as a separate commercial product. To reduce the contamination of sodium nitrite and zinc oxide with the wear products of the ball mill, the drum of the ball mill is lined with zinc parts. As a model of the ball mill, a deep porcelain glass fixed on a metal rod for rotation using a drill with adjustable rotation speed was used, a muffle electric furnace was used to create a </w:t>
      </w:r>
      <w:proofErr w:type="spellStart"/>
      <w:r w:rsidRPr="000E2590">
        <w:rPr>
          <w:rFonts w:ascii="Arial" w:hAnsi="Arial" w:cs="Arial"/>
          <w:sz w:val="20"/>
          <w:szCs w:val="20"/>
          <w:lang w:val="en-US"/>
        </w:rPr>
        <w:t>thermostated</w:t>
      </w:r>
      <w:proofErr w:type="spellEnd"/>
      <w:r w:rsidRPr="000E2590">
        <w:rPr>
          <w:rFonts w:ascii="Arial" w:hAnsi="Arial" w:cs="Arial"/>
          <w:sz w:val="20"/>
          <w:szCs w:val="20"/>
          <w:lang w:val="en-US"/>
        </w:rPr>
        <w:t xml:space="preserve"> volume, granulated zinc CHDA TU 6-09-5294-86, high-grade technical sodium nitrate produced by "</w:t>
      </w:r>
      <w:proofErr w:type="spellStart"/>
      <w:r w:rsidRPr="000E2590">
        <w:rPr>
          <w:rFonts w:ascii="Arial" w:hAnsi="Arial" w:cs="Arial"/>
          <w:sz w:val="20"/>
          <w:szCs w:val="20"/>
          <w:lang w:val="en-US"/>
        </w:rPr>
        <w:t>Ferganaazot</w:t>
      </w:r>
      <w:proofErr w:type="spellEnd"/>
      <w:r w:rsidRPr="000E2590">
        <w:rPr>
          <w:rFonts w:ascii="Arial" w:hAnsi="Arial" w:cs="Arial"/>
          <w:sz w:val="20"/>
          <w:szCs w:val="20"/>
          <w:lang w:val="en-US"/>
        </w:rPr>
        <w:t>" JSC GOST 828-77, and aluminum oxide grinding balls were used. The temperature of the muffle furnace is 3</w:t>
      </w:r>
      <w:r w:rsidR="000C59C0" w:rsidRPr="000E2590">
        <w:rPr>
          <w:rFonts w:ascii="Arial" w:hAnsi="Arial" w:cs="Arial"/>
          <w:sz w:val="20"/>
          <w:szCs w:val="20"/>
          <w:lang w:val="en-US"/>
        </w:rPr>
        <w:t>14°C. Granulated zinc CHDA – 65,</w:t>
      </w:r>
      <w:r w:rsidRPr="000E2590">
        <w:rPr>
          <w:rFonts w:ascii="Arial" w:hAnsi="Arial" w:cs="Arial"/>
          <w:sz w:val="20"/>
          <w:szCs w:val="20"/>
          <w:lang w:val="en-US"/>
        </w:rPr>
        <w:t>38 g. Technical sodium nitrate - 85 g. Conversion NaNO</w:t>
      </w:r>
      <w:r w:rsidRPr="000E2590">
        <w:rPr>
          <w:rFonts w:ascii="Arial" w:hAnsi="Arial" w:cs="Arial"/>
          <w:sz w:val="20"/>
          <w:szCs w:val="20"/>
          <w:vertAlign w:val="subscript"/>
          <w:lang w:val="en-US"/>
        </w:rPr>
        <w:t>3</w:t>
      </w:r>
      <w:r w:rsidRPr="000E2590">
        <w:rPr>
          <w:rFonts w:ascii="Arial" w:hAnsi="Arial" w:cs="Arial"/>
          <w:sz w:val="20"/>
          <w:szCs w:val="20"/>
          <w:lang w:val="en-US"/>
        </w:rPr>
        <w:t>→ NaNO</w:t>
      </w:r>
      <w:r w:rsidRPr="000E2590">
        <w:rPr>
          <w:rFonts w:ascii="Arial" w:hAnsi="Arial" w:cs="Arial"/>
          <w:sz w:val="20"/>
          <w:szCs w:val="20"/>
          <w:vertAlign w:val="subscript"/>
          <w:lang w:val="en-US"/>
        </w:rPr>
        <w:t>2</w:t>
      </w:r>
      <w:r w:rsidRPr="000E2590">
        <w:rPr>
          <w:rFonts w:ascii="Arial" w:hAnsi="Arial" w:cs="Arial"/>
          <w:sz w:val="20"/>
          <w:szCs w:val="20"/>
          <w:lang w:val="en-US"/>
        </w:rPr>
        <w:t>, 93%. The proposed method for obtaining sodium nitrite allows for the production of two commercial products - sodium nitrite and zinc oxide - in a single technological process, resulting in significant energy savings due to a four-fold reduction in the temperature of zinc oxide production compared to the "French process," significant simplification of sodium nitrite production technology, and r</w:t>
      </w:r>
      <w:r w:rsidR="007E3DB8">
        <w:rPr>
          <w:rFonts w:ascii="Arial" w:hAnsi="Arial" w:cs="Arial"/>
          <w:sz w:val="20"/>
          <w:szCs w:val="20"/>
          <w:lang w:val="en-US"/>
        </w:rPr>
        <w:t>educed environmental impact. [12</w:t>
      </w:r>
      <w:r w:rsidRPr="000E2590">
        <w:rPr>
          <w:rFonts w:ascii="Arial" w:hAnsi="Arial" w:cs="Arial"/>
          <w:sz w:val="20"/>
          <w:szCs w:val="20"/>
          <w:lang w:val="en-US"/>
        </w:rPr>
        <w:t>].</w:t>
      </w:r>
    </w:p>
    <w:p w14:paraId="718E399C" w14:textId="63BAF5E6" w:rsidR="0080259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obtaining an improved form of purified crystalline sodium nitrite with minimal impurities, including the stages of: mixing a given ratio of air and ammonia in a mixer with a Venturi housing; passing the air-ammonia mixture through a special filter to filter impurities and obtain a purified air-ammonia mixture; passing the air-ammonia mixture into an adiabatic burner to pass through a multitude of catalytic screens arranged in the form of three pairs of two screens each at a given temperature for carrying out the selective oxidation process and selective production of nitrogen oxides; saturating nitrogen oxides using a waste utilization boiler to obtain saturated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gas; passing saturated gas NO</w:t>
      </w:r>
      <w:r w:rsidR="000C59C0" w:rsidRPr="000E2590">
        <w:rPr>
          <w:rFonts w:ascii="Arial" w:hAnsi="Arial" w:cs="Arial"/>
          <w:sz w:val="20"/>
          <w:szCs w:val="20"/>
          <w:vertAlign w:val="subscript"/>
          <w:lang w:val="en-US"/>
        </w:rPr>
        <w:t>2</w:t>
      </w:r>
      <w:r w:rsidR="000C59C0" w:rsidRPr="000E2590">
        <w:rPr>
          <w:rFonts w:ascii="Arial" w:hAnsi="Arial" w:cs="Arial"/>
          <w:sz w:val="20"/>
          <w:szCs w:val="20"/>
          <w:lang w:val="en-US"/>
        </w:rPr>
        <w:t xml:space="preserve"> </w:t>
      </w:r>
      <w:r w:rsidRPr="000E2590">
        <w:rPr>
          <w:rFonts w:ascii="Arial" w:hAnsi="Arial" w:cs="Arial"/>
          <w:sz w:val="20"/>
          <w:szCs w:val="20"/>
          <w:lang w:val="en-US"/>
        </w:rPr>
        <w:t>through one or more absorption towers for absorption of saturated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gas in one or more absorption towers containing an alkaline medium for selective formation of sodium nitrite suspension; optimization of sodium nitrite suspension concentration using a crystallizer to obtain a raw crystalline form; recrystallization of the raw crystalline form by multiple washing with one or more solvents to maximize impurity removal; and obtaining an improved form of purified crystalline with a p</w:t>
      </w:r>
      <w:r w:rsidR="007E3DB8">
        <w:rPr>
          <w:rFonts w:ascii="Arial" w:hAnsi="Arial" w:cs="Arial"/>
          <w:sz w:val="20"/>
          <w:szCs w:val="20"/>
          <w:lang w:val="en-US"/>
        </w:rPr>
        <w:t>urity level from 99% to 99.2%[13</w:t>
      </w:r>
      <w:r w:rsidRPr="000E2590">
        <w:rPr>
          <w:rFonts w:ascii="Arial" w:hAnsi="Arial" w:cs="Arial"/>
          <w:sz w:val="20"/>
          <w:szCs w:val="20"/>
          <w:lang w:val="en-US"/>
        </w:rPr>
        <w:t>].</w:t>
      </w:r>
    </w:p>
    <w:p w14:paraId="7844FA73" w14:textId="7C7D5ACC"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The work presents a method for obtaining sodium nitrite using the direct crystallization process. When using the process, the crystalline substances of sodium nitrite are prepared in steam-free conditions, and the crystalline substances of sodium nitrite are centrifuged and separated directly, and then dried to obtain sodium nitrite products. The process has advantages in terms of process simplicity, reduced </w:t>
      </w:r>
      <w:r w:rsidRPr="000E2590">
        <w:rPr>
          <w:rFonts w:ascii="Arial" w:hAnsi="Arial" w:cs="Arial"/>
          <w:sz w:val="20"/>
          <w:szCs w:val="20"/>
          <w:lang w:val="en-US"/>
        </w:rPr>
        <w:lastRenderedPageBreak/>
        <w:t>consumption, energy resource savings, and approximately 20 percent reduction in workshop consumption costs compared to the previous process. The work presents a method and devices for obtaining sodium nitrite using the mother solution. The device includes a crystallizer, a condenser, a centrifugal machine, a mother solution absorption tower, a circulation pump, and a storage tank, while the converted gas pipeline is connected to the conversion gas inlet of the mother solution absorption tower; the mother solution tank outlet and the mother solution outlet of the mother solution absorption tower are connected to the circulation pump inlet; the circulation pump outlet is divided into two paths, one path is connected to the mother solution inlet, and the other path is connected to the storage tank; the mother solution contacts the converted gas back in the mother solution absorption tower, so that the Na</w:t>
      </w:r>
      <w:r w:rsidRPr="000E2590">
        <w:rPr>
          <w:rFonts w:ascii="Arial" w:hAnsi="Arial" w:cs="Arial"/>
          <w:sz w:val="20"/>
          <w:szCs w:val="20"/>
          <w:vertAlign w:val="subscript"/>
          <w:lang w:val="en-US"/>
        </w:rPr>
        <w:t>2</w:t>
      </w:r>
      <w:r w:rsidRPr="000E2590">
        <w:rPr>
          <w:rFonts w:ascii="Arial" w:hAnsi="Arial" w:cs="Arial"/>
          <w:sz w:val="20"/>
          <w:szCs w:val="20"/>
          <w:lang w:val="en-US"/>
        </w:rPr>
        <w:t>CO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content decreases; the absorbed mother solution flows into the storage tank through the mother solution outlet and the circulation pump; and the absorbed mother solution, which is diverted from the storage tank, mixes with the raw material solution and is evaporated, crystallized and subjected to centrifugal separation to obtain the sodium nitrite product. According to this method, the raw material for sodium nitrite increases, and the product is improved by reducing the Na</w:t>
      </w:r>
      <w:r w:rsidRPr="000E2590">
        <w:rPr>
          <w:rFonts w:ascii="Arial" w:hAnsi="Arial" w:cs="Arial"/>
          <w:sz w:val="20"/>
          <w:szCs w:val="20"/>
          <w:vertAlign w:val="subscript"/>
          <w:lang w:val="en-US"/>
        </w:rPr>
        <w:t>2</w:t>
      </w:r>
      <w:r w:rsidRPr="000E2590">
        <w:rPr>
          <w:rFonts w:ascii="Arial" w:hAnsi="Arial" w:cs="Arial"/>
          <w:sz w:val="20"/>
          <w:szCs w:val="20"/>
          <w:lang w:val="en-US"/>
        </w:rPr>
        <w:t>CO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con</w:t>
      </w:r>
      <w:r w:rsidR="007E3DB8">
        <w:rPr>
          <w:rFonts w:ascii="Arial" w:hAnsi="Arial" w:cs="Arial"/>
          <w:sz w:val="20"/>
          <w:szCs w:val="20"/>
          <w:lang w:val="en-US"/>
        </w:rPr>
        <w:t>tent in the mother solution. [14</w:t>
      </w:r>
      <w:r w:rsidRPr="000E2590">
        <w:rPr>
          <w:rFonts w:ascii="Arial" w:hAnsi="Arial" w:cs="Arial"/>
          <w:sz w:val="20"/>
          <w:szCs w:val="20"/>
          <w:lang w:val="en-US"/>
        </w:rPr>
        <w:t>].</w:t>
      </w:r>
    </w:p>
    <w:p w14:paraId="0948F375" w14:textId="7CE2DCD6"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device for obtaining sodium nitrite, which includes an alkali dissolving tank, an alkali solution absorption tower, a crystallizer, a condenser, a centrifugal machine, a mother solution tank, a conversion tower, and a heat exchange mechanism, wherein the alkali dissolving tank is located at the bottom of the alkali dissolving tank; the heat exchange mechanism includes a condenser, an ejector, a circulating water tank, a circulating pump, and a cooling tower, wherein the instantaneous evaporation chamber output of the crystallizer is communicated with the first inlet of the circulating water tank through the condenser and an ejector, the outlet of the circulating water tank is connected to the upper part of the cooling tower through the circulation pump, the outlet of the cooling tower is connected to the second inlet of the circulating water tank, and the outlet of the circulating water tank is connected to the inlet of the alkaline solution absorption tower through the basin for dissolving the alkali; the method uses a heat exchange mechanism, the circulating water tank pumps the vacuum circulating water to the upper part of the cooling tower through the circulation pump, the fan pumps the air, ensuring direct contact between the air and the water to remove heat, and the cooled water automatically enters the circulating tank to achieve the cooling objective, thereby not only improving the yield and quality of sodium nitrite but also eliminating the shortcomings of</w:t>
      </w:r>
      <w:r w:rsidR="007E3DB8">
        <w:rPr>
          <w:rFonts w:ascii="Arial" w:hAnsi="Arial" w:cs="Arial"/>
          <w:sz w:val="20"/>
          <w:szCs w:val="20"/>
          <w:lang w:val="en-US"/>
        </w:rPr>
        <w:t xml:space="preserve"> the initial heat exchanger. [15</w:t>
      </w:r>
      <w:r w:rsidRPr="000E2590">
        <w:rPr>
          <w:rFonts w:ascii="Arial" w:hAnsi="Arial" w:cs="Arial"/>
          <w:sz w:val="20"/>
          <w:szCs w:val="20"/>
          <w:lang w:val="en-US"/>
        </w:rPr>
        <w:t>].</w:t>
      </w:r>
    </w:p>
    <w:p w14:paraId="4EB095B6" w14:textId="4C0B53DE"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In the chemical industry, there are many companies that produce sodium nitrite as their product. Sodium nitrite is used in the pharmaceutical industry, dyes and pigments, textile industry, metal coatings, rubber industry, salts for heat transfer, and antifreeze. The production of sodium nitrite consists of three main stages: 1. Oxidation section; 2. Absorption section; 3. Salt section. In the salt section, a crystallization process occurs, and from this spent liquid, a washing liquid is introduced. This liquid contains NaNO</w:t>
      </w:r>
      <w:r w:rsidRPr="000E2590">
        <w:rPr>
          <w:rFonts w:ascii="Arial" w:hAnsi="Arial" w:cs="Arial"/>
          <w:sz w:val="20"/>
          <w:szCs w:val="20"/>
          <w:vertAlign w:val="subscript"/>
          <w:lang w:val="en-US"/>
        </w:rPr>
        <w:t>2</w:t>
      </w:r>
      <w:r w:rsidRPr="000E2590">
        <w:rPr>
          <w:rFonts w:ascii="Arial" w:hAnsi="Arial" w:cs="Arial"/>
          <w:sz w:val="20"/>
          <w:szCs w:val="20"/>
          <w:lang w:val="en-US"/>
        </w:rPr>
        <w:t>, NaNO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and water. This washing liquid is harmful to the environment, so companies cannot dispose of it without treatment. This waste can be reduced by re-producing sodium nitrite from the washing fluid, which requires 4 stages. 1. Reaction section; 2. Absorption </w:t>
      </w:r>
      <w:proofErr w:type="gramStart"/>
      <w:r w:rsidRPr="000E2590">
        <w:rPr>
          <w:rFonts w:ascii="Arial" w:hAnsi="Arial" w:cs="Arial"/>
          <w:sz w:val="20"/>
          <w:szCs w:val="20"/>
          <w:lang w:val="en-US"/>
        </w:rPr>
        <w:t>section;  3</w:t>
      </w:r>
      <w:proofErr w:type="gramEnd"/>
      <w:r w:rsidRPr="000E2590">
        <w:rPr>
          <w:rFonts w:ascii="Arial" w:hAnsi="Arial" w:cs="Arial"/>
          <w:sz w:val="20"/>
          <w:szCs w:val="20"/>
          <w:lang w:val="en-US"/>
        </w:rPr>
        <w:t>. Crystallization section; 4. Drying section.  According to this method, a reaction occurs between the blowing fluid and nitric acid, forming NO</w:t>
      </w:r>
      <w:r w:rsidRPr="000E2590">
        <w:rPr>
          <w:rFonts w:ascii="Arial" w:hAnsi="Arial" w:cs="Arial"/>
          <w:sz w:val="20"/>
          <w:szCs w:val="20"/>
          <w:vertAlign w:val="subscript"/>
          <w:lang w:val="en-US"/>
        </w:rPr>
        <w:t>x</w:t>
      </w:r>
      <w:r w:rsidRPr="000E2590">
        <w:rPr>
          <w:rFonts w:ascii="Arial" w:hAnsi="Arial" w:cs="Arial"/>
          <w:sz w:val="20"/>
          <w:szCs w:val="20"/>
          <w:lang w:val="en-US"/>
        </w:rPr>
        <w:t>. Then, NO</w:t>
      </w:r>
      <w:r w:rsidRPr="000E2590">
        <w:rPr>
          <w:rFonts w:ascii="Arial" w:hAnsi="Arial" w:cs="Arial"/>
          <w:sz w:val="20"/>
          <w:szCs w:val="20"/>
          <w:vertAlign w:val="subscript"/>
          <w:lang w:val="en-US"/>
        </w:rPr>
        <w:t>x</w:t>
      </w:r>
      <w:r w:rsidRPr="000E2590">
        <w:rPr>
          <w:rFonts w:ascii="Arial" w:hAnsi="Arial" w:cs="Arial"/>
          <w:sz w:val="20"/>
          <w:szCs w:val="20"/>
          <w:lang w:val="en-US"/>
        </w:rPr>
        <w:t xml:space="preserve"> enters the absorption column for further processing. In the NO</w:t>
      </w:r>
      <w:r w:rsidRPr="000E2590">
        <w:rPr>
          <w:rFonts w:ascii="Arial" w:hAnsi="Arial" w:cs="Arial"/>
          <w:sz w:val="20"/>
          <w:szCs w:val="20"/>
          <w:vertAlign w:val="subscript"/>
          <w:lang w:val="en-US"/>
        </w:rPr>
        <w:t>x</w:t>
      </w:r>
      <w:r w:rsidRPr="000E2590">
        <w:rPr>
          <w:rFonts w:ascii="Arial" w:hAnsi="Arial" w:cs="Arial"/>
          <w:sz w:val="20"/>
          <w:szCs w:val="20"/>
          <w:lang w:val="en-US"/>
        </w:rPr>
        <w:t xml:space="preserve"> absorption section, NaOH is absorbed, producing sodium nitrite in liquid form, but sodium nitrite is required in solid form in the market. Therefore, further processing is required. In the crystallization section, liquid NaNO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is converted into crystals, and then the drying process is carried out. Eventually, we obtain sodium nitrite as the d</w:t>
      </w:r>
      <w:r w:rsidR="007E3DB8">
        <w:rPr>
          <w:rFonts w:ascii="Arial" w:hAnsi="Arial" w:cs="Arial"/>
          <w:sz w:val="20"/>
          <w:szCs w:val="20"/>
          <w:lang w:val="en-US"/>
        </w:rPr>
        <w:t>esired product in solid form [16</w:t>
      </w:r>
      <w:r w:rsidRPr="000E2590">
        <w:rPr>
          <w:rFonts w:ascii="Arial" w:hAnsi="Arial" w:cs="Arial"/>
          <w:sz w:val="20"/>
          <w:szCs w:val="20"/>
          <w:lang w:val="en-US"/>
        </w:rPr>
        <w:t>].</w:t>
      </w:r>
    </w:p>
    <w:p w14:paraId="676C4886" w14:textId="77777777"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It is known that the chemical industry makes a significant contribution to the progress of our country's development. The industry's most serious environmental problem is the emission of exhaust gases containing toxic substances, including nitrogen oxides. The maximum permissible average daily content of nitrogen oxides in the atmospheric air of populated areas, converted into N</w:t>
      </w:r>
      <w:r w:rsidRPr="000E2590">
        <w:rPr>
          <w:rFonts w:ascii="Arial" w:hAnsi="Arial" w:cs="Arial"/>
          <w:sz w:val="20"/>
          <w:szCs w:val="20"/>
          <w:vertAlign w:val="subscript"/>
          <w:lang w:val="en-US"/>
        </w:rPr>
        <w:t>2</w:t>
      </w:r>
      <w:r w:rsidRPr="000E2590">
        <w:rPr>
          <w:rFonts w:ascii="Arial" w:hAnsi="Arial" w:cs="Arial"/>
          <w:sz w:val="20"/>
          <w:szCs w:val="20"/>
          <w:lang w:val="en-US"/>
        </w:rPr>
        <w:t>O</w:t>
      </w:r>
      <w:r w:rsidRPr="000E2590">
        <w:rPr>
          <w:rFonts w:ascii="Arial" w:hAnsi="Arial" w:cs="Arial"/>
          <w:sz w:val="20"/>
          <w:szCs w:val="20"/>
          <w:vertAlign w:val="subscript"/>
          <w:lang w:val="en-US"/>
        </w:rPr>
        <w:t>5</w:t>
      </w:r>
      <w:r w:rsidRPr="000E2590">
        <w:rPr>
          <w:rFonts w:ascii="Arial" w:hAnsi="Arial" w:cs="Arial"/>
          <w:sz w:val="20"/>
          <w:szCs w:val="20"/>
          <w:lang w:val="en-US"/>
        </w:rPr>
        <w:t>, should not exceed 0.1 mg/m</w:t>
      </w:r>
      <w:r w:rsidRPr="000E2590">
        <w:rPr>
          <w:rFonts w:ascii="Arial" w:hAnsi="Arial" w:cs="Arial"/>
          <w:sz w:val="20"/>
          <w:szCs w:val="20"/>
          <w:vertAlign w:val="superscript"/>
          <w:lang w:val="en-US"/>
        </w:rPr>
        <w:t>3</w:t>
      </w:r>
      <w:r w:rsidRPr="000E2590">
        <w:rPr>
          <w:rFonts w:ascii="Arial" w:hAnsi="Arial" w:cs="Arial"/>
          <w:sz w:val="20"/>
          <w:szCs w:val="20"/>
          <w:lang w:val="en-US"/>
        </w:rPr>
        <w:t>, while simultaneously complying with the requirement for the maximum permissible content of nitrogen oxides not exceeding 0.3 mg/m</w:t>
      </w:r>
      <w:r w:rsidRPr="000E2590">
        <w:rPr>
          <w:rFonts w:ascii="Arial" w:hAnsi="Arial" w:cs="Arial"/>
          <w:sz w:val="20"/>
          <w:szCs w:val="20"/>
          <w:vertAlign w:val="superscript"/>
          <w:lang w:val="en-US"/>
        </w:rPr>
        <w:t>3</w:t>
      </w:r>
      <w:r w:rsidRPr="000E2590">
        <w:rPr>
          <w:rFonts w:ascii="Arial" w:hAnsi="Arial" w:cs="Arial"/>
          <w:sz w:val="20"/>
          <w:szCs w:val="20"/>
          <w:lang w:val="en-US"/>
        </w:rPr>
        <w:t>.  In nitric acid production, the main problem is the emission of nitrous gases and the development of methods that allow reducing their emission volume.</w:t>
      </w:r>
    </w:p>
    <w:p w14:paraId="40271B9D" w14:textId="77777777" w:rsidR="008761F7" w:rsidRPr="000E2590" w:rsidRDefault="008761F7" w:rsidP="008761F7">
      <w:pPr>
        <w:spacing w:after="240" w:line="240" w:lineRule="auto"/>
        <w:ind w:firstLine="709"/>
        <w:jc w:val="both"/>
        <w:rPr>
          <w:rFonts w:ascii="Arial" w:hAnsi="Arial" w:cs="Arial"/>
          <w:sz w:val="20"/>
          <w:szCs w:val="20"/>
          <w:lang w:val="en-US"/>
        </w:rPr>
      </w:pPr>
      <w:r w:rsidRPr="000E2590">
        <w:rPr>
          <w:rFonts w:ascii="Arial" w:hAnsi="Arial" w:cs="Arial"/>
          <w:sz w:val="20"/>
          <w:szCs w:val="20"/>
          <w:lang w:val="en-US"/>
        </w:rPr>
        <w:t>The difficulties of extracting nitrogen oxides from gases by absorption methods are related to the peculiarities of their interaction with water and aqueous solutions of alkalis and acids. As is known, nitrogen oxide practically does not react with water and alkalis. Nitrogen dioxide forms nitric acid and nitrogen oxide with water:</w:t>
      </w:r>
    </w:p>
    <w:p w14:paraId="375B3532" w14:textId="6DD395E4" w:rsidR="00AC4616" w:rsidRPr="000E2590" w:rsidRDefault="00AC4616" w:rsidP="008761F7">
      <w:pPr>
        <w:spacing w:before="240" w:after="240" w:line="240" w:lineRule="auto"/>
        <w:ind w:firstLine="709"/>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3NO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O </w:t>
      </w:r>
      <w:r w:rsidR="007E3DB8">
        <w:rPr>
          <w:rFonts w:ascii="Arial" w:hAnsi="Arial" w:cs="Arial"/>
          <w:color w:val="000000" w:themeColor="text1"/>
          <w:sz w:val="20"/>
          <w:szCs w:val="20"/>
          <w:lang w:val="en-US"/>
        </w:rPr>
        <w:t>–˃</w:t>
      </w:r>
      <w:r w:rsidR="007E3DB8"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2HNO</w:t>
      </w:r>
      <w:r w:rsidRPr="000E2590">
        <w:rPr>
          <w:rFonts w:ascii="Arial" w:hAnsi="Arial" w:cs="Arial"/>
          <w:color w:val="000000" w:themeColor="text1"/>
          <w:sz w:val="20"/>
          <w:szCs w:val="20"/>
          <w:vertAlign w:val="subscript"/>
          <w:lang w:val="en-US"/>
        </w:rPr>
        <w:t>3</w:t>
      </w:r>
      <w:r w:rsidRPr="000E2590">
        <w:rPr>
          <w:rFonts w:ascii="Arial" w:hAnsi="Arial" w:cs="Arial"/>
          <w:color w:val="000000" w:themeColor="text1"/>
          <w:sz w:val="20"/>
          <w:szCs w:val="20"/>
          <w:lang w:val="en-US"/>
        </w:rPr>
        <w:t xml:space="preserve"> + NO</w:t>
      </w:r>
    </w:p>
    <w:p w14:paraId="41148CDD" w14:textId="77777777" w:rsidR="003409C4" w:rsidRPr="000E2590" w:rsidRDefault="003409C4" w:rsidP="00AC4616">
      <w:pPr>
        <w:spacing w:after="0" w:line="240" w:lineRule="auto"/>
        <w:ind w:firstLine="708"/>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With alkalis, nitrogen dioxide forms nitrites and nitrates:</w:t>
      </w:r>
    </w:p>
    <w:p w14:paraId="4C6CE1FC" w14:textId="08826CCF" w:rsidR="00AC4616" w:rsidRPr="000E2590" w:rsidRDefault="00AC4616" w:rsidP="003409C4">
      <w:pPr>
        <w:spacing w:before="240" w:after="0" w:line="240" w:lineRule="auto"/>
        <w:ind w:firstLine="709"/>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lastRenderedPageBreak/>
        <w:t>2NO</w:t>
      </w:r>
      <w:r w:rsidRPr="000E2590">
        <w:rPr>
          <w:rFonts w:ascii="Arial" w:hAnsi="Arial" w:cs="Arial"/>
          <w:color w:val="000000" w:themeColor="text1"/>
          <w:sz w:val="20"/>
          <w:szCs w:val="20"/>
          <w:vertAlign w:val="subscript"/>
          <w:lang w:val="en-US"/>
        </w:rPr>
        <w:t>2</w:t>
      </w:r>
      <w:r w:rsidR="007E3DB8">
        <w:rPr>
          <w:rFonts w:ascii="Arial" w:hAnsi="Arial" w:cs="Arial"/>
          <w:color w:val="000000" w:themeColor="text1"/>
          <w:sz w:val="20"/>
          <w:szCs w:val="20"/>
          <w:lang w:val="en-US"/>
        </w:rPr>
        <w:t>+2NaOH –˃</w:t>
      </w:r>
      <w:r w:rsidRPr="000E2590">
        <w:rPr>
          <w:rFonts w:ascii="Arial" w:hAnsi="Arial" w:cs="Arial"/>
          <w:color w:val="000000" w:themeColor="text1"/>
          <w:sz w:val="20"/>
          <w:szCs w:val="20"/>
          <w:lang w:val="en-US"/>
        </w:rPr>
        <w:t xml:space="preserve"> NaNO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 + NaNO</w:t>
      </w:r>
      <w:r w:rsidRPr="000E2590">
        <w:rPr>
          <w:rFonts w:ascii="Arial" w:hAnsi="Arial" w:cs="Arial"/>
          <w:color w:val="000000" w:themeColor="text1"/>
          <w:sz w:val="20"/>
          <w:szCs w:val="20"/>
          <w:vertAlign w:val="subscript"/>
          <w:lang w:val="en-US"/>
        </w:rPr>
        <w:t>3</w:t>
      </w:r>
      <w:r w:rsidRPr="000E2590">
        <w:rPr>
          <w:rFonts w:ascii="Arial" w:hAnsi="Arial" w:cs="Arial"/>
          <w:color w:val="000000" w:themeColor="text1"/>
          <w:sz w:val="20"/>
          <w:szCs w:val="20"/>
          <w:lang w:val="en-US"/>
        </w:rPr>
        <w:t xml:space="preserve"> + 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O</w:t>
      </w:r>
    </w:p>
    <w:p w14:paraId="08266960" w14:textId="77777777" w:rsidR="003409C4" w:rsidRPr="000E2590" w:rsidRDefault="003409C4" w:rsidP="003409C4">
      <w:pPr>
        <w:spacing w:before="240" w:after="0" w:line="240" w:lineRule="auto"/>
        <w:ind w:firstLine="709"/>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Therefore, it is fundamentally impossible to absorb 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 and nitrogen oxides in a single apparatus without numerous intermediate oxidation stages, obtaining only nitric acid or only nitrates.</w:t>
      </w:r>
    </w:p>
    <w:p w14:paraId="44A53FC6" w14:textId="57152940" w:rsidR="00AC4616"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There are various methods for neutralizing nitrous gases and processing them into useful products: purification of gases from nitrogen oxides in an equally flowing hollow tower; purification of gases from nitrogen oxides in combined-type apparatuses; purification of gases from weakly oxidized nitrogen oxides, absorption of nitrogen oxide by ammonium sulfite solutions; oxidation and absorption of nitrogen oxides by aqueous solutions of oxidizers; purification of gases from nitrogen oxides by aqueous solutions of hydrogen peroxide; absorption of weakly oxidized nitrogen oxides by aqueous solutions of potassium permanganate; absorption of highly oxidized nitrogen oxides; research on the absorption of nitrogen oxides by organic sorbents; adsorption of nitrogen oxides by solid sorbents; purification of gases from nitrogen oxides and other impurities by peat-alkaline sorbents with the production of peat-nitrogen fertilizers; absorption of nitrogen oxide by sol</w:t>
      </w:r>
      <w:r w:rsidR="007E3DB8">
        <w:rPr>
          <w:rFonts w:ascii="Arial" w:hAnsi="Arial" w:cs="Arial"/>
          <w:color w:val="000000" w:themeColor="text1"/>
          <w:sz w:val="20"/>
          <w:szCs w:val="20"/>
          <w:lang w:val="en-US"/>
        </w:rPr>
        <w:t>utions of iron sulfate oxide [17</w:t>
      </w:r>
      <w:r w:rsidRPr="000E2590">
        <w:rPr>
          <w:rFonts w:ascii="Arial" w:hAnsi="Arial" w:cs="Arial"/>
          <w:color w:val="000000" w:themeColor="text1"/>
          <w:sz w:val="20"/>
          <w:szCs w:val="20"/>
          <w:lang w:val="en-US"/>
        </w:rPr>
        <w:t>].</w:t>
      </w:r>
    </w:p>
    <w:p w14:paraId="128C55BD" w14:textId="77777777"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Despite numerous developments on nitrogen oxide absorption worldwide, attempts are still being made to develop new technologies to reduce NO</w:t>
      </w:r>
      <w:r w:rsidRPr="000E2590">
        <w:rPr>
          <w:rFonts w:ascii="Arial" w:hAnsi="Arial" w:cs="Arial"/>
          <w:color w:val="000000" w:themeColor="text1"/>
          <w:sz w:val="20"/>
          <w:szCs w:val="20"/>
          <w:vertAlign w:val="subscript"/>
          <w:lang w:val="en-US"/>
        </w:rPr>
        <w:t>x</w:t>
      </w:r>
      <w:r w:rsidRPr="000E2590">
        <w:rPr>
          <w:rFonts w:ascii="Arial" w:hAnsi="Arial" w:cs="Arial"/>
          <w:color w:val="000000" w:themeColor="text1"/>
          <w:sz w:val="20"/>
          <w:szCs w:val="20"/>
          <w:lang w:val="en-US"/>
        </w:rPr>
        <w:t xml:space="preserve"> (NO + 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emissions for environmental and economic reasons, as this problem remains relevant and global. Therefore, the development of new technologies for absorbing nitrous gases and processing them into useful products is a requirement of our time.</w:t>
      </w:r>
    </w:p>
    <w:p w14:paraId="2CC20017" w14:textId="25160CD8"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 xml:space="preserve">The purpose of this work is to study the processes of stepwise absorption of nitrogen oxides from exhaust gases of </w:t>
      </w:r>
      <w:r w:rsidR="00DD1C44">
        <w:rPr>
          <w:rFonts w:ascii="Arial" w:hAnsi="Arial" w:cs="Arial"/>
          <w:color w:val="000000" w:themeColor="text1"/>
          <w:sz w:val="20"/>
          <w:szCs w:val="20"/>
          <w:lang w:val="en-US"/>
        </w:rPr>
        <w:t>nitric acid production using TBP</w:t>
      </w:r>
      <w:r w:rsidRPr="000E2590">
        <w:rPr>
          <w:rFonts w:ascii="Arial" w:hAnsi="Arial" w:cs="Arial"/>
          <w:color w:val="000000" w:themeColor="text1"/>
          <w:sz w:val="20"/>
          <w:szCs w:val="20"/>
          <w:lang w:val="en-US"/>
        </w:rPr>
        <w:t xml:space="preserve"> and iron sulfate solution and obtaining sodium nitrite.</w:t>
      </w:r>
    </w:p>
    <w:p w14:paraId="298A3053" w14:textId="77777777" w:rsidR="003409C4" w:rsidRPr="000E2590" w:rsidRDefault="003409C4" w:rsidP="003409C4">
      <w:pPr>
        <w:spacing w:after="0" w:line="240" w:lineRule="auto"/>
        <w:ind w:firstLine="708"/>
        <w:jc w:val="both"/>
        <w:rPr>
          <w:rFonts w:ascii="Arial" w:hAnsi="Arial" w:cs="Arial"/>
          <w:b/>
          <w:color w:val="000000" w:themeColor="text1"/>
          <w:sz w:val="20"/>
          <w:szCs w:val="20"/>
          <w:lang w:val="en-US"/>
        </w:rPr>
      </w:pPr>
      <w:r w:rsidRPr="000E2590">
        <w:rPr>
          <w:rFonts w:ascii="Arial" w:hAnsi="Arial" w:cs="Arial"/>
          <w:b/>
          <w:color w:val="000000" w:themeColor="text1"/>
          <w:sz w:val="20"/>
          <w:szCs w:val="20"/>
          <w:lang w:val="en-US"/>
        </w:rPr>
        <w:t>Research objects and methods.</w:t>
      </w:r>
    </w:p>
    <w:p w14:paraId="356C9BF2" w14:textId="16E85EB9"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For the experiments, iron (II) sulfate heptahydrate - further referred to as iron sulfate, obtained by utilizing spent sulfuric acid mordant solutions (FeSO</w:t>
      </w:r>
      <w:r w:rsidRPr="000E2590">
        <w:rPr>
          <w:rFonts w:ascii="Arial" w:hAnsi="Arial" w:cs="Arial"/>
          <w:color w:val="000000" w:themeColor="text1"/>
          <w:sz w:val="20"/>
          <w:szCs w:val="20"/>
          <w:vertAlign w:val="subscript"/>
          <w:lang w:val="en-US"/>
        </w:rPr>
        <w:t>4</w:t>
      </w:r>
      <w:r w:rsidRPr="000E2590">
        <w:rPr>
          <w:rFonts w:ascii="Arial" w:hAnsi="Arial" w:cs="Arial"/>
          <w:color w:val="000000" w:themeColor="text1"/>
          <w:sz w:val="20"/>
          <w:szCs w:val="20"/>
          <w:lang w:val="en-US"/>
        </w:rPr>
        <w:t>*7H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O) (GOST 6981-94) - was used. The absorption capacity of the solution depends on the amount of ferrous oxide. Temperatures and partial elasticity of nitrogen oxide above the solution. At relatively low temperatures of 15-20°C, the solution can completely remove nitrogen oxide. The solubility limit of nitrogen oxide is </w:t>
      </w:r>
      <w:proofErr w:type="gramStart"/>
      <w:r w:rsidRPr="000E2590">
        <w:rPr>
          <w:rFonts w:ascii="Arial" w:hAnsi="Arial" w:cs="Arial"/>
          <w:color w:val="000000" w:themeColor="text1"/>
          <w:sz w:val="20"/>
          <w:szCs w:val="20"/>
          <w:lang w:val="en-US"/>
        </w:rPr>
        <w:t>NO</w:t>
      </w:r>
      <w:r w:rsidR="000C59C0"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w:t>
      </w:r>
      <w:proofErr w:type="gramEnd"/>
      <w:r w:rsidR="000C59C0"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Fe</w:t>
      </w:r>
      <w:r w:rsidRPr="000E2590">
        <w:rPr>
          <w:rFonts w:ascii="Arial" w:hAnsi="Arial" w:cs="Arial"/>
          <w:color w:val="000000" w:themeColor="text1"/>
          <w:sz w:val="20"/>
          <w:szCs w:val="20"/>
          <w:vertAlign w:val="superscript"/>
          <w:lang w:val="en-US"/>
        </w:rPr>
        <w:t>++</w:t>
      </w:r>
      <w:r w:rsidR="007E3DB8">
        <w:rPr>
          <w:rFonts w:ascii="Arial" w:hAnsi="Arial" w:cs="Arial"/>
          <w:color w:val="000000" w:themeColor="text1"/>
          <w:sz w:val="20"/>
          <w:szCs w:val="20"/>
          <w:lang w:val="en-US"/>
        </w:rPr>
        <w:t>=1:1. [18</w:t>
      </w:r>
      <w:r w:rsidRPr="000E2590">
        <w:rPr>
          <w:rFonts w:ascii="Arial" w:hAnsi="Arial" w:cs="Arial"/>
          <w:color w:val="000000" w:themeColor="text1"/>
          <w:sz w:val="20"/>
          <w:szCs w:val="20"/>
          <w:lang w:val="en-US"/>
        </w:rPr>
        <w:t>].</w:t>
      </w:r>
    </w:p>
    <w:p w14:paraId="22A76ACF" w14:textId="45090783" w:rsidR="003409C4" w:rsidRPr="000E2590" w:rsidRDefault="003409C4" w:rsidP="003409C4">
      <w:pPr>
        <w:spacing w:before="120" w:after="120" w:line="240" w:lineRule="auto"/>
        <w:ind w:firstLine="709"/>
        <w:jc w:val="center"/>
        <w:rPr>
          <w:rFonts w:ascii="Arial" w:hAnsi="Arial" w:cs="Arial"/>
          <w:color w:val="000000"/>
          <w:sz w:val="20"/>
          <w:szCs w:val="20"/>
          <w:vertAlign w:val="subscript"/>
          <w:lang w:val="en-US"/>
        </w:rPr>
      </w:pPr>
      <w:r w:rsidRPr="000E2590">
        <w:rPr>
          <w:rFonts w:ascii="Arial" w:hAnsi="Arial" w:cs="Arial"/>
          <w:color w:val="000000"/>
          <w:sz w:val="20"/>
          <w:szCs w:val="20"/>
          <w:lang w:val="en-US"/>
        </w:rPr>
        <w:t>FeSO</w:t>
      </w:r>
      <w:r w:rsidRPr="000E2590">
        <w:rPr>
          <w:rFonts w:ascii="Arial" w:hAnsi="Arial" w:cs="Arial"/>
          <w:color w:val="000000"/>
          <w:sz w:val="20"/>
          <w:szCs w:val="20"/>
          <w:vertAlign w:val="subscript"/>
          <w:lang w:val="en-US"/>
        </w:rPr>
        <w:t xml:space="preserve">4 </w:t>
      </w:r>
      <w:r w:rsidRPr="000E2590">
        <w:rPr>
          <w:rFonts w:ascii="Arial" w:hAnsi="Arial" w:cs="Arial"/>
          <w:color w:val="000000"/>
          <w:sz w:val="20"/>
          <w:szCs w:val="20"/>
          <w:lang w:val="en-US"/>
        </w:rPr>
        <w:t xml:space="preserve">+NO </w:t>
      </w:r>
      <w:r w:rsidR="00DD1C44">
        <w:rPr>
          <w:rFonts w:ascii="Arial" w:hAnsi="Arial" w:cs="Arial"/>
          <w:color w:val="000000" w:themeColor="text1"/>
          <w:sz w:val="20"/>
          <w:szCs w:val="20"/>
          <w:lang w:val="en-US"/>
        </w:rPr>
        <w:t>–˃</w:t>
      </w:r>
      <w:r w:rsidRPr="000E2590">
        <w:rPr>
          <w:rFonts w:ascii="Arial" w:hAnsi="Arial" w:cs="Arial"/>
          <w:color w:val="000000"/>
          <w:sz w:val="20"/>
          <w:szCs w:val="20"/>
          <w:lang w:val="en-US"/>
        </w:rPr>
        <w:t xml:space="preserve"> Fe(NO)SO</w:t>
      </w:r>
      <w:r w:rsidRPr="000E2590">
        <w:rPr>
          <w:rFonts w:ascii="Arial" w:hAnsi="Arial" w:cs="Arial"/>
          <w:color w:val="000000"/>
          <w:sz w:val="20"/>
          <w:szCs w:val="20"/>
          <w:vertAlign w:val="subscript"/>
          <w:lang w:val="en-US"/>
        </w:rPr>
        <w:t>4</w:t>
      </w:r>
    </w:p>
    <w:p w14:paraId="0BB93D27" w14:textId="77777777" w:rsidR="00AC4616" w:rsidRPr="000E2590" w:rsidRDefault="000C59C0"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When heated to 95-100 </w:t>
      </w:r>
      <w:proofErr w:type="spellStart"/>
      <w:r w:rsidRPr="000E2590">
        <w:rPr>
          <w:rFonts w:ascii="Arial" w:hAnsi="Arial" w:cs="Arial"/>
          <w:sz w:val="20"/>
          <w:szCs w:val="20"/>
          <w:vertAlign w:val="superscript"/>
          <w:lang w:val="en-US"/>
        </w:rPr>
        <w:t>o</w:t>
      </w:r>
      <w:r w:rsidR="003409C4" w:rsidRPr="000E2590">
        <w:rPr>
          <w:rFonts w:ascii="Arial" w:hAnsi="Arial" w:cs="Arial"/>
          <w:sz w:val="20"/>
          <w:szCs w:val="20"/>
          <w:lang w:val="en-US"/>
        </w:rPr>
        <w:t>C</w:t>
      </w:r>
      <w:proofErr w:type="spellEnd"/>
      <w:r w:rsidR="003409C4" w:rsidRPr="000E2590">
        <w:rPr>
          <w:rFonts w:ascii="Arial" w:hAnsi="Arial" w:cs="Arial"/>
          <w:sz w:val="20"/>
          <w:szCs w:val="20"/>
          <w:lang w:val="en-US"/>
        </w:rPr>
        <w:t>, the Fe(NO)SO</w:t>
      </w:r>
      <w:r w:rsidR="003409C4" w:rsidRPr="000E2590">
        <w:rPr>
          <w:rFonts w:ascii="Arial" w:hAnsi="Arial" w:cs="Arial"/>
          <w:sz w:val="20"/>
          <w:szCs w:val="20"/>
          <w:vertAlign w:val="subscript"/>
          <w:lang w:val="en-US"/>
        </w:rPr>
        <w:t>4</w:t>
      </w:r>
      <w:r w:rsidR="003409C4" w:rsidRPr="000E2590">
        <w:rPr>
          <w:rFonts w:ascii="Arial" w:hAnsi="Arial" w:cs="Arial"/>
          <w:sz w:val="20"/>
          <w:szCs w:val="20"/>
          <w:lang w:val="en-US"/>
        </w:rPr>
        <w:t xml:space="preserve"> complex decomposes and NO is released in pure form, and the reduced solution is returned to production. For NO</w:t>
      </w:r>
      <w:r w:rsidR="003409C4" w:rsidRPr="000E2590">
        <w:rPr>
          <w:rFonts w:ascii="Arial" w:hAnsi="Arial" w:cs="Arial"/>
          <w:sz w:val="20"/>
          <w:szCs w:val="20"/>
          <w:vertAlign w:val="subscript"/>
          <w:lang w:val="en-US"/>
        </w:rPr>
        <w:t>2</w:t>
      </w:r>
      <w:r w:rsidR="003409C4" w:rsidRPr="000E2590">
        <w:rPr>
          <w:rFonts w:ascii="Arial" w:hAnsi="Arial" w:cs="Arial"/>
          <w:sz w:val="20"/>
          <w:szCs w:val="20"/>
          <w:lang w:val="en-US"/>
        </w:rPr>
        <w:t xml:space="preserve"> absorption, technical tributyl phosphate (TBP) was used, having the following composition, %: TBP mass </w:t>
      </w:r>
      <w:r w:rsidRPr="000E2590">
        <w:rPr>
          <w:rFonts w:ascii="Arial" w:hAnsi="Arial" w:cs="Arial"/>
          <w:sz w:val="20"/>
          <w:szCs w:val="20"/>
          <w:lang w:val="en-US"/>
        </w:rPr>
        <w:t>fraction – 99,</w:t>
      </w:r>
      <w:r w:rsidR="003409C4" w:rsidRPr="000E2590">
        <w:rPr>
          <w:rFonts w:ascii="Arial" w:hAnsi="Arial" w:cs="Arial"/>
          <w:sz w:val="20"/>
          <w:szCs w:val="20"/>
          <w:lang w:val="en-US"/>
        </w:rPr>
        <w:t>5,</w:t>
      </w:r>
      <w:r w:rsidRPr="000E2590">
        <w:rPr>
          <w:rFonts w:ascii="Arial" w:hAnsi="Arial" w:cs="Arial"/>
          <w:sz w:val="20"/>
          <w:szCs w:val="20"/>
          <w:lang w:val="en-US"/>
        </w:rPr>
        <w:t xml:space="preserve"> water mass fraction – 0,</w:t>
      </w:r>
      <w:r w:rsidR="002C21A4" w:rsidRPr="000E2590">
        <w:rPr>
          <w:rFonts w:ascii="Arial" w:hAnsi="Arial" w:cs="Arial"/>
          <w:sz w:val="20"/>
          <w:szCs w:val="20"/>
          <w:lang w:val="en-US"/>
        </w:rPr>
        <w:t>05. TBP</w:t>
      </w:r>
      <w:r w:rsidR="003409C4" w:rsidRPr="000E2590">
        <w:rPr>
          <w:rFonts w:ascii="Arial" w:hAnsi="Arial" w:cs="Arial"/>
          <w:sz w:val="20"/>
          <w:szCs w:val="20"/>
          <w:lang w:val="en-US"/>
        </w:rPr>
        <w:t xml:space="preserve"> was used based on t</w:t>
      </w:r>
      <w:r w:rsidR="002C21A4" w:rsidRPr="000E2590">
        <w:rPr>
          <w:rFonts w:ascii="Arial" w:hAnsi="Arial" w:cs="Arial"/>
          <w:sz w:val="20"/>
          <w:szCs w:val="20"/>
          <w:lang w:val="en-US"/>
        </w:rPr>
        <w:t>he following considerations: TBP</w:t>
      </w:r>
      <w:r w:rsidR="003409C4" w:rsidRPr="000E2590">
        <w:rPr>
          <w:rFonts w:ascii="Arial" w:hAnsi="Arial" w:cs="Arial"/>
          <w:sz w:val="20"/>
          <w:szCs w:val="20"/>
          <w:lang w:val="en-US"/>
        </w:rPr>
        <w:t xml:space="preserve"> absorbs acidic g</w:t>
      </w:r>
      <w:r w:rsidR="002C21A4" w:rsidRPr="000E2590">
        <w:rPr>
          <w:rFonts w:ascii="Arial" w:hAnsi="Arial" w:cs="Arial"/>
          <w:sz w:val="20"/>
          <w:szCs w:val="20"/>
          <w:lang w:val="en-US"/>
        </w:rPr>
        <w:t>ases well, the density of TBP</w:t>
      </w:r>
      <w:r w:rsidRPr="000E2590">
        <w:rPr>
          <w:rFonts w:ascii="Arial" w:hAnsi="Arial" w:cs="Arial"/>
          <w:sz w:val="20"/>
          <w:szCs w:val="20"/>
          <w:lang w:val="en-US"/>
        </w:rPr>
        <w:t xml:space="preserve"> is low (0,</w:t>
      </w:r>
      <w:r w:rsidR="003409C4" w:rsidRPr="000E2590">
        <w:rPr>
          <w:rFonts w:ascii="Arial" w:hAnsi="Arial" w:cs="Arial"/>
          <w:sz w:val="20"/>
          <w:szCs w:val="20"/>
          <w:lang w:val="en-US"/>
        </w:rPr>
        <w:t>97 g/cm</w:t>
      </w:r>
      <w:r w:rsidR="003409C4" w:rsidRPr="000E2590">
        <w:rPr>
          <w:rFonts w:ascii="Arial" w:hAnsi="Arial" w:cs="Arial"/>
          <w:sz w:val="20"/>
          <w:szCs w:val="20"/>
          <w:vertAlign w:val="superscript"/>
          <w:lang w:val="en-US"/>
        </w:rPr>
        <w:t>3</w:t>
      </w:r>
      <w:r w:rsidR="003409C4" w:rsidRPr="000E2590">
        <w:rPr>
          <w:rFonts w:ascii="Arial" w:hAnsi="Arial" w:cs="Arial"/>
          <w:sz w:val="20"/>
          <w:szCs w:val="20"/>
          <w:lang w:val="en-US"/>
        </w:rPr>
        <w:t xml:space="preserve">), and in terms of viscosity, it belongs to substances with low viscosity (3-4 </w:t>
      </w:r>
      <w:proofErr w:type="spellStart"/>
      <w:r w:rsidR="00B25B80" w:rsidRPr="000E2590">
        <w:rPr>
          <w:rFonts w:ascii="Arial" w:hAnsi="Arial" w:cs="Arial"/>
          <w:sz w:val="20"/>
          <w:szCs w:val="20"/>
          <w:lang w:val="en-US"/>
        </w:rPr>
        <w:t>cpt</w:t>
      </w:r>
      <w:proofErr w:type="spellEnd"/>
      <w:r w:rsidR="003409C4" w:rsidRPr="000E2590">
        <w:rPr>
          <w:rFonts w:ascii="Arial" w:hAnsi="Arial" w:cs="Arial"/>
          <w:sz w:val="20"/>
          <w:szCs w:val="20"/>
          <w:lang w:val="en-US"/>
        </w:rPr>
        <w:t>), therefore, the costs of its circulation will be relatively low. The elasticity of TB</w:t>
      </w:r>
      <w:r w:rsidRPr="000E2590">
        <w:rPr>
          <w:rFonts w:ascii="Arial" w:hAnsi="Arial" w:cs="Arial"/>
          <w:sz w:val="20"/>
          <w:szCs w:val="20"/>
          <w:lang w:val="en-US"/>
        </w:rPr>
        <w:t>P</w:t>
      </w:r>
      <w:r w:rsidR="003409C4" w:rsidRPr="000E2590">
        <w:rPr>
          <w:rFonts w:ascii="Arial" w:hAnsi="Arial" w:cs="Arial"/>
          <w:sz w:val="20"/>
          <w:szCs w:val="20"/>
          <w:lang w:val="en-US"/>
        </w:rPr>
        <w:t xml:space="preserve"> vapor is insignificant in a wide temperature range, i.e., its losses with the gas are small, the flash temperature is high; therefore, working with it is safe. Also, sodium hydroxide and 59% nitric acid were used.</w:t>
      </w:r>
    </w:p>
    <w:p w14:paraId="5C6BAC40" w14:textId="77777777" w:rsidR="003409C4" w:rsidRPr="00777661" w:rsidRDefault="003409C4" w:rsidP="003409C4">
      <w:pPr>
        <w:spacing w:after="0" w:line="240" w:lineRule="auto"/>
        <w:jc w:val="right"/>
        <w:rPr>
          <w:rFonts w:ascii="Arial" w:hAnsi="Arial" w:cs="Arial"/>
          <w:b/>
          <w:bCs/>
          <w:color w:val="000000"/>
          <w:sz w:val="20"/>
          <w:szCs w:val="20"/>
          <w:lang w:val="uz-Cyrl-UZ"/>
        </w:rPr>
      </w:pPr>
      <w:r w:rsidRPr="00777661">
        <w:rPr>
          <w:rFonts w:ascii="Arial" w:hAnsi="Arial" w:cs="Arial"/>
          <w:b/>
          <w:bCs/>
          <w:color w:val="000000"/>
          <w:sz w:val="20"/>
          <w:szCs w:val="20"/>
          <w:lang w:val="uz-Cyrl-UZ"/>
        </w:rPr>
        <w:t>Table 1</w:t>
      </w:r>
    </w:p>
    <w:p w14:paraId="29BBFE19" w14:textId="77777777" w:rsidR="003409C4" w:rsidRPr="00777661" w:rsidRDefault="003409C4" w:rsidP="003409C4">
      <w:pPr>
        <w:spacing w:after="0" w:line="240" w:lineRule="auto"/>
        <w:jc w:val="center"/>
        <w:rPr>
          <w:rFonts w:ascii="Arial" w:hAnsi="Arial" w:cs="Arial"/>
          <w:b/>
          <w:bCs/>
          <w:color w:val="000000"/>
          <w:sz w:val="20"/>
          <w:szCs w:val="20"/>
          <w:lang w:val="uz-Cyrl-UZ"/>
        </w:rPr>
      </w:pPr>
      <w:r w:rsidRPr="00777661">
        <w:rPr>
          <w:rFonts w:ascii="Arial" w:hAnsi="Arial" w:cs="Arial"/>
          <w:b/>
          <w:bCs/>
          <w:color w:val="000000"/>
          <w:sz w:val="20"/>
          <w:szCs w:val="20"/>
          <w:lang w:val="uz-Cyrl-UZ"/>
        </w:rPr>
        <w:t>Stepwise absorption of nitrous gases using tributyl phosphate and iron sulfate solutions depending on the temperature</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388"/>
        <w:gridCol w:w="1416"/>
        <w:gridCol w:w="1417"/>
        <w:gridCol w:w="1870"/>
      </w:tblGrid>
      <w:tr w:rsidR="003409C4" w:rsidRPr="000E2590" w14:paraId="026FAC73" w14:textId="77777777" w:rsidTr="009D4305">
        <w:trPr>
          <w:trHeight w:val="629"/>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C0FDFAC" w14:textId="77777777" w:rsidR="003409C4" w:rsidRPr="000E2590" w:rsidRDefault="002C21A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Concentration of iron sulfate aqueous solution</w:t>
            </w:r>
          </w:p>
        </w:tc>
        <w:tc>
          <w:tcPr>
            <w:tcW w:w="5639" w:type="dxa"/>
            <w:gridSpan w:val="4"/>
            <w:tcBorders>
              <w:top w:val="single" w:sz="4" w:space="0" w:color="auto"/>
              <w:left w:val="single" w:sz="4" w:space="0" w:color="auto"/>
              <w:bottom w:val="single" w:sz="4" w:space="0" w:color="auto"/>
              <w:right w:val="single" w:sz="4" w:space="0" w:color="auto"/>
            </w:tcBorders>
            <w:vAlign w:val="center"/>
            <w:hideMark/>
          </w:tcPr>
          <w:p w14:paraId="7804941C" w14:textId="77777777" w:rsidR="003409C4" w:rsidRPr="000E2590" w:rsidRDefault="002C21A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Degree of absorption of nitrous gases in absorbers, converted to N %</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62B2F313" w14:textId="77777777" w:rsidR="002C21A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General degree</w:t>
            </w:r>
          </w:p>
          <w:p w14:paraId="06241851" w14:textId="77777777" w:rsidR="003409C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absorption</w:t>
            </w:r>
            <w:r w:rsidR="003409C4" w:rsidRPr="000E2590">
              <w:rPr>
                <w:rFonts w:ascii="Arial" w:hAnsi="Arial" w:cs="Arial"/>
                <w:color w:val="000000"/>
                <w:sz w:val="20"/>
                <w:szCs w:val="20"/>
                <w:lang w:val="uz-Cyrl-UZ"/>
              </w:rPr>
              <w:t>,</w:t>
            </w:r>
          </w:p>
          <w:p w14:paraId="31C58AEE"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en-US"/>
              </w:rPr>
              <w:t>%</w:t>
            </w:r>
          </w:p>
        </w:tc>
      </w:tr>
      <w:tr w:rsidR="003409C4" w:rsidRPr="000E2590" w14:paraId="32407964" w14:textId="77777777" w:rsidTr="002C21A4">
        <w:trPr>
          <w:trHeight w:val="68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1375F0B" w14:textId="77777777" w:rsidR="003409C4" w:rsidRPr="000E2590" w:rsidRDefault="003409C4" w:rsidP="009D4305">
            <w:pPr>
              <w:spacing w:after="0"/>
              <w:rPr>
                <w:rFonts w:ascii="Arial" w:hAnsi="Arial" w:cs="Arial"/>
                <w:color w:val="000000"/>
                <w:sz w:val="20"/>
                <w:szCs w:val="20"/>
                <w:lang w:val="uz-Cyrl-UZ"/>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45E35F"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58306ABC"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1</w:t>
            </w:r>
            <w:r w:rsidRPr="000E2590">
              <w:rPr>
                <w:rFonts w:ascii="Arial" w:hAnsi="Arial" w:cs="Arial"/>
                <w:color w:val="000000"/>
                <w:sz w:val="20"/>
                <w:szCs w:val="20"/>
                <w:lang w:val="uz-Cyrl-UZ"/>
              </w:rPr>
              <w:t xml:space="preserve"> (</w:t>
            </w:r>
            <w:r w:rsidR="000C59C0" w:rsidRPr="000E2590">
              <w:rPr>
                <w:rFonts w:ascii="Arial" w:hAnsi="Arial" w:cs="Arial"/>
                <w:sz w:val="20"/>
                <w:szCs w:val="20"/>
                <w:lang w:val="en-US"/>
              </w:rPr>
              <w:t>TBP</w:t>
            </w:r>
            <w:r w:rsidRPr="000E2590">
              <w:rPr>
                <w:rFonts w:ascii="Arial" w:hAnsi="Arial" w:cs="Arial"/>
                <w:color w:val="000000"/>
                <w:sz w:val="20"/>
                <w:szCs w:val="20"/>
                <w:lang w:val="uz-Cyrl-UZ"/>
              </w:rPr>
              <w:t>)</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47B831D"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2161E10E"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2</w:t>
            </w:r>
            <w:r w:rsidR="002C21A4" w:rsidRPr="000E2590">
              <w:rPr>
                <w:rFonts w:ascii="Arial" w:hAnsi="Arial" w:cs="Arial"/>
                <w:color w:val="000000"/>
                <w:sz w:val="20"/>
                <w:szCs w:val="20"/>
                <w:lang w:val="en-US"/>
              </w:rPr>
              <w:t xml:space="preserve"> </w:t>
            </w:r>
            <w:r w:rsidRPr="000E2590">
              <w:rPr>
                <w:rFonts w:ascii="Arial" w:hAnsi="Arial" w:cs="Arial"/>
                <w:color w:val="000000"/>
                <w:sz w:val="20"/>
                <w:szCs w:val="20"/>
                <w:lang w:val="uz-Cyrl-UZ"/>
              </w:rPr>
              <w:t>(</w:t>
            </w:r>
            <w:r w:rsidR="000C59C0" w:rsidRPr="000E2590">
              <w:rPr>
                <w:rFonts w:ascii="Arial" w:hAnsi="Arial" w:cs="Arial"/>
                <w:sz w:val="20"/>
                <w:szCs w:val="20"/>
                <w:lang w:val="en-US"/>
              </w:rPr>
              <w:t>TBP</w:t>
            </w:r>
            <w:r w:rsidRPr="000E2590">
              <w:rPr>
                <w:rFonts w:ascii="Arial" w:hAnsi="Arial" w:cs="Arial"/>
                <w:color w:val="000000"/>
                <w:sz w:val="20"/>
                <w:szCs w:val="20"/>
                <w:lang w:val="uz-Cyrl-UZ"/>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30390AE"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7AD23EB2"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C2A8C" w14:textId="77777777" w:rsidR="003409C4" w:rsidRPr="000E2590" w:rsidRDefault="00B25B80"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A</w:t>
            </w:r>
            <w:r w:rsidR="002C21A4" w:rsidRPr="000E2590">
              <w:rPr>
                <w:rFonts w:ascii="Arial" w:hAnsi="Arial" w:cs="Arial"/>
                <w:color w:val="000000"/>
                <w:sz w:val="20"/>
                <w:szCs w:val="20"/>
              </w:rPr>
              <w:t>bsorber</w:t>
            </w:r>
            <w:r w:rsidR="003409C4" w:rsidRPr="000E2590">
              <w:rPr>
                <w:rFonts w:ascii="Arial" w:hAnsi="Arial" w:cs="Arial"/>
                <w:color w:val="000000"/>
                <w:sz w:val="20"/>
                <w:szCs w:val="20"/>
              </w:rPr>
              <w:t>№ 4</w:t>
            </w: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3B92EAD" w14:textId="77777777" w:rsidR="003409C4" w:rsidRPr="000E2590" w:rsidRDefault="003409C4" w:rsidP="009D4305">
            <w:pPr>
              <w:spacing w:after="0"/>
              <w:rPr>
                <w:rFonts w:ascii="Arial" w:hAnsi="Arial" w:cs="Arial"/>
                <w:color w:val="000000"/>
                <w:sz w:val="20"/>
                <w:szCs w:val="20"/>
                <w:lang w:val="uz-Cyrl-UZ"/>
              </w:rPr>
            </w:pPr>
          </w:p>
        </w:tc>
      </w:tr>
      <w:tr w:rsidR="003409C4" w:rsidRPr="000E2590" w14:paraId="69BA2FDF" w14:textId="77777777" w:rsidTr="009D4305">
        <w:trPr>
          <w:trHeight w:val="242"/>
        </w:trPr>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6E7DC34C" w14:textId="77777777" w:rsidR="003409C4" w:rsidRPr="000E2590" w:rsidRDefault="002C21A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10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78EAD4A0"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6CB623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382C60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35,16</w:t>
            </w:r>
          </w:p>
          <w:p w14:paraId="2AF38DF3"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5C997ED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15,07</w:t>
            </w:r>
          </w:p>
          <w:p w14:paraId="07A3D699"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336C72E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24,46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8151D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4,26</w:t>
            </w:r>
          </w:p>
        </w:tc>
        <w:tc>
          <w:tcPr>
            <w:tcW w:w="1870" w:type="dxa"/>
            <w:tcBorders>
              <w:top w:val="single" w:sz="4" w:space="0" w:color="auto"/>
              <w:left w:val="single" w:sz="4" w:space="0" w:color="auto"/>
              <w:bottom w:val="single" w:sz="4" w:space="0" w:color="auto"/>
              <w:right w:val="single" w:sz="4" w:space="0" w:color="auto"/>
            </w:tcBorders>
            <w:vAlign w:val="center"/>
          </w:tcPr>
          <w:p w14:paraId="162DDFA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78,95</w:t>
            </w:r>
          </w:p>
        </w:tc>
      </w:tr>
      <w:tr w:rsidR="003409C4" w:rsidRPr="000E2590" w14:paraId="053FB1EB"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3EBE3BA"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8C3C19"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DEA69A3"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24E39B6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28,09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DD51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6,31</w:t>
            </w:r>
          </w:p>
        </w:tc>
        <w:tc>
          <w:tcPr>
            <w:tcW w:w="1870" w:type="dxa"/>
            <w:tcBorders>
              <w:top w:val="single" w:sz="4" w:space="0" w:color="auto"/>
              <w:left w:val="single" w:sz="4" w:space="0" w:color="auto"/>
              <w:bottom w:val="single" w:sz="4" w:space="0" w:color="auto"/>
              <w:right w:val="single" w:sz="4" w:space="0" w:color="auto"/>
            </w:tcBorders>
            <w:vAlign w:val="center"/>
          </w:tcPr>
          <w:p w14:paraId="557504A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84,63</w:t>
            </w:r>
          </w:p>
        </w:tc>
      </w:tr>
      <w:tr w:rsidR="003409C4" w:rsidRPr="000E2590" w14:paraId="55991A16"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77992988"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DB4A34"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CBA9A35"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DBAE3F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32,76</w:t>
            </w:r>
          </w:p>
        </w:tc>
        <w:tc>
          <w:tcPr>
            <w:tcW w:w="1417" w:type="dxa"/>
            <w:tcBorders>
              <w:top w:val="single" w:sz="4" w:space="0" w:color="auto"/>
              <w:left w:val="single" w:sz="4" w:space="0" w:color="auto"/>
              <w:bottom w:val="single" w:sz="4" w:space="0" w:color="auto"/>
              <w:right w:val="single" w:sz="4" w:space="0" w:color="auto"/>
            </w:tcBorders>
            <w:vAlign w:val="center"/>
          </w:tcPr>
          <w:p w14:paraId="25C8F06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8,47</w:t>
            </w:r>
          </w:p>
        </w:tc>
        <w:tc>
          <w:tcPr>
            <w:tcW w:w="1870" w:type="dxa"/>
            <w:tcBorders>
              <w:top w:val="single" w:sz="4" w:space="0" w:color="auto"/>
              <w:left w:val="single" w:sz="4" w:space="0" w:color="auto"/>
              <w:bottom w:val="single" w:sz="4" w:space="0" w:color="auto"/>
              <w:right w:val="single" w:sz="4" w:space="0" w:color="auto"/>
            </w:tcBorders>
            <w:vAlign w:val="center"/>
          </w:tcPr>
          <w:p w14:paraId="28BC29B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91,42</w:t>
            </w:r>
          </w:p>
        </w:tc>
      </w:tr>
      <w:tr w:rsidR="003409C4" w:rsidRPr="000E2590" w14:paraId="08BC942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D8A9834"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FDF767"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20915A4"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1900BB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36,11</w:t>
            </w:r>
          </w:p>
        </w:tc>
        <w:tc>
          <w:tcPr>
            <w:tcW w:w="1417" w:type="dxa"/>
            <w:tcBorders>
              <w:top w:val="single" w:sz="4" w:space="0" w:color="auto"/>
              <w:left w:val="single" w:sz="4" w:space="0" w:color="auto"/>
              <w:bottom w:val="single" w:sz="4" w:space="0" w:color="auto"/>
              <w:right w:val="single" w:sz="4" w:space="0" w:color="auto"/>
            </w:tcBorders>
            <w:vAlign w:val="center"/>
          </w:tcPr>
          <w:p w14:paraId="3E1E753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9,80</w:t>
            </w:r>
          </w:p>
        </w:tc>
        <w:tc>
          <w:tcPr>
            <w:tcW w:w="1870" w:type="dxa"/>
            <w:tcBorders>
              <w:top w:val="single" w:sz="4" w:space="0" w:color="auto"/>
              <w:left w:val="single" w:sz="4" w:space="0" w:color="auto"/>
              <w:bottom w:val="single" w:sz="4" w:space="0" w:color="auto"/>
              <w:right w:val="single" w:sz="4" w:space="0" w:color="auto"/>
            </w:tcBorders>
            <w:vAlign w:val="center"/>
          </w:tcPr>
          <w:p w14:paraId="3182F9F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96,14</w:t>
            </w:r>
          </w:p>
        </w:tc>
      </w:tr>
      <w:tr w:rsidR="003409C4" w:rsidRPr="000E2590" w14:paraId="1A4119D7"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458BAB8D"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 15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3EE46BF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E8909DF"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A4C95C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36,49</w:t>
            </w:r>
          </w:p>
          <w:p w14:paraId="671A4D4D"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77147FB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13,75</w:t>
            </w:r>
          </w:p>
          <w:p w14:paraId="6874ECF7"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68B3BD3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25,87</w:t>
            </w:r>
          </w:p>
        </w:tc>
        <w:tc>
          <w:tcPr>
            <w:tcW w:w="1417" w:type="dxa"/>
            <w:tcBorders>
              <w:top w:val="single" w:sz="4" w:space="0" w:color="auto"/>
              <w:left w:val="single" w:sz="4" w:space="0" w:color="auto"/>
              <w:bottom w:val="single" w:sz="4" w:space="0" w:color="auto"/>
              <w:right w:val="single" w:sz="4" w:space="0" w:color="auto"/>
            </w:tcBorders>
            <w:vAlign w:val="center"/>
          </w:tcPr>
          <w:p w14:paraId="526F8A2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5,98</w:t>
            </w:r>
          </w:p>
        </w:tc>
        <w:tc>
          <w:tcPr>
            <w:tcW w:w="1870" w:type="dxa"/>
            <w:tcBorders>
              <w:top w:val="single" w:sz="4" w:space="0" w:color="auto"/>
              <w:left w:val="single" w:sz="4" w:space="0" w:color="auto"/>
              <w:bottom w:val="single" w:sz="4" w:space="0" w:color="auto"/>
              <w:right w:val="single" w:sz="4" w:space="0" w:color="auto"/>
            </w:tcBorders>
            <w:vAlign w:val="center"/>
          </w:tcPr>
          <w:p w14:paraId="1C13CE7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82,09</w:t>
            </w:r>
          </w:p>
        </w:tc>
      </w:tr>
      <w:tr w:rsidR="003409C4" w:rsidRPr="000E2590" w14:paraId="393C5CA5"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C0EE089"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C8C0A2"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D92F106"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9355BC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29,38</w:t>
            </w:r>
          </w:p>
        </w:tc>
        <w:tc>
          <w:tcPr>
            <w:tcW w:w="1417" w:type="dxa"/>
            <w:tcBorders>
              <w:top w:val="single" w:sz="4" w:space="0" w:color="auto"/>
              <w:left w:val="single" w:sz="4" w:space="0" w:color="auto"/>
              <w:bottom w:val="single" w:sz="4" w:space="0" w:color="auto"/>
              <w:right w:val="single" w:sz="4" w:space="0" w:color="auto"/>
            </w:tcBorders>
            <w:vAlign w:val="center"/>
          </w:tcPr>
          <w:p w14:paraId="2F0ED10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7,17</w:t>
            </w:r>
          </w:p>
        </w:tc>
        <w:tc>
          <w:tcPr>
            <w:tcW w:w="1870" w:type="dxa"/>
            <w:tcBorders>
              <w:top w:val="single" w:sz="4" w:space="0" w:color="auto"/>
              <w:left w:val="single" w:sz="4" w:space="0" w:color="auto"/>
              <w:bottom w:val="single" w:sz="4" w:space="0" w:color="auto"/>
              <w:right w:val="single" w:sz="4" w:space="0" w:color="auto"/>
            </w:tcBorders>
            <w:vAlign w:val="center"/>
          </w:tcPr>
          <w:p w14:paraId="66753342"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86,79</w:t>
            </w:r>
          </w:p>
        </w:tc>
      </w:tr>
      <w:tr w:rsidR="003409C4" w:rsidRPr="000E2590" w14:paraId="44171F19"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BBAEE78"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5B6B34"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272C7C2A"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0A41BA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34,43</w:t>
            </w:r>
          </w:p>
        </w:tc>
        <w:tc>
          <w:tcPr>
            <w:tcW w:w="1417" w:type="dxa"/>
            <w:tcBorders>
              <w:top w:val="single" w:sz="4" w:space="0" w:color="auto"/>
              <w:left w:val="single" w:sz="4" w:space="0" w:color="auto"/>
              <w:bottom w:val="single" w:sz="4" w:space="0" w:color="auto"/>
              <w:right w:val="single" w:sz="4" w:space="0" w:color="auto"/>
            </w:tcBorders>
            <w:vAlign w:val="center"/>
          </w:tcPr>
          <w:p w14:paraId="62C642B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9,57</w:t>
            </w:r>
          </w:p>
        </w:tc>
        <w:tc>
          <w:tcPr>
            <w:tcW w:w="1870" w:type="dxa"/>
            <w:tcBorders>
              <w:top w:val="single" w:sz="4" w:space="0" w:color="auto"/>
              <w:left w:val="single" w:sz="4" w:space="0" w:color="auto"/>
              <w:bottom w:val="single" w:sz="4" w:space="0" w:color="auto"/>
              <w:right w:val="single" w:sz="4" w:space="0" w:color="auto"/>
            </w:tcBorders>
            <w:vAlign w:val="center"/>
          </w:tcPr>
          <w:p w14:paraId="6AFB41C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94,24</w:t>
            </w:r>
          </w:p>
        </w:tc>
      </w:tr>
      <w:tr w:rsidR="003409C4" w:rsidRPr="000E2590" w14:paraId="1B3D1984"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610D7BA"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30C5A7"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5D1B4B4B"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B245BD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37,11</w:t>
            </w:r>
          </w:p>
        </w:tc>
        <w:tc>
          <w:tcPr>
            <w:tcW w:w="1417" w:type="dxa"/>
            <w:tcBorders>
              <w:top w:val="single" w:sz="4" w:space="0" w:color="auto"/>
              <w:left w:val="single" w:sz="4" w:space="0" w:color="auto"/>
              <w:bottom w:val="single" w:sz="4" w:space="0" w:color="auto"/>
              <w:right w:val="single" w:sz="4" w:space="0" w:color="auto"/>
            </w:tcBorders>
            <w:vAlign w:val="center"/>
          </w:tcPr>
          <w:p w14:paraId="3CE4B1B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10,51</w:t>
            </w:r>
          </w:p>
        </w:tc>
        <w:tc>
          <w:tcPr>
            <w:tcW w:w="1870" w:type="dxa"/>
            <w:tcBorders>
              <w:top w:val="single" w:sz="4" w:space="0" w:color="auto"/>
              <w:left w:val="single" w:sz="4" w:space="0" w:color="auto"/>
              <w:bottom w:val="single" w:sz="4" w:space="0" w:color="auto"/>
              <w:right w:val="single" w:sz="4" w:space="0" w:color="auto"/>
            </w:tcBorders>
            <w:vAlign w:val="center"/>
          </w:tcPr>
          <w:p w14:paraId="2C823BC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97,86</w:t>
            </w:r>
          </w:p>
        </w:tc>
      </w:tr>
      <w:tr w:rsidR="003409C4" w:rsidRPr="000E2590" w14:paraId="703A3F5E"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1208A1F7"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20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031F2319"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059DF3A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994D46"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37,15</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6F3636B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13,11</w:t>
            </w:r>
          </w:p>
        </w:tc>
        <w:tc>
          <w:tcPr>
            <w:tcW w:w="1416" w:type="dxa"/>
            <w:tcBorders>
              <w:top w:val="single" w:sz="4" w:space="0" w:color="auto"/>
              <w:left w:val="single" w:sz="4" w:space="0" w:color="auto"/>
              <w:bottom w:val="single" w:sz="4" w:space="0" w:color="auto"/>
              <w:right w:val="single" w:sz="4" w:space="0" w:color="auto"/>
            </w:tcBorders>
            <w:vAlign w:val="center"/>
          </w:tcPr>
          <w:p w14:paraId="0DDE04D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26,10</w:t>
            </w:r>
          </w:p>
        </w:tc>
        <w:tc>
          <w:tcPr>
            <w:tcW w:w="1417" w:type="dxa"/>
            <w:tcBorders>
              <w:top w:val="single" w:sz="4" w:space="0" w:color="auto"/>
              <w:left w:val="single" w:sz="4" w:space="0" w:color="auto"/>
              <w:bottom w:val="single" w:sz="4" w:space="0" w:color="auto"/>
              <w:right w:val="single" w:sz="4" w:space="0" w:color="auto"/>
            </w:tcBorders>
            <w:vAlign w:val="center"/>
          </w:tcPr>
          <w:p w14:paraId="196C776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6,46</w:t>
            </w:r>
          </w:p>
        </w:tc>
        <w:tc>
          <w:tcPr>
            <w:tcW w:w="1870" w:type="dxa"/>
            <w:tcBorders>
              <w:top w:val="single" w:sz="4" w:space="0" w:color="auto"/>
              <w:left w:val="single" w:sz="4" w:space="0" w:color="auto"/>
              <w:bottom w:val="single" w:sz="4" w:space="0" w:color="auto"/>
              <w:right w:val="single" w:sz="4" w:space="0" w:color="auto"/>
            </w:tcBorders>
            <w:vAlign w:val="center"/>
          </w:tcPr>
          <w:p w14:paraId="712DBFA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82,82</w:t>
            </w:r>
          </w:p>
        </w:tc>
      </w:tr>
      <w:tr w:rsidR="003409C4" w:rsidRPr="000E2590" w14:paraId="61EF7E0B"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C922210"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31B18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26757B17"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03FFE76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30,86</w:t>
            </w:r>
          </w:p>
        </w:tc>
        <w:tc>
          <w:tcPr>
            <w:tcW w:w="1417" w:type="dxa"/>
            <w:tcBorders>
              <w:top w:val="single" w:sz="4" w:space="0" w:color="auto"/>
              <w:left w:val="single" w:sz="4" w:space="0" w:color="auto"/>
              <w:bottom w:val="single" w:sz="4" w:space="0" w:color="auto"/>
              <w:right w:val="single" w:sz="4" w:space="0" w:color="auto"/>
            </w:tcBorders>
            <w:vAlign w:val="center"/>
          </w:tcPr>
          <w:p w14:paraId="0B5DA0F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7,95</w:t>
            </w:r>
          </w:p>
        </w:tc>
        <w:tc>
          <w:tcPr>
            <w:tcW w:w="1870" w:type="dxa"/>
            <w:tcBorders>
              <w:top w:val="single" w:sz="4" w:space="0" w:color="auto"/>
              <w:left w:val="single" w:sz="4" w:space="0" w:color="auto"/>
              <w:bottom w:val="single" w:sz="4" w:space="0" w:color="auto"/>
              <w:right w:val="single" w:sz="4" w:space="0" w:color="auto"/>
            </w:tcBorders>
            <w:vAlign w:val="center"/>
          </w:tcPr>
          <w:p w14:paraId="21F57E00"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89,07</w:t>
            </w:r>
          </w:p>
        </w:tc>
      </w:tr>
      <w:tr w:rsidR="003409C4" w:rsidRPr="000E2590" w14:paraId="72CDFEB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3BC3671B"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573AF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77F0759"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5F49E2C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35,92</w:t>
            </w:r>
          </w:p>
        </w:tc>
        <w:tc>
          <w:tcPr>
            <w:tcW w:w="1417" w:type="dxa"/>
            <w:tcBorders>
              <w:top w:val="single" w:sz="4" w:space="0" w:color="auto"/>
              <w:left w:val="single" w:sz="4" w:space="0" w:color="auto"/>
              <w:bottom w:val="single" w:sz="4" w:space="0" w:color="auto"/>
              <w:right w:val="single" w:sz="4" w:space="0" w:color="auto"/>
            </w:tcBorders>
            <w:vAlign w:val="center"/>
          </w:tcPr>
          <w:p w14:paraId="308EF43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10,21</w:t>
            </w:r>
          </w:p>
        </w:tc>
        <w:tc>
          <w:tcPr>
            <w:tcW w:w="1870" w:type="dxa"/>
            <w:tcBorders>
              <w:top w:val="single" w:sz="4" w:space="0" w:color="auto"/>
              <w:left w:val="single" w:sz="4" w:space="0" w:color="auto"/>
              <w:bottom w:val="single" w:sz="4" w:space="0" w:color="auto"/>
              <w:right w:val="single" w:sz="4" w:space="0" w:color="auto"/>
            </w:tcBorders>
            <w:vAlign w:val="center"/>
          </w:tcPr>
          <w:p w14:paraId="773CCE94"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96,39</w:t>
            </w:r>
          </w:p>
        </w:tc>
      </w:tr>
      <w:tr w:rsidR="003409C4" w:rsidRPr="000E2590" w14:paraId="37882D16"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3B1DBE4"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4DAE31"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4206B02"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AB62A6F"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39,36</w:t>
            </w:r>
          </w:p>
        </w:tc>
        <w:tc>
          <w:tcPr>
            <w:tcW w:w="1417" w:type="dxa"/>
            <w:tcBorders>
              <w:top w:val="single" w:sz="4" w:space="0" w:color="auto"/>
              <w:left w:val="single" w:sz="4" w:space="0" w:color="auto"/>
              <w:bottom w:val="single" w:sz="4" w:space="0" w:color="auto"/>
              <w:right w:val="single" w:sz="4" w:space="0" w:color="auto"/>
            </w:tcBorders>
            <w:vAlign w:val="center"/>
          </w:tcPr>
          <w:p w14:paraId="59869DC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10,37</w:t>
            </w:r>
          </w:p>
        </w:tc>
        <w:tc>
          <w:tcPr>
            <w:tcW w:w="1870" w:type="dxa"/>
            <w:tcBorders>
              <w:top w:val="single" w:sz="4" w:space="0" w:color="auto"/>
              <w:left w:val="single" w:sz="4" w:space="0" w:color="auto"/>
              <w:bottom w:val="single" w:sz="4" w:space="0" w:color="auto"/>
              <w:right w:val="single" w:sz="4" w:space="0" w:color="auto"/>
            </w:tcBorders>
            <w:vAlign w:val="center"/>
          </w:tcPr>
          <w:p w14:paraId="1C605AC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99,91</w:t>
            </w:r>
          </w:p>
        </w:tc>
      </w:tr>
      <w:tr w:rsidR="003409C4" w:rsidRPr="000E2590" w14:paraId="08AD0596"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7E366AD2"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 25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4F7EC8ED"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70BBF26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54E577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36,57</w:t>
            </w:r>
          </w:p>
          <w:p w14:paraId="597F581C"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0564143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lastRenderedPageBreak/>
              <w:t>13,68</w:t>
            </w:r>
          </w:p>
          <w:p w14:paraId="6B679CD3"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00F8429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lastRenderedPageBreak/>
              <w:t>25,22</w:t>
            </w:r>
          </w:p>
        </w:tc>
        <w:tc>
          <w:tcPr>
            <w:tcW w:w="1417" w:type="dxa"/>
            <w:tcBorders>
              <w:top w:val="single" w:sz="4" w:space="0" w:color="auto"/>
              <w:left w:val="single" w:sz="4" w:space="0" w:color="auto"/>
              <w:bottom w:val="single" w:sz="4" w:space="0" w:color="auto"/>
              <w:right w:val="single" w:sz="4" w:space="0" w:color="auto"/>
            </w:tcBorders>
            <w:vAlign w:val="center"/>
          </w:tcPr>
          <w:p w14:paraId="4F20538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5,41</w:t>
            </w:r>
          </w:p>
        </w:tc>
        <w:tc>
          <w:tcPr>
            <w:tcW w:w="1870" w:type="dxa"/>
            <w:tcBorders>
              <w:top w:val="single" w:sz="4" w:space="0" w:color="auto"/>
              <w:left w:val="single" w:sz="4" w:space="0" w:color="auto"/>
              <w:bottom w:val="single" w:sz="4" w:space="0" w:color="auto"/>
              <w:right w:val="single" w:sz="4" w:space="0" w:color="auto"/>
            </w:tcBorders>
            <w:vAlign w:val="center"/>
          </w:tcPr>
          <w:p w14:paraId="263161B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80,88</w:t>
            </w:r>
          </w:p>
        </w:tc>
      </w:tr>
      <w:tr w:rsidR="003409C4" w:rsidRPr="000E2590" w14:paraId="18B9C6B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DEF1A51"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lastRenderedPageBreak/>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D176A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6C2E892"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3E61107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28,62</w:t>
            </w:r>
          </w:p>
        </w:tc>
        <w:tc>
          <w:tcPr>
            <w:tcW w:w="1417" w:type="dxa"/>
            <w:tcBorders>
              <w:top w:val="single" w:sz="4" w:space="0" w:color="auto"/>
              <w:left w:val="single" w:sz="4" w:space="0" w:color="auto"/>
              <w:bottom w:val="single" w:sz="4" w:space="0" w:color="auto"/>
              <w:right w:val="single" w:sz="4" w:space="0" w:color="auto"/>
            </w:tcBorders>
            <w:vAlign w:val="center"/>
          </w:tcPr>
          <w:p w14:paraId="2CC08C0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7,02</w:t>
            </w:r>
          </w:p>
        </w:tc>
        <w:tc>
          <w:tcPr>
            <w:tcW w:w="1870" w:type="dxa"/>
            <w:tcBorders>
              <w:top w:val="single" w:sz="4" w:space="0" w:color="auto"/>
              <w:left w:val="single" w:sz="4" w:space="0" w:color="auto"/>
              <w:bottom w:val="single" w:sz="4" w:space="0" w:color="auto"/>
              <w:right w:val="single" w:sz="4" w:space="0" w:color="auto"/>
            </w:tcBorders>
            <w:vAlign w:val="center"/>
          </w:tcPr>
          <w:p w14:paraId="71C7CAB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85,89</w:t>
            </w:r>
          </w:p>
        </w:tc>
      </w:tr>
      <w:tr w:rsidR="003409C4" w:rsidRPr="000E2590" w14:paraId="47269A4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A087541"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87093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547A6611"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6AA6C2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34,25</w:t>
            </w:r>
          </w:p>
        </w:tc>
        <w:tc>
          <w:tcPr>
            <w:tcW w:w="1417" w:type="dxa"/>
            <w:tcBorders>
              <w:top w:val="single" w:sz="4" w:space="0" w:color="auto"/>
              <w:left w:val="single" w:sz="4" w:space="0" w:color="auto"/>
              <w:bottom w:val="single" w:sz="4" w:space="0" w:color="auto"/>
              <w:right w:val="single" w:sz="4" w:space="0" w:color="auto"/>
            </w:tcBorders>
            <w:vAlign w:val="center"/>
          </w:tcPr>
          <w:p w14:paraId="0303BCB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9,14</w:t>
            </w:r>
          </w:p>
        </w:tc>
        <w:tc>
          <w:tcPr>
            <w:tcW w:w="1870" w:type="dxa"/>
            <w:tcBorders>
              <w:top w:val="single" w:sz="4" w:space="0" w:color="auto"/>
              <w:left w:val="single" w:sz="4" w:space="0" w:color="auto"/>
              <w:bottom w:val="single" w:sz="4" w:space="0" w:color="auto"/>
              <w:right w:val="single" w:sz="4" w:space="0" w:color="auto"/>
            </w:tcBorders>
            <w:vAlign w:val="center"/>
          </w:tcPr>
          <w:p w14:paraId="416B2992"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93,64</w:t>
            </w:r>
          </w:p>
        </w:tc>
      </w:tr>
      <w:tr w:rsidR="003409C4" w:rsidRPr="000E2590" w14:paraId="3364673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EF8CD1D"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E1A409"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005EA03A"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493571F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37,69</w:t>
            </w:r>
          </w:p>
        </w:tc>
        <w:tc>
          <w:tcPr>
            <w:tcW w:w="1417" w:type="dxa"/>
            <w:tcBorders>
              <w:top w:val="single" w:sz="4" w:space="0" w:color="auto"/>
              <w:left w:val="single" w:sz="4" w:space="0" w:color="auto"/>
              <w:bottom w:val="single" w:sz="4" w:space="0" w:color="auto"/>
              <w:right w:val="single" w:sz="4" w:space="0" w:color="auto"/>
            </w:tcBorders>
            <w:vAlign w:val="center"/>
          </w:tcPr>
          <w:p w14:paraId="2261E09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10,28</w:t>
            </w:r>
          </w:p>
        </w:tc>
        <w:tc>
          <w:tcPr>
            <w:tcW w:w="1870" w:type="dxa"/>
            <w:tcBorders>
              <w:top w:val="single" w:sz="4" w:space="0" w:color="auto"/>
              <w:left w:val="single" w:sz="4" w:space="0" w:color="auto"/>
              <w:bottom w:val="single" w:sz="4" w:space="0" w:color="auto"/>
              <w:right w:val="single" w:sz="4" w:space="0" w:color="auto"/>
            </w:tcBorders>
            <w:vAlign w:val="center"/>
          </w:tcPr>
          <w:p w14:paraId="1FF2744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98,22</w:t>
            </w:r>
          </w:p>
        </w:tc>
      </w:tr>
    </w:tbl>
    <w:p w14:paraId="2DD8A07E" w14:textId="77777777" w:rsidR="002C21A4" w:rsidRPr="000E2590" w:rsidRDefault="002C21A4" w:rsidP="002C21A4">
      <w:pPr>
        <w:spacing w:after="0" w:line="240" w:lineRule="auto"/>
        <w:jc w:val="right"/>
        <w:rPr>
          <w:rFonts w:ascii="Arial" w:hAnsi="Arial" w:cs="Arial"/>
          <w:color w:val="000000"/>
          <w:sz w:val="20"/>
          <w:szCs w:val="20"/>
          <w:lang w:val="uz-Cyrl-UZ"/>
        </w:rPr>
      </w:pPr>
      <w:r w:rsidRPr="000E2590">
        <w:rPr>
          <w:rFonts w:ascii="Arial" w:hAnsi="Arial" w:cs="Arial"/>
          <w:color w:val="000000"/>
          <w:sz w:val="20"/>
          <w:szCs w:val="20"/>
          <w:lang w:val="uz-Cyrl-UZ"/>
        </w:rPr>
        <w:t>Table 2</w:t>
      </w:r>
    </w:p>
    <w:p w14:paraId="6A91D0BF" w14:textId="77777777" w:rsidR="002C21A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Dependence of the degree of regeneration on the concentration of sulfate solution</w:t>
      </w:r>
    </w:p>
    <w:p w14:paraId="77021A75" w14:textId="77777777" w:rsidR="002C21A4" w:rsidRPr="000E2590" w:rsidRDefault="002C21A4" w:rsidP="002C21A4">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uz-Cyrl-UZ"/>
        </w:rPr>
        <w:t>iron, tributyl phosphate and temperatures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836"/>
        <w:gridCol w:w="1701"/>
        <w:gridCol w:w="1842"/>
        <w:gridCol w:w="1695"/>
      </w:tblGrid>
      <w:tr w:rsidR="002C21A4" w:rsidRPr="000E2590" w14:paraId="09CAC85F" w14:textId="77777777" w:rsidTr="009D4305">
        <w:tc>
          <w:tcPr>
            <w:tcW w:w="2100" w:type="dxa"/>
            <w:vMerge w:val="restart"/>
            <w:tcBorders>
              <w:top w:val="single" w:sz="4" w:space="0" w:color="auto"/>
              <w:left w:val="single" w:sz="4" w:space="0" w:color="auto"/>
              <w:bottom w:val="single" w:sz="4" w:space="0" w:color="auto"/>
              <w:right w:val="single" w:sz="4" w:space="0" w:color="auto"/>
            </w:tcBorders>
            <w:vAlign w:val="center"/>
            <w:hideMark/>
          </w:tcPr>
          <w:p w14:paraId="26BDEA00"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Indicators</w:t>
            </w:r>
          </w:p>
        </w:tc>
        <w:tc>
          <w:tcPr>
            <w:tcW w:w="7074" w:type="dxa"/>
            <w:gridSpan w:val="4"/>
            <w:tcBorders>
              <w:top w:val="single" w:sz="4" w:space="0" w:color="auto"/>
              <w:left w:val="single" w:sz="4" w:space="0" w:color="auto"/>
              <w:bottom w:val="single" w:sz="4" w:space="0" w:color="auto"/>
              <w:right w:val="single" w:sz="4" w:space="0" w:color="auto"/>
            </w:tcBorders>
            <w:hideMark/>
          </w:tcPr>
          <w:p w14:paraId="5EC6C044"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hAnsi="Arial" w:cs="Arial"/>
                <w:color w:val="000000"/>
                <w:sz w:val="20"/>
                <w:szCs w:val="20"/>
                <w:lang w:val="uz-Cyrl-UZ"/>
              </w:rPr>
              <w:t xml:space="preserve">Iron sulfate solution concentration,%  </w:t>
            </w:r>
          </w:p>
        </w:tc>
      </w:tr>
      <w:tr w:rsidR="002C21A4" w:rsidRPr="000E2590" w14:paraId="720EFB56" w14:textId="77777777" w:rsidTr="009D4305">
        <w:tc>
          <w:tcPr>
            <w:tcW w:w="0" w:type="auto"/>
            <w:vMerge/>
            <w:tcBorders>
              <w:top w:val="single" w:sz="4" w:space="0" w:color="auto"/>
              <w:left w:val="single" w:sz="4" w:space="0" w:color="auto"/>
              <w:bottom w:val="single" w:sz="4" w:space="0" w:color="auto"/>
              <w:right w:val="single" w:sz="4" w:space="0" w:color="auto"/>
            </w:tcBorders>
            <w:vAlign w:val="center"/>
            <w:hideMark/>
          </w:tcPr>
          <w:p w14:paraId="4375ABEB" w14:textId="77777777" w:rsidR="002C21A4" w:rsidRPr="000E2590" w:rsidRDefault="002C21A4" w:rsidP="009D4305">
            <w:pPr>
              <w:spacing w:after="0"/>
              <w:rPr>
                <w:rFonts w:ascii="Arial" w:eastAsia="Times New Roman" w:hAnsi="Arial" w:cs="Arial"/>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1451342F"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14:paraId="0A4BB270"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15</w:t>
            </w:r>
          </w:p>
        </w:tc>
        <w:tc>
          <w:tcPr>
            <w:tcW w:w="1842" w:type="dxa"/>
            <w:tcBorders>
              <w:top w:val="single" w:sz="4" w:space="0" w:color="auto"/>
              <w:left w:val="single" w:sz="4" w:space="0" w:color="auto"/>
              <w:bottom w:val="single" w:sz="4" w:space="0" w:color="auto"/>
              <w:right w:val="single" w:sz="4" w:space="0" w:color="auto"/>
            </w:tcBorders>
            <w:hideMark/>
          </w:tcPr>
          <w:p w14:paraId="1509317B"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20</w:t>
            </w:r>
          </w:p>
        </w:tc>
        <w:tc>
          <w:tcPr>
            <w:tcW w:w="1695" w:type="dxa"/>
            <w:tcBorders>
              <w:top w:val="single" w:sz="4" w:space="0" w:color="auto"/>
              <w:left w:val="single" w:sz="4" w:space="0" w:color="auto"/>
              <w:bottom w:val="single" w:sz="4" w:space="0" w:color="auto"/>
              <w:right w:val="single" w:sz="4" w:space="0" w:color="auto"/>
            </w:tcBorders>
            <w:hideMark/>
          </w:tcPr>
          <w:p w14:paraId="1CBBF767"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25</w:t>
            </w:r>
          </w:p>
        </w:tc>
      </w:tr>
      <w:tr w:rsidR="002C21A4" w:rsidRPr="000E2590" w14:paraId="2E4665C8"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43CD190A"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80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7F029470"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DBB78A1"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7C0FA38F"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58,28</w:t>
            </w:r>
          </w:p>
        </w:tc>
      </w:tr>
      <w:tr w:rsidR="002C21A4" w:rsidRPr="000E2590" w14:paraId="75EEF00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210597AF"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6E98C5F3"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56,35</w:t>
            </w:r>
          </w:p>
        </w:tc>
      </w:tr>
      <w:tr w:rsidR="002C21A4" w:rsidRPr="000E2590" w14:paraId="6BF7E096"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6A7AA34A"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DD745FD"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55,25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A501A2"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57,45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3C6E1B"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59,60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058DBE0"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62,71</w:t>
            </w:r>
          </w:p>
        </w:tc>
      </w:tr>
      <w:tr w:rsidR="002C21A4" w:rsidRPr="000E2590" w14:paraId="0FD2F9A5"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1F6FCDE3"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F3A34D7"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53,96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09D880"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55,73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C36969"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58,11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6AFC2DA"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60,98</w:t>
            </w:r>
          </w:p>
        </w:tc>
      </w:tr>
      <w:tr w:rsidR="002C21A4" w:rsidRPr="000E2590" w14:paraId="79B1A7CF"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2BBFD741"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90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3B57DB1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2F7FB02E"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5096917A"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90,26</w:t>
            </w:r>
          </w:p>
        </w:tc>
      </w:tr>
      <w:tr w:rsidR="002C21A4" w:rsidRPr="000E2590" w14:paraId="4FED1FA4"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47C3501"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1C0A3DAF"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89,48</w:t>
            </w:r>
          </w:p>
        </w:tc>
      </w:tr>
      <w:tr w:rsidR="002C21A4" w:rsidRPr="000E2590" w14:paraId="7705D348"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6E3B1D7"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82A6815"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87,36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E7EBD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89,01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4E398C"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90,38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5025F1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91.86</w:t>
            </w:r>
          </w:p>
        </w:tc>
      </w:tr>
      <w:tr w:rsidR="002C21A4" w:rsidRPr="000E2590" w14:paraId="3953771F"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58775B5"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8BB60AB"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86,49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857A3"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88,25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C6E80D"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89,74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FC0FA69"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91,37</w:t>
            </w:r>
          </w:p>
        </w:tc>
      </w:tr>
      <w:tr w:rsidR="002C21A4" w:rsidRPr="000E2590" w14:paraId="70A9CBA5"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520DA618"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95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79EED424"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CF66C7B"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54AC881E"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99,58</w:t>
            </w:r>
          </w:p>
        </w:tc>
      </w:tr>
      <w:tr w:rsidR="002C21A4" w:rsidRPr="000E2590" w14:paraId="4C69ABAE"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A4D62D6"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65D58C06"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99,61</w:t>
            </w:r>
          </w:p>
        </w:tc>
      </w:tr>
      <w:tr w:rsidR="002C21A4" w:rsidRPr="000E2590" w14:paraId="7771350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0CEC0276"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52730F2"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8DAA13"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C285E6"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597B115"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99,71</w:t>
            </w:r>
          </w:p>
        </w:tc>
      </w:tr>
      <w:tr w:rsidR="002C21A4" w:rsidRPr="000E2590" w14:paraId="489EE6FD"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4D0BB1BE"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4AEB764"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E4A59"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371C1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53C6297"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99,75</w:t>
            </w:r>
          </w:p>
        </w:tc>
      </w:tr>
    </w:tbl>
    <w:p w14:paraId="1310513A" w14:textId="77777777" w:rsid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To conduct the experiments, a laboratory setup consisting of five reaction vessels, a first reactor for obtaining nitrogen oxides, four absorber reactors for absorbing nitrogen oxides, two of which for absorbing nitrogen oxides using iron sulfate solution, and two for absorbing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using TBF were used. In the first reactor, a mixture of nitrogen oxide is formed by the interaction of copper with low-concentration nitric acid (59%), in all experiments, the same amount of nitric acid was used, 50 ml of 59%, until complete decomposition in the form of nitrogen oxides. In the remaining reactors, the nitrogen oxides entering from the first reactor are absorbed. </w:t>
      </w:r>
    </w:p>
    <w:p w14:paraId="7408E553"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To conduct the experiment, 100 ml of TBP solution was placed in two reactors (absorbent volume 150 ml), followed by two absorbers filled with iron sulfate solution.  </w:t>
      </w:r>
    </w:p>
    <w:p w14:paraId="14529764" w14:textId="7DB14038"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The nitrogen oxides obtained in the first reactor were passed through the solution using a water jet pump. After the experiment, a sample was taken from all solutions separately to determine nitrogen. The total content of nitrogen oxides in solution</w:t>
      </w:r>
      <w:r w:rsidR="007E3DB8">
        <w:rPr>
          <w:rFonts w:ascii="Arial" w:hAnsi="Arial" w:cs="Arial"/>
          <w:sz w:val="20"/>
          <w:szCs w:val="20"/>
          <w:lang w:val="en-US"/>
        </w:rPr>
        <w:t xml:space="preserve">s was determined by </w:t>
      </w:r>
      <w:proofErr w:type="spellStart"/>
      <w:r w:rsidR="007E3DB8">
        <w:rPr>
          <w:rFonts w:ascii="Arial" w:hAnsi="Arial" w:cs="Arial"/>
          <w:sz w:val="20"/>
          <w:szCs w:val="20"/>
          <w:lang w:val="en-US"/>
        </w:rPr>
        <w:t>Kjeldahl</w:t>
      </w:r>
      <w:proofErr w:type="spellEnd"/>
      <w:r w:rsidR="007E3DB8">
        <w:rPr>
          <w:rFonts w:ascii="Arial" w:hAnsi="Arial" w:cs="Arial"/>
          <w:sz w:val="20"/>
          <w:szCs w:val="20"/>
          <w:lang w:val="en-US"/>
        </w:rPr>
        <w:t xml:space="preserve"> [19</w:t>
      </w:r>
      <w:r w:rsidRPr="000E2590">
        <w:rPr>
          <w:rFonts w:ascii="Arial" w:hAnsi="Arial" w:cs="Arial"/>
          <w:sz w:val="20"/>
          <w:szCs w:val="20"/>
          <w:lang w:val="en-US"/>
        </w:rPr>
        <w:t>]. The experimental results are presented in Tables 1 and 2.</w:t>
      </w:r>
    </w:p>
    <w:p w14:paraId="3F86A315" w14:textId="1E5AE3B6" w:rsid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Chemical analyses of the solutions used for nitrogen oxide absorption have established the degree of nitrous gas absorption depending on the temperature, the amount o</w:t>
      </w:r>
      <w:r w:rsidR="00DD1C44">
        <w:rPr>
          <w:rFonts w:ascii="Arial" w:hAnsi="Arial" w:cs="Arial"/>
          <w:sz w:val="20"/>
          <w:szCs w:val="20"/>
          <w:lang w:val="en-US"/>
        </w:rPr>
        <w:t>f iron sulfate solution, and TB</w:t>
      </w:r>
      <w:r w:rsidR="00DD1C44">
        <w:rPr>
          <w:rFonts w:ascii="Arial" w:hAnsi="Arial" w:cs="Arial"/>
          <w:color w:val="000000" w:themeColor="text1"/>
          <w:sz w:val="20"/>
          <w:szCs w:val="20"/>
          <w:lang w:val="en-US"/>
        </w:rPr>
        <w:t>P</w:t>
      </w:r>
      <w:r w:rsidRPr="000E2590">
        <w:rPr>
          <w:rFonts w:ascii="Arial" w:hAnsi="Arial" w:cs="Arial"/>
          <w:sz w:val="20"/>
          <w:szCs w:val="20"/>
          <w:lang w:val="en-US"/>
        </w:rPr>
        <w:t>.</w:t>
      </w:r>
    </w:p>
    <w:p w14:paraId="2B2B289C" w14:textId="77777777" w:rsidR="003409C4" w:rsidRPr="000E2590" w:rsidRDefault="002C21A4" w:rsidP="000E2590">
      <w:pPr>
        <w:spacing w:after="0"/>
        <w:ind w:firstLine="708"/>
        <w:jc w:val="both"/>
        <w:rPr>
          <w:rFonts w:ascii="Arial" w:hAnsi="Arial" w:cs="Arial"/>
          <w:sz w:val="20"/>
          <w:szCs w:val="20"/>
          <w:lang w:val="en-US"/>
        </w:rPr>
      </w:pPr>
      <w:r w:rsidRPr="000E2590">
        <w:rPr>
          <w:rFonts w:ascii="Arial" w:hAnsi="Arial" w:cs="Arial"/>
          <w:sz w:val="20"/>
          <w:szCs w:val="20"/>
          <w:lang w:val="en-US"/>
        </w:rPr>
        <w:t>Based on the obtained results, it can be concluded that the absorption of nitrous gases using an iron sulfate solution and</w:t>
      </w:r>
      <w:r w:rsidR="003916D4" w:rsidRPr="000E2590">
        <w:rPr>
          <w:rFonts w:ascii="Arial" w:hAnsi="Arial" w:cs="Arial"/>
          <w:sz w:val="20"/>
          <w:szCs w:val="20"/>
          <w:lang w:val="en-US"/>
        </w:rPr>
        <w:t xml:space="preserve"> TB</w:t>
      </w:r>
      <w:r w:rsidR="00B25B80" w:rsidRPr="000E2590">
        <w:rPr>
          <w:rFonts w:ascii="Arial" w:hAnsi="Arial" w:cs="Arial"/>
          <w:sz w:val="20"/>
          <w:szCs w:val="20"/>
          <w:lang w:val="en-US"/>
        </w:rPr>
        <w:t>P</w:t>
      </w:r>
      <w:r w:rsidR="003916D4" w:rsidRPr="000E2590">
        <w:rPr>
          <w:rFonts w:ascii="Arial" w:hAnsi="Arial" w:cs="Arial"/>
          <w:sz w:val="20"/>
          <w:szCs w:val="20"/>
          <w:lang w:val="en-US"/>
        </w:rPr>
        <w:t xml:space="preserve"> in stepped absorbers is 78,50-99,</w:t>
      </w:r>
      <w:r w:rsidRPr="000E2590">
        <w:rPr>
          <w:rFonts w:ascii="Arial" w:hAnsi="Arial" w:cs="Arial"/>
          <w:sz w:val="20"/>
          <w:szCs w:val="20"/>
          <w:lang w:val="en-US"/>
        </w:rPr>
        <w:t>91% depending on the purification conditions. Experimental results and analyses showed that with increasing temperature in all absorbers, the degree of nitrogen oxide absorption decreases, so at a temperature of 10</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 in terms of nitrogen (N</w:t>
      </w:r>
      <w:r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 mol</w:t>
      </w:r>
      <w:r w:rsidR="003916D4" w:rsidRPr="000E2590">
        <w:rPr>
          <w:rFonts w:ascii="Arial" w:hAnsi="Arial" w:cs="Arial"/>
          <w:sz w:val="20"/>
          <w:szCs w:val="20"/>
          <w:lang w:val="en-US"/>
        </w:rPr>
        <w:t>, in the second absorber 0,45 mol, in the third absorber 0,7 mol, in the fourth absorber 0,</w:t>
      </w:r>
      <w:r w:rsidRPr="000E2590">
        <w:rPr>
          <w:rFonts w:ascii="Arial" w:hAnsi="Arial" w:cs="Arial"/>
          <w:sz w:val="20"/>
          <w:szCs w:val="20"/>
          <w:lang w:val="en-US"/>
        </w:rPr>
        <w:t>2 mol, at a temperature of 20</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w:t>
      </w:r>
      <w:r w:rsidR="003916D4" w:rsidRPr="000E2590">
        <w:rPr>
          <w:rFonts w:ascii="Arial" w:hAnsi="Arial" w:cs="Arial"/>
          <w:sz w:val="20"/>
          <w:szCs w:val="20"/>
          <w:lang w:val="en-US"/>
        </w:rPr>
        <w:t xml:space="preserve"> in terms of nitrogen (N</w:t>
      </w:r>
      <w:r w:rsidR="003916D4"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w:t>
      </w:r>
      <w:r w:rsidR="003916D4" w:rsidRPr="000E2590">
        <w:rPr>
          <w:rFonts w:ascii="Arial" w:hAnsi="Arial" w:cs="Arial"/>
          <w:sz w:val="20"/>
          <w:szCs w:val="20"/>
          <w:lang w:val="en-US"/>
        </w:rPr>
        <w:t>5 mol, in the second absorber 0,</w:t>
      </w:r>
      <w:r w:rsidRPr="000E2590">
        <w:rPr>
          <w:rFonts w:ascii="Arial" w:hAnsi="Arial" w:cs="Arial"/>
          <w:sz w:val="20"/>
          <w:szCs w:val="20"/>
          <w:lang w:val="en-US"/>
        </w:rPr>
        <w:t>5 mol, i</w:t>
      </w:r>
      <w:r w:rsidR="003916D4" w:rsidRPr="000E2590">
        <w:rPr>
          <w:rFonts w:ascii="Arial" w:hAnsi="Arial" w:cs="Arial"/>
          <w:sz w:val="20"/>
          <w:szCs w:val="20"/>
          <w:lang w:val="en-US"/>
        </w:rPr>
        <w:t>n the third absorber 0,</w:t>
      </w:r>
      <w:r w:rsidRPr="000E2590">
        <w:rPr>
          <w:rFonts w:ascii="Arial" w:hAnsi="Arial" w:cs="Arial"/>
          <w:sz w:val="20"/>
          <w:szCs w:val="20"/>
          <w:lang w:val="en-US"/>
        </w:rPr>
        <w:t>73 mol, in the fourth absorber 0</w:t>
      </w:r>
      <w:r w:rsidR="008761F7" w:rsidRPr="000E2590">
        <w:rPr>
          <w:rFonts w:ascii="Arial" w:hAnsi="Arial" w:cs="Arial"/>
          <w:sz w:val="20"/>
          <w:szCs w:val="20"/>
          <w:lang w:val="en-US"/>
        </w:rPr>
        <w:t>.27 mol, at a temperature of 15</w:t>
      </w:r>
      <w:r w:rsidR="008761F7"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 in terms of nitrogen (N</w:t>
      </w:r>
      <w:r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w:t>
      </w:r>
      <w:r w:rsidR="003916D4" w:rsidRPr="000E2590">
        <w:rPr>
          <w:rFonts w:ascii="Arial" w:hAnsi="Arial" w:cs="Arial"/>
          <w:sz w:val="20"/>
          <w:szCs w:val="20"/>
          <w:lang w:val="en-US"/>
        </w:rPr>
        <w:t>2 mol, in the second absorber 0,42 mol, in the third absorber 0,</w:t>
      </w:r>
      <w:r w:rsidRPr="000E2590">
        <w:rPr>
          <w:rFonts w:ascii="Arial" w:hAnsi="Arial" w:cs="Arial"/>
          <w:sz w:val="20"/>
          <w:szCs w:val="20"/>
          <w:lang w:val="en-US"/>
        </w:rPr>
        <w:t>71 mol, in</w:t>
      </w:r>
      <w:r w:rsidR="003916D4" w:rsidRPr="000E2590">
        <w:rPr>
          <w:rFonts w:ascii="Arial" w:hAnsi="Arial" w:cs="Arial"/>
          <w:sz w:val="20"/>
          <w:szCs w:val="20"/>
          <w:lang w:val="en-US"/>
        </w:rPr>
        <w:t xml:space="preserve"> the fourth absorber 0,</w:t>
      </w:r>
      <w:r w:rsidRPr="000E2590">
        <w:rPr>
          <w:rFonts w:ascii="Arial" w:hAnsi="Arial" w:cs="Arial"/>
          <w:sz w:val="20"/>
          <w:szCs w:val="20"/>
          <w:lang w:val="en-US"/>
        </w:rPr>
        <w:t>24 mol.</w:t>
      </w:r>
    </w:p>
    <w:p w14:paraId="31C1A331" w14:textId="5A5FF6A2"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At a 1:1 ratio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 and a norm of 110% of the released nitrogen oxides, at a temperature of 15</w:t>
      </w:r>
      <w:r w:rsidR="003916D4" w:rsidRPr="000E2590">
        <w:rPr>
          <w:rFonts w:ascii="Arial" w:hAnsi="Arial" w:cs="Arial"/>
          <w:sz w:val="20"/>
          <w:szCs w:val="20"/>
          <w:vertAlign w:val="superscript"/>
          <w:lang w:val="en-US"/>
        </w:rPr>
        <w:t>o</w:t>
      </w:r>
      <w:r w:rsidR="003916D4" w:rsidRPr="000E2590">
        <w:rPr>
          <w:rFonts w:ascii="Arial" w:hAnsi="Arial" w:cs="Arial"/>
          <w:sz w:val="20"/>
          <w:szCs w:val="20"/>
          <w:lang w:val="en-US"/>
        </w:rPr>
        <w:t>C, the absorption rate is 97,</w:t>
      </w:r>
      <w:r w:rsidRPr="000E2590">
        <w:rPr>
          <w:rFonts w:ascii="Arial" w:hAnsi="Arial" w:cs="Arial"/>
          <w:sz w:val="20"/>
          <w:szCs w:val="20"/>
          <w:lang w:val="en-US"/>
        </w:rPr>
        <w:t>86%. Reducing the temperature by 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and the amount of iron sulfate and TBF solution by 5% of the stoichiometric value allows for an increase in the absorption rate of nitrogen oxide by approximately 7%. The research results showed that using a uniform molar ratio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solutions for the absorption of nitrogen oxides and nitrogen dioxide at normal temperatures and pressures in four absorbers, it</w:t>
      </w:r>
      <w:r w:rsidR="003916D4" w:rsidRPr="000E2590">
        <w:rPr>
          <w:rFonts w:ascii="Arial" w:hAnsi="Arial" w:cs="Arial"/>
          <w:sz w:val="20"/>
          <w:szCs w:val="20"/>
          <w:lang w:val="en-US"/>
        </w:rPr>
        <w:t xml:space="preserve"> is possible to absorb up to 99,</w:t>
      </w:r>
      <w:r w:rsidRPr="000E2590">
        <w:rPr>
          <w:rFonts w:ascii="Arial" w:hAnsi="Arial" w:cs="Arial"/>
          <w:sz w:val="20"/>
          <w:szCs w:val="20"/>
          <w:lang w:val="en-US"/>
        </w:rPr>
        <w:t>91% of nitrogen oxides and practically completely reg</w:t>
      </w:r>
      <w:r w:rsidR="00DD1C44">
        <w:rPr>
          <w:rFonts w:ascii="Arial" w:hAnsi="Arial" w:cs="Arial"/>
          <w:sz w:val="20"/>
          <w:szCs w:val="20"/>
          <w:lang w:val="en-US"/>
        </w:rPr>
        <w:t>enerate the iron sulfate and TBP</w:t>
      </w:r>
      <w:r w:rsidRPr="000E2590">
        <w:rPr>
          <w:rFonts w:ascii="Arial" w:hAnsi="Arial" w:cs="Arial"/>
          <w:sz w:val="20"/>
          <w:szCs w:val="20"/>
          <w:lang w:val="en-US"/>
        </w:rPr>
        <w:t xml:space="preserve"> solution at 95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and obtain nitrogen oxides and nitrogen dioxide in a 1:1 molar ratio, which was used to obtain sodium nitrite.</w:t>
      </w:r>
    </w:p>
    <w:p w14:paraId="6C9E6351" w14:textId="77777777"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In the next stage of the work, the processes of obtaining sodium nitrite based on desorbed nitrous gases from a solution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were investigated.  For the experiment, a laboratory setup was used to obtain sodium nitrate and sodium nitrite. First, desorption of nitrogen oxides from iron sulfate </w:t>
      </w:r>
      <w:r w:rsidRPr="000E2590">
        <w:rPr>
          <w:rFonts w:ascii="Arial" w:hAnsi="Arial" w:cs="Arial"/>
          <w:sz w:val="20"/>
          <w:szCs w:val="20"/>
          <w:lang w:val="en-US"/>
        </w:rPr>
        <w:lastRenderedPageBreak/>
        <w:t>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solutions was carried out at a temperature of 85-95 </w:t>
      </w:r>
      <w:proofErr w:type="spellStart"/>
      <w:r w:rsidR="003916D4" w:rsidRPr="000E2590">
        <w:rPr>
          <w:rFonts w:ascii="Arial" w:hAnsi="Arial" w:cs="Arial"/>
          <w:sz w:val="20"/>
          <w:szCs w:val="20"/>
          <w:vertAlign w:val="superscript"/>
          <w:lang w:val="en-US"/>
        </w:rPr>
        <w:t>o</w:t>
      </w:r>
      <w:r w:rsidRPr="000E2590">
        <w:rPr>
          <w:rFonts w:ascii="Arial" w:hAnsi="Arial" w:cs="Arial"/>
          <w:sz w:val="20"/>
          <w:szCs w:val="20"/>
          <w:lang w:val="en-US"/>
        </w:rPr>
        <w:t>C</w:t>
      </w:r>
      <w:proofErr w:type="spellEnd"/>
      <w:r w:rsidRPr="000E2590">
        <w:rPr>
          <w:rFonts w:ascii="Arial" w:hAnsi="Arial" w:cs="Arial"/>
          <w:sz w:val="20"/>
          <w:szCs w:val="20"/>
          <w:lang w:val="en-US"/>
        </w:rPr>
        <w:t xml:space="preserve"> with subsequent absorption of the resulting nitrogen oxides using a 35% NaOH solution at a pressure of 1 atm and room temperature. After absorption of nitrous gases using a 35% sodium hydroxide solution, the resulting solution had the following composition: 42% NaNO</w:t>
      </w:r>
      <w:r w:rsidRPr="000E2590">
        <w:rPr>
          <w:rFonts w:ascii="Arial" w:hAnsi="Arial" w:cs="Arial"/>
          <w:sz w:val="20"/>
          <w:szCs w:val="20"/>
          <w:vertAlign w:val="subscript"/>
          <w:lang w:val="en-US"/>
        </w:rPr>
        <w:t>2</w:t>
      </w:r>
      <w:r w:rsidRPr="000E2590">
        <w:rPr>
          <w:rFonts w:ascii="Arial" w:hAnsi="Arial" w:cs="Arial"/>
          <w:sz w:val="20"/>
          <w:szCs w:val="20"/>
          <w:lang w:val="en-US"/>
        </w:rPr>
        <w:t>, 47% water and 11% NaNO</w:t>
      </w:r>
      <w:r w:rsidRPr="000E2590">
        <w:rPr>
          <w:rFonts w:ascii="Arial" w:hAnsi="Arial" w:cs="Arial"/>
          <w:sz w:val="20"/>
          <w:szCs w:val="20"/>
          <w:vertAlign w:val="subscript"/>
          <w:lang w:val="en-US"/>
        </w:rPr>
        <w:t>3</w:t>
      </w:r>
      <w:r w:rsidRPr="000E2590">
        <w:rPr>
          <w:rFonts w:ascii="Arial" w:hAnsi="Arial" w:cs="Arial"/>
          <w:sz w:val="20"/>
          <w:szCs w:val="20"/>
          <w:lang w:val="en-US"/>
        </w:rPr>
        <w:t>, the density of the solution was 1200 kg/m</w:t>
      </w:r>
      <w:r w:rsidRPr="000E2590">
        <w:rPr>
          <w:rFonts w:ascii="Arial" w:hAnsi="Arial" w:cs="Arial"/>
          <w:sz w:val="20"/>
          <w:szCs w:val="20"/>
          <w:vertAlign w:val="superscript"/>
          <w:lang w:val="en-US"/>
        </w:rPr>
        <w:t>3</w:t>
      </w:r>
      <w:r w:rsidRPr="000E2590">
        <w:rPr>
          <w:rFonts w:ascii="Arial" w:hAnsi="Arial" w:cs="Arial"/>
          <w:sz w:val="20"/>
          <w:szCs w:val="20"/>
          <w:lang w:val="en-US"/>
        </w:rPr>
        <w:t>, which was treated with nitric acid to carry out the reaction (3), the released gases were absorbed by a 35% NaOH solution to obtain a sodium nitrite solution.</w:t>
      </w:r>
    </w:p>
    <w:p w14:paraId="1355166F" w14:textId="6040D181" w:rsidR="002C21A4" w:rsidRPr="00EE6F6E" w:rsidRDefault="002C21A4" w:rsidP="00271ED7">
      <w:pPr>
        <w:spacing w:before="240" w:after="0" w:line="240" w:lineRule="auto"/>
        <w:ind w:firstLine="709"/>
        <w:jc w:val="center"/>
        <w:rPr>
          <w:rFonts w:ascii="Arial" w:hAnsi="Arial" w:cs="Arial"/>
          <w:sz w:val="20"/>
          <w:szCs w:val="20"/>
          <w:lang w:val="es-US"/>
        </w:rPr>
      </w:pPr>
      <w:r w:rsidRPr="00EE6F6E">
        <w:rPr>
          <w:rFonts w:ascii="Arial" w:hAnsi="Arial" w:cs="Arial"/>
          <w:sz w:val="20"/>
          <w:szCs w:val="20"/>
          <w:lang w:val="es-US"/>
        </w:rPr>
        <w:t>NaNO</w:t>
      </w:r>
      <w:r w:rsidRPr="00EE6F6E">
        <w:rPr>
          <w:rFonts w:ascii="Arial" w:hAnsi="Arial" w:cs="Arial"/>
          <w:sz w:val="20"/>
          <w:szCs w:val="20"/>
          <w:vertAlign w:val="subscript"/>
          <w:lang w:val="es-US"/>
        </w:rPr>
        <w:t>2</w:t>
      </w:r>
      <w:r w:rsidRPr="00EE6F6E">
        <w:rPr>
          <w:rFonts w:ascii="Arial" w:hAnsi="Arial" w:cs="Arial"/>
          <w:sz w:val="20"/>
          <w:szCs w:val="20"/>
          <w:lang w:val="es-US"/>
        </w:rPr>
        <w:t>+2HNO</w:t>
      </w:r>
      <w:r w:rsidRPr="00EE6F6E">
        <w:rPr>
          <w:rFonts w:ascii="Arial" w:hAnsi="Arial" w:cs="Arial"/>
          <w:sz w:val="20"/>
          <w:szCs w:val="20"/>
          <w:vertAlign w:val="subscript"/>
          <w:lang w:val="es-US"/>
        </w:rPr>
        <w:t>3</w:t>
      </w:r>
      <w:r w:rsidR="007E3DB8">
        <w:rPr>
          <w:rFonts w:ascii="Arial" w:hAnsi="Arial" w:cs="Arial"/>
          <w:sz w:val="20"/>
          <w:szCs w:val="20"/>
          <w:lang w:val="uz-Latn-UZ"/>
        </w:rPr>
        <w:t xml:space="preserve"> </w:t>
      </w:r>
      <w:r w:rsidR="007E3DB8">
        <w:rPr>
          <w:rFonts w:ascii="Arial" w:hAnsi="Arial" w:cs="Arial"/>
          <w:color w:val="000000" w:themeColor="text1"/>
          <w:sz w:val="20"/>
          <w:szCs w:val="20"/>
          <w:lang w:val="en-US"/>
        </w:rPr>
        <w:t>–˃</w:t>
      </w:r>
      <w:r w:rsidR="007E3DB8" w:rsidRPr="000E2590">
        <w:rPr>
          <w:rFonts w:ascii="Arial" w:hAnsi="Arial" w:cs="Arial"/>
          <w:color w:val="000000" w:themeColor="text1"/>
          <w:sz w:val="20"/>
          <w:szCs w:val="20"/>
          <w:lang w:val="en-US"/>
        </w:rPr>
        <w:t xml:space="preserve"> </w:t>
      </w:r>
      <w:r w:rsidRPr="00EE6F6E">
        <w:rPr>
          <w:rFonts w:ascii="Arial" w:hAnsi="Arial" w:cs="Arial"/>
          <w:sz w:val="20"/>
          <w:szCs w:val="20"/>
          <w:lang w:val="es-US"/>
        </w:rPr>
        <w:t>2NaNO</w:t>
      </w:r>
      <w:r w:rsidRPr="00EE6F6E">
        <w:rPr>
          <w:rFonts w:ascii="Arial" w:hAnsi="Arial" w:cs="Arial"/>
          <w:sz w:val="20"/>
          <w:szCs w:val="20"/>
          <w:vertAlign w:val="subscript"/>
          <w:lang w:val="es-US"/>
        </w:rPr>
        <w:t>3</w:t>
      </w:r>
      <w:r w:rsidRPr="00EE6F6E">
        <w:rPr>
          <w:rFonts w:ascii="Arial" w:hAnsi="Arial" w:cs="Arial"/>
          <w:sz w:val="20"/>
          <w:szCs w:val="20"/>
          <w:lang w:val="es-US"/>
        </w:rPr>
        <w:t>+NO</w:t>
      </w:r>
      <w:r w:rsidRPr="00EE6F6E">
        <w:rPr>
          <w:rFonts w:ascii="Arial" w:hAnsi="Arial" w:cs="Arial"/>
          <w:sz w:val="20"/>
          <w:szCs w:val="20"/>
          <w:vertAlign w:val="subscript"/>
          <w:lang w:val="es-US"/>
        </w:rPr>
        <w:t>2</w:t>
      </w:r>
      <w:r w:rsidRPr="00EE6F6E">
        <w:rPr>
          <w:rFonts w:ascii="Arial" w:hAnsi="Arial" w:cs="Arial"/>
          <w:sz w:val="20"/>
          <w:szCs w:val="20"/>
          <w:lang w:val="es-US"/>
        </w:rPr>
        <w:t>+NO+</w:t>
      </w:r>
      <w:proofErr w:type="gramStart"/>
      <w:r w:rsidRPr="00EE6F6E">
        <w:rPr>
          <w:rFonts w:ascii="Arial" w:hAnsi="Arial" w:cs="Arial"/>
          <w:sz w:val="20"/>
          <w:szCs w:val="20"/>
          <w:lang w:val="es-US"/>
        </w:rPr>
        <w:t>H</w:t>
      </w:r>
      <w:r w:rsidRPr="00EE6F6E">
        <w:rPr>
          <w:rFonts w:ascii="Arial" w:hAnsi="Arial" w:cs="Arial"/>
          <w:sz w:val="20"/>
          <w:szCs w:val="20"/>
          <w:vertAlign w:val="subscript"/>
          <w:lang w:val="es-US"/>
        </w:rPr>
        <w:t>2</w:t>
      </w:r>
      <w:r w:rsidRPr="00EE6F6E">
        <w:rPr>
          <w:rFonts w:ascii="Arial" w:hAnsi="Arial" w:cs="Arial"/>
          <w:sz w:val="20"/>
          <w:szCs w:val="20"/>
          <w:lang w:val="es-US"/>
        </w:rPr>
        <w:t>O  (</w:t>
      </w:r>
      <w:proofErr w:type="gramEnd"/>
      <w:r w:rsidRPr="00EE6F6E">
        <w:rPr>
          <w:rFonts w:ascii="Arial" w:hAnsi="Arial" w:cs="Arial"/>
          <w:sz w:val="20"/>
          <w:szCs w:val="20"/>
          <w:lang w:val="es-US"/>
        </w:rPr>
        <w:t>3)</w:t>
      </w:r>
    </w:p>
    <w:p w14:paraId="424A6B7A" w14:textId="631CD045" w:rsidR="002C21A4" w:rsidRPr="00EE6F6E" w:rsidRDefault="002C21A4" w:rsidP="00271ED7">
      <w:pPr>
        <w:spacing w:after="240" w:line="240" w:lineRule="auto"/>
        <w:ind w:firstLine="709"/>
        <w:jc w:val="center"/>
        <w:rPr>
          <w:rFonts w:ascii="Arial" w:hAnsi="Arial" w:cs="Arial"/>
          <w:sz w:val="20"/>
          <w:szCs w:val="20"/>
          <w:lang w:val="es-US"/>
        </w:rPr>
      </w:pPr>
      <w:r w:rsidRPr="00EE6F6E">
        <w:rPr>
          <w:rFonts w:ascii="Arial" w:hAnsi="Arial" w:cs="Arial"/>
          <w:sz w:val="20"/>
          <w:szCs w:val="20"/>
          <w:lang w:val="es-US"/>
        </w:rPr>
        <w:t>2NaOH+NO+NO</w:t>
      </w:r>
      <w:r w:rsidRPr="00EE6F6E">
        <w:rPr>
          <w:rFonts w:ascii="Arial" w:hAnsi="Arial" w:cs="Arial"/>
          <w:sz w:val="20"/>
          <w:szCs w:val="20"/>
          <w:vertAlign w:val="subscript"/>
          <w:lang w:val="es-US"/>
        </w:rPr>
        <w:t>2</w:t>
      </w:r>
      <w:r w:rsidR="007E3DB8">
        <w:rPr>
          <w:rFonts w:ascii="Arial" w:hAnsi="Arial" w:cs="Arial"/>
          <w:sz w:val="20"/>
          <w:szCs w:val="20"/>
          <w:lang w:val="uz-Latn-UZ"/>
        </w:rPr>
        <w:t xml:space="preserve"> </w:t>
      </w:r>
      <w:r w:rsidR="007E3DB8">
        <w:rPr>
          <w:rFonts w:ascii="Arial" w:hAnsi="Arial" w:cs="Arial"/>
          <w:color w:val="000000" w:themeColor="text1"/>
          <w:sz w:val="20"/>
          <w:szCs w:val="20"/>
          <w:lang w:val="en-US"/>
        </w:rPr>
        <w:t>–˃</w:t>
      </w:r>
      <w:r w:rsidR="007E3DB8" w:rsidRPr="000E2590">
        <w:rPr>
          <w:rFonts w:ascii="Arial" w:hAnsi="Arial" w:cs="Arial"/>
          <w:color w:val="000000" w:themeColor="text1"/>
          <w:sz w:val="20"/>
          <w:szCs w:val="20"/>
          <w:lang w:val="en-US"/>
        </w:rPr>
        <w:t xml:space="preserve"> </w:t>
      </w:r>
      <w:r w:rsidRPr="00EE6F6E">
        <w:rPr>
          <w:rFonts w:ascii="Arial" w:hAnsi="Arial" w:cs="Arial"/>
          <w:sz w:val="20"/>
          <w:szCs w:val="20"/>
          <w:lang w:val="es-US"/>
        </w:rPr>
        <w:t>2NaNO</w:t>
      </w:r>
      <w:r w:rsidRPr="00EE6F6E">
        <w:rPr>
          <w:rFonts w:ascii="Arial" w:hAnsi="Arial" w:cs="Arial"/>
          <w:sz w:val="20"/>
          <w:szCs w:val="20"/>
          <w:vertAlign w:val="subscript"/>
          <w:lang w:val="es-US"/>
        </w:rPr>
        <w:t>2</w:t>
      </w:r>
      <w:r w:rsidRPr="00EE6F6E">
        <w:rPr>
          <w:rFonts w:ascii="Arial" w:hAnsi="Arial" w:cs="Arial"/>
          <w:sz w:val="20"/>
          <w:szCs w:val="20"/>
          <w:lang w:val="es-US"/>
        </w:rPr>
        <w:t>+H</w:t>
      </w:r>
      <w:r w:rsidRPr="00EE6F6E">
        <w:rPr>
          <w:rFonts w:ascii="Arial" w:hAnsi="Arial" w:cs="Arial"/>
          <w:sz w:val="20"/>
          <w:szCs w:val="20"/>
          <w:vertAlign w:val="subscript"/>
          <w:lang w:val="es-US"/>
        </w:rPr>
        <w:t>2</w:t>
      </w:r>
      <w:r w:rsidRPr="00EE6F6E">
        <w:rPr>
          <w:rFonts w:ascii="Arial" w:hAnsi="Arial" w:cs="Arial"/>
          <w:sz w:val="20"/>
          <w:szCs w:val="20"/>
          <w:lang w:val="es-US"/>
        </w:rPr>
        <w:t xml:space="preserve">O </w:t>
      </w:r>
      <w:r w:rsidRPr="00EE6F6E">
        <w:rPr>
          <w:rFonts w:ascii="Arial" w:hAnsi="Arial" w:cs="Arial"/>
          <w:sz w:val="20"/>
          <w:szCs w:val="20"/>
          <w:lang w:val="es-US"/>
        </w:rPr>
        <w:tab/>
      </w:r>
      <w:r w:rsidRPr="00EE6F6E">
        <w:rPr>
          <w:rFonts w:ascii="Arial" w:hAnsi="Arial" w:cs="Arial"/>
          <w:sz w:val="20"/>
          <w:szCs w:val="20"/>
          <w:lang w:val="es-US"/>
        </w:rPr>
        <w:tab/>
        <w:t>(4)</w:t>
      </w:r>
    </w:p>
    <w:p w14:paraId="3C0A0847" w14:textId="2AD1DC8D"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Sodium nitrite is required in solid form, for which it must pass through a crystallizer with subsequent centrifugation. Therefore, to obtain a sodium nitrite crystal, the solution was first evaporated until supersaturation, then cooled to 25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 xml:space="preserve">C, in which the crystals were grown from the liquid, the formed crystals were separated by centrifugation, and the remaining solution was re-processed in the following stages of the experiments. The crystals contained some moisture that needed to be removed, for which a dryer was required. In the dryer, maintaining a temperature of about 90-100 </w:t>
      </w:r>
      <w:proofErr w:type="spellStart"/>
      <w:r w:rsidR="003916D4" w:rsidRPr="000E2590">
        <w:rPr>
          <w:rFonts w:ascii="Arial" w:hAnsi="Arial" w:cs="Arial"/>
          <w:sz w:val="20"/>
          <w:szCs w:val="20"/>
          <w:vertAlign w:val="superscript"/>
          <w:lang w:val="en-US"/>
        </w:rPr>
        <w:t>o</w:t>
      </w:r>
      <w:r w:rsidRPr="000E2590">
        <w:rPr>
          <w:rFonts w:ascii="Arial" w:hAnsi="Arial" w:cs="Arial"/>
          <w:sz w:val="20"/>
          <w:szCs w:val="20"/>
          <w:lang w:val="en-US"/>
        </w:rPr>
        <w:t>C</w:t>
      </w:r>
      <w:proofErr w:type="spellEnd"/>
      <w:r w:rsidRPr="000E2590">
        <w:rPr>
          <w:rFonts w:ascii="Arial" w:hAnsi="Arial" w:cs="Arial"/>
          <w:sz w:val="20"/>
          <w:szCs w:val="20"/>
          <w:lang w:val="en-US"/>
        </w:rPr>
        <w:t xml:space="preserve"> for 30-40 minutes, the drying was carried out, after which the final desired product sodium nitrite was obtained in solid form, which is a slightly yellowish crystalline powder. The content of sodium nitrate and sodium nitrite in the solution and the finished product was determ</w:t>
      </w:r>
      <w:r w:rsidR="007E3DB8">
        <w:rPr>
          <w:rFonts w:ascii="Arial" w:hAnsi="Arial" w:cs="Arial"/>
          <w:sz w:val="20"/>
          <w:szCs w:val="20"/>
          <w:lang w:val="en-US"/>
        </w:rPr>
        <w:t>ined according to the method [20</w:t>
      </w:r>
      <w:r w:rsidRPr="000E2590">
        <w:rPr>
          <w:rFonts w:ascii="Arial" w:hAnsi="Arial" w:cs="Arial"/>
          <w:sz w:val="20"/>
          <w:szCs w:val="20"/>
          <w:lang w:val="en-US"/>
        </w:rPr>
        <w:t>].</w:t>
      </w:r>
    </w:p>
    <w:p w14:paraId="67EC6747"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sz w:val="20"/>
          <w:szCs w:val="20"/>
          <w:lang w:val="en-US"/>
        </w:rPr>
        <w:t>The finished product had the following composition: mas</w:t>
      </w:r>
      <w:r w:rsidR="003916D4" w:rsidRPr="000E2590">
        <w:rPr>
          <w:rFonts w:ascii="Arial" w:hAnsi="Arial" w:cs="Arial"/>
          <w:sz w:val="20"/>
          <w:szCs w:val="20"/>
          <w:lang w:val="en-US"/>
        </w:rPr>
        <w:t>s fraction of sodium nitrite 99,</w:t>
      </w:r>
      <w:r w:rsidRPr="000E2590">
        <w:rPr>
          <w:rFonts w:ascii="Arial" w:hAnsi="Arial" w:cs="Arial"/>
          <w:sz w:val="20"/>
          <w:szCs w:val="20"/>
          <w:lang w:val="en-US"/>
        </w:rPr>
        <w:t>2%, mass fraction of sodium nitra</w:t>
      </w:r>
      <w:r w:rsidR="003916D4" w:rsidRPr="000E2590">
        <w:rPr>
          <w:rFonts w:ascii="Arial" w:hAnsi="Arial" w:cs="Arial"/>
          <w:sz w:val="20"/>
          <w:szCs w:val="20"/>
          <w:lang w:val="en-US"/>
        </w:rPr>
        <w:t>te 0,</w:t>
      </w:r>
      <w:r w:rsidRPr="000E2590">
        <w:rPr>
          <w:rFonts w:ascii="Arial" w:hAnsi="Arial" w:cs="Arial"/>
          <w:sz w:val="20"/>
          <w:szCs w:val="20"/>
          <w:lang w:val="en-US"/>
        </w:rPr>
        <w:t xml:space="preserve">5%, mass </w:t>
      </w:r>
      <w:r w:rsidR="003916D4" w:rsidRPr="000E2590">
        <w:rPr>
          <w:rFonts w:ascii="Arial" w:hAnsi="Arial" w:cs="Arial"/>
          <w:sz w:val="20"/>
          <w:szCs w:val="20"/>
          <w:lang w:val="en-US"/>
        </w:rPr>
        <w:t>fraction of insoluble residue 0,02%, mass fraction of water 0,</w:t>
      </w:r>
      <w:r w:rsidRPr="000E2590">
        <w:rPr>
          <w:rFonts w:ascii="Arial" w:hAnsi="Arial" w:cs="Arial"/>
          <w:sz w:val="20"/>
          <w:szCs w:val="20"/>
          <w:lang w:val="en-US"/>
        </w:rPr>
        <w:t>35%.</w:t>
      </w:r>
    </w:p>
    <w:p w14:paraId="734306AD" w14:textId="77777777" w:rsidR="00271ED7" w:rsidRPr="000E2590" w:rsidRDefault="00271ED7" w:rsidP="00271ED7">
      <w:pPr>
        <w:spacing w:after="240"/>
        <w:ind w:firstLine="709"/>
        <w:jc w:val="both"/>
        <w:rPr>
          <w:rFonts w:ascii="Arial" w:hAnsi="Arial" w:cs="Arial"/>
          <w:sz w:val="20"/>
          <w:szCs w:val="20"/>
          <w:lang w:val="en-US"/>
        </w:rPr>
      </w:pPr>
      <w:r w:rsidRPr="000E2590">
        <w:rPr>
          <w:rFonts w:ascii="Arial" w:hAnsi="Arial" w:cs="Arial"/>
          <w:sz w:val="20"/>
          <w:szCs w:val="20"/>
          <w:lang w:val="en-US"/>
        </w:rPr>
        <w:t xml:space="preserve">The next stage of the work was the IR spectroscopic study of the obtained sodium nitrite products and its comparison with the imported sodium nitrite product. The IR spectra of the studied compounds in tablets with </w:t>
      </w:r>
      <w:proofErr w:type="spellStart"/>
      <w:r w:rsidRPr="000E2590">
        <w:rPr>
          <w:rFonts w:ascii="Arial" w:hAnsi="Arial" w:cs="Arial"/>
          <w:sz w:val="20"/>
          <w:szCs w:val="20"/>
          <w:lang w:val="en-US"/>
        </w:rPr>
        <w:t>KBr</w:t>
      </w:r>
      <w:proofErr w:type="spellEnd"/>
      <w:r w:rsidRPr="000E2590">
        <w:rPr>
          <w:rFonts w:ascii="Arial" w:hAnsi="Arial" w:cs="Arial"/>
          <w:sz w:val="20"/>
          <w:szCs w:val="20"/>
          <w:lang w:val="en-US"/>
        </w:rPr>
        <w:t xml:space="preserve"> (4000-400 cm-1 region) were recorded on a Perkin-Elmer firm's Fourier System 2000 IR spectrometer. The obtained results are presented in Figures 1-2.</w:t>
      </w:r>
    </w:p>
    <w:p w14:paraId="6D640CA9"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noProof/>
          <w:sz w:val="20"/>
          <w:szCs w:val="20"/>
          <w:lang w:eastAsia="ru-RU"/>
        </w:rPr>
        <w:drawing>
          <wp:inline distT="0" distB="0" distL="0" distR="0" wp14:anchorId="029FAF48" wp14:editId="43141B92">
            <wp:extent cx="5181600" cy="2219533"/>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343" cy="2223706"/>
                    </a:xfrm>
                    <a:prstGeom prst="rect">
                      <a:avLst/>
                    </a:prstGeom>
                    <a:noFill/>
                    <a:ln>
                      <a:noFill/>
                    </a:ln>
                  </pic:spPr>
                </pic:pic>
              </a:graphicData>
            </a:graphic>
          </wp:inline>
        </w:drawing>
      </w:r>
    </w:p>
    <w:p w14:paraId="3246AC4D" w14:textId="77777777" w:rsidR="00271ED7" w:rsidRPr="000E2590" w:rsidRDefault="00271ED7" w:rsidP="00271ED7">
      <w:pPr>
        <w:ind w:firstLine="709"/>
        <w:jc w:val="center"/>
        <w:rPr>
          <w:rFonts w:ascii="Arial" w:hAnsi="Arial" w:cs="Arial"/>
          <w:sz w:val="20"/>
          <w:szCs w:val="20"/>
          <w:lang w:val="en-US"/>
        </w:rPr>
      </w:pPr>
      <w:r w:rsidRPr="000E2590">
        <w:rPr>
          <w:rFonts w:ascii="Arial" w:hAnsi="Arial" w:cs="Arial"/>
          <w:sz w:val="20"/>
          <w:szCs w:val="20"/>
          <w:lang w:val="en-US"/>
        </w:rPr>
        <w:t>Fig. 1. IR spectrum of a comparative sample of sodium nitrite</w:t>
      </w:r>
    </w:p>
    <w:p w14:paraId="5C4CD805"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sz w:val="20"/>
          <w:szCs w:val="20"/>
          <w:lang w:val="en-US"/>
        </w:rPr>
        <w:t>Analysis of the spectra of sodium nitrite isolated during the synthesis process from local raw materials, capable of replacing imported sodium nitrite. In this case, an IR analysis was conducted to compare the obtained sodium nitrite with pure sodium nitrite. From the spectra, it can be seen that the sodium nitrite isolated during the synthesis process gave the same peaks as the imported sodium nitrite we compared. At the same time, the initial sample yielded the following peaks during the IR analysis of the sodium nitrite sample. It was found that there are peaks such as 2546.59 cm-1, 1322.41 cm-1, 1210.99 cm-1, 826.28 cm-1. The sodium nitrite we synthesized also had similar peaks, such as 2545.58 cm-1, 1322.15 cm-1, 1228.48 cm-1, 826.44 cm-1, and it was proven that the substance we obtained was sodium nitrite.</w:t>
      </w:r>
    </w:p>
    <w:p w14:paraId="0B080DB0" w14:textId="77777777" w:rsidR="00271ED7" w:rsidRPr="000E2590" w:rsidRDefault="00271ED7" w:rsidP="00271ED7">
      <w:pPr>
        <w:spacing w:after="0"/>
        <w:ind w:firstLine="709"/>
        <w:jc w:val="center"/>
        <w:rPr>
          <w:rFonts w:ascii="Arial" w:hAnsi="Arial" w:cs="Arial"/>
          <w:sz w:val="20"/>
          <w:szCs w:val="20"/>
          <w:lang w:val="en-US"/>
        </w:rPr>
      </w:pPr>
      <w:r w:rsidRPr="000E2590">
        <w:rPr>
          <w:rFonts w:ascii="Arial" w:hAnsi="Arial" w:cs="Arial"/>
          <w:noProof/>
          <w:sz w:val="20"/>
          <w:szCs w:val="20"/>
          <w:lang w:eastAsia="ru-RU"/>
        </w:rPr>
        <w:lastRenderedPageBreak/>
        <w:drawing>
          <wp:inline distT="0" distB="0" distL="0" distR="0" wp14:anchorId="757295A4" wp14:editId="47E3B11C">
            <wp:extent cx="5476875" cy="2360101"/>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2088" cy="2362347"/>
                    </a:xfrm>
                    <a:prstGeom prst="rect">
                      <a:avLst/>
                    </a:prstGeom>
                    <a:noFill/>
                    <a:ln>
                      <a:noFill/>
                    </a:ln>
                  </pic:spPr>
                </pic:pic>
              </a:graphicData>
            </a:graphic>
          </wp:inline>
        </w:drawing>
      </w:r>
    </w:p>
    <w:p w14:paraId="4F01D28F" w14:textId="77777777" w:rsidR="00271ED7" w:rsidRPr="000E2590" w:rsidRDefault="00271ED7" w:rsidP="00271ED7">
      <w:pPr>
        <w:rPr>
          <w:rFonts w:ascii="Arial" w:hAnsi="Arial" w:cs="Arial"/>
          <w:sz w:val="20"/>
          <w:szCs w:val="20"/>
          <w:lang w:val="en-US"/>
        </w:rPr>
      </w:pPr>
    </w:p>
    <w:p w14:paraId="13F78594" w14:textId="77777777" w:rsidR="00271ED7" w:rsidRPr="000E2590" w:rsidRDefault="00271ED7" w:rsidP="00271ED7">
      <w:pPr>
        <w:tabs>
          <w:tab w:val="left" w:pos="426"/>
        </w:tabs>
        <w:jc w:val="center"/>
        <w:rPr>
          <w:rFonts w:ascii="Arial" w:hAnsi="Arial" w:cs="Arial"/>
          <w:sz w:val="20"/>
          <w:szCs w:val="20"/>
          <w:lang w:val="en-US"/>
        </w:rPr>
      </w:pPr>
      <w:r w:rsidRPr="000E2590">
        <w:rPr>
          <w:rFonts w:ascii="Arial" w:hAnsi="Arial" w:cs="Arial"/>
          <w:sz w:val="20"/>
          <w:szCs w:val="20"/>
          <w:lang w:val="en-US"/>
        </w:rPr>
        <w:t>Fig. 2. IR spectrum of sodium nitrite obtained on the basis of stepwise absorption of nitrous gases using tributyl phosphate and iron sulfate solutions</w:t>
      </w:r>
    </w:p>
    <w:p w14:paraId="19CC3923" w14:textId="05C2F9D6" w:rsidR="00271ED7" w:rsidRDefault="00271ED7" w:rsidP="00271ED7">
      <w:pPr>
        <w:tabs>
          <w:tab w:val="left" w:pos="567"/>
        </w:tabs>
        <w:jc w:val="both"/>
        <w:rPr>
          <w:rFonts w:ascii="Arial" w:hAnsi="Arial" w:cs="Arial"/>
          <w:sz w:val="20"/>
          <w:szCs w:val="20"/>
          <w:lang w:val="en-US"/>
        </w:rPr>
      </w:pPr>
      <w:r w:rsidRPr="000E2590">
        <w:rPr>
          <w:rFonts w:ascii="Arial" w:hAnsi="Arial" w:cs="Arial"/>
          <w:sz w:val="20"/>
          <w:szCs w:val="20"/>
          <w:lang w:val="en-US"/>
        </w:rPr>
        <w:tab/>
        <w:t>Thus, the results of studies of stepwise absorption of nitrous gases</w:t>
      </w:r>
      <w:r w:rsidR="00DD1C44">
        <w:rPr>
          <w:rFonts w:ascii="Arial" w:hAnsi="Arial" w:cs="Arial"/>
          <w:sz w:val="20"/>
          <w:szCs w:val="20"/>
          <w:lang w:val="en-US"/>
        </w:rPr>
        <w:t xml:space="preserve"> using TBP</w:t>
      </w:r>
      <w:r w:rsidRPr="000E2590">
        <w:rPr>
          <w:rFonts w:ascii="Arial" w:hAnsi="Arial" w:cs="Arial"/>
          <w:sz w:val="20"/>
          <w:szCs w:val="20"/>
          <w:lang w:val="en-US"/>
        </w:rPr>
        <w:t xml:space="preserve"> and iron sulfate solution showed that TB</w:t>
      </w:r>
      <w:r w:rsidR="00B25B80" w:rsidRPr="000E2590">
        <w:rPr>
          <w:rFonts w:ascii="Arial" w:hAnsi="Arial" w:cs="Arial"/>
          <w:sz w:val="20"/>
          <w:szCs w:val="20"/>
          <w:lang w:val="en-US"/>
        </w:rPr>
        <w:t>P</w:t>
      </w:r>
      <w:r w:rsidRPr="000E2590">
        <w:rPr>
          <w:rFonts w:ascii="Arial" w:hAnsi="Arial" w:cs="Arial"/>
          <w:sz w:val="20"/>
          <w:szCs w:val="20"/>
          <w:lang w:val="en-US"/>
        </w:rPr>
        <w:t xml:space="preserve"> mainly absorbs nitrogen dioxide, iron sulfate solution, and nitrogen oxides.  Optimal conditions for stepwise absorption of nitrogen oxides and regeneration of absorbers have been established. The processes of obtaining sodium nitrite were studied by desorption of nitrogen oxides and dioxides from absorbers in equal molar ratios and their absorption by a sodium hydroxide solution. Optimal conditions for obtaining sodium nitrite based on stepwise absorption of nitrogen oxides using a solution of iron sulfate and tributyl phosphate and obtaining sodium nitrite have been determined.</w:t>
      </w:r>
    </w:p>
    <w:p w14:paraId="191ED179" w14:textId="77777777" w:rsidR="003D3C3D" w:rsidRPr="003D3C3D" w:rsidRDefault="003D3C3D" w:rsidP="003D3C3D">
      <w:pPr>
        <w:spacing w:after="0" w:line="240" w:lineRule="auto"/>
        <w:jc w:val="both"/>
        <w:outlineLvl w:val="2"/>
        <w:rPr>
          <w:rFonts w:ascii="Arial" w:eastAsia="Times New Roman" w:hAnsi="Arial" w:cs="Arial"/>
          <w:b/>
          <w:bCs/>
          <w:sz w:val="20"/>
          <w:szCs w:val="20"/>
          <w:lang w:val="en-US" w:eastAsia="ru-RU"/>
        </w:rPr>
      </w:pPr>
      <w:r w:rsidRPr="003D3C3D">
        <w:rPr>
          <w:rFonts w:ascii="Arial" w:eastAsia="Times New Roman" w:hAnsi="Arial" w:cs="Arial"/>
          <w:b/>
          <w:bCs/>
          <w:sz w:val="20"/>
          <w:szCs w:val="20"/>
          <w:lang w:val="en-US" w:eastAsia="ru-RU"/>
        </w:rPr>
        <w:t>Conclusion</w:t>
      </w:r>
    </w:p>
    <w:p w14:paraId="4E56D16B" w14:textId="77777777" w:rsidR="003D3C3D" w:rsidRPr="003D3C3D" w:rsidRDefault="003D3C3D" w:rsidP="003D3C3D">
      <w:pPr>
        <w:spacing w:after="0" w:line="240" w:lineRule="auto"/>
        <w:jc w:val="both"/>
        <w:rPr>
          <w:rFonts w:ascii="Arial" w:eastAsia="Times New Roman" w:hAnsi="Arial" w:cs="Arial"/>
          <w:sz w:val="20"/>
          <w:szCs w:val="20"/>
          <w:lang w:val="en-US" w:eastAsia="ru-RU"/>
        </w:rPr>
      </w:pPr>
      <w:r w:rsidRPr="003D3C3D">
        <w:rPr>
          <w:rFonts w:ascii="Arial" w:eastAsia="Times New Roman" w:hAnsi="Arial" w:cs="Arial"/>
          <w:sz w:val="20"/>
          <w:szCs w:val="20"/>
          <w:lang w:val="en-US" w:eastAsia="ru-RU"/>
        </w:rPr>
        <w:t>The conducted study has demonstrated the efficiency of staged absorption of nitrous gases using aqueous solutions of tributyl phosphate in combination with iron–sulfur oxides. The results confirm that the absorption capacity and overall conversion are strongly dependent on both the water-to-tributyl phosphate ratio and the solution temperature. Lower operating temperatures and optimized solvent composition provide a higher total degree of nitrous gas absorption, which in turn enhances the yield of sodium nitrite.</w:t>
      </w:r>
    </w:p>
    <w:p w14:paraId="4852E329" w14:textId="79B1E0B5" w:rsidR="003D3C3D" w:rsidRPr="003D3C3D" w:rsidRDefault="003D3C3D" w:rsidP="003D3C3D">
      <w:pPr>
        <w:spacing w:after="0" w:line="240" w:lineRule="auto"/>
        <w:ind w:firstLine="708"/>
        <w:jc w:val="both"/>
        <w:rPr>
          <w:rFonts w:ascii="Arial" w:eastAsia="Times New Roman" w:hAnsi="Arial" w:cs="Arial"/>
          <w:sz w:val="20"/>
          <w:szCs w:val="20"/>
          <w:lang w:val="en-US" w:eastAsia="ru-RU"/>
        </w:rPr>
      </w:pPr>
      <w:r w:rsidRPr="003D3C3D">
        <w:rPr>
          <w:rFonts w:ascii="Arial" w:eastAsia="Times New Roman" w:hAnsi="Arial" w:cs="Arial"/>
          <w:sz w:val="20"/>
          <w:szCs w:val="20"/>
          <w:lang w:val="en-US" w:eastAsia="ru-RU"/>
        </w:rPr>
        <w:t>The experimental data show that under the most</w:t>
      </w:r>
      <w:r w:rsidR="00DD1C44">
        <w:rPr>
          <w:rFonts w:ascii="Arial" w:eastAsia="Times New Roman" w:hAnsi="Arial" w:cs="Arial"/>
          <w:sz w:val="20"/>
          <w:szCs w:val="20"/>
          <w:lang w:val="en-US" w:eastAsia="ru-RU"/>
        </w:rPr>
        <w:t xml:space="preserve"> favorable conditions (</w:t>
      </w:r>
      <w:proofErr w:type="spellStart"/>
      <w:r w:rsidR="00DD1C44">
        <w:rPr>
          <w:rFonts w:ascii="Arial" w:eastAsia="Times New Roman" w:hAnsi="Arial" w:cs="Arial"/>
          <w:sz w:val="20"/>
          <w:szCs w:val="20"/>
          <w:lang w:val="en-US" w:eastAsia="ru-RU"/>
        </w:rPr>
        <w:t>water:TBP</w:t>
      </w:r>
      <w:proofErr w:type="spellEnd"/>
      <w:r w:rsidRPr="003D3C3D">
        <w:rPr>
          <w:rFonts w:ascii="Arial" w:eastAsia="Times New Roman" w:hAnsi="Arial" w:cs="Arial"/>
          <w:sz w:val="20"/>
          <w:szCs w:val="20"/>
          <w:lang w:val="en-US" w:eastAsia="ru-RU"/>
        </w:rPr>
        <w:t xml:space="preserve"> ratio of 1:1.0–1:1.2 and temperatures of 20–25 °C), the total absorption degree approaches 99%, ensuring the almost complete utilization of nitrous gases. This not only improves the efficiency of sodium nitrite production but also contributes to environmental safety by minimizing toxic gas emissions.</w:t>
      </w:r>
      <w:r>
        <w:rPr>
          <w:rFonts w:ascii="Arial" w:eastAsia="Times New Roman" w:hAnsi="Arial" w:cs="Arial"/>
          <w:sz w:val="20"/>
          <w:szCs w:val="20"/>
          <w:lang w:val="en-US" w:eastAsia="ru-RU"/>
        </w:rPr>
        <w:t xml:space="preserve"> </w:t>
      </w:r>
      <w:r w:rsidRPr="003D3C3D">
        <w:rPr>
          <w:rFonts w:ascii="Arial" w:eastAsia="Times New Roman" w:hAnsi="Arial" w:cs="Arial"/>
          <w:sz w:val="20"/>
          <w:szCs w:val="20"/>
          <w:lang w:val="en-US" w:eastAsia="ru-RU"/>
        </w:rPr>
        <w:t>Therefore, the developed technological scheme, based on multistage absorption with tributyl phosphate and catalytic assistance from iron–sulfur oxides, can be considered a promising and sustainable method for industrial sodium nitrite production. The findings provide both theoretical significance for understanding nitrous gas absorption mechanisms and practical value for scaling the process in modern chemical industries.</w:t>
      </w:r>
    </w:p>
    <w:p w14:paraId="4D3E9F4D" w14:textId="77777777" w:rsidR="00777661" w:rsidRDefault="00777661" w:rsidP="00271ED7">
      <w:pPr>
        <w:tabs>
          <w:tab w:val="left" w:pos="567"/>
        </w:tabs>
        <w:jc w:val="both"/>
        <w:rPr>
          <w:rFonts w:ascii="Arial" w:hAnsi="Arial" w:cs="Arial"/>
          <w:sz w:val="20"/>
          <w:szCs w:val="20"/>
          <w:lang w:val="en-US"/>
        </w:rPr>
      </w:pPr>
    </w:p>
    <w:p w14:paraId="12B83D37" w14:textId="77777777" w:rsidR="00777661" w:rsidRDefault="00777661" w:rsidP="00271ED7">
      <w:pPr>
        <w:tabs>
          <w:tab w:val="left" w:pos="567"/>
        </w:tabs>
        <w:jc w:val="both"/>
        <w:rPr>
          <w:rFonts w:ascii="Arial" w:hAnsi="Arial" w:cs="Arial"/>
          <w:sz w:val="20"/>
          <w:szCs w:val="20"/>
          <w:lang w:val="en-US"/>
        </w:rPr>
      </w:pPr>
      <w:bookmarkStart w:id="0" w:name="_GoBack"/>
      <w:bookmarkEnd w:id="0"/>
    </w:p>
    <w:p w14:paraId="74B627EA" w14:textId="77777777" w:rsidR="00777661" w:rsidRPr="00777661" w:rsidRDefault="00777661" w:rsidP="00777661">
      <w:pPr>
        <w:tabs>
          <w:tab w:val="left" w:pos="567"/>
        </w:tabs>
        <w:jc w:val="both"/>
        <w:rPr>
          <w:rFonts w:ascii="Arial" w:hAnsi="Arial" w:cs="Arial"/>
          <w:sz w:val="20"/>
          <w:szCs w:val="20"/>
          <w:lang w:val="en-US"/>
        </w:rPr>
      </w:pPr>
      <w:r w:rsidRPr="00777661">
        <w:rPr>
          <w:rFonts w:ascii="Arial" w:hAnsi="Arial" w:cs="Arial"/>
          <w:sz w:val="20"/>
          <w:szCs w:val="20"/>
          <w:lang w:val="en-US"/>
        </w:rPr>
        <w:t>COMPETING INTERESTS DISCLAIMER:</w:t>
      </w:r>
    </w:p>
    <w:p w14:paraId="47BDD159" w14:textId="134914E3" w:rsidR="00777661" w:rsidRDefault="00777661" w:rsidP="00777661">
      <w:pPr>
        <w:tabs>
          <w:tab w:val="left" w:pos="567"/>
        </w:tabs>
        <w:jc w:val="both"/>
        <w:rPr>
          <w:rFonts w:ascii="Arial" w:hAnsi="Arial" w:cs="Arial"/>
          <w:sz w:val="20"/>
          <w:szCs w:val="20"/>
          <w:lang w:val="en-US"/>
        </w:rPr>
      </w:pPr>
      <w:r w:rsidRPr="00777661">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75B30D66" w14:textId="7115EE74" w:rsidR="00EF658B" w:rsidRDefault="00EF658B" w:rsidP="00777661">
      <w:pPr>
        <w:tabs>
          <w:tab w:val="left" w:pos="567"/>
        </w:tabs>
        <w:jc w:val="both"/>
        <w:rPr>
          <w:rFonts w:ascii="Arial" w:hAnsi="Arial" w:cs="Arial"/>
          <w:sz w:val="20"/>
          <w:szCs w:val="20"/>
          <w:lang w:val="en-US"/>
        </w:rPr>
      </w:pPr>
    </w:p>
    <w:p w14:paraId="7169D9D7" w14:textId="04D6F722" w:rsidR="00EF658B" w:rsidRDefault="00EF658B" w:rsidP="00777661">
      <w:pPr>
        <w:tabs>
          <w:tab w:val="left" w:pos="567"/>
        </w:tabs>
        <w:jc w:val="both"/>
        <w:rPr>
          <w:rFonts w:ascii="Arial" w:hAnsi="Arial" w:cs="Arial"/>
          <w:sz w:val="20"/>
          <w:szCs w:val="20"/>
          <w:lang w:val="en-US"/>
        </w:rPr>
      </w:pPr>
    </w:p>
    <w:p w14:paraId="3DA1C3E0" w14:textId="2E693A99" w:rsidR="00EF658B" w:rsidRPr="003D3C3D" w:rsidRDefault="003D3C3D" w:rsidP="00EF658B">
      <w:pPr>
        <w:rPr>
          <w:rFonts w:ascii="Calibri" w:eastAsia="Calibri" w:hAnsi="Calibri" w:cs="Times New Roman"/>
          <w:kern w:val="2"/>
          <w:highlight w:val="yellow"/>
          <w:lang w:val="en-US"/>
        </w:rPr>
      </w:pPr>
      <w:bookmarkStart w:id="1" w:name="_Hlk204003461"/>
      <w:bookmarkStart w:id="2" w:name="_Hlk209007716"/>
      <w:r w:rsidRPr="003D3C3D">
        <w:rPr>
          <w:rStyle w:val="Strong"/>
          <w:lang w:val="en-US"/>
        </w:rPr>
        <w:t>Disclaimer (Artificial Intelligence)</w:t>
      </w:r>
      <w:r w:rsidRPr="003D3C3D">
        <w:rPr>
          <w:lang w:val="en-US"/>
        </w:rPr>
        <w:br/>
        <w:t xml:space="preserve">The authors hereby declare that generative AI technologies have been used during the preparation of this manuscript. Specifically, </w:t>
      </w:r>
      <w:proofErr w:type="spellStart"/>
      <w:r w:rsidRPr="003D3C3D">
        <w:rPr>
          <w:lang w:val="en-US"/>
        </w:rPr>
        <w:t>ChatGPT</w:t>
      </w:r>
      <w:proofErr w:type="spellEnd"/>
      <w:r w:rsidRPr="003D3C3D">
        <w:rPr>
          <w:lang w:val="en-US"/>
        </w:rPr>
        <w:t xml:space="preserve"> (</w:t>
      </w:r>
      <w:proofErr w:type="spellStart"/>
      <w:r w:rsidRPr="003D3C3D">
        <w:rPr>
          <w:lang w:val="en-US"/>
        </w:rPr>
        <w:t>OpenAI</w:t>
      </w:r>
      <w:proofErr w:type="spellEnd"/>
      <w:r w:rsidRPr="003D3C3D">
        <w:rPr>
          <w:lang w:val="en-US"/>
        </w:rPr>
        <w:t>, GPT-5, 2025) was employed to assist in the translation of certain sections of the manuscript from Russian into English. All outputs generated by the AI were carefully reviewed, verified, and, where necessary, edited by the authors to ensure accuracy, clarity, and compliance with scientific standards.</w:t>
      </w:r>
    </w:p>
    <w:bookmarkEnd w:id="1"/>
    <w:bookmarkEnd w:id="2"/>
    <w:p w14:paraId="45D387BA" w14:textId="77777777" w:rsidR="00EF658B" w:rsidRPr="000E2590" w:rsidRDefault="00EF658B" w:rsidP="00777661">
      <w:pPr>
        <w:tabs>
          <w:tab w:val="left" w:pos="567"/>
        </w:tabs>
        <w:jc w:val="both"/>
        <w:rPr>
          <w:rFonts w:ascii="Arial" w:hAnsi="Arial" w:cs="Arial"/>
          <w:sz w:val="20"/>
          <w:szCs w:val="20"/>
          <w:lang w:val="en-US"/>
        </w:rPr>
      </w:pPr>
    </w:p>
    <w:p w14:paraId="4AB8BA4C" w14:textId="77777777" w:rsidR="00271ED7" w:rsidRPr="000E2590" w:rsidRDefault="00271ED7" w:rsidP="00271ED7">
      <w:pPr>
        <w:tabs>
          <w:tab w:val="left" w:pos="567"/>
        </w:tabs>
        <w:jc w:val="center"/>
        <w:rPr>
          <w:rFonts w:ascii="Arial" w:hAnsi="Arial" w:cs="Arial"/>
          <w:b/>
          <w:sz w:val="20"/>
          <w:szCs w:val="20"/>
          <w:lang w:val="en-US"/>
        </w:rPr>
      </w:pPr>
      <w:r w:rsidRPr="000E2590">
        <w:rPr>
          <w:rFonts w:ascii="Arial" w:hAnsi="Arial" w:cs="Arial"/>
          <w:b/>
          <w:sz w:val="20"/>
          <w:szCs w:val="20"/>
          <w:lang w:val="en-US"/>
        </w:rPr>
        <w:t>References:</w:t>
      </w:r>
    </w:p>
    <w:p w14:paraId="2BCFD37F"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0E2590">
        <w:rPr>
          <w:rFonts w:ascii="Arial" w:hAnsi="Arial" w:cs="Arial"/>
          <w:color w:val="000000" w:themeColor="text1"/>
          <w:sz w:val="20"/>
          <w:szCs w:val="20"/>
          <w:lang w:val="en-US"/>
        </w:rPr>
        <w:t>Kulentsan</w:t>
      </w:r>
      <w:proofErr w:type="spellEnd"/>
      <w:r w:rsidRPr="000E2590">
        <w:rPr>
          <w:rFonts w:ascii="Arial" w:hAnsi="Arial" w:cs="Arial"/>
          <w:color w:val="000000" w:themeColor="text1"/>
          <w:sz w:val="20"/>
          <w:szCs w:val="20"/>
          <w:lang w:val="en-US"/>
        </w:rPr>
        <w:t xml:space="preserve"> A.L., Marchuk N.A. Analysis of the impact of pollutants on humans and the environment. </w:t>
      </w:r>
      <w:proofErr w:type="spellStart"/>
      <w:r w:rsidRPr="000E2590">
        <w:rPr>
          <w:rFonts w:ascii="Arial" w:hAnsi="Arial" w:cs="Arial"/>
          <w:color w:val="000000" w:themeColor="text1"/>
          <w:sz w:val="20"/>
          <w:szCs w:val="20"/>
          <w:lang w:val="en-US"/>
        </w:rPr>
        <w:t>Izv</w:t>
      </w:r>
      <w:proofErr w:type="spellEnd"/>
      <w:r w:rsidRPr="000E2590">
        <w:rPr>
          <w:rFonts w:ascii="Arial" w:hAnsi="Arial" w:cs="Arial"/>
          <w:color w:val="000000" w:themeColor="text1"/>
          <w:sz w:val="20"/>
          <w:szCs w:val="20"/>
          <w:lang w:val="en-US"/>
        </w:rPr>
        <w:t xml:space="preserve">. </w:t>
      </w:r>
      <w:proofErr w:type="spellStart"/>
      <w:r w:rsidRPr="000E2590">
        <w:rPr>
          <w:rFonts w:ascii="Arial" w:hAnsi="Arial" w:cs="Arial"/>
          <w:color w:val="000000" w:themeColor="text1"/>
          <w:sz w:val="20"/>
          <w:szCs w:val="20"/>
          <w:lang w:val="en-US"/>
        </w:rPr>
        <w:t>vuzov</w:t>
      </w:r>
      <w:proofErr w:type="spellEnd"/>
      <w:r w:rsidRPr="000E2590">
        <w:rPr>
          <w:rFonts w:ascii="Arial" w:hAnsi="Arial" w:cs="Arial"/>
          <w:color w:val="000000" w:themeColor="text1"/>
          <w:sz w:val="20"/>
          <w:szCs w:val="20"/>
          <w:lang w:val="en-US"/>
        </w:rPr>
        <w:t>. Chemistry and chemical technology. 2022. Vol. 65. Issue. 1. P. 116 121.</w:t>
      </w:r>
    </w:p>
    <w:p w14:paraId="575F7F90" w14:textId="51A3AD55" w:rsidR="007B00CF" w:rsidRPr="007B00CF" w:rsidRDefault="008761F7" w:rsidP="007B00CF">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0E2590">
        <w:rPr>
          <w:rFonts w:ascii="Arial" w:hAnsi="Arial" w:cs="Arial"/>
          <w:color w:val="000000" w:themeColor="text1"/>
          <w:sz w:val="20"/>
          <w:szCs w:val="20"/>
          <w:lang w:val="en-US"/>
        </w:rPr>
        <w:t>Nagibina</w:t>
      </w:r>
      <w:proofErr w:type="spellEnd"/>
      <w:r w:rsidRPr="000E2590">
        <w:rPr>
          <w:rFonts w:ascii="Arial" w:hAnsi="Arial" w:cs="Arial"/>
          <w:color w:val="000000" w:themeColor="text1"/>
          <w:sz w:val="20"/>
          <w:szCs w:val="20"/>
          <w:lang w:val="en-US"/>
        </w:rPr>
        <w:t xml:space="preserve"> V.V., </w:t>
      </w:r>
      <w:proofErr w:type="spellStart"/>
      <w:r w:rsidRPr="000E2590">
        <w:rPr>
          <w:rFonts w:ascii="Arial" w:hAnsi="Arial" w:cs="Arial"/>
          <w:color w:val="000000" w:themeColor="text1"/>
          <w:sz w:val="20"/>
          <w:szCs w:val="20"/>
          <w:lang w:val="en-US"/>
        </w:rPr>
        <w:t>Pauls</w:t>
      </w:r>
      <w:proofErr w:type="spellEnd"/>
      <w:r w:rsidRPr="000E2590">
        <w:rPr>
          <w:rFonts w:ascii="Arial" w:hAnsi="Arial" w:cs="Arial"/>
          <w:color w:val="000000" w:themeColor="text1"/>
          <w:sz w:val="20"/>
          <w:szCs w:val="20"/>
          <w:lang w:val="en-US"/>
        </w:rPr>
        <w:t xml:space="preserve"> E.A., </w:t>
      </w:r>
      <w:proofErr w:type="spellStart"/>
      <w:r w:rsidRPr="000E2590">
        <w:rPr>
          <w:rFonts w:ascii="Arial" w:hAnsi="Arial" w:cs="Arial"/>
          <w:color w:val="000000" w:themeColor="text1"/>
          <w:sz w:val="20"/>
          <w:szCs w:val="20"/>
          <w:lang w:val="en-US"/>
        </w:rPr>
        <w:t>Guber</w:t>
      </w:r>
      <w:proofErr w:type="spellEnd"/>
      <w:r w:rsidRPr="000E2590">
        <w:rPr>
          <w:rFonts w:ascii="Arial" w:hAnsi="Arial" w:cs="Arial"/>
          <w:color w:val="000000" w:themeColor="text1"/>
          <w:sz w:val="20"/>
          <w:szCs w:val="20"/>
          <w:lang w:val="en-US"/>
        </w:rPr>
        <w:t xml:space="preserve"> N.B. On the issue of using sodium nitrite in the meat industry // Technical Sciences, Monthly Scientific Journal, "Young Scientist" No 9 (68) 2014, pp. 185-187.</w:t>
      </w:r>
      <w:r w:rsidR="007B00CF" w:rsidRPr="007B00CF">
        <w:rPr>
          <w:rFonts w:ascii="Arial" w:hAnsi="Arial" w:cs="Arial"/>
          <w:color w:val="222222"/>
          <w:sz w:val="20"/>
          <w:szCs w:val="20"/>
          <w:lang w:val="en-US"/>
        </w:rPr>
        <w:t> </w:t>
      </w:r>
    </w:p>
    <w:p w14:paraId="50706A8E" w14:textId="5F69AA3B" w:rsidR="007E3DB8" w:rsidRDefault="007B00CF" w:rsidP="007E3DB8">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7B00CF">
        <w:rPr>
          <w:rFonts w:ascii="Arial" w:hAnsi="Arial" w:cs="Arial"/>
          <w:color w:val="000000" w:themeColor="text1"/>
          <w:sz w:val="20"/>
          <w:szCs w:val="20"/>
          <w:lang w:val="en-US"/>
        </w:rPr>
        <w:t xml:space="preserve">Comparison of Three Materials Derived from Waste EPS for Heavy Metal Removal </w:t>
      </w:r>
      <w:proofErr w:type="gramStart"/>
      <w:r w:rsidRPr="007B00CF">
        <w:rPr>
          <w:rFonts w:ascii="Arial" w:hAnsi="Arial" w:cs="Arial"/>
          <w:color w:val="000000" w:themeColor="text1"/>
          <w:sz w:val="20"/>
          <w:szCs w:val="20"/>
          <w:lang w:val="en-US"/>
        </w:rPr>
        <w:t>Efficiency  article</w:t>
      </w:r>
      <w:proofErr w:type="gramEnd"/>
      <w:r w:rsidRPr="007B00CF">
        <w:rPr>
          <w:rFonts w:ascii="Arial" w:hAnsi="Arial" w:cs="Arial"/>
          <w:color w:val="000000" w:themeColor="text1"/>
          <w:sz w:val="20"/>
          <w:szCs w:val="20"/>
          <w:lang w:val="en-US"/>
        </w:rPr>
        <w:t xml:space="preserve"> number 31, 2024. </w:t>
      </w:r>
      <w:hyperlink r:id="rId9" w:anchor="auth-Mohamed_el_Amine-Zennaki-Aff1" w:history="1">
        <w:r w:rsidRPr="007B00CF">
          <w:rPr>
            <w:rStyle w:val="Hyperlink"/>
            <w:rFonts w:ascii="Arial" w:hAnsi="Arial" w:cs="Arial"/>
            <w:color w:val="000000"/>
            <w:sz w:val="20"/>
            <w:szCs w:val="20"/>
            <w:lang w:val="en-US"/>
          </w:rPr>
          <w:t>Mohamed el Amine Zennaki</w:t>
        </w:r>
      </w:hyperlink>
      <w:r w:rsidRPr="007B00CF">
        <w:rPr>
          <w:rFonts w:ascii="Arial" w:hAnsi="Arial" w:cs="Arial"/>
          <w:color w:val="222222"/>
          <w:sz w:val="20"/>
          <w:szCs w:val="20"/>
          <w:lang w:val="en-US"/>
        </w:rPr>
        <w:t>, </w:t>
      </w:r>
      <w:hyperlink r:id="rId10" w:anchor="auth-Lahcene-Tennouga-Aff1-Aff2" w:history="1">
        <w:r w:rsidRPr="007B00CF">
          <w:rPr>
            <w:rStyle w:val="Hyperlink"/>
            <w:rFonts w:ascii="Arial" w:hAnsi="Arial" w:cs="Arial"/>
            <w:color w:val="000000"/>
            <w:sz w:val="20"/>
            <w:szCs w:val="20"/>
            <w:lang w:val="en-US"/>
          </w:rPr>
          <w:t>Lahcene Tennouga</w:t>
        </w:r>
      </w:hyperlink>
      <w:r w:rsidRPr="007B00CF">
        <w:rPr>
          <w:rFonts w:ascii="Arial" w:hAnsi="Arial" w:cs="Arial"/>
          <w:color w:val="222222"/>
          <w:sz w:val="20"/>
          <w:szCs w:val="20"/>
          <w:lang w:val="en-US"/>
        </w:rPr>
        <w:t>, </w:t>
      </w:r>
      <w:hyperlink r:id="rId11" w:anchor="auth-Brahim-Bouras-Aff1" w:history="1">
        <w:r w:rsidRPr="007B00CF">
          <w:rPr>
            <w:rStyle w:val="Hyperlink"/>
            <w:rFonts w:ascii="Arial" w:hAnsi="Arial" w:cs="Arial"/>
            <w:color w:val="000000"/>
            <w:sz w:val="20"/>
            <w:szCs w:val="20"/>
            <w:lang w:val="en-US"/>
          </w:rPr>
          <w:t>Brahim Bouras</w:t>
        </w:r>
      </w:hyperlink>
      <w:r w:rsidRPr="007B00CF">
        <w:rPr>
          <w:rFonts w:ascii="Arial" w:hAnsi="Arial" w:cs="Arial"/>
          <w:color w:val="222222"/>
          <w:sz w:val="20"/>
          <w:szCs w:val="20"/>
          <w:lang w:val="en-US"/>
        </w:rPr>
        <w:t>, </w:t>
      </w:r>
      <w:hyperlink r:id="rId12" w:anchor="auth-Chahinez-Benouis-Aff1-Aff3" w:history="1">
        <w:r w:rsidRPr="007B00CF">
          <w:rPr>
            <w:rStyle w:val="Hyperlink"/>
            <w:rFonts w:ascii="Arial" w:hAnsi="Arial" w:cs="Arial"/>
            <w:color w:val="000000"/>
            <w:sz w:val="20"/>
            <w:szCs w:val="20"/>
            <w:lang w:val="en-US"/>
          </w:rPr>
          <w:t>Chahinez Benouis</w:t>
        </w:r>
      </w:hyperlink>
      <w:r w:rsidRPr="007B00CF">
        <w:rPr>
          <w:rFonts w:ascii="Arial" w:hAnsi="Arial" w:cs="Arial"/>
          <w:color w:val="222222"/>
          <w:sz w:val="20"/>
          <w:szCs w:val="20"/>
          <w:lang w:val="en-US"/>
        </w:rPr>
        <w:t>, </w:t>
      </w:r>
      <w:hyperlink r:id="rId13" w:anchor="auth-Ghizlene_Boudghene-Stambouli-Aff4" w:history="1">
        <w:r w:rsidRPr="007B00CF">
          <w:rPr>
            <w:rStyle w:val="Hyperlink"/>
            <w:rFonts w:ascii="Arial" w:hAnsi="Arial" w:cs="Arial"/>
            <w:color w:val="000000"/>
            <w:sz w:val="20"/>
            <w:szCs w:val="20"/>
            <w:lang w:val="en-US"/>
          </w:rPr>
          <w:t>Ghizlene Boudghene Stambouli</w:t>
        </w:r>
      </w:hyperlink>
      <w:r w:rsidRPr="007B00CF">
        <w:rPr>
          <w:rFonts w:ascii="Arial" w:hAnsi="Arial" w:cs="Arial"/>
          <w:color w:val="222222"/>
          <w:sz w:val="20"/>
          <w:szCs w:val="20"/>
          <w:lang w:val="en-US"/>
        </w:rPr>
        <w:t xml:space="preserve">, </w:t>
      </w:r>
      <w:hyperlink r:id="rId14" w:anchor="auth-Nassiba-Benzemra-Aff1" w:history="1">
        <w:r w:rsidRPr="007B00CF">
          <w:rPr>
            <w:rStyle w:val="Hyperlink"/>
            <w:rFonts w:ascii="Arial" w:hAnsi="Arial" w:cs="Arial"/>
            <w:color w:val="000000"/>
            <w:sz w:val="20"/>
            <w:szCs w:val="20"/>
            <w:lang w:val="en-US"/>
          </w:rPr>
          <w:t>Nassiba Benzemra</w:t>
        </w:r>
      </w:hyperlink>
      <w:r>
        <w:rPr>
          <w:rFonts w:ascii="Arial" w:hAnsi="Arial" w:cs="Arial"/>
          <w:color w:val="222222"/>
          <w:sz w:val="20"/>
          <w:szCs w:val="20"/>
          <w:lang w:val="en-US"/>
        </w:rPr>
        <w:t xml:space="preserve"> </w:t>
      </w:r>
      <w:hyperlink r:id="rId15" w:history="1">
        <w:r w:rsidRPr="00504031">
          <w:rPr>
            <w:rStyle w:val="Hyperlink"/>
            <w:bCs/>
            <w:sz w:val="20"/>
            <w:szCs w:val="20"/>
            <w:lang w:val="fr-FR"/>
          </w:rPr>
          <w:t>https://doi.org/10.1007/s11270-023-06839-y</w:t>
        </w:r>
      </w:hyperlink>
    </w:p>
    <w:p w14:paraId="0B5A2A4C" w14:textId="083F9ADB" w:rsidR="007E3DB8" w:rsidRPr="007B00CF" w:rsidRDefault="007E3DB8" w:rsidP="008761F7">
      <w:pPr>
        <w:pStyle w:val="ListParagraph"/>
        <w:numPr>
          <w:ilvl w:val="0"/>
          <w:numId w:val="1"/>
        </w:numPr>
        <w:tabs>
          <w:tab w:val="left" w:pos="627"/>
        </w:tabs>
        <w:spacing w:after="0" w:line="240" w:lineRule="auto"/>
        <w:ind w:left="0" w:firstLine="0"/>
        <w:jc w:val="both"/>
        <w:rPr>
          <w:rFonts w:ascii="Arial" w:hAnsi="Arial" w:cs="Arial"/>
          <w:sz w:val="20"/>
          <w:szCs w:val="20"/>
          <w:lang w:val="en-US"/>
        </w:rPr>
      </w:pPr>
      <w:r w:rsidRPr="007B00CF">
        <w:rPr>
          <w:rStyle w:val="nlmarticle-title"/>
          <w:rFonts w:ascii="Arial" w:hAnsi="Arial" w:cs="Arial"/>
          <w:sz w:val="20"/>
          <w:szCs w:val="20"/>
          <w:lang w:val="en-US"/>
        </w:rPr>
        <w:t xml:space="preserve">Preparation of Sulfonated Polystyrene-Iron Composite Material and Study of Their Cationic and Anionic Dyes Adsorption </w:t>
      </w:r>
      <w:proofErr w:type="spellStart"/>
      <w:r w:rsidRPr="007B00CF">
        <w:rPr>
          <w:rStyle w:val="nlmarticle-title"/>
          <w:rFonts w:ascii="Arial" w:hAnsi="Arial" w:cs="Arial"/>
          <w:sz w:val="20"/>
          <w:szCs w:val="20"/>
          <w:lang w:val="en-US"/>
        </w:rPr>
        <w:t>Properties.</w:t>
      </w:r>
      <w:hyperlink r:id="rId16" w:history="1">
        <w:r w:rsidRPr="007B00CF">
          <w:rPr>
            <w:rStyle w:val="Hyperlink"/>
            <w:rFonts w:ascii="Arial" w:hAnsi="Arial" w:cs="Arial"/>
            <w:bCs/>
            <w:color w:val="auto"/>
            <w:sz w:val="20"/>
            <w:szCs w:val="20"/>
            <w:lang w:val="en-US"/>
          </w:rPr>
          <w:t>Mohammed</w:t>
        </w:r>
        <w:proofErr w:type="spellEnd"/>
        <w:r w:rsidRPr="007B00CF">
          <w:rPr>
            <w:rStyle w:val="Hyperlink"/>
            <w:rFonts w:ascii="Arial" w:hAnsi="Arial" w:cs="Arial"/>
            <w:bCs/>
            <w:color w:val="auto"/>
            <w:sz w:val="20"/>
            <w:szCs w:val="20"/>
            <w:lang w:val="en-US"/>
          </w:rPr>
          <w:t xml:space="preserve"> el Amine </w:t>
        </w:r>
        <w:proofErr w:type="spellStart"/>
        <w:r w:rsidRPr="007B00CF">
          <w:rPr>
            <w:rStyle w:val="Hyperlink"/>
            <w:rFonts w:ascii="Arial" w:hAnsi="Arial" w:cs="Arial"/>
            <w:bCs/>
            <w:color w:val="auto"/>
            <w:sz w:val="20"/>
            <w:szCs w:val="20"/>
            <w:lang w:val="en-US"/>
          </w:rPr>
          <w:t>Zennaki</w:t>
        </w:r>
        <w:proofErr w:type="spellEnd"/>
      </w:hyperlink>
      <w:r w:rsidRPr="007B00CF">
        <w:rPr>
          <w:rFonts w:ascii="Arial" w:hAnsi="Arial" w:cs="Arial"/>
          <w:bCs/>
          <w:sz w:val="20"/>
          <w:szCs w:val="20"/>
          <w:lang w:val="en-US"/>
        </w:rPr>
        <w:t xml:space="preserve">, </w:t>
      </w:r>
      <w:proofErr w:type="spellStart"/>
      <w:r w:rsidRPr="007B00CF">
        <w:rPr>
          <w:rFonts w:ascii="Arial" w:hAnsi="Arial" w:cs="Arial"/>
          <w:bCs/>
          <w:sz w:val="20"/>
          <w:szCs w:val="20"/>
          <w:lang w:val="en-US"/>
        </w:rPr>
        <w:t>Lahcene</w:t>
      </w:r>
      <w:proofErr w:type="spellEnd"/>
      <w:r w:rsidRPr="007B00CF">
        <w:rPr>
          <w:rFonts w:ascii="Arial" w:hAnsi="Arial" w:cs="Arial"/>
          <w:bCs/>
          <w:sz w:val="20"/>
          <w:szCs w:val="20"/>
          <w:lang w:val="en-US"/>
        </w:rPr>
        <w:t xml:space="preserve"> </w:t>
      </w:r>
      <w:proofErr w:type="spellStart"/>
      <w:r w:rsidRPr="007B00CF">
        <w:rPr>
          <w:rFonts w:ascii="Arial" w:hAnsi="Arial" w:cs="Arial"/>
          <w:bCs/>
          <w:sz w:val="20"/>
          <w:szCs w:val="20"/>
          <w:lang w:val="en-US"/>
        </w:rPr>
        <w:t>Tennoug</w:t>
      </w:r>
      <w:proofErr w:type="spellEnd"/>
      <w:r w:rsidRPr="007B00CF">
        <w:rPr>
          <w:rFonts w:ascii="Arial" w:hAnsi="Arial" w:cs="Arial"/>
          <w:bCs/>
          <w:sz w:val="20"/>
          <w:szCs w:val="20"/>
          <w:lang w:val="en-US"/>
        </w:rPr>
        <w:t xml:space="preserve">, </w:t>
      </w:r>
      <w:proofErr w:type="spellStart"/>
      <w:r w:rsidRPr="007B00CF">
        <w:rPr>
          <w:rFonts w:ascii="Arial" w:hAnsi="Arial" w:cs="Arial"/>
          <w:bCs/>
          <w:sz w:val="20"/>
          <w:szCs w:val="20"/>
          <w:lang w:val="en-US"/>
        </w:rPr>
        <w:t>Lahcene</w:t>
      </w:r>
      <w:proofErr w:type="spellEnd"/>
      <w:r w:rsidRPr="007B00CF">
        <w:rPr>
          <w:rFonts w:ascii="Arial" w:hAnsi="Arial" w:cs="Arial"/>
          <w:b/>
          <w:bCs/>
          <w:sz w:val="20"/>
          <w:szCs w:val="20"/>
          <w:lang w:val="en-US"/>
        </w:rPr>
        <w:t xml:space="preserve"> </w:t>
      </w:r>
      <w:proofErr w:type="spellStart"/>
      <w:r w:rsidRPr="007B00CF">
        <w:rPr>
          <w:rFonts w:ascii="Arial" w:hAnsi="Arial" w:cs="Arial"/>
          <w:b/>
          <w:bCs/>
          <w:sz w:val="20"/>
          <w:szCs w:val="20"/>
          <w:lang w:val="en-US"/>
        </w:rPr>
        <w:t>Tennoug</w:t>
      </w:r>
      <w:proofErr w:type="spellEnd"/>
      <w:r w:rsidRPr="007B00CF">
        <w:rPr>
          <w:rFonts w:ascii="Arial" w:hAnsi="Arial" w:cs="Arial"/>
          <w:sz w:val="20"/>
          <w:szCs w:val="20"/>
          <w:lang w:val="en-US"/>
        </w:rPr>
        <w:t xml:space="preserve"> Pages 314-332 | Received 01 Sep 2023, Accepted 29 Sep 2023, Accepted author version posted online: 02 Oct 2023, Published online: 17 Oct 2023</w:t>
      </w:r>
      <w:hyperlink r:id="rId17" w:history="1">
        <w:r w:rsidRPr="007B00CF">
          <w:rPr>
            <w:rStyle w:val="Hyperlink"/>
            <w:rFonts w:ascii="Arial" w:hAnsi="Arial" w:cs="Arial"/>
            <w:color w:val="auto"/>
            <w:sz w:val="20"/>
            <w:szCs w:val="20"/>
            <w:lang w:val="en-US"/>
          </w:rPr>
          <w:t>https://doi.org/10.1080/00222348.2023.2266278</w:t>
        </w:r>
      </w:hyperlink>
      <w:r w:rsidRPr="007B00CF">
        <w:rPr>
          <w:rFonts w:ascii="Arial" w:hAnsi="Arial" w:cs="Arial"/>
          <w:sz w:val="20"/>
          <w:szCs w:val="20"/>
          <w:lang w:val="en-US"/>
        </w:rPr>
        <w:t> </w:t>
      </w:r>
    </w:p>
    <w:p w14:paraId="70CDAB43"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 xml:space="preserve"> </w:t>
      </w:r>
      <w:proofErr w:type="spellStart"/>
      <w:r w:rsidRPr="000E2590">
        <w:rPr>
          <w:rFonts w:ascii="Arial" w:hAnsi="Arial" w:cs="Arial"/>
          <w:color w:val="000000" w:themeColor="text1"/>
          <w:sz w:val="20"/>
          <w:szCs w:val="20"/>
          <w:lang w:val="en-US"/>
        </w:rPr>
        <w:t>Duts</w:t>
      </w:r>
      <w:proofErr w:type="spellEnd"/>
      <w:r w:rsidRPr="000E2590">
        <w:rPr>
          <w:rFonts w:ascii="Arial" w:hAnsi="Arial" w:cs="Arial"/>
          <w:color w:val="000000" w:themeColor="text1"/>
          <w:sz w:val="20"/>
          <w:szCs w:val="20"/>
          <w:lang w:val="en-US"/>
        </w:rPr>
        <w:t xml:space="preserve">, A.O., </w:t>
      </w:r>
      <w:proofErr w:type="spellStart"/>
      <w:r w:rsidRPr="000E2590">
        <w:rPr>
          <w:rFonts w:ascii="Arial" w:hAnsi="Arial" w:cs="Arial"/>
          <w:color w:val="000000" w:themeColor="text1"/>
          <w:sz w:val="20"/>
          <w:szCs w:val="20"/>
          <w:lang w:val="en-US"/>
        </w:rPr>
        <w:t>Rebezov</w:t>
      </w:r>
      <w:proofErr w:type="spellEnd"/>
      <w:r w:rsidRPr="000E2590">
        <w:rPr>
          <w:rFonts w:ascii="Arial" w:hAnsi="Arial" w:cs="Arial"/>
          <w:color w:val="000000" w:themeColor="text1"/>
          <w:sz w:val="20"/>
          <w:szCs w:val="20"/>
          <w:lang w:val="en-US"/>
        </w:rPr>
        <w:t xml:space="preserve"> M.B. Use of stabilizers in sausage production. Modern Business Space: Current Problems and Prospects: A Youth Scientific and Practical Journal. Chelyabinsk: Publishing Center of South </w:t>
      </w:r>
      <w:proofErr w:type="spellStart"/>
      <w:r w:rsidRPr="000E2590">
        <w:rPr>
          <w:rFonts w:ascii="Arial" w:hAnsi="Arial" w:cs="Arial"/>
          <w:color w:val="000000" w:themeColor="text1"/>
          <w:sz w:val="20"/>
          <w:szCs w:val="20"/>
          <w:lang w:val="en-US"/>
        </w:rPr>
        <w:t>Urgench</w:t>
      </w:r>
      <w:proofErr w:type="spellEnd"/>
      <w:r w:rsidRPr="000E2590">
        <w:rPr>
          <w:rFonts w:ascii="Arial" w:hAnsi="Arial" w:cs="Arial"/>
          <w:color w:val="000000" w:themeColor="text1"/>
          <w:sz w:val="20"/>
          <w:szCs w:val="20"/>
          <w:lang w:val="en-US"/>
        </w:rPr>
        <w:t xml:space="preserve"> State University, 2013. No1. pp. 161-164.</w:t>
      </w:r>
    </w:p>
    <w:p w14:paraId="1D300BCC"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eastAsia="Times New Roman" w:hAnsi="Arial" w:cs="Arial"/>
          <w:color w:val="000000" w:themeColor="text1"/>
          <w:sz w:val="20"/>
          <w:szCs w:val="20"/>
          <w:lang w:eastAsia="ru-RU"/>
        </w:rPr>
      </w:pPr>
      <w:r w:rsidRPr="000E2590">
        <w:rPr>
          <w:rFonts w:ascii="Arial" w:hAnsi="Arial" w:cs="Arial"/>
          <w:color w:val="000000" w:themeColor="text1"/>
          <w:sz w:val="20"/>
          <w:szCs w:val="20"/>
          <w:lang w:val="en-US"/>
        </w:rPr>
        <w:t xml:space="preserve"> </w:t>
      </w:r>
      <w:proofErr w:type="spellStart"/>
      <w:r w:rsidRPr="000E2590">
        <w:rPr>
          <w:rFonts w:ascii="Arial" w:hAnsi="Arial" w:cs="Arial"/>
          <w:color w:val="000000" w:themeColor="text1"/>
          <w:sz w:val="20"/>
          <w:szCs w:val="20"/>
          <w:lang w:val="en-US"/>
        </w:rPr>
        <w:t>Rebezov</w:t>
      </w:r>
      <w:proofErr w:type="spellEnd"/>
      <w:r w:rsidRPr="000E2590">
        <w:rPr>
          <w:rFonts w:ascii="Arial" w:hAnsi="Arial" w:cs="Arial"/>
          <w:color w:val="000000" w:themeColor="text1"/>
          <w:sz w:val="20"/>
          <w:szCs w:val="20"/>
          <w:lang w:val="en-US"/>
        </w:rPr>
        <w:t xml:space="preserve">, M.B., </w:t>
      </w:r>
      <w:proofErr w:type="spellStart"/>
      <w:r w:rsidRPr="000E2590">
        <w:rPr>
          <w:rFonts w:ascii="Arial" w:hAnsi="Arial" w:cs="Arial"/>
          <w:color w:val="000000" w:themeColor="text1"/>
          <w:sz w:val="20"/>
          <w:szCs w:val="20"/>
          <w:lang w:val="en-US"/>
        </w:rPr>
        <w:t>Topuria</w:t>
      </w:r>
      <w:proofErr w:type="spellEnd"/>
      <w:r w:rsidRPr="000E2590">
        <w:rPr>
          <w:rFonts w:ascii="Arial" w:hAnsi="Arial" w:cs="Arial"/>
          <w:color w:val="000000" w:themeColor="text1"/>
          <w:sz w:val="20"/>
          <w:szCs w:val="20"/>
          <w:lang w:val="en-US"/>
        </w:rPr>
        <w:t xml:space="preserve">, G.M., </w:t>
      </w:r>
      <w:proofErr w:type="spellStart"/>
      <w:r w:rsidRPr="000E2590">
        <w:rPr>
          <w:rFonts w:ascii="Arial" w:hAnsi="Arial" w:cs="Arial"/>
          <w:color w:val="000000" w:themeColor="text1"/>
          <w:sz w:val="20"/>
          <w:szCs w:val="20"/>
          <w:lang w:val="en-US"/>
        </w:rPr>
        <w:t>Asenova</w:t>
      </w:r>
      <w:proofErr w:type="spellEnd"/>
      <w:r w:rsidRPr="000E2590">
        <w:rPr>
          <w:rFonts w:ascii="Arial" w:hAnsi="Arial" w:cs="Arial"/>
          <w:color w:val="000000" w:themeColor="text1"/>
          <w:sz w:val="20"/>
          <w:szCs w:val="20"/>
          <w:lang w:val="en-US"/>
        </w:rPr>
        <w:t xml:space="preserve">, B.K. Types of hazards during the technological process of producing raw meat products and preventive actions (using HACCP principles as an example). Bulletin of South Ural State University. Series: Food and Biotechnology. </w:t>
      </w:r>
      <w:r w:rsidRPr="000E2590">
        <w:rPr>
          <w:rFonts w:ascii="Arial" w:hAnsi="Arial" w:cs="Arial"/>
          <w:color w:val="000000" w:themeColor="text1"/>
          <w:sz w:val="20"/>
          <w:szCs w:val="20"/>
        </w:rPr>
        <w:t>2014. Vol. 2. No1. pp. 60-66.</w:t>
      </w:r>
    </w:p>
    <w:p w14:paraId="57415EA9" w14:textId="77777777" w:rsidR="00271ED7" w:rsidRPr="000E2590" w:rsidRDefault="00271ED7" w:rsidP="008761F7">
      <w:pPr>
        <w:pStyle w:val="ListParagraph"/>
        <w:numPr>
          <w:ilvl w:val="0"/>
          <w:numId w:val="1"/>
        </w:numPr>
        <w:tabs>
          <w:tab w:val="left" w:pos="627"/>
        </w:tabs>
        <w:spacing w:after="0" w:line="240" w:lineRule="auto"/>
        <w:ind w:left="0" w:firstLine="0"/>
        <w:jc w:val="both"/>
        <w:rPr>
          <w:rFonts w:ascii="Arial" w:eastAsia="Times New Roman" w:hAnsi="Arial" w:cs="Arial"/>
          <w:color w:val="000000" w:themeColor="text1"/>
          <w:sz w:val="20"/>
          <w:szCs w:val="20"/>
          <w:lang w:eastAsia="ru-RU"/>
        </w:rPr>
      </w:pPr>
      <w:r w:rsidRPr="000E2590">
        <w:rPr>
          <w:rFonts w:ascii="Arial" w:eastAsia="Times New Roman" w:hAnsi="Arial" w:cs="Arial"/>
          <w:color w:val="000000" w:themeColor="text1"/>
          <w:sz w:val="20"/>
          <w:szCs w:val="20"/>
          <w:lang w:eastAsia="ru-RU"/>
        </w:rPr>
        <w:t>Ребезов, М.Б., Мирошникова Е.П., Богатова О.В., Лукин А.А., Хайруллин М.Ф., Зинина О.В., Лакеева М.Л. Физико-химические и биохимические основы производства мяса и мясопродуктов. Часть 2. Челябинск: ИЦ ЮУрГУ, 2011. Ч. 2. С. 15-26.</w:t>
      </w:r>
    </w:p>
    <w:p w14:paraId="01D9532A"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proofErr w:type="spellStart"/>
      <w:r w:rsidRPr="000E2590">
        <w:rPr>
          <w:rFonts w:ascii="Arial" w:eastAsia="MS Mincho" w:hAnsi="Arial" w:cs="Arial"/>
          <w:b w:val="0"/>
          <w:bCs w:val="0"/>
          <w:sz w:val="20"/>
          <w:szCs w:val="20"/>
          <w:lang w:val="en-US" w:eastAsia="en-US"/>
        </w:rPr>
        <w:t>Atroschenko</w:t>
      </w:r>
      <w:proofErr w:type="spellEnd"/>
      <w:r w:rsidRPr="000E2590">
        <w:rPr>
          <w:rFonts w:ascii="Arial" w:eastAsia="MS Mincho" w:hAnsi="Arial" w:cs="Arial"/>
          <w:b w:val="0"/>
          <w:bCs w:val="0"/>
          <w:sz w:val="20"/>
          <w:szCs w:val="20"/>
          <w:lang w:val="en-US" w:eastAsia="en-US"/>
        </w:rPr>
        <w:t xml:space="preserve"> V.I. Technology of Nitric Acid. - M.: Chemistry, 1970, p. 177.</w:t>
      </w:r>
    </w:p>
    <w:p w14:paraId="0958169A"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M.A., </w:t>
      </w: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V.A. Salts of Nitric Acid.  - M.: Chemistry, 1979, p. 84.</w:t>
      </w:r>
    </w:p>
    <w:p w14:paraId="1367C919"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M.A., </w:t>
      </w: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V.A. Nitric acid salts.  - M.: Chemistry, 1979, p. 84.</w:t>
      </w:r>
    </w:p>
    <w:p w14:paraId="0F9A8291"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r w:rsidRPr="000E2590">
        <w:rPr>
          <w:rFonts w:ascii="Arial" w:eastAsia="MS Mincho" w:hAnsi="Arial" w:cs="Arial"/>
          <w:b w:val="0"/>
          <w:bCs w:val="0"/>
          <w:sz w:val="20"/>
          <w:szCs w:val="20"/>
          <w:lang w:val="en-US" w:eastAsia="en-US"/>
        </w:rPr>
        <w:t xml:space="preserve">Patent RU 2174096 C1, Russian Federation, C 01 V 21/50. Method for obtaining sodium nitrite and an absorption apparatus for carrying out the process // N.A. </w:t>
      </w:r>
      <w:proofErr w:type="spellStart"/>
      <w:r w:rsidRPr="000E2590">
        <w:rPr>
          <w:rFonts w:ascii="Arial" w:eastAsia="MS Mincho" w:hAnsi="Arial" w:cs="Arial"/>
          <w:b w:val="0"/>
          <w:bCs w:val="0"/>
          <w:sz w:val="20"/>
          <w:szCs w:val="20"/>
          <w:lang w:val="en-US" w:eastAsia="en-US"/>
        </w:rPr>
        <w:t>Yanukovsky</w:t>
      </w:r>
      <w:proofErr w:type="spellEnd"/>
      <w:r w:rsidRPr="000E2590">
        <w:rPr>
          <w:rFonts w:ascii="Arial" w:eastAsia="MS Mincho" w:hAnsi="Arial" w:cs="Arial"/>
          <w:b w:val="0"/>
          <w:bCs w:val="0"/>
          <w:sz w:val="20"/>
          <w:szCs w:val="20"/>
          <w:lang w:val="en-US" w:eastAsia="en-US"/>
        </w:rPr>
        <w:t xml:space="preserve">, N.P. </w:t>
      </w:r>
      <w:proofErr w:type="spellStart"/>
      <w:r w:rsidRPr="000E2590">
        <w:rPr>
          <w:rFonts w:ascii="Arial" w:eastAsia="MS Mincho" w:hAnsi="Arial" w:cs="Arial"/>
          <w:b w:val="0"/>
          <w:bCs w:val="0"/>
          <w:sz w:val="20"/>
          <w:szCs w:val="20"/>
          <w:lang w:val="en-US" w:eastAsia="en-US"/>
        </w:rPr>
        <w:t>Perepadya</w:t>
      </w:r>
      <w:proofErr w:type="spellEnd"/>
      <w:r w:rsidRPr="000E2590">
        <w:rPr>
          <w:rFonts w:ascii="Arial" w:eastAsia="MS Mincho" w:hAnsi="Arial" w:cs="Arial"/>
          <w:b w:val="0"/>
          <w:bCs w:val="0"/>
          <w:sz w:val="20"/>
          <w:szCs w:val="20"/>
          <w:lang w:val="en-US" w:eastAsia="en-US"/>
        </w:rPr>
        <w:t xml:space="preserve">, A.V. </w:t>
      </w:r>
      <w:proofErr w:type="spellStart"/>
      <w:r w:rsidRPr="000E2590">
        <w:rPr>
          <w:rFonts w:ascii="Arial" w:eastAsia="MS Mincho" w:hAnsi="Arial" w:cs="Arial"/>
          <w:b w:val="0"/>
          <w:bCs w:val="0"/>
          <w:sz w:val="20"/>
          <w:szCs w:val="20"/>
          <w:lang w:val="en-US" w:eastAsia="en-US"/>
        </w:rPr>
        <w:t>Tugolukov</w:t>
      </w:r>
      <w:proofErr w:type="spellEnd"/>
      <w:r w:rsidRPr="000E2590">
        <w:rPr>
          <w:rFonts w:ascii="Arial" w:eastAsia="MS Mincho" w:hAnsi="Arial" w:cs="Arial"/>
          <w:b w:val="0"/>
          <w:bCs w:val="0"/>
          <w:sz w:val="20"/>
          <w:szCs w:val="20"/>
          <w:lang w:val="en-US" w:eastAsia="en-US"/>
        </w:rPr>
        <w:t xml:space="preserve"> et al., application No. 2000124179/12: published on 27.09.2001.</w:t>
      </w:r>
    </w:p>
    <w:p w14:paraId="358FABA3"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ru-RU" w:eastAsia="en-US"/>
        </w:rPr>
      </w:pPr>
      <w:r w:rsidRPr="000E2590">
        <w:rPr>
          <w:rFonts w:ascii="Arial" w:eastAsia="MS Mincho" w:hAnsi="Arial" w:cs="Arial"/>
          <w:b w:val="0"/>
          <w:bCs w:val="0"/>
          <w:sz w:val="20"/>
          <w:szCs w:val="20"/>
          <w:lang w:val="en-US" w:eastAsia="en-US"/>
        </w:rPr>
        <w:t xml:space="preserve"> Patent RU 2788723 C1, Russian Federation, C 01 V 21/50. Method for obtaining sodium nitrite and zinc oxide // </w:t>
      </w:r>
      <w:proofErr w:type="spellStart"/>
      <w:r w:rsidRPr="000E2590">
        <w:rPr>
          <w:rFonts w:ascii="Arial" w:eastAsia="MS Mincho" w:hAnsi="Arial" w:cs="Arial"/>
          <w:b w:val="0"/>
          <w:bCs w:val="0"/>
          <w:sz w:val="20"/>
          <w:szCs w:val="20"/>
          <w:lang w:val="en-US" w:eastAsia="en-US"/>
        </w:rPr>
        <w:t>S.</w:t>
      </w:r>
      <w:proofErr w:type="gramStart"/>
      <w:r w:rsidRPr="000E2590">
        <w:rPr>
          <w:rFonts w:ascii="Arial" w:eastAsia="MS Mincho" w:hAnsi="Arial" w:cs="Arial"/>
          <w:b w:val="0"/>
          <w:bCs w:val="0"/>
          <w:sz w:val="20"/>
          <w:szCs w:val="20"/>
          <w:lang w:val="en-US" w:eastAsia="en-US"/>
        </w:rPr>
        <w:t>N.Kim</w:t>
      </w:r>
      <w:proofErr w:type="spellEnd"/>
      <w:proofErr w:type="gramEnd"/>
      <w:r w:rsidRPr="000E2590">
        <w:rPr>
          <w:rFonts w:ascii="Arial" w:eastAsia="MS Mincho" w:hAnsi="Arial" w:cs="Arial"/>
          <w:b w:val="0"/>
          <w:bCs w:val="0"/>
          <w:sz w:val="20"/>
          <w:szCs w:val="20"/>
          <w:lang w:val="en-US" w:eastAsia="en-US"/>
        </w:rPr>
        <w:t xml:space="preserve">., application No. 2021137934: published on 24.01.2023. </w:t>
      </w:r>
      <w:r w:rsidRPr="000E2590">
        <w:rPr>
          <w:rFonts w:ascii="Arial" w:eastAsia="MS Mincho" w:hAnsi="Arial" w:cs="Arial"/>
          <w:b w:val="0"/>
          <w:bCs w:val="0"/>
          <w:sz w:val="20"/>
          <w:szCs w:val="20"/>
          <w:lang w:val="ru-RU" w:eastAsia="en-US"/>
        </w:rPr>
        <w:t>No 3.</w:t>
      </w:r>
    </w:p>
    <w:p w14:paraId="63B85BD3" w14:textId="77777777" w:rsidR="008761F7" w:rsidRPr="000E2590" w:rsidRDefault="008761F7" w:rsidP="008761F7">
      <w:pPr>
        <w:pStyle w:val="1"/>
        <w:numPr>
          <w:ilvl w:val="0"/>
          <w:numId w:val="1"/>
        </w:numPr>
        <w:tabs>
          <w:tab w:val="left" w:pos="627"/>
        </w:tabs>
        <w:ind w:left="0" w:firstLine="0"/>
        <w:jc w:val="both"/>
        <w:rPr>
          <w:rFonts w:ascii="Arial" w:hAnsi="Arial" w:cs="Arial"/>
          <w:b w:val="0"/>
          <w:sz w:val="20"/>
          <w:szCs w:val="20"/>
          <w:lang w:val="en-US"/>
        </w:rPr>
      </w:pPr>
      <w:r w:rsidRPr="000E2590">
        <w:rPr>
          <w:rFonts w:ascii="Arial" w:eastAsia="MS Mincho" w:hAnsi="Arial" w:cs="Arial"/>
          <w:b w:val="0"/>
          <w:bCs w:val="0"/>
          <w:sz w:val="20"/>
          <w:szCs w:val="20"/>
          <w:lang w:val="en-US" w:eastAsia="en-US"/>
        </w:rPr>
        <w:t xml:space="preserve">Patent No WO 2021/245530 A1. </w:t>
      </w:r>
      <w:proofErr w:type="spellStart"/>
      <w:r w:rsidRPr="000E2590">
        <w:rPr>
          <w:rFonts w:ascii="Arial" w:eastAsia="MS Mincho" w:hAnsi="Arial" w:cs="Arial"/>
          <w:b w:val="0"/>
          <w:bCs w:val="0"/>
          <w:sz w:val="20"/>
          <w:szCs w:val="20"/>
          <w:lang w:val="en-US" w:eastAsia="en-US"/>
        </w:rPr>
        <w:t>Sarma</w:t>
      </w:r>
      <w:proofErr w:type="spellEnd"/>
      <w:r w:rsidRPr="000E2590">
        <w:rPr>
          <w:rFonts w:ascii="Arial" w:eastAsia="MS Mincho" w:hAnsi="Arial" w:cs="Arial"/>
          <w:b w:val="0"/>
          <w:bCs w:val="0"/>
          <w:sz w:val="20"/>
          <w:szCs w:val="20"/>
          <w:lang w:val="en-US" w:eastAsia="en-US"/>
        </w:rPr>
        <w:t xml:space="preserve"> A.S. Forms of sodium nitrite and its impurity profile // Date of publication of the application: 09.12.2021.</w:t>
      </w:r>
    </w:p>
    <w:p w14:paraId="32A79A73"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 xml:space="preserve">Patent CN </w:t>
      </w:r>
      <w:proofErr w:type="spellStart"/>
      <w:r w:rsidRPr="000E2590">
        <w:rPr>
          <w:rFonts w:ascii="Arial" w:hAnsi="Arial" w:cs="Arial"/>
          <w:bCs/>
          <w:sz w:val="20"/>
          <w:szCs w:val="20"/>
          <w:lang w:val="en-US"/>
        </w:rPr>
        <w:t>CN</w:t>
      </w:r>
      <w:proofErr w:type="spellEnd"/>
      <w:r w:rsidRPr="000E2590">
        <w:rPr>
          <w:rFonts w:ascii="Arial" w:hAnsi="Arial" w:cs="Arial"/>
          <w:bCs/>
          <w:sz w:val="20"/>
          <w:szCs w:val="20"/>
          <w:lang w:val="en-US"/>
        </w:rPr>
        <w:t xml:space="preserve"> 102491376 B, China, method and devices for obtaining sodium nitrite using mother solution // Kang </w:t>
      </w:r>
      <w:proofErr w:type="spellStart"/>
      <w:r w:rsidRPr="000E2590">
        <w:rPr>
          <w:rFonts w:ascii="Arial" w:hAnsi="Arial" w:cs="Arial"/>
          <w:bCs/>
          <w:sz w:val="20"/>
          <w:szCs w:val="20"/>
          <w:lang w:val="en-US"/>
        </w:rPr>
        <w:t>Yanshou</w:t>
      </w:r>
      <w:proofErr w:type="spellEnd"/>
      <w:r w:rsidRPr="000E2590">
        <w:rPr>
          <w:rFonts w:ascii="Arial" w:hAnsi="Arial" w:cs="Arial"/>
          <w:bCs/>
          <w:sz w:val="20"/>
          <w:szCs w:val="20"/>
          <w:lang w:val="en-US"/>
        </w:rPr>
        <w:t xml:space="preserve"> Jen </w:t>
      </w:r>
      <w:proofErr w:type="spellStart"/>
      <w:r w:rsidRPr="000E2590">
        <w:rPr>
          <w:rFonts w:ascii="Arial" w:hAnsi="Arial" w:cs="Arial"/>
          <w:bCs/>
          <w:sz w:val="20"/>
          <w:szCs w:val="20"/>
          <w:lang w:val="en-US"/>
        </w:rPr>
        <w:t>Baotin</w:t>
      </w:r>
      <w:proofErr w:type="spellEnd"/>
      <w:r w:rsidRPr="000E2590">
        <w:rPr>
          <w:rFonts w:ascii="Arial" w:hAnsi="Arial" w:cs="Arial"/>
          <w:bCs/>
          <w:sz w:val="20"/>
          <w:szCs w:val="20"/>
          <w:lang w:val="en-US"/>
        </w:rPr>
        <w:t>, application No 201110401225.4: published 09.11.2013.</w:t>
      </w:r>
    </w:p>
    <w:p w14:paraId="62DCFDB9"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 xml:space="preserve">Patent CN 109573969 B, China, Devices for obtaining sodium nitrite // Son </w:t>
      </w:r>
      <w:proofErr w:type="spellStart"/>
      <w:r w:rsidRPr="000E2590">
        <w:rPr>
          <w:rFonts w:ascii="Arial" w:hAnsi="Arial" w:cs="Arial"/>
          <w:bCs/>
          <w:sz w:val="20"/>
          <w:szCs w:val="20"/>
          <w:lang w:val="en-US"/>
        </w:rPr>
        <w:t>Kairong</w:t>
      </w:r>
      <w:proofErr w:type="spellEnd"/>
      <w:r w:rsidRPr="000E2590">
        <w:rPr>
          <w:rFonts w:ascii="Arial" w:hAnsi="Arial" w:cs="Arial"/>
          <w:bCs/>
          <w:sz w:val="20"/>
          <w:szCs w:val="20"/>
          <w:lang w:val="en-US"/>
        </w:rPr>
        <w:t xml:space="preserve">, Hu Bin, Li </w:t>
      </w:r>
      <w:proofErr w:type="spellStart"/>
      <w:r w:rsidRPr="000E2590">
        <w:rPr>
          <w:rFonts w:ascii="Arial" w:hAnsi="Arial" w:cs="Arial"/>
          <w:bCs/>
          <w:sz w:val="20"/>
          <w:szCs w:val="20"/>
          <w:lang w:val="en-US"/>
        </w:rPr>
        <w:t>Shunbin</w:t>
      </w:r>
      <w:proofErr w:type="spellEnd"/>
      <w:r w:rsidRPr="000E2590">
        <w:rPr>
          <w:rFonts w:ascii="Arial" w:hAnsi="Arial" w:cs="Arial"/>
          <w:bCs/>
          <w:sz w:val="20"/>
          <w:szCs w:val="20"/>
          <w:lang w:val="en-US"/>
        </w:rPr>
        <w:t>, application No 201811317820.8: published on 18.01.2022.</w:t>
      </w:r>
    </w:p>
    <w:p w14:paraId="52FE9B24"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proofErr w:type="spellStart"/>
      <w:r w:rsidRPr="000E2590">
        <w:rPr>
          <w:rFonts w:ascii="Arial" w:hAnsi="Arial" w:cs="Arial"/>
          <w:bCs/>
          <w:sz w:val="20"/>
          <w:szCs w:val="20"/>
          <w:lang w:val="en-US"/>
        </w:rPr>
        <w:t>Javahvi</w:t>
      </w:r>
      <w:proofErr w:type="spellEnd"/>
      <w:r w:rsidRPr="000E2590">
        <w:rPr>
          <w:rFonts w:ascii="Arial" w:hAnsi="Arial" w:cs="Arial"/>
          <w:bCs/>
          <w:sz w:val="20"/>
          <w:szCs w:val="20"/>
          <w:lang w:val="en-US"/>
        </w:rPr>
        <w:t xml:space="preserve"> Chauhan, Pradip Rathod, Kuldip </w:t>
      </w:r>
      <w:proofErr w:type="spellStart"/>
      <w:r w:rsidRPr="000E2590">
        <w:rPr>
          <w:rFonts w:ascii="Arial" w:hAnsi="Arial" w:cs="Arial"/>
          <w:bCs/>
          <w:sz w:val="20"/>
          <w:szCs w:val="20"/>
          <w:lang w:val="en-US"/>
        </w:rPr>
        <w:t>Raulji</w:t>
      </w:r>
      <w:proofErr w:type="spellEnd"/>
      <w:r w:rsidRPr="000E2590">
        <w:rPr>
          <w:rFonts w:ascii="Arial" w:hAnsi="Arial" w:cs="Arial"/>
          <w:bCs/>
          <w:sz w:val="20"/>
          <w:szCs w:val="20"/>
          <w:lang w:val="en-US"/>
        </w:rPr>
        <w:t xml:space="preserve">, </w:t>
      </w:r>
      <w:proofErr w:type="spellStart"/>
      <w:r w:rsidRPr="000E2590">
        <w:rPr>
          <w:rFonts w:ascii="Arial" w:hAnsi="Arial" w:cs="Arial"/>
          <w:bCs/>
          <w:sz w:val="20"/>
          <w:szCs w:val="20"/>
          <w:lang w:val="en-US"/>
        </w:rPr>
        <w:t>Fenil</w:t>
      </w:r>
      <w:proofErr w:type="spellEnd"/>
      <w:r w:rsidRPr="000E2590">
        <w:rPr>
          <w:rFonts w:ascii="Arial" w:hAnsi="Arial" w:cs="Arial"/>
          <w:bCs/>
          <w:sz w:val="20"/>
          <w:szCs w:val="20"/>
          <w:lang w:val="en-US"/>
        </w:rPr>
        <w:t xml:space="preserve"> Virani. Production of sodium nitrite from purge liquor. International Journal of Creative Research Thoughts (IJCRT): 2021 Volume 9 Issue 3 March. pp. 5053-5055.</w:t>
      </w:r>
    </w:p>
    <w:p w14:paraId="0C92945D"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proofErr w:type="spellStart"/>
      <w:r w:rsidRPr="000E2590">
        <w:rPr>
          <w:rFonts w:ascii="Arial" w:hAnsi="Arial" w:cs="Arial"/>
          <w:bCs/>
          <w:sz w:val="20"/>
          <w:szCs w:val="20"/>
          <w:lang w:val="en-US"/>
        </w:rPr>
        <w:t>Rogozhnikov</w:t>
      </w:r>
      <w:proofErr w:type="spellEnd"/>
      <w:r w:rsidRPr="000E2590">
        <w:rPr>
          <w:rFonts w:ascii="Arial" w:hAnsi="Arial" w:cs="Arial"/>
          <w:bCs/>
          <w:sz w:val="20"/>
          <w:szCs w:val="20"/>
          <w:lang w:val="en-US"/>
        </w:rPr>
        <w:t xml:space="preserve"> D.A., </w:t>
      </w:r>
      <w:proofErr w:type="spellStart"/>
      <w:r w:rsidRPr="000E2590">
        <w:rPr>
          <w:rFonts w:ascii="Arial" w:hAnsi="Arial" w:cs="Arial"/>
          <w:bCs/>
          <w:sz w:val="20"/>
          <w:szCs w:val="20"/>
          <w:lang w:val="en-US"/>
        </w:rPr>
        <w:t>Karelov</w:t>
      </w:r>
      <w:proofErr w:type="spellEnd"/>
      <w:r w:rsidRPr="000E2590">
        <w:rPr>
          <w:rFonts w:ascii="Arial" w:hAnsi="Arial" w:cs="Arial"/>
          <w:bCs/>
          <w:sz w:val="20"/>
          <w:szCs w:val="20"/>
          <w:lang w:val="en-US"/>
        </w:rPr>
        <w:t xml:space="preserve"> S.V., </w:t>
      </w:r>
      <w:proofErr w:type="spellStart"/>
      <w:r w:rsidRPr="000E2590">
        <w:rPr>
          <w:rFonts w:ascii="Arial" w:hAnsi="Arial" w:cs="Arial"/>
          <w:bCs/>
          <w:sz w:val="20"/>
          <w:szCs w:val="20"/>
          <w:lang w:val="en-US"/>
        </w:rPr>
        <w:t>Mamyachenkov</w:t>
      </w:r>
      <w:proofErr w:type="spellEnd"/>
      <w:r w:rsidRPr="000E2590">
        <w:rPr>
          <w:rFonts w:ascii="Arial" w:hAnsi="Arial" w:cs="Arial"/>
          <w:bCs/>
          <w:sz w:val="20"/>
          <w:szCs w:val="20"/>
          <w:lang w:val="en-US"/>
        </w:rPr>
        <w:t xml:space="preserve"> S.V., Anisimova O.S. Methods of utilizing spent nitrous gases // Modern problems of science and education. 2011. No. 6, pp. 29-34.</w:t>
      </w:r>
    </w:p>
    <w:p w14:paraId="6E5276EB" w14:textId="77777777" w:rsidR="000E2590"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0E2590">
        <w:rPr>
          <w:rFonts w:ascii="Arial" w:hAnsi="Arial" w:cs="Arial"/>
          <w:bCs/>
          <w:sz w:val="20"/>
          <w:szCs w:val="20"/>
          <w:lang w:val="en-US"/>
        </w:rPr>
        <w:t>Komarova</w:t>
      </w:r>
      <w:proofErr w:type="spellEnd"/>
      <w:r w:rsidRPr="000E2590">
        <w:rPr>
          <w:rFonts w:ascii="Arial" w:hAnsi="Arial" w:cs="Arial"/>
          <w:bCs/>
          <w:sz w:val="20"/>
          <w:szCs w:val="20"/>
          <w:lang w:val="en-US"/>
        </w:rPr>
        <w:t xml:space="preserve"> L.F., </w:t>
      </w:r>
      <w:proofErr w:type="spellStart"/>
      <w:r w:rsidRPr="000E2590">
        <w:rPr>
          <w:rFonts w:ascii="Arial" w:hAnsi="Arial" w:cs="Arial"/>
          <w:bCs/>
          <w:sz w:val="20"/>
          <w:szCs w:val="20"/>
          <w:lang w:val="en-US"/>
        </w:rPr>
        <w:t>Kormina</w:t>
      </w:r>
      <w:proofErr w:type="spellEnd"/>
      <w:r w:rsidRPr="000E2590">
        <w:rPr>
          <w:rFonts w:ascii="Arial" w:hAnsi="Arial" w:cs="Arial"/>
          <w:bCs/>
          <w:sz w:val="20"/>
          <w:szCs w:val="20"/>
          <w:lang w:val="en-US"/>
        </w:rPr>
        <w:t xml:space="preserve"> L.A. Engineering Methods for Environmental Protection. Techniques for Protecting the Atmosphere and Hydrosphere from Industrial Pollutions: A Study Guide. - Barnaul, 2000 - 395 p.</w:t>
      </w:r>
    </w:p>
    <w:p w14:paraId="6CA90BFB" w14:textId="77777777" w:rsidR="008761F7" w:rsidRPr="000E2590" w:rsidRDefault="00271ED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rPr>
      </w:pPr>
      <w:r w:rsidRPr="000E2590">
        <w:rPr>
          <w:rFonts w:ascii="Arial" w:hAnsi="Arial" w:cs="Arial"/>
          <w:color w:val="000000"/>
          <w:sz w:val="20"/>
          <w:szCs w:val="20"/>
        </w:rPr>
        <w:t>Руководство к практическим занятиям по технологии неорганических веществ // Под ред. проф. М.Е.Позина. Л.: Химия, 1980, 368 стр.</w:t>
      </w:r>
    </w:p>
    <w:p w14:paraId="2C3D8AB4" w14:textId="77777777" w:rsidR="00271ED7" w:rsidRPr="00EE6F6E"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sz w:val="20"/>
          <w:szCs w:val="20"/>
          <w:lang w:val="en-US"/>
        </w:rPr>
        <w:t>GOST 19906-2023 Sodium nitrite Technical specifications. Moscow Russian Standardization Institute.</w:t>
      </w:r>
    </w:p>
    <w:p w14:paraId="6F4411CB" w14:textId="74246DA0" w:rsidR="00EE6F6E" w:rsidRDefault="00B41A3B"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3D3C3D">
        <w:rPr>
          <w:rFonts w:ascii="Arial" w:hAnsi="Arial" w:cs="Arial"/>
          <w:color w:val="000000" w:themeColor="text1"/>
          <w:sz w:val="20"/>
          <w:szCs w:val="20"/>
          <w:lang w:val="en-US"/>
        </w:rPr>
        <w:t xml:space="preserve">Du, J., </w:t>
      </w:r>
      <w:proofErr w:type="spellStart"/>
      <w:r w:rsidRPr="003D3C3D">
        <w:rPr>
          <w:rFonts w:ascii="Arial" w:hAnsi="Arial" w:cs="Arial"/>
          <w:color w:val="000000" w:themeColor="text1"/>
          <w:sz w:val="20"/>
          <w:szCs w:val="20"/>
          <w:lang w:val="en-US"/>
        </w:rPr>
        <w:t>Filipović</w:t>
      </w:r>
      <w:proofErr w:type="spellEnd"/>
      <w:r w:rsidRPr="003D3C3D">
        <w:rPr>
          <w:rFonts w:ascii="Arial" w:hAnsi="Arial" w:cs="Arial"/>
          <w:color w:val="000000" w:themeColor="text1"/>
          <w:sz w:val="20"/>
          <w:szCs w:val="20"/>
          <w:lang w:val="en-US"/>
        </w:rPr>
        <w:t>, M. R., Wagner, B. A., &amp; Buettner, G. R. (2023). Ascorbate mediates the non-enzymatic reduction of nitrite to nitric oxide. </w:t>
      </w:r>
      <w:r w:rsidRPr="00B41A3B">
        <w:rPr>
          <w:rFonts w:ascii="Arial" w:hAnsi="Arial" w:cs="Arial"/>
          <w:i/>
          <w:iCs/>
          <w:color w:val="000000" w:themeColor="text1"/>
          <w:sz w:val="20"/>
          <w:szCs w:val="20"/>
        </w:rPr>
        <w:t>Advances in Redox Research</w:t>
      </w:r>
      <w:r w:rsidRPr="00B41A3B">
        <w:rPr>
          <w:rFonts w:ascii="Arial" w:hAnsi="Arial" w:cs="Arial"/>
          <w:color w:val="000000" w:themeColor="text1"/>
          <w:sz w:val="20"/>
          <w:szCs w:val="20"/>
        </w:rPr>
        <w:t>, </w:t>
      </w:r>
      <w:r w:rsidRPr="00B41A3B">
        <w:rPr>
          <w:rFonts w:ascii="Arial" w:hAnsi="Arial" w:cs="Arial"/>
          <w:i/>
          <w:iCs/>
          <w:color w:val="000000" w:themeColor="text1"/>
          <w:sz w:val="20"/>
          <w:szCs w:val="20"/>
        </w:rPr>
        <w:t>9</w:t>
      </w:r>
      <w:r w:rsidRPr="00B41A3B">
        <w:rPr>
          <w:rFonts w:ascii="Arial" w:hAnsi="Arial" w:cs="Arial"/>
          <w:color w:val="000000" w:themeColor="text1"/>
          <w:sz w:val="20"/>
          <w:szCs w:val="20"/>
        </w:rPr>
        <w:t>, 100079.</w:t>
      </w:r>
    </w:p>
    <w:p w14:paraId="17E2B585" w14:textId="058B3C0B" w:rsidR="00B41A3B" w:rsidRPr="000E2590" w:rsidRDefault="00FE50E3"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3D3C3D">
        <w:rPr>
          <w:rFonts w:ascii="Arial" w:hAnsi="Arial" w:cs="Arial"/>
          <w:color w:val="000000" w:themeColor="text1"/>
          <w:sz w:val="20"/>
          <w:szCs w:val="20"/>
          <w:lang w:val="en-US"/>
        </w:rPr>
        <w:t>Sorour</w:t>
      </w:r>
      <w:proofErr w:type="spellEnd"/>
      <w:r w:rsidRPr="003D3C3D">
        <w:rPr>
          <w:rFonts w:ascii="Arial" w:hAnsi="Arial" w:cs="Arial"/>
          <w:color w:val="000000" w:themeColor="text1"/>
          <w:sz w:val="20"/>
          <w:szCs w:val="20"/>
          <w:lang w:val="en-US"/>
        </w:rPr>
        <w:t xml:space="preserve">, M. A., </w:t>
      </w:r>
      <w:proofErr w:type="spellStart"/>
      <w:r w:rsidRPr="003D3C3D">
        <w:rPr>
          <w:rFonts w:ascii="Arial" w:hAnsi="Arial" w:cs="Arial"/>
          <w:color w:val="000000" w:themeColor="text1"/>
          <w:sz w:val="20"/>
          <w:szCs w:val="20"/>
          <w:lang w:val="en-US"/>
        </w:rPr>
        <w:t>Mehanni</w:t>
      </w:r>
      <w:proofErr w:type="spellEnd"/>
      <w:r w:rsidRPr="003D3C3D">
        <w:rPr>
          <w:rFonts w:ascii="Arial" w:hAnsi="Arial" w:cs="Arial"/>
          <w:color w:val="000000" w:themeColor="text1"/>
          <w:sz w:val="20"/>
          <w:szCs w:val="20"/>
          <w:lang w:val="en-US"/>
        </w:rPr>
        <w:t>, A. H. E., Mahmoud, E. S. A., &amp; El-</w:t>
      </w:r>
      <w:proofErr w:type="spellStart"/>
      <w:r w:rsidRPr="003D3C3D">
        <w:rPr>
          <w:rFonts w:ascii="Arial" w:hAnsi="Arial" w:cs="Arial"/>
          <w:color w:val="000000" w:themeColor="text1"/>
          <w:sz w:val="20"/>
          <w:szCs w:val="20"/>
          <w:lang w:val="en-US"/>
        </w:rPr>
        <w:t>Hawashy</w:t>
      </w:r>
      <w:proofErr w:type="spellEnd"/>
      <w:r w:rsidRPr="003D3C3D">
        <w:rPr>
          <w:rFonts w:ascii="Arial" w:hAnsi="Arial" w:cs="Arial"/>
          <w:color w:val="000000" w:themeColor="text1"/>
          <w:sz w:val="20"/>
          <w:szCs w:val="20"/>
          <w:lang w:val="en-US"/>
        </w:rPr>
        <w:t>, R. M. (2023). Nitrate, nitrite and N-nitrosamine in meat products. </w:t>
      </w:r>
      <w:r w:rsidRPr="003D3C3D">
        <w:rPr>
          <w:rFonts w:ascii="Arial" w:hAnsi="Arial" w:cs="Arial"/>
          <w:i/>
          <w:iCs/>
          <w:color w:val="000000" w:themeColor="text1"/>
          <w:sz w:val="20"/>
          <w:szCs w:val="20"/>
          <w:lang w:val="en-US"/>
        </w:rPr>
        <w:t xml:space="preserve">Journal of </w:t>
      </w:r>
      <w:proofErr w:type="spellStart"/>
      <w:r w:rsidRPr="003D3C3D">
        <w:rPr>
          <w:rFonts w:ascii="Arial" w:hAnsi="Arial" w:cs="Arial"/>
          <w:i/>
          <w:iCs/>
          <w:color w:val="000000" w:themeColor="text1"/>
          <w:sz w:val="20"/>
          <w:szCs w:val="20"/>
          <w:lang w:val="en-US"/>
        </w:rPr>
        <w:t>Sohag</w:t>
      </w:r>
      <w:proofErr w:type="spellEnd"/>
      <w:r w:rsidRPr="003D3C3D">
        <w:rPr>
          <w:rFonts w:ascii="Arial" w:hAnsi="Arial" w:cs="Arial"/>
          <w:i/>
          <w:iCs/>
          <w:color w:val="000000" w:themeColor="text1"/>
          <w:sz w:val="20"/>
          <w:szCs w:val="20"/>
          <w:lang w:val="en-US"/>
        </w:rPr>
        <w:t xml:space="preserve"> </w:t>
      </w:r>
      <w:proofErr w:type="spellStart"/>
      <w:r w:rsidRPr="003D3C3D">
        <w:rPr>
          <w:rFonts w:ascii="Arial" w:hAnsi="Arial" w:cs="Arial"/>
          <w:i/>
          <w:iCs/>
          <w:color w:val="000000" w:themeColor="text1"/>
          <w:sz w:val="20"/>
          <w:szCs w:val="20"/>
          <w:lang w:val="en-US"/>
        </w:rPr>
        <w:t>Agriscience</w:t>
      </w:r>
      <w:proofErr w:type="spellEnd"/>
      <w:r w:rsidRPr="003D3C3D">
        <w:rPr>
          <w:rFonts w:ascii="Arial" w:hAnsi="Arial" w:cs="Arial"/>
          <w:i/>
          <w:iCs/>
          <w:color w:val="000000" w:themeColor="text1"/>
          <w:sz w:val="20"/>
          <w:szCs w:val="20"/>
          <w:lang w:val="en-US"/>
        </w:rPr>
        <w:t xml:space="preserve"> (JSAS)</w:t>
      </w:r>
      <w:r w:rsidRPr="003D3C3D">
        <w:rPr>
          <w:rFonts w:ascii="Arial" w:hAnsi="Arial" w:cs="Arial"/>
          <w:color w:val="000000" w:themeColor="text1"/>
          <w:sz w:val="20"/>
          <w:szCs w:val="20"/>
          <w:lang w:val="en-US"/>
        </w:rPr>
        <w:t>, </w:t>
      </w:r>
      <w:r w:rsidRPr="003D3C3D">
        <w:rPr>
          <w:rFonts w:ascii="Arial" w:hAnsi="Arial" w:cs="Arial"/>
          <w:i/>
          <w:iCs/>
          <w:color w:val="000000" w:themeColor="text1"/>
          <w:sz w:val="20"/>
          <w:szCs w:val="20"/>
          <w:lang w:val="en-US"/>
        </w:rPr>
        <w:t>8</w:t>
      </w:r>
      <w:r w:rsidRPr="003D3C3D">
        <w:rPr>
          <w:rFonts w:ascii="Arial" w:hAnsi="Arial" w:cs="Arial"/>
          <w:color w:val="000000" w:themeColor="text1"/>
          <w:sz w:val="20"/>
          <w:szCs w:val="20"/>
          <w:lang w:val="en-US"/>
        </w:rPr>
        <w:t>(1), 121-135.</w:t>
      </w:r>
    </w:p>
    <w:p w14:paraId="4FFEF23B" w14:textId="77777777" w:rsidR="00271ED7" w:rsidRPr="000E2590" w:rsidRDefault="00271ED7" w:rsidP="00271ED7">
      <w:pPr>
        <w:tabs>
          <w:tab w:val="left" w:pos="567"/>
        </w:tabs>
        <w:jc w:val="both"/>
        <w:rPr>
          <w:rFonts w:ascii="Arial" w:hAnsi="Arial" w:cs="Arial"/>
          <w:sz w:val="20"/>
          <w:szCs w:val="20"/>
          <w:lang w:val="en-US"/>
        </w:rPr>
      </w:pPr>
      <w:r w:rsidRPr="000E2590">
        <w:rPr>
          <w:rFonts w:ascii="Arial" w:hAnsi="Arial" w:cs="Arial"/>
          <w:sz w:val="20"/>
          <w:szCs w:val="20"/>
          <w:lang w:val="en-US"/>
        </w:rPr>
        <w:tab/>
      </w:r>
    </w:p>
    <w:sectPr w:rsidR="00271ED7" w:rsidRPr="000E2590">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6074D" w14:textId="77777777" w:rsidR="006C554C" w:rsidRDefault="006C554C" w:rsidP="006A4E90">
      <w:pPr>
        <w:spacing w:after="0" w:line="240" w:lineRule="auto"/>
      </w:pPr>
      <w:r>
        <w:separator/>
      </w:r>
    </w:p>
  </w:endnote>
  <w:endnote w:type="continuationSeparator" w:id="0">
    <w:p w14:paraId="46BFF29B" w14:textId="77777777" w:rsidR="006C554C" w:rsidRDefault="006C554C" w:rsidP="006A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8121" w14:textId="77777777" w:rsidR="006A4E90" w:rsidRDefault="006A4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1C28" w14:textId="77777777" w:rsidR="006A4E90" w:rsidRDefault="006A4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94A" w14:textId="77777777" w:rsidR="006A4E90" w:rsidRDefault="006A4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959D" w14:textId="77777777" w:rsidR="006C554C" w:rsidRDefault="006C554C" w:rsidP="006A4E90">
      <w:pPr>
        <w:spacing w:after="0" w:line="240" w:lineRule="auto"/>
      </w:pPr>
      <w:r>
        <w:separator/>
      </w:r>
    </w:p>
  </w:footnote>
  <w:footnote w:type="continuationSeparator" w:id="0">
    <w:p w14:paraId="45AB3BCC" w14:textId="77777777" w:rsidR="006C554C" w:rsidRDefault="006C554C" w:rsidP="006A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62BB" w14:textId="239783AC" w:rsidR="006A4E90" w:rsidRDefault="006C554C">
    <w:pPr>
      <w:pStyle w:val="Header"/>
    </w:pPr>
    <w:r>
      <w:rPr>
        <w:noProof/>
      </w:rPr>
      <w:pict w14:anchorId="5D626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7"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8FA0" w14:textId="5212A4C5" w:rsidR="006A4E90" w:rsidRDefault="006C554C">
    <w:pPr>
      <w:pStyle w:val="Header"/>
    </w:pPr>
    <w:r>
      <w:rPr>
        <w:noProof/>
      </w:rPr>
      <w:pict w14:anchorId="377D0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8"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CDE1" w14:textId="76A8B0E4" w:rsidR="006A4E90" w:rsidRDefault="006C554C">
    <w:pPr>
      <w:pStyle w:val="Header"/>
    </w:pPr>
    <w:r>
      <w:rPr>
        <w:noProof/>
      </w:rPr>
      <w:pict w14:anchorId="35A0D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6"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868"/>
    <w:multiLevelType w:val="multilevel"/>
    <w:tmpl w:val="142E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3FCD"/>
    <w:multiLevelType w:val="hybridMultilevel"/>
    <w:tmpl w:val="45C63384"/>
    <w:lvl w:ilvl="0" w:tplc="3C6E97F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BB01065"/>
    <w:multiLevelType w:val="multilevel"/>
    <w:tmpl w:val="4B1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00FCF"/>
    <w:multiLevelType w:val="multilevel"/>
    <w:tmpl w:val="6B6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71347"/>
    <w:multiLevelType w:val="multilevel"/>
    <w:tmpl w:val="780E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tTA2tbQ0MjSysDRQ0lEKTi0uzszPAykwrAUAtxkpQCwAAAA="/>
  </w:docVars>
  <w:rsids>
    <w:rsidRoot w:val="00D320DB"/>
    <w:rsid w:val="000C59C0"/>
    <w:rsid w:val="000E2590"/>
    <w:rsid w:val="000F60F1"/>
    <w:rsid w:val="001C5FC4"/>
    <w:rsid w:val="001E74C0"/>
    <w:rsid w:val="00271ED7"/>
    <w:rsid w:val="002C21A4"/>
    <w:rsid w:val="002C722E"/>
    <w:rsid w:val="003409C4"/>
    <w:rsid w:val="003436C8"/>
    <w:rsid w:val="003916D4"/>
    <w:rsid w:val="003B5447"/>
    <w:rsid w:val="003D3C3D"/>
    <w:rsid w:val="003F616C"/>
    <w:rsid w:val="00556B00"/>
    <w:rsid w:val="005F6C02"/>
    <w:rsid w:val="006A4E90"/>
    <w:rsid w:val="006C554C"/>
    <w:rsid w:val="00751E56"/>
    <w:rsid w:val="00777661"/>
    <w:rsid w:val="007B00CF"/>
    <w:rsid w:val="007E3DB8"/>
    <w:rsid w:val="00802596"/>
    <w:rsid w:val="008761F7"/>
    <w:rsid w:val="009252E3"/>
    <w:rsid w:val="00AB568E"/>
    <w:rsid w:val="00AC4616"/>
    <w:rsid w:val="00B15C72"/>
    <w:rsid w:val="00B25B80"/>
    <w:rsid w:val="00B41A3B"/>
    <w:rsid w:val="00BA55B8"/>
    <w:rsid w:val="00BE7665"/>
    <w:rsid w:val="00D320DB"/>
    <w:rsid w:val="00DD1C44"/>
    <w:rsid w:val="00E2391A"/>
    <w:rsid w:val="00E66BC5"/>
    <w:rsid w:val="00EE6F6E"/>
    <w:rsid w:val="00EF658B"/>
    <w:rsid w:val="00F57F18"/>
    <w:rsid w:val="00F91DA0"/>
    <w:rsid w:val="00FE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6C54D"/>
  <w15:chartTrackingRefBased/>
  <w15:docId w15:val="{906F12FF-BA13-42C0-86DD-3DB83DBE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9C4"/>
  </w:style>
  <w:style w:type="paragraph" w:styleId="Heading1">
    <w:name w:val="heading 1"/>
    <w:basedOn w:val="Normal"/>
    <w:next w:val="Normal"/>
    <w:link w:val="Heading1Char"/>
    <w:uiPriority w:val="9"/>
    <w:qFormat/>
    <w:rsid w:val="007E3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D3C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ED7"/>
    <w:pPr>
      <w:ind w:left="720"/>
      <w:contextualSpacing/>
    </w:pPr>
    <w:rPr>
      <w:rFonts w:eastAsia="MS Mincho"/>
    </w:rPr>
  </w:style>
  <w:style w:type="paragraph" w:customStyle="1" w:styleId="1">
    <w:name w:val="1"/>
    <w:basedOn w:val="Normal"/>
    <w:next w:val="Title"/>
    <w:qFormat/>
    <w:rsid w:val="00271ED7"/>
    <w:pPr>
      <w:spacing w:after="0" w:line="240" w:lineRule="auto"/>
      <w:jc w:val="center"/>
    </w:pPr>
    <w:rPr>
      <w:rFonts w:ascii="Times New Roman" w:eastAsia="Times New Roman" w:hAnsi="Times New Roman" w:cs="Times New Roman"/>
      <w:b/>
      <w:bCs/>
      <w:sz w:val="24"/>
      <w:szCs w:val="24"/>
      <w:lang w:val="x-none" w:eastAsia="ru-RU"/>
    </w:rPr>
  </w:style>
  <w:style w:type="paragraph" w:styleId="Title">
    <w:name w:val="Title"/>
    <w:basedOn w:val="Normal"/>
    <w:next w:val="Normal"/>
    <w:link w:val="TitleChar"/>
    <w:uiPriority w:val="10"/>
    <w:qFormat/>
    <w:rsid w:val="00271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D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B5447"/>
    <w:rPr>
      <w:color w:val="0563C1" w:themeColor="hyperlink"/>
      <w:u w:val="single"/>
    </w:rPr>
  </w:style>
  <w:style w:type="character" w:customStyle="1" w:styleId="UnresolvedMention1">
    <w:name w:val="Unresolved Mention1"/>
    <w:basedOn w:val="DefaultParagraphFont"/>
    <w:uiPriority w:val="99"/>
    <w:semiHidden/>
    <w:unhideWhenUsed/>
    <w:rsid w:val="003B5447"/>
    <w:rPr>
      <w:color w:val="605E5C"/>
      <w:shd w:val="clear" w:color="auto" w:fill="E1DFDD"/>
    </w:rPr>
  </w:style>
  <w:style w:type="paragraph" w:styleId="Header">
    <w:name w:val="header"/>
    <w:basedOn w:val="Normal"/>
    <w:link w:val="HeaderChar"/>
    <w:uiPriority w:val="99"/>
    <w:unhideWhenUsed/>
    <w:rsid w:val="006A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90"/>
  </w:style>
  <w:style w:type="paragraph" w:styleId="Footer">
    <w:name w:val="footer"/>
    <w:basedOn w:val="Normal"/>
    <w:link w:val="FooterChar"/>
    <w:uiPriority w:val="99"/>
    <w:unhideWhenUsed/>
    <w:rsid w:val="006A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90"/>
  </w:style>
  <w:style w:type="character" w:customStyle="1" w:styleId="Heading3Char">
    <w:name w:val="Heading 3 Char"/>
    <w:basedOn w:val="DefaultParagraphFont"/>
    <w:link w:val="Heading3"/>
    <w:uiPriority w:val="9"/>
    <w:rsid w:val="003D3C3D"/>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3D3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D3C3D"/>
    <w:rPr>
      <w:b/>
      <w:bCs/>
    </w:rPr>
  </w:style>
  <w:style w:type="character" w:customStyle="1" w:styleId="Heading1Char">
    <w:name w:val="Heading 1 Char"/>
    <w:basedOn w:val="DefaultParagraphFont"/>
    <w:link w:val="Heading1"/>
    <w:uiPriority w:val="9"/>
    <w:rsid w:val="007E3DB8"/>
    <w:rPr>
      <w:rFonts w:asciiTheme="majorHAnsi" w:eastAsiaTheme="majorEastAsia" w:hAnsiTheme="majorHAnsi" w:cstheme="majorBidi"/>
      <w:color w:val="2E74B5" w:themeColor="accent1" w:themeShade="BF"/>
      <w:sz w:val="32"/>
      <w:szCs w:val="32"/>
    </w:rPr>
  </w:style>
  <w:style w:type="character" w:customStyle="1" w:styleId="nlmarticle-title">
    <w:name w:val="nlm_article-title"/>
    <w:basedOn w:val="DefaultParagraphFont"/>
    <w:rsid w:val="007E3DB8"/>
  </w:style>
  <w:style w:type="character" w:customStyle="1" w:styleId="contribdegrees">
    <w:name w:val="contribdegrees"/>
    <w:basedOn w:val="DefaultParagraphFont"/>
    <w:rsid w:val="007E3DB8"/>
  </w:style>
  <w:style w:type="character" w:customStyle="1" w:styleId="orcid-icon">
    <w:name w:val="orcid-icon"/>
    <w:basedOn w:val="DefaultParagraphFont"/>
    <w:rsid w:val="007E3DB8"/>
  </w:style>
  <w:style w:type="character" w:styleId="Emphasis">
    <w:name w:val="Emphasis"/>
    <w:basedOn w:val="DefaultParagraphFont"/>
    <w:uiPriority w:val="20"/>
    <w:qFormat/>
    <w:rsid w:val="007B0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3981">
      <w:bodyDiv w:val="1"/>
      <w:marLeft w:val="0"/>
      <w:marRight w:val="0"/>
      <w:marTop w:val="0"/>
      <w:marBottom w:val="0"/>
      <w:divBdr>
        <w:top w:val="none" w:sz="0" w:space="0" w:color="auto"/>
        <w:left w:val="none" w:sz="0" w:space="0" w:color="auto"/>
        <w:bottom w:val="none" w:sz="0" w:space="0" w:color="auto"/>
        <w:right w:val="none" w:sz="0" w:space="0" w:color="auto"/>
      </w:divBdr>
    </w:div>
    <w:div w:id="717515970">
      <w:bodyDiv w:val="1"/>
      <w:marLeft w:val="0"/>
      <w:marRight w:val="0"/>
      <w:marTop w:val="0"/>
      <w:marBottom w:val="0"/>
      <w:divBdr>
        <w:top w:val="none" w:sz="0" w:space="0" w:color="auto"/>
        <w:left w:val="none" w:sz="0" w:space="0" w:color="auto"/>
        <w:bottom w:val="none" w:sz="0" w:space="0" w:color="auto"/>
        <w:right w:val="none" w:sz="0" w:space="0" w:color="auto"/>
      </w:divBdr>
    </w:div>
    <w:div w:id="1047099817">
      <w:bodyDiv w:val="1"/>
      <w:marLeft w:val="0"/>
      <w:marRight w:val="0"/>
      <w:marTop w:val="0"/>
      <w:marBottom w:val="0"/>
      <w:divBdr>
        <w:top w:val="none" w:sz="0" w:space="0" w:color="auto"/>
        <w:left w:val="none" w:sz="0" w:space="0" w:color="auto"/>
        <w:bottom w:val="none" w:sz="0" w:space="0" w:color="auto"/>
        <w:right w:val="none" w:sz="0" w:space="0" w:color="auto"/>
      </w:divBdr>
    </w:div>
    <w:div w:id="1504055584">
      <w:bodyDiv w:val="1"/>
      <w:marLeft w:val="0"/>
      <w:marRight w:val="0"/>
      <w:marTop w:val="0"/>
      <w:marBottom w:val="0"/>
      <w:divBdr>
        <w:top w:val="none" w:sz="0" w:space="0" w:color="auto"/>
        <w:left w:val="none" w:sz="0" w:space="0" w:color="auto"/>
        <w:bottom w:val="none" w:sz="0" w:space="0" w:color="auto"/>
        <w:right w:val="none" w:sz="0" w:space="0" w:color="auto"/>
      </w:divBdr>
      <w:divsChild>
        <w:div w:id="1210605342">
          <w:marLeft w:val="0"/>
          <w:marRight w:val="0"/>
          <w:marTop w:val="0"/>
          <w:marBottom w:val="0"/>
          <w:divBdr>
            <w:top w:val="none" w:sz="0" w:space="0" w:color="auto"/>
            <w:left w:val="none" w:sz="0" w:space="0" w:color="auto"/>
            <w:bottom w:val="none" w:sz="0" w:space="0" w:color="auto"/>
            <w:right w:val="none" w:sz="0" w:space="0" w:color="auto"/>
          </w:divBdr>
        </w:div>
      </w:divsChild>
    </w:div>
    <w:div w:id="1673794344">
      <w:bodyDiv w:val="1"/>
      <w:marLeft w:val="0"/>
      <w:marRight w:val="0"/>
      <w:marTop w:val="0"/>
      <w:marBottom w:val="0"/>
      <w:divBdr>
        <w:top w:val="none" w:sz="0" w:space="0" w:color="auto"/>
        <w:left w:val="none" w:sz="0" w:space="0" w:color="auto"/>
        <w:bottom w:val="none" w:sz="0" w:space="0" w:color="auto"/>
        <w:right w:val="none" w:sz="0" w:space="0" w:color="auto"/>
      </w:divBdr>
      <w:divsChild>
        <w:div w:id="2074348615">
          <w:marLeft w:val="0"/>
          <w:marRight w:val="0"/>
          <w:marTop w:val="0"/>
          <w:marBottom w:val="0"/>
          <w:divBdr>
            <w:top w:val="none" w:sz="0" w:space="0" w:color="auto"/>
            <w:left w:val="none" w:sz="0" w:space="0" w:color="auto"/>
            <w:bottom w:val="none" w:sz="0" w:space="0" w:color="auto"/>
            <w:right w:val="none" w:sz="0" w:space="0" w:color="auto"/>
          </w:divBdr>
          <w:divsChild>
            <w:div w:id="1430657212">
              <w:marLeft w:val="0"/>
              <w:marRight w:val="0"/>
              <w:marTop w:val="0"/>
              <w:marBottom w:val="0"/>
              <w:divBdr>
                <w:top w:val="none" w:sz="0" w:space="0" w:color="auto"/>
                <w:left w:val="none" w:sz="0" w:space="0" w:color="auto"/>
                <w:bottom w:val="none" w:sz="0" w:space="0" w:color="auto"/>
                <w:right w:val="none" w:sz="0" w:space="0" w:color="auto"/>
              </w:divBdr>
              <w:divsChild>
                <w:div w:id="2029136628">
                  <w:marLeft w:val="0"/>
                  <w:marRight w:val="0"/>
                  <w:marTop w:val="0"/>
                  <w:marBottom w:val="0"/>
                  <w:divBdr>
                    <w:top w:val="none" w:sz="0" w:space="0" w:color="auto"/>
                    <w:left w:val="none" w:sz="0" w:space="0" w:color="auto"/>
                    <w:bottom w:val="none" w:sz="0" w:space="0" w:color="auto"/>
                    <w:right w:val="none" w:sz="0" w:space="0" w:color="auto"/>
                  </w:divBdr>
                  <w:divsChild>
                    <w:div w:id="1675299370">
                      <w:marLeft w:val="0"/>
                      <w:marRight w:val="0"/>
                      <w:marTop w:val="0"/>
                      <w:marBottom w:val="0"/>
                      <w:divBdr>
                        <w:top w:val="none" w:sz="0" w:space="0" w:color="auto"/>
                        <w:left w:val="none" w:sz="0" w:space="0" w:color="auto"/>
                        <w:bottom w:val="none" w:sz="0" w:space="0" w:color="auto"/>
                        <w:right w:val="none" w:sz="0" w:space="0" w:color="auto"/>
                      </w:divBdr>
                      <w:divsChild>
                        <w:div w:id="1587615801">
                          <w:marLeft w:val="0"/>
                          <w:marRight w:val="0"/>
                          <w:marTop w:val="0"/>
                          <w:marBottom w:val="0"/>
                          <w:divBdr>
                            <w:top w:val="none" w:sz="0" w:space="0" w:color="auto"/>
                            <w:left w:val="none" w:sz="0" w:space="0" w:color="auto"/>
                            <w:bottom w:val="none" w:sz="0" w:space="0" w:color="auto"/>
                            <w:right w:val="none" w:sz="0" w:space="0" w:color="auto"/>
                          </w:divBdr>
                          <w:divsChild>
                            <w:div w:id="887179746">
                              <w:marLeft w:val="0"/>
                              <w:marRight w:val="0"/>
                              <w:marTop w:val="0"/>
                              <w:marBottom w:val="0"/>
                              <w:divBdr>
                                <w:top w:val="none" w:sz="0" w:space="0" w:color="auto"/>
                                <w:left w:val="none" w:sz="0" w:space="0" w:color="auto"/>
                                <w:bottom w:val="none" w:sz="0" w:space="0" w:color="auto"/>
                                <w:right w:val="none" w:sz="0" w:space="0" w:color="auto"/>
                              </w:divBdr>
                              <w:divsChild>
                                <w:div w:id="1483933681">
                                  <w:marLeft w:val="0"/>
                                  <w:marRight w:val="0"/>
                                  <w:marTop w:val="0"/>
                                  <w:marBottom w:val="0"/>
                                  <w:divBdr>
                                    <w:top w:val="none" w:sz="0" w:space="0" w:color="auto"/>
                                    <w:left w:val="none" w:sz="0" w:space="0" w:color="auto"/>
                                    <w:bottom w:val="none" w:sz="0" w:space="0" w:color="auto"/>
                                    <w:right w:val="none" w:sz="0" w:space="0" w:color="auto"/>
                                  </w:divBdr>
                                  <w:divsChild>
                                    <w:div w:id="1358580930">
                                      <w:marLeft w:val="0"/>
                                      <w:marRight w:val="0"/>
                                      <w:marTop w:val="0"/>
                                      <w:marBottom w:val="0"/>
                                      <w:divBdr>
                                        <w:top w:val="none" w:sz="0" w:space="0" w:color="auto"/>
                                        <w:left w:val="none" w:sz="0" w:space="0" w:color="auto"/>
                                        <w:bottom w:val="none" w:sz="0" w:space="0" w:color="auto"/>
                                        <w:right w:val="none" w:sz="0" w:space="0" w:color="auto"/>
                                      </w:divBdr>
                                      <w:divsChild>
                                        <w:div w:id="1526943775">
                                          <w:marLeft w:val="0"/>
                                          <w:marRight w:val="0"/>
                                          <w:marTop w:val="0"/>
                                          <w:marBottom w:val="0"/>
                                          <w:divBdr>
                                            <w:top w:val="none" w:sz="0" w:space="0" w:color="auto"/>
                                            <w:left w:val="none" w:sz="0" w:space="0" w:color="auto"/>
                                            <w:bottom w:val="none" w:sz="0" w:space="0" w:color="auto"/>
                                            <w:right w:val="none" w:sz="0" w:space="0" w:color="auto"/>
                                          </w:divBdr>
                                          <w:divsChild>
                                            <w:div w:id="837618888">
                                              <w:marLeft w:val="0"/>
                                              <w:marRight w:val="0"/>
                                              <w:marTop w:val="0"/>
                                              <w:marBottom w:val="0"/>
                                              <w:divBdr>
                                                <w:top w:val="none" w:sz="0" w:space="0" w:color="auto"/>
                                                <w:left w:val="none" w:sz="0" w:space="0" w:color="auto"/>
                                                <w:bottom w:val="none" w:sz="0" w:space="0" w:color="auto"/>
                                                <w:right w:val="none" w:sz="0" w:space="0" w:color="auto"/>
                                              </w:divBdr>
                                              <w:divsChild>
                                                <w:div w:id="740828823">
                                                  <w:marLeft w:val="0"/>
                                                  <w:marRight w:val="0"/>
                                                  <w:marTop w:val="0"/>
                                                  <w:marBottom w:val="0"/>
                                                  <w:divBdr>
                                                    <w:top w:val="none" w:sz="0" w:space="0" w:color="auto"/>
                                                    <w:left w:val="none" w:sz="0" w:space="0" w:color="auto"/>
                                                    <w:bottom w:val="none" w:sz="0" w:space="0" w:color="auto"/>
                                                    <w:right w:val="none" w:sz="0" w:space="0" w:color="auto"/>
                                                  </w:divBdr>
                                                </w:div>
                                                <w:div w:id="1877111918">
                                                  <w:marLeft w:val="0"/>
                                                  <w:marRight w:val="0"/>
                                                  <w:marTop w:val="0"/>
                                                  <w:marBottom w:val="0"/>
                                                  <w:divBdr>
                                                    <w:top w:val="none" w:sz="0" w:space="0" w:color="auto"/>
                                                    <w:left w:val="none" w:sz="0" w:space="0" w:color="auto"/>
                                                    <w:bottom w:val="none" w:sz="0" w:space="0" w:color="auto"/>
                                                    <w:right w:val="none" w:sz="0" w:space="0" w:color="auto"/>
                                                  </w:divBdr>
                                                </w:div>
                                                <w:div w:id="11550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2196">
                              <w:marLeft w:val="0"/>
                              <w:marRight w:val="0"/>
                              <w:marTop w:val="0"/>
                              <w:marBottom w:val="0"/>
                              <w:divBdr>
                                <w:top w:val="none" w:sz="0" w:space="0" w:color="auto"/>
                                <w:left w:val="none" w:sz="0" w:space="0" w:color="auto"/>
                                <w:bottom w:val="none" w:sz="0" w:space="0" w:color="auto"/>
                                <w:right w:val="none" w:sz="0" w:space="0" w:color="auto"/>
                              </w:divBdr>
                              <w:divsChild>
                                <w:div w:id="1899826188">
                                  <w:marLeft w:val="0"/>
                                  <w:marRight w:val="0"/>
                                  <w:marTop w:val="0"/>
                                  <w:marBottom w:val="0"/>
                                  <w:divBdr>
                                    <w:top w:val="none" w:sz="0" w:space="0" w:color="auto"/>
                                    <w:left w:val="none" w:sz="0" w:space="0" w:color="auto"/>
                                    <w:bottom w:val="none" w:sz="0" w:space="0" w:color="auto"/>
                                    <w:right w:val="none" w:sz="0" w:space="0" w:color="auto"/>
                                  </w:divBdr>
                                  <w:divsChild>
                                    <w:div w:id="18945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86553">
          <w:marLeft w:val="0"/>
          <w:marRight w:val="0"/>
          <w:marTop w:val="0"/>
          <w:marBottom w:val="0"/>
          <w:divBdr>
            <w:top w:val="none" w:sz="0" w:space="0" w:color="auto"/>
            <w:left w:val="none" w:sz="0" w:space="0" w:color="auto"/>
            <w:bottom w:val="none" w:sz="0" w:space="0" w:color="auto"/>
            <w:right w:val="none" w:sz="0" w:space="0" w:color="auto"/>
          </w:divBdr>
          <w:divsChild>
            <w:div w:id="12349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nk.springer.com/article/10.1007/s11270-023-06839-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ink.springer.com/article/10.1007/s11270-023-06839-y" TargetMode="External"/><Relationship Id="rId17" Type="http://schemas.openxmlformats.org/officeDocument/2006/relationships/hyperlink" Target="https://doi.org/10.1080/00222348.2023.226627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ndfonline.com/author/Zennaki%2C+Mohammed+el+Amin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1270-023-06839-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270-023-06839-y" TargetMode="External"/><Relationship Id="rId23" Type="http://schemas.openxmlformats.org/officeDocument/2006/relationships/footer" Target="footer3.xml"/><Relationship Id="rId10" Type="http://schemas.openxmlformats.org/officeDocument/2006/relationships/hyperlink" Target="https://link.springer.com/article/10.1007/s11270-023-06839-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ink.springer.com/article/10.1007/s11270-023-06839-y" TargetMode="External"/><Relationship Id="rId14" Type="http://schemas.openxmlformats.org/officeDocument/2006/relationships/hyperlink" Target="https://link.springer.com/article/10.1007/s11270-023-06839-y"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6050</Words>
  <Characters>34486</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Conclusion</vt:lpstr>
    </vt:vector>
  </TitlesOfParts>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1186</cp:lastModifiedBy>
  <cp:revision>6</cp:revision>
  <dcterms:created xsi:type="dcterms:W3CDTF">2024-09-25T07:28:00Z</dcterms:created>
  <dcterms:modified xsi:type="dcterms:W3CDTF">2025-09-26T12:56:00Z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ba7c4905-7833-4fae-8108-27000f2fce01</vt:lpwstr>
  </property>
</Properties>
</file>