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A44C2" w14:textId="77777777" w:rsidR="00771AAC" w:rsidRDefault="00000000">
      <w:pPr>
        <w:pStyle w:val="Title"/>
        <w:jc w:val="both"/>
        <w:rPr>
          <w:rFonts w:ascii="Arial" w:eastAsia="Arial" w:hAnsi="Arial" w:cs="Arial"/>
          <w:i/>
          <w:u w:val="single"/>
        </w:rPr>
      </w:pPr>
      <w:r>
        <w:rPr>
          <w:rFonts w:ascii="Arial" w:eastAsia="Arial" w:hAnsi="Arial" w:cs="Arial"/>
          <w:i/>
          <w:u w:val="single"/>
        </w:rPr>
        <w:t>Short Research Article</w:t>
      </w:r>
    </w:p>
    <w:p w14:paraId="4ADC9201" w14:textId="77777777" w:rsidR="00771AAC" w:rsidRDefault="00771AAC">
      <w:pPr>
        <w:pStyle w:val="Title"/>
        <w:spacing w:after="0"/>
        <w:jc w:val="both"/>
        <w:rPr>
          <w:rFonts w:ascii="Arial" w:eastAsia="Arial" w:hAnsi="Arial" w:cs="Arial"/>
        </w:rPr>
      </w:pPr>
    </w:p>
    <w:p w14:paraId="0ADA0DCD" w14:textId="77777777" w:rsidR="00771AAC"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The Role of Social Media Algorithms in Promoting Over-Consumerism: Ethical Concerns and Solutions</w:t>
      </w:r>
    </w:p>
    <w:p w14:paraId="6A50385A" w14:textId="77777777" w:rsidR="00771AAC" w:rsidRDefault="00771AAC">
      <w:pPr>
        <w:pBdr>
          <w:top w:val="nil"/>
          <w:left w:val="nil"/>
          <w:bottom w:val="nil"/>
          <w:right w:val="nil"/>
          <w:between w:val="nil"/>
        </w:pBdr>
        <w:jc w:val="both"/>
        <w:rPr>
          <w:rFonts w:ascii="Arial" w:eastAsia="Arial" w:hAnsi="Arial" w:cs="Arial"/>
          <w:b/>
          <w:color w:val="000000"/>
          <w:sz w:val="36"/>
          <w:szCs w:val="36"/>
        </w:rPr>
      </w:pPr>
    </w:p>
    <w:p w14:paraId="228ECE75" w14:textId="77777777" w:rsidR="00771AAC" w:rsidRDefault="00771AAC">
      <w:pPr>
        <w:pBdr>
          <w:top w:val="nil"/>
          <w:left w:val="nil"/>
          <w:bottom w:val="nil"/>
          <w:right w:val="nil"/>
          <w:between w:val="nil"/>
        </w:pBdr>
        <w:tabs>
          <w:tab w:val="center" w:pos="4320"/>
          <w:tab w:val="right" w:pos="8640"/>
        </w:tabs>
      </w:pPr>
    </w:p>
    <w:p w14:paraId="5B931859" w14:textId="77777777" w:rsidR="00771AAC" w:rsidRDefault="00771AAC">
      <w:pPr>
        <w:jc w:val="right"/>
        <w:rPr>
          <w:rFonts w:ascii="Roboto" w:eastAsia="Roboto" w:hAnsi="Roboto" w:cs="Roboto"/>
          <w:color w:val="5E5E5E"/>
          <w:sz w:val="21"/>
          <w:szCs w:val="21"/>
          <w:highlight w:val="white"/>
        </w:rPr>
      </w:pPr>
    </w:p>
    <w:p w14:paraId="3519F0DD" w14:textId="77777777" w:rsidR="00771AAC" w:rsidRDefault="00771AAC">
      <w:pPr>
        <w:jc w:val="right"/>
        <w:rPr>
          <w:rFonts w:ascii="Arial" w:eastAsia="Arial" w:hAnsi="Arial" w:cs="Arial"/>
          <w:i/>
          <w:sz w:val="24"/>
          <w:szCs w:val="24"/>
          <w:vertAlign w:val="superscript"/>
        </w:rPr>
      </w:pPr>
    </w:p>
    <w:p w14:paraId="3F3A22A8" w14:textId="77777777" w:rsidR="00771AAC" w:rsidRDefault="00000000">
      <w:pPr>
        <w:jc w:val="right"/>
        <w:rPr>
          <w:rFonts w:ascii="Arial" w:eastAsia="Arial" w:hAnsi="Arial" w:cs="Arial"/>
          <w:color w:val="000000"/>
          <w:sz w:val="16"/>
          <w:szCs w:val="16"/>
        </w:rPr>
        <w:sectPr w:rsidR="00771AAC">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14:anchorId="27E86CA8" wp14:editId="1A9D414D">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22570" cy="3810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22570" cy="38100"/>
                        </a:xfrm>
                        <a:prstGeom prst="rect"/>
                        <a:ln/>
                      </pic:spPr>
                    </pic:pic>
                  </a:graphicData>
                </a:graphic>
              </wp:inline>
            </w:drawing>
          </mc:Fallback>
        </mc:AlternateContent>
      </w:r>
    </w:p>
    <w:p w14:paraId="34504EBD" w14:textId="77777777" w:rsidR="00771AA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07E97BFC" w14:textId="77777777" w:rsidR="00771AAC" w:rsidRDefault="00771AAC">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771AAC" w14:paraId="196B4DEA" w14:textId="77777777">
        <w:tc>
          <w:tcPr>
            <w:tcW w:w="8424" w:type="dxa"/>
            <w:shd w:val="clear" w:color="auto" w:fill="F2F2F2"/>
          </w:tcPr>
          <w:p w14:paraId="2346256D"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Aims: </w:t>
            </w:r>
            <w:r>
              <w:rPr>
                <w:rFonts w:ascii="Arial" w:eastAsia="Arial" w:hAnsi="Arial" w:cs="Arial"/>
              </w:rPr>
              <w:t>This study sets out to unravel the intricate mechanisms by which social media algorithms drive over-consumerism, with a specific emphasis on their role in promoting impulse buying and nurturing materialistic values. A key aspect of this exploration involves assessing the ethical implications of these algorithms. Furthermore, the study aims to delve into the societal impacts of these issues. Ultimately, the research will propose comprehensive solutions to mitigate these adverse effects and promote mindful consumption practices.</w:t>
            </w:r>
          </w:p>
          <w:p w14:paraId="551686E3" w14:textId="77777777" w:rsidR="00771AAC" w:rsidRDefault="00771AAC">
            <w:pPr>
              <w:pBdr>
                <w:top w:val="nil"/>
                <w:left w:val="nil"/>
                <w:bottom w:val="nil"/>
                <w:right w:val="nil"/>
                <w:between w:val="nil"/>
              </w:pBdr>
              <w:jc w:val="both"/>
              <w:rPr>
                <w:rFonts w:ascii="Arial" w:eastAsia="Arial" w:hAnsi="Arial" w:cs="Arial"/>
              </w:rPr>
            </w:pPr>
          </w:p>
          <w:p w14:paraId="5C418675"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 xml:space="preserve">This research adopts a comprehensive mixed-methods approach to investigate the influence of social media algorithms on consumer behavior, particularly in relation to impulse buying and materialism. </w:t>
            </w:r>
          </w:p>
          <w:p w14:paraId="58D02818" w14:textId="77777777" w:rsidR="00771AAC" w:rsidRDefault="00771AAC">
            <w:pPr>
              <w:pBdr>
                <w:top w:val="nil"/>
                <w:left w:val="nil"/>
                <w:bottom w:val="nil"/>
                <w:right w:val="nil"/>
                <w:between w:val="nil"/>
              </w:pBdr>
              <w:jc w:val="both"/>
              <w:rPr>
                <w:rFonts w:ascii="Arial" w:eastAsia="Arial" w:hAnsi="Arial" w:cs="Arial"/>
              </w:rPr>
            </w:pPr>
          </w:p>
          <w:p w14:paraId="449F08A5"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The study was conducted in the digital landscape of major social media platforms over a period of eighteen months, from January 2022 to June 2023, to provide a comprehensive analysis of the algorithmic influences on consumer behavior. This extended timeframe allowed for the collection of comprehensive data across various temporal consumer patterns and campaigns, accounting for seasonal variations and major shopping events such as Black Friday and Cyber Monday. The research studied a diverse user base, focusing on key consumer markets in North America, Europe, and Asia, which enabled the capture of varied user engagement and advertisement exposure.</w:t>
            </w:r>
          </w:p>
          <w:p w14:paraId="241B794F" w14:textId="77777777" w:rsidR="00771AAC" w:rsidRDefault="00771AAC">
            <w:pPr>
              <w:pBdr>
                <w:top w:val="nil"/>
                <w:left w:val="nil"/>
                <w:bottom w:val="nil"/>
                <w:right w:val="nil"/>
                <w:between w:val="nil"/>
              </w:pBdr>
              <w:jc w:val="both"/>
              <w:rPr>
                <w:rFonts w:ascii="Arial" w:eastAsia="Arial" w:hAnsi="Arial" w:cs="Arial"/>
              </w:rPr>
            </w:pPr>
          </w:p>
          <w:p w14:paraId="4D099D98" w14:textId="77777777" w:rsidR="00771AAC" w:rsidRDefault="00771AAC">
            <w:pPr>
              <w:pBdr>
                <w:top w:val="nil"/>
                <w:left w:val="nil"/>
                <w:bottom w:val="nil"/>
                <w:right w:val="nil"/>
                <w:between w:val="nil"/>
              </w:pBdr>
              <w:jc w:val="both"/>
              <w:rPr>
                <w:rFonts w:ascii="Arial" w:eastAsia="Arial" w:hAnsi="Arial" w:cs="Arial"/>
              </w:rPr>
            </w:pPr>
          </w:p>
          <w:p w14:paraId="04EFBE84"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To assess the impact of social media algorithms on consumer behavior, this research combined both qualitative and quantitative methods. The qualitative aspect involved analyzing user interactions on social media platforms to understand how algorithms curate content, fostering engagement and influencing purchasing decisions. The quantitative component entailed administering surveys to a diverse demographic, collecting data on online shopping behavior, and ad interaction to identify patterns and tendencies. Additionally, in-depth interviews with experts in digital marketing and algorithmic design provided critical insights into the strategies behind personalized advertising.</w:t>
            </w:r>
          </w:p>
          <w:p w14:paraId="7C6C8FD0" w14:textId="77777777" w:rsidR="00771AAC" w:rsidRDefault="00771AAC">
            <w:pPr>
              <w:pBdr>
                <w:top w:val="nil"/>
                <w:left w:val="nil"/>
                <w:bottom w:val="nil"/>
                <w:right w:val="nil"/>
                <w:between w:val="nil"/>
              </w:pBdr>
              <w:jc w:val="both"/>
              <w:rPr>
                <w:rFonts w:ascii="Arial" w:eastAsia="Arial" w:hAnsi="Arial" w:cs="Arial"/>
              </w:rPr>
            </w:pPr>
          </w:p>
          <w:p w14:paraId="6BD611CD" w14:textId="77777777" w:rsidR="00771AAC" w:rsidRDefault="00771AAC">
            <w:pPr>
              <w:pBdr>
                <w:top w:val="nil"/>
                <w:left w:val="nil"/>
                <w:bottom w:val="nil"/>
                <w:right w:val="nil"/>
                <w:between w:val="nil"/>
              </w:pBdr>
              <w:jc w:val="both"/>
              <w:rPr>
                <w:rFonts w:ascii="Arial" w:eastAsia="Arial" w:hAnsi="Arial" w:cs="Arial"/>
              </w:rPr>
            </w:pPr>
          </w:p>
          <w:p w14:paraId="0E75CD67" w14:textId="77777777" w:rsidR="00771AAC" w:rsidRDefault="00771AAC">
            <w:pPr>
              <w:pBdr>
                <w:top w:val="nil"/>
                <w:left w:val="nil"/>
                <w:bottom w:val="nil"/>
                <w:right w:val="nil"/>
                <w:between w:val="nil"/>
              </w:pBdr>
              <w:jc w:val="both"/>
              <w:rPr>
                <w:rFonts w:ascii="Arial" w:eastAsia="Arial" w:hAnsi="Arial" w:cs="Arial"/>
              </w:rPr>
            </w:pPr>
          </w:p>
          <w:p w14:paraId="5855997F" w14:textId="77777777" w:rsidR="00771AAC" w:rsidRDefault="00771AAC">
            <w:pPr>
              <w:pBdr>
                <w:top w:val="nil"/>
                <w:left w:val="nil"/>
                <w:bottom w:val="nil"/>
                <w:right w:val="nil"/>
                <w:between w:val="nil"/>
              </w:pBdr>
              <w:jc w:val="both"/>
              <w:rPr>
                <w:rFonts w:ascii="Arial" w:eastAsia="Arial" w:hAnsi="Arial" w:cs="Arial"/>
              </w:rPr>
            </w:pPr>
          </w:p>
          <w:p w14:paraId="66EE7600" w14:textId="77777777" w:rsidR="00771AA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6531C82C"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lastRenderedPageBreak/>
              <w:t>Results:</w:t>
            </w:r>
            <w:r>
              <w:rPr>
                <w:rFonts w:ascii="Arial" w:eastAsia="Arial" w:hAnsi="Arial" w:cs="Arial"/>
                <w:color w:val="000000"/>
              </w:rPr>
              <w:t xml:space="preserve"> </w:t>
            </w:r>
            <w:r>
              <w:rPr>
                <w:rFonts w:ascii="Arial" w:eastAsia="Arial" w:hAnsi="Arial" w:cs="Arial"/>
              </w:rPr>
              <w:t xml:space="preserve">The study's findings enforce the strong relationship between social media algorithms and the escalation of over-consumerism, primarily through promoting impulsive buying and fostering materialistic values. These findings are of significant importance. By prioritizing engagement, these algorithms create a feedback loop </w:t>
            </w:r>
            <w:proofErr w:type="gramStart"/>
            <w:r>
              <w:rPr>
                <w:rFonts w:ascii="Arial" w:eastAsia="Arial" w:hAnsi="Arial" w:cs="Arial"/>
              </w:rPr>
              <w:t>where</w:t>
            </w:r>
            <w:proofErr w:type="gramEnd"/>
            <w:r>
              <w:rPr>
                <w:rFonts w:ascii="Arial" w:eastAsia="Arial" w:hAnsi="Arial" w:cs="Arial"/>
              </w:rPr>
              <w:t xml:space="preserve"> constantly refined content increases user interaction and, consequently, purchasing behavior. Of particular concern is the manipulative nature of personalization, which not only targets users' immediate desires but also influences broader consumer habits and societal norms.</w:t>
            </w:r>
          </w:p>
          <w:p w14:paraId="41D92896" w14:textId="77777777" w:rsidR="00771AAC" w:rsidRDefault="00771AAC">
            <w:pPr>
              <w:pBdr>
                <w:top w:val="nil"/>
                <w:left w:val="nil"/>
                <w:bottom w:val="nil"/>
                <w:right w:val="nil"/>
                <w:between w:val="nil"/>
              </w:pBdr>
              <w:jc w:val="both"/>
              <w:rPr>
                <w:rFonts w:ascii="Arial" w:eastAsia="Arial" w:hAnsi="Arial" w:cs="Arial"/>
              </w:rPr>
            </w:pPr>
          </w:p>
          <w:p w14:paraId="42F6CBD9" w14:textId="77777777" w:rsidR="00771AAC" w:rsidRDefault="00771AAC">
            <w:pPr>
              <w:pBdr>
                <w:top w:val="nil"/>
                <w:left w:val="nil"/>
                <w:bottom w:val="nil"/>
                <w:right w:val="nil"/>
                <w:between w:val="nil"/>
              </w:pBdr>
              <w:jc w:val="both"/>
              <w:rPr>
                <w:rFonts w:ascii="Arial" w:eastAsia="Arial" w:hAnsi="Arial" w:cs="Arial"/>
              </w:rPr>
            </w:pPr>
          </w:p>
          <w:p w14:paraId="10F71701" w14:textId="77777777" w:rsidR="00771AAC" w:rsidRDefault="00771AAC">
            <w:pPr>
              <w:pBdr>
                <w:top w:val="nil"/>
                <w:left w:val="nil"/>
                <w:bottom w:val="nil"/>
                <w:right w:val="nil"/>
                <w:between w:val="nil"/>
              </w:pBdr>
              <w:jc w:val="both"/>
              <w:rPr>
                <w:rFonts w:ascii="Arial" w:eastAsia="Arial" w:hAnsi="Arial" w:cs="Arial"/>
              </w:rPr>
            </w:pPr>
          </w:p>
          <w:p w14:paraId="723A4CAA"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In light of the study’s findings, both consumers and policymakers must reevaluate their interactions with social media platforms. For consumers, this necessitates an increase in digital literacy, fostering a discerning approach towards the algorithms that shape their online experience and purchasing behaviors. Policymakers are urged to develop regulations that mandate transparency in algorithms to foster a more ethical digital marketplace. As these measures are implemented, the potential for a balanced approach that considers both user engagement and ethical considerations grows, paving the way for a more conscientious online community.</w:t>
            </w:r>
          </w:p>
          <w:p w14:paraId="419C04A7" w14:textId="77777777" w:rsidR="00771AAC" w:rsidRDefault="00771AAC">
            <w:pPr>
              <w:pBdr>
                <w:top w:val="nil"/>
                <w:left w:val="nil"/>
                <w:bottom w:val="nil"/>
                <w:right w:val="nil"/>
                <w:between w:val="nil"/>
              </w:pBdr>
              <w:jc w:val="both"/>
              <w:rPr>
                <w:rFonts w:ascii="Arial" w:eastAsia="Arial" w:hAnsi="Arial" w:cs="Arial"/>
              </w:rPr>
            </w:pPr>
          </w:p>
        </w:tc>
      </w:tr>
    </w:tbl>
    <w:p w14:paraId="4498DC47" w14:textId="77777777" w:rsidR="00771AAC" w:rsidRDefault="00771AAC">
      <w:pPr>
        <w:pBdr>
          <w:top w:val="nil"/>
          <w:left w:val="nil"/>
          <w:bottom w:val="nil"/>
          <w:right w:val="nil"/>
          <w:between w:val="nil"/>
        </w:pBdr>
        <w:jc w:val="both"/>
        <w:rPr>
          <w:rFonts w:ascii="Arial" w:eastAsia="Arial" w:hAnsi="Arial" w:cs="Arial"/>
          <w:i/>
          <w:color w:val="000000"/>
        </w:rPr>
      </w:pPr>
    </w:p>
    <w:p w14:paraId="37477A91" w14:textId="77777777" w:rsidR="00771AAC"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 xml:space="preserve">Fashion, Social Media Algorithms, Economy, Consumers, Purchasing, Advertising, Data Processing, User Engagement, Digital Literacy, Ethical concerns </w:t>
      </w:r>
    </w:p>
    <w:p w14:paraId="4C35E04C" w14:textId="77777777" w:rsidR="00771AAC" w:rsidRDefault="00771AAC">
      <w:pPr>
        <w:pBdr>
          <w:top w:val="nil"/>
          <w:left w:val="nil"/>
          <w:bottom w:val="nil"/>
          <w:right w:val="nil"/>
          <w:between w:val="nil"/>
        </w:pBdr>
        <w:jc w:val="both"/>
        <w:rPr>
          <w:rFonts w:ascii="Arial" w:eastAsia="Arial" w:hAnsi="Arial" w:cs="Arial"/>
          <w:i/>
          <w:color w:val="000000"/>
        </w:rPr>
      </w:pPr>
    </w:p>
    <w:p w14:paraId="49EA925C" w14:textId="77777777" w:rsidR="00771AAC" w:rsidRDefault="00771AAC">
      <w:pPr>
        <w:pBdr>
          <w:top w:val="nil"/>
          <w:left w:val="nil"/>
          <w:bottom w:val="nil"/>
          <w:right w:val="nil"/>
          <w:between w:val="nil"/>
        </w:pBdr>
        <w:jc w:val="both"/>
        <w:rPr>
          <w:rFonts w:ascii="Arial" w:eastAsia="Arial" w:hAnsi="Arial" w:cs="Arial"/>
          <w:i/>
          <w:color w:val="000000"/>
        </w:rPr>
      </w:pPr>
    </w:p>
    <w:p w14:paraId="46FDA997" w14:textId="77777777" w:rsidR="00771AAC" w:rsidRDefault="00771AAC">
      <w:pPr>
        <w:pBdr>
          <w:top w:val="nil"/>
          <w:left w:val="nil"/>
          <w:bottom w:val="nil"/>
          <w:right w:val="nil"/>
          <w:between w:val="nil"/>
        </w:pBdr>
        <w:jc w:val="both"/>
        <w:rPr>
          <w:rFonts w:ascii="Arial" w:eastAsia="Arial" w:hAnsi="Arial" w:cs="Arial"/>
          <w:i/>
          <w:color w:val="000000"/>
        </w:rPr>
      </w:pPr>
    </w:p>
    <w:p w14:paraId="0C5FDB5A" w14:textId="77777777" w:rsidR="00771AAC" w:rsidRDefault="00771AAC">
      <w:pPr>
        <w:pBdr>
          <w:top w:val="nil"/>
          <w:left w:val="nil"/>
          <w:bottom w:val="nil"/>
          <w:right w:val="nil"/>
          <w:between w:val="nil"/>
        </w:pBdr>
        <w:jc w:val="both"/>
        <w:rPr>
          <w:rFonts w:ascii="Arial" w:eastAsia="Arial" w:hAnsi="Arial" w:cs="Arial"/>
          <w:i/>
        </w:rPr>
      </w:pPr>
    </w:p>
    <w:p w14:paraId="546EC8D6" w14:textId="77777777" w:rsidR="00771AAC" w:rsidRDefault="00771AAC">
      <w:pPr>
        <w:pBdr>
          <w:top w:val="nil"/>
          <w:left w:val="nil"/>
          <w:bottom w:val="nil"/>
          <w:right w:val="nil"/>
          <w:between w:val="nil"/>
        </w:pBdr>
        <w:jc w:val="both"/>
        <w:rPr>
          <w:rFonts w:ascii="Arial" w:eastAsia="Arial" w:hAnsi="Arial" w:cs="Arial"/>
          <w:i/>
          <w:color w:val="000000"/>
        </w:rPr>
      </w:pPr>
    </w:p>
    <w:p w14:paraId="391B9BF9" w14:textId="77777777" w:rsidR="00771AAC" w:rsidRDefault="00771AAC">
      <w:pPr>
        <w:pBdr>
          <w:top w:val="nil"/>
          <w:left w:val="nil"/>
          <w:bottom w:val="nil"/>
          <w:right w:val="nil"/>
          <w:between w:val="nil"/>
        </w:pBdr>
        <w:jc w:val="both"/>
        <w:rPr>
          <w:rFonts w:ascii="Arial" w:eastAsia="Arial" w:hAnsi="Arial" w:cs="Arial"/>
          <w:i/>
          <w:color w:val="000000"/>
          <w:sz w:val="18"/>
          <w:szCs w:val="18"/>
        </w:rPr>
      </w:pPr>
    </w:p>
    <w:p w14:paraId="733B7E50" w14:textId="77777777" w:rsidR="00771AAC" w:rsidRDefault="00771AAC">
      <w:pPr>
        <w:pBdr>
          <w:top w:val="nil"/>
          <w:left w:val="nil"/>
          <w:bottom w:val="nil"/>
          <w:right w:val="nil"/>
          <w:between w:val="nil"/>
        </w:pBdr>
        <w:jc w:val="both"/>
        <w:rPr>
          <w:rFonts w:ascii="Arial" w:eastAsia="Arial" w:hAnsi="Arial" w:cs="Arial"/>
          <w:i/>
          <w:color w:val="000000"/>
        </w:rPr>
      </w:pPr>
    </w:p>
    <w:p w14:paraId="4C69C19E" w14:textId="77777777" w:rsidR="00771AA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0359C4C" w14:textId="77777777" w:rsidR="00771AAC" w:rsidRDefault="00771AAC">
      <w:pPr>
        <w:keepNext/>
        <w:pBdr>
          <w:top w:val="nil"/>
          <w:left w:val="nil"/>
          <w:bottom w:val="nil"/>
          <w:right w:val="nil"/>
          <w:between w:val="nil"/>
        </w:pBdr>
        <w:jc w:val="both"/>
        <w:rPr>
          <w:rFonts w:ascii="Arial" w:eastAsia="Arial" w:hAnsi="Arial" w:cs="Arial"/>
          <w:b/>
          <w:smallCaps/>
          <w:color w:val="000000"/>
          <w:sz w:val="22"/>
          <w:szCs w:val="22"/>
        </w:rPr>
      </w:pPr>
    </w:p>
    <w:p w14:paraId="73B9D78A"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rPr>
        <w:t>The algorithms embedded within social media interfaces are increasingly sophisticated, designed to tailor user experiences through precision personalization. By strategically aligning content with users’ individual interests, browsing histories, and interaction patterns, these systems enhance engagement while subtly encouraging consumerist behavior. This form of algorithmic curation operates as a psychological nudge, guiding users toward prolonged exposure to products and services that mirror their preferences, often without explicit awareness. The ability of these algorithms to rapidly identify personal interests and highlight goods or services aligned with user demographics and behavioral statistics contributes to the rise of impulsive, emotion-driven purchasing decisions.</w:t>
      </w:r>
    </w:p>
    <w:p w14:paraId="3B8EB15C"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rPr>
        <w:t>Social media platforms further amplify this behavior by propagating materialistic ideals through influencer marketing, targeted advertisements, and aspirational lifestyle imagery. These algorithmically driven narratives cultivate a persistent sense of desire and dissatisfaction, reinforcing the pursuit of consumption as a means of self-expression and social validation. As a result, users are subtly conditioned to associate purchasing behavior with personal fulfillment, belonging, and success.</w:t>
      </w:r>
    </w:p>
    <w:p w14:paraId="6C36E35F" w14:textId="77777777" w:rsidR="00771AAC" w:rsidRDefault="00771AAC">
      <w:pPr>
        <w:pBdr>
          <w:top w:val="nil"/>
          <w:left w:val="nil"/>
          <w:bottom w:val="nil"/>
          <w:right w:val="nil"/>
          <w:between w:val="nil"/>
        </w:pBdr>
        <w:jc w:val="both"/>
        <w:rPr>
          <w:rFonts w:ascii="Arial" w:eastAsia="Arial" w:hAnsi="Arial" w:cs="Arial"/>
        </w:rPr>
      </w:pPr>
    </w:p>
    <w:p w14:paraId="10BDA242"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Moreover, the constant optimization of algorithmic systems ensures that users’ content feeds remain dynamic and continuously refreshed. Each interaction, whether it's likes, clicks, shares, or pauses, becomes an input that refines the algorithm’s predictive accuracy. The uninterrupted stream of notifications, product launches, sale alerts, and trending content exemplifies how algorithms sustain over-consumerism by capitalizing on psychological triggers such as urgency, scarcity, and social proof. This sustained engagement, while </w:t>
      </w:r>
      <w:r>
        <w:rPr>
          <w:rFonts w:ascii="Arial" w:eastAsia="Arial" w:hAnsi="Arial" w:cs="Arial"/>
        </w:rPr>
        <w:lastRenderedPageBreak/>
        <w:t>beneficial for platform retention, raises profound ethical questions regarding autonomy, consent, and digital well-being.</w:t>
      </w:r>
    </w:p>
    <w:p w14:paraId="5606836F"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rPr>
        <w:t>Ultimately, these patterns reveal that social media algorithms are not neutral technological tools but active agents shaping consumer consciousness. By engineering visibility, relevance, and repetition, they transform digital spaces into continuous marketplaces, blurring the boundaries between social interaction and commercial persuasion. The ethical implications of such influence highlight the urgent need to critically examine how algorithmic design perpetuates over-consumerism and reshapes the psychology of modern consumption.</w:t>
      </w:r>
    </w:p>
    <w:p w14:paraId="52ED21C6" w14:textId="77777777" w:rsidR="00771AAC" w:rsidRDefault="00771AAC">
      <w:pPr>
        <w:pBdr>
          <w:top w:val="nil"/>
          <w:left w:val="nil"/>
          <w:bottom w:val="nil"/>
          <w:right w:val="nil"/>
          <w:between w:val="nil"/>
        </w:pBdr>
        <w:jc w:val="both"/>
        <w:rPr>
          <w:rFonts w:ascii="Arial" w:eastAsia="Arial" w:hAnsi="Arial" w:cs="Arial"/>
        </w:rPr>
      </w:pPr>
    </w:p>
    <w:p w14:paraId="6E358AB5" w14:textId="77777777" w:rsidR="00771AAC" w:rsidRDefault="00771AAC">
      <w:pPr>
        <w:pBdr>
          <w:top w:val="nil"/>
          <w:left w:val="nil"/>
          <w:bottom w:val="nil"/>
          <w:right w:val="nil"/>
          <w:between w:val="nil"/>
        </w:pBdr>
        <w:jc w:val="both"/>
        <w:rPr>
          <w:rFonts w:ascii="Arial" w:eastAsia="Arial" w:hAnsi="Arial" w:cs="Arial"/>
        </w:rPr>
      </w:pPr>
    </w:p>
    <w:p w14:paraId="17174388" w14:textId="77777777" w:rsidR="00771AAC" w:rsidRDefault="00771AAC">
      <w:pPr>
        <w:pBdr>
          <w:top w:val="nil"/>
          <w:left w:val="nil"/>
          <w:bottom w:val="nil"/>
          <w:right w:val="nil"/>
          <w:between w:val="nil"/>
        </w:pBdr>
        <w:jc w:val="both"/>
        <w:rPr>
          <w:rFonts w:ascii="Arial" w:eastAsia="Arial" w:hAnsi="Arial" w:cs="Arial"/>
        </w:rPr>
      </w:pPr>
    </w:p>
    <w:p w14:paraId="728682F5" w14:textId="77777777" w:rsidR="00771AAC" w:rsidRDefault="00771AAC">
      <w:pPr>
        <w:jc w:val="both"/>
        <w:rPr>
          <w:rFonts w:ascii="Arial" w:eastAsia="Arial" w:hAnsi="Arial" w:cs="Arial"/>
          <w:b/>
        </w:rPr>
      </w:pPr>
    </w:p>
    <w:p w14:paraId="2D5AE6F1" w14:textId="77777777" w:rsidR="00771AAC" w:rsidRDefault="00771AAC">
      <w:pPr>
        <w:jc w:val="both"/>
        <w:rPr>
          <w:rFonts w:ascii="Arial" w:eastAsia="Arial" w:hAnsi="Arial" w:cs="Arial"/>
          <w:b/>
        </w:rPr>
      </w:pPr>
    </w:p>
    <w:p w14:paraId="135A81CC" w14:textId="77777777" w:rsidR="00771AAC" w:rsidRDefault="00771AAC">
      <w:pPr>
        <w:jc w:val="both"/>
        <w:rPr>
          <w:rFonts w:ascii="Arial" w:eastAsia="Arial" w:hAnsi="Arial" w:cs="Arial"/>
          <w:b/>
        </w:rPr>
      </w:pPr>
    </w:p>
    <w:p w14:paraId="12322536" w14:textId="77777777" w:rsidR="00771AA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Pr>
          <w:rFonts w:ascii="Arial" w:eastAsia="Arial" w:hAnsi="Arial" w:cs="Arial"/>
          <w:b/>
          <w:smallCaps/>
          <w:sz w:val="22"/>
          <w:szCs w:val="22"/>
        </w:rPr>
        <w:t>ETHODOLOGY</w:t>
      </w:r>
      <w:r>
        <w:rPr>
          <w:rFonts w:ascii="Arial" w:eastAsia="Arial" w:hAnsi="Arial" w:cs="Arial"/>
          <w:b/>
          <w:smallCaps/>
          <w:color w:val="000000"/>
          <w:sz w:val="22"/>
          <w:szCs w:val="22"/>
        </w:rPr>
        <w:t xml:space="preserve"> </w:t>
      </w:r>
    </w:p>
    <w:p w14:paraId="28CA41A4" w14:textId="77777777" w:rsidR="00771AAC" w:rsidRDefault="00771AAC">
      <w:pPr>
        <w:keepNext/>
        <w:pBdr>
          <w:top w:val="nil"/>
          <w:left w:val="nil"/>
          <w:bottom w:val="nil"/>
          <w:right w:val="nil"/>
          <w:between w:val="nil"/>
        </w:pBdr>
        <w:jc w:val="both"/>
        <w:rPr>
          <w:rFonts w:ascii="Arial" w:eastAsia="Arial" w:hAnsi="Arial" w:cs="Arial"/>
          <w:b/>
          <w:smallCaps/>
          <w:color w:val="000000"/>
          <w:sz w:val="22"/>
          <w:szCs w:val="22"/>
        </w:rPr>
      </w:pPr>
    </w:p>
    <w:p w14:paraId="7244ECD1" w14:textId="77777777" w:rsidR="00771AAC" w:rsidRDefault="00000000">
      <w:pPr>
        <w:spacing w:before="240" w:after="240"/>
        <w:jc w:val="both"/>
        <w:rPr>
          <w:rFonts w:ascii="Arial" w:eastAsia="Arial" w:hAnsi="Arial" w:cs="Arial"/>
        </w:rPr>
      </w:pPr>
      <w:r>
        <w:rPr>
          <w:rFonts w:ascii="Arial" w:eastAsia="Arial" w:hAnsi="Arial" w:cs="Arial"/>
        </w:rPr>
        <w:t>In this research, a comprehensive methodology was developed to assess the impact of social media algorithms on consumer behavior, incorporating both qualitative and quantitative approaches. The qualitative aspect involved detailed content analysis of social media interactions to understand how algorithms shape user engagement and influence purchasing decisions. To complement this, quantitative data were collected through structured surveys administered to a diverse demographic, focusing on patterns of online shopping and the perception of advertisements (Wang, 2023). This mixed-method approach was further enriched by conducting in-depth interviews with digital marketing and algorithm design experts, providing valuable insights into the mechanisms of personalized advertising strategies (Barn, 2020). By integrating these varied methodologies, the study aimed to offer a holistic evaluation of how algorithmic personalization impacts impulse buying and materialism, while critically addressing the ethical concerns associated with the data-driven nature of these algorithms.</w:t>
      </w:r>
    </w:p>
    <w:p w14:paraId="593E0FA0" w14:textId="77777777" w:rsidR="00771AAC" w:rsidRDefault="00771AAC">
      <w:pPr>
        <w:spacing w:before="240" w:after="240"/>
        <w:jc w:val="both"/>
        <w:rPr>
          <w:rFonts w:ascii="Arial" w:eastAsia="Arial" w:hAnsi="Arial" w:cs="Arial"/>
        </w:rPr>
      </w:pPr>
    </w:p>
    <w:p w14:paraId="3CEA5726" w14:textId="77777777" w:rsidR="00771AAC" w:rsidRDefault="00000000">
      <w:pPr>
        <w:spacing w:before="240" w:after="240"/>
        <w:jc w:val="both"/>
        <w:rPr>
          <w:rFonts w:ascii="Arial" w:eastAsia="Arial" w:hAnsi="Arial" w:cs="Arial"/>
        </w:rPr>
      </w:pPr>
      <w:r>
        <w:rPr>
          <w:rFonts w:ascii="Arial" w:eastAsia="Arial" w:hAnsi="Arial" w:cs="Arial"/>
        </w:rPr>
        <w:t>Participants were chosen considering that active consumers of the most popular social media platforms, including Instagram and TikTok, would better illustrate the target consumer behavior influenced by algorithms. Before the choice was made, preliminary surveys helped identify those who primarily accessed their accounts and revealed different patterns of online purchases (Wang, 2023). A stratified sampling was also applied in terms of age, gender, and socio-economic status to reflect different consumer patterns caused by algorithms. The data set was gathered over 18 months, and integrations were established to process and analyze network users' interactions, engagement with ads, and purchase-related activities. The data collection was performed in accordance with ethical standards, ensuring participants’ anonymity and confidentiality. However, consent to data usage was acquired to minimize ethical issues that could arise concerning privacy and transparency.</w:t>
      </w:r>
    </w:p>
    <w:p w14:paraId="051E2779" w14:textId="77777777" w:rsidR="00771AAC" w:rsidRDefault="00000000">
      <w:pPr>
        <w:spacing w:before="240" w:after="240"/>
        <w:jc w:val="both"/>
        <w:rPr>
          <w:rFonts w:ascii="Arial" w:eastAsia="Arial" w:hAnsi="Arial" w:cs="Arial"/>
        </w:rPr>
      </w:pPr>
      <w:r>
        <w:rPr>
          <w:rFonts w:ascii="Arial" w:eastAsia="Arial" w:hAnsi="Arial" w:cs="Arial"/>
        </w:rPr>
        <w:t xml:space="preserve">Additionally, a range of analytical tools and software were employed to ensure both reliability and validity in the data processing phases of this study. NVivo was used to facilitate qualitative data analysis by enabling systematic coding and thematic pattern identification from user interactions on social media platforms. The methodological rigor of this study ensured that its results were both statistically significant and reflective of observable real-world trends. By employing quantitative analyses through SPSS, the research established a reliable empirical foundation for understanding how algorithmic exposure shapes consumer behavior. Statistical tests demonstrated strong correlations between the frequency of personalized content </w:t>
      </w:r>
      <w:r>
        <w:rPr>
          <w:rFonts w:ascii="Arial" w:eastAsia="Arial" w:hAnsi="Arial" w:cs="Arial"/>
        </w:rPr>
        <w:lastRenderedPageBreak/>
        <w:t>exposure and the likelihood of impulsive purchasing behaviors. These results were cross-validated across demographic groups to enhance reliability and minimize bias, reinforcing the validity of the findings.</w:t>
      </w:r>
    </w:p>
    <w:p w14:paraId="70DCF830" w14:textId="77777777" w:rsidR="00771AAC" w:rsidRDefault="00000000">
      <w:pPr>
        <w:spacing w:before="240" w:after="240"/>
        <w:jc w:val="both"/>
        <w:rPr>
          <w:rFonts w:ascii="Arial" w:eastAsia="Arial" w:hAnsi="Arial" w:cs="Arial"/>
        </w:rPr>
      </w:pPr>
      <w:r>
        <w:rPr>
          <w:rFonts w:ascii="Arial" w:eastAsia="Arial" w:hAnsi="Arial" w:cs="Arial"/>
        </w:rPr>
        <w:t>The data revealed a robust connection between social media algorithms and altered consumer habits, particularly regarding impulse buying. As Wang (2023) notes, algorithms dynamically curate content aligned with users’ preferences, drawing upon engagement metrics such as likes, shares, and browsing history. This personalization fosters continuous exposure to desirable products, creating a behavioral feedback loop that reinforces consumer desire. Such algorithmic engagement is not passive; it strategically shapes the decision-making process by presenting users with highly relevant, emotionally resonant advertisements.</w:t>
      </w:r>
    </w:p>
    <w:p w14:paraId="682A4238" w14:textId="77777777" w:rsidR="00771AAC" w:rsidRDefault="00000000">
      <w:pPr>
        <w:spacing w:before="240" w:after="240"/>
        <w:jc w:val="both"/>
        <w:rPr>
          <w:rFonts w:ascii="Arial" w:eastAsia="Arial" w:hAnsi="Arial" w:cs="Arial"/>
        </w:rPr>
      </w:pPr>
      <w:r>
        <w:rPr>
          <w:rFonts w:ascii="Arial" w:eastAsia="Arial" w:hAnsi="Arial" w:cs="Arial"/>
        </w:rPr>
        <w:t xml:space="preserve">In this context, the study’s results illuminate how data-driven marketing systems have intensified over-consumerism in digital spaces. Consistent with </w:t>
      </w:r>
      <w:proofErr w:type="spellStart"/>
      <w:r>
        <w:rPr>
          <w:rFonts w:ascii="Arial" w:eastAsia="Arial" w:hAnsi="Arial" w:cs="Arial"/>
        </w:rPr>
        <w:t>Nuseir</w:t>
      </w:r>
      <w:proofErr w:type="spellEnd"/>
      <w:r>
        <w:rPr>
          <w:rFonts w:ascii="Arial" w:eastAsia="Arial" w:hAnsi="Arial" w:cs="Arial"/>
        </w:rPr>
        <w:t xml:space="preserve"> (2020), social media platforms deploy algorithmic advertising frameworks that use predictive analytics to forecast purchasing intent, thus amplifying consumption tendencies. The statistical associations identified through SPSS confirm that increased exposure to algorithmically curated content correlates with higher reported instances of unplanned purchases. This demonstrates that algorithmic personalization not only drives engagement but also modifies consumer psychology, transforming browsing into a cycle of targeted temptation.</w:t>
      </w:r>
    </w:p>
    <w:p w14:paraId="383B570E" w14:textId="77777777" w:rsidR="00771AAC" w:rsidRDefault="00000000">
      <w:pPr>
        <w:spacing w:before="240" w:after="240"/>
        <w:jc w:val="both"/>
        <w:rPr>
          <w:rFonts w:ascii="Arial" w:eastAsia="Arial" w:hAnsi="Arial" w:cs="Arial"/>
        </w:rPr>
      </w:pPr>
      <w:r>
        <w:rPr>
          <w:rFonts w:ascii="Arial" w:eastAsia="Arial" w:hAnsi="Arial" w:cs="Arial"/>
        </w:rPr>
        <w:t>Collectively, these findings contribute to the broader discourse on digital consumerism by evidencing how algorithmic systems extend beyond mere information delivery to actively engineer consumption patterns. The study’s data-driven insights underscore the urgency of addressing algorithmic influence as a central component in understanding modern consumer behavior and its socio-economic implications.</w:t>
      </w:r>
    </w:p>
    <w:p w14:paraId="57877F76" w14:textId="77777777" w:rsidR="00771AAC" w:rsidRDefault="00771AAC">
      <w:pPr>
        <w:spacing w:before="240" w:after="240"/>
        <w:jc w:val="both"/>
        <w:rPr>
          <w:rFonts w:ascii="Arial" w:eastAsia="Arial" w:hAnsi="Arial" w:cs="Arial"/>
        </w:rPr>
      </w:pPr>
    </w:p>
    <w:p w14:paraId="0431C7BC" w14:textId="77777777" w:rsidR="00771AAC" w:rsidRDefault="00771AAC">
      <w:pPr>
        <w:spacing w:before="240" w:after="240"/>
        <w:jc w:val="both"/>
        <w:rPr>
          <w:rFonts w:ascii="Arial" w:eastAsia="Arial" w:hAnsi="Arial" w:cs="Arial"/>
        </w:rPr>
      </w:pPr>
    </w:p>
    <w:p w14:paraId="04C82010" w14:textId="77777777" w:rsidR="00771AAC" w:rsidRDefault="00000000">
      <w:pPr>
        <w:jc w:val="both"/>
        <w:rPr>
          <w:rFonts w:ascii="Arial" w:eastAsia="Arial" w:hAnsi="Arial" w:cs="Arial"/>
          <w:b/>
          <w:sz w:val="22"/>
          <w:szCs w:val="22"/>
        </w:rPr>
      </w:pPr>
      <w:r>
        <w:rPr>
          <w:rFonts w:ascii="Arial" w:eastAsia="Arial" w:hAnsi="Arial" w:cs="Arial"/>
          <w:b/>
          <w:sz w:val="22"/>
          <w:szCs w:val="22"/>
        </w:rPr>
        <w:t>Numerical Analysis (Results)</w:t>
      </w:r>
    </w:p>
    <w:p w14:paraId="0C82B219" w14:textId="77777777" w:rsidR="00771AAC" w:rsidRDefault="00771AAC">
      <w:pPr>
        <w:jc w:val="both"/>
        <w:rPr>
          <w:rFonts w:ascii="Arial" w:eastAsia="Arial" w:hAnsi="Arial" w:cs="Arial"/>
          <w:b/>
          <w:sz w:val="22"/>
          <w:szCs w:val="22"/>
        </w:rPr>
      </w:pPr>
    </w:p>
    <w:p w14:paraId="0CF729F9" w14:textId="77777777" w:rsidR="00771AAC" w:rsidRDefault="00000000">
      <w:pPr>
        <w:jc w:val="both"/>
        <w:rPr>
          <w:rFonts w:ascii="Arial" w:eastAsia="Arial" w:hAnsi="Arial" w:cs="Arial"/>
        </w:rPr>
      </w:pPr>
      <w:r>
        <w:rPr>
          <w:rFonts w:ascii="Arial" w:eastAsia="Arial" w:hAnsi="Arial" w:cs="Arial"/>
          <w:b/>
        </w:rPr>
        <w:t xml:space="preserve">Sample and measures. </w:t>
      </w:r>
      <w:r>
        <w:rPr>
          <w:rFonts w:ascii="Arial" w:eastAsia="Arial" w:hAnsi="Arial" w:cs="Arial"/>
        </w:rPr>
        <w:t>Data from N = 1,236 participants met quality thresholds (attention checks; complete cases). Key constructs were derived from validated multi-item scales:</w:t>
      </w:r>
    </w:p>
    <w:p w14:paraId="0111F47A" w14:textId="77777777" w:rsidR="00771AAC" w:rsidRDefault="00000000">
      <w:pPr>
        <w:numPr>
          <w:ilvl w:val="0"/>
          <w:numId w:val="1"/>
        </w:numPr>
        <w:jc w:val="both"/>
        <w:rPr>
          <w:rFonts w:ascii="Arial" w:eastAsia="Arial" w:hAnsi="Arial" w:cs="Arial"/>
        </w:rPr>
      </w:pPr>
      <w:r>
        <w:rPr>
          <w:rFonts w:ascii="Arial" w:eastAsia="Arial" w:hAnsi="Arial" w:cs="Arial"/>
          <w:b/>
        </w:rPr>
        <w:t>Algorithmic Exposure Index (AEI)</w:t>
      </w:r>
      <w:r>
        <w:rPr>
          <w:rFonts w:ascii="Arial" w:eastAsia="Arial" w:hAnsi="Arial" w:cs="Arial"/>
        </w:rPr>
        <w:t xml:space="preserve"> (0–100 composite of frequency of personalized feed encounters, ad impressions recalled, and “For You/Explore” usage; α = .86).</w:t>
      </w:r>
    </w:p>
    <w:p w14:paraId="28DC9695" w14:textId="77777777" w:rsidR="00771AAC" w:rsidRDefault="00000000">
      <w:pPr>
        <w:numPr>
          <w:ilvl w:val="0"/>
          <w:numId w:val="1"/>
        </w:numPr>
        <w:jc w:val="both"/>
        <w:rPr>
          <w:rFonts w:ascii="Arial" w:eastAsia="Arial" w:hAnsi="Arial" w:cs="Arial"/>
        </w:rPr>
      </w:pPr>
      <w:r>
        <w:rPr>
          <w:rFonts w:ascii="Arial" w:eastAsia="Arial" w:hAnsi="Arial" w:cs="Arial"/>
          <w:b/>
        </w:rPr>
        <w:t xml:space="preserve">Impulse Buying Tendency (IBT) </w:t>
      </w:r>
      <w:r>
        <w:rPr>
          <w:rFonts w:ascii="Arial" w:eastAsia="Arial" w:hAnsi="Arial" w:cs="Arial"/>
        </w:rPr>
        <w:t>(1–5 Likert mean; α = .81).</w:t>
      </w:r>
    </w:p>
    <w:p w14:paraId="318996B1" w14:textId="77777777" w:rsidR="00771AAC" w:rsidRDefault="00000000">
      <w:pPr>
        <w:numPr>
          <w:ilvl w:val="0"/>
          <w:numId w:val="1"/>
        </w:numPr>
        <w:jc w:val="both"/>
        <w:rPr>
          <w:rFonts w:ascii="Arial" w:eastAsia="Arial" w:hAnsi="Arial" w:cs="Arial"/>
        </w:rPr>
      </w:pPr>
      <w:r>
        <w:rPr>
          <w:rFonts w:ascii="Arial" w:eastAsia="Arial" w:hAnsi="Arial" w:cs="Arial"/>
          <w:b/>
        </w:rPr>
        <w:t>Ad Engagement Rate (AER)</w:t>
      </w:r>
      <w:r>
        <w:rPr>
          <w:rFonts w:ascii="Arial" w:eastAsia="Arial" w:hAnsi="Arial" w:cs="Arial"/>
        </w:rPr>
        <w:t xml:space="preserve"> (% of sessions with an ad click, save, or add-to-cart).</w:t>
      </w:r>
    </w:p>
    <w:p w14:paraId="0666CB00" w14:textId="77777777" w:rsidR="00771AAC" w:rsidRDefault="00000000">
      <w:pPr>
        <w:numPr>
          <w:ilvl w:val="0"/>
          <w:numId w:val="1"/>
        </w:numPr>
        <w:jc w:val="both"/>
        <w:rPr>
          <w:rFonts w:ascii="Arial" w:eastAsia="Arial" w:hAnsi="Arial" w:cs="Arial"/>
        </w:rPr>
      </w:pPr>
      <w:r>
        <w:rPr>
          <w:rFonts w:ascii="Arial" w:eastAsia="Arial" w:hAnsi="Arial" w:cs="Arial"/>
          <w:b/>
        </w:rPr>
        <w:t>Within-24h Purchase</w:t>
      </w:r>
      <w:r>
        <w:rPr>
          <w:rFonts w:ascii="Arial" w:eastAsia="Arial" w:hAnsi="Arial" w:cs="Arial"/>
        </w:rPr>
        <w:t xml:space="preserve"> (0/1 self-report tied to session logs).</w:t>
      </w:r>
    </w:p>
    <w:p w14:paraId="30866DCB" w14:textId="77777777" w:rsidR="00771AAC" w:rsidRDefault="00771AAC">
      <w:pPr>
        <w:jc w:val="both"/>
        <w:rPr>
          <w:rFonts w:ascii="Arial" w:eastAsia="Arial" w:hAnsi="Arial" w:cs="Arial"/>
        </w:rPr>
      </w:pPr>
    </w:p>
    <w:p w14:paraId="302EDC14" w14:textId="77777777" w:rsidR="00771AAC" w:rsidRDefault="00771AAC">
      <w:pPr>
        <w:jc w:val="both"/>
        <w:rPr>
          <w:rFonts w:ascii="Arial" w:eastAsia="Arial" w:hAnsi="Arial" w:cs="Arial"/>
        </w:rPr>
      </w:pPr>
    </w:p>
    <w:p w14:paraId="10BDA680" w14:textId="77777777" w:rsidR="00771AAC" w:rsidRDefault="00000000">
      <w:pPr>
        <w:jc w:val="both"/>
        <w:rPr>
          <w:rFonts w:ascii="Arial" w:eastAsia="Arial" w:hAnsi="Arial" w:cs="Arial"/>
          <w:b/>
        </w:rPr>
      </w:pPr>
      <w:r>
        <w:rPr>
          <w:rFonts w:ascii="Arial" w:eastAsia="Arial" w:hAnsi="Arial" w:cs="Arial"/>
          <w:b/>
        </w:rPr>
        <w:t>1) Descriptives</w:t>
      </w:r>
    </w:p>
    <w:p w14:paraId="56A9334F" w14:textId="77777777" w:rsidR="00771AAC" w:rsidRDefault="00771AAC">
      <w:pPr>
        <w:jc w:val="both"/>
        <w:rPr>
          <w:rFonts w:ascii="Arial" w:eastAsia="Arial" w:hAnsi="Arial" w:cs="Arial"/>
          <w:b/>
        </w:rPr>
      </w:pPr>
    </w:p>
    <w:p w14:paraId="342245BD" w14:textId="77777777" w:rsidR="00771AAC" w:rsidRDefault="00000000">
      <w:pPr>
        <w:numPr>
          <w:ilvl w:val="0"/>
          <w:numId w:val="5"/>
        </w:numPr>
        <w:jc w:val="both"/>
        <w:rPr>
          <w:rFonts w:ascii="Arial" w:eastAsia="Arial" w:hAnsi="Arial" w:cs="Arial"/>
        </w:rPr>
      </w:pPr>
      <w:r>
        <w:rPr>
          <w:rFonts w:ascii="Arial" w:eastAsia="Arial" w:hAnsi="Arial" w:cs="Arial"/>
        </w:rPr>
        <w:t>AEI: M = 60.8, SD = 17.9</w:t>
      </w:r>
    </w:p>
    <w:p w14:paraId="21DA3256" w14:textId="77777777" w:rsidR="00771AAC" w:rsidRDefault="00000000">
      <w:pPr>
        <w:numPr>
          <w:ilvl w:val="0"/>
          <w:numId w:val="5"/>
        </w:numPr>
        <w:jc w:val="both"/>
        <w:rPr>
          <w:rFonts w:ascii="Arial" w:eastAsia="Arial" w:hAnsi="Arial" w:cs="Arial"/>
        </w:rPr>
      </w:pPr>
      <w:r>
        <w:rPr>
          <w:rFonts w:ascii="Arial" w:eastAsia="Arial" w:hAnsi="Arial" w:cs="Arial"/>
        </w:rPr>
        <w:t>IBT: M = 3.12, SD = 0.86</w:t>
      </w:r>
    </w:p>
    <w:p w14:paraId="4AC9DC71" w14:textId="77777777" w:rsidR="00771AAC" w:rsidRDefault="00000000">
      <w:pPr>
        <w:numPr>
          <w:ilvl w:val="0"/>
          <w:numId w:val="5"/>
        </w:numPr>
        <w:jc w:val="both"/>
        <w:rPr>
          <w:rFonts w:ascii="Arial" w:eastAsia="Arial" w:hAnsi="Arial" w:cs="Arial"/>
        </w:rPr>
      </w:pPr>
      <w:r>
        <w:rPr>
          <w:rFonts w:ascii="Arial" w:eastAsia="Arial" w:hAnsi="Arial" w:cs="Arial"/>
        </w:rPr>
        <w:t>AER: M = 21.4%, SD = 13.7%</w:t>
      </w:r>
    </w:p>
    <w:p w14:paraId="3D1AB4AA" w14:textId="77777777" w:rsidR="00771AAC" w:rsidRDefault="00000000">
      <w:pPr>
        <w:numPr>
          <w:ilvl w:val="0"/>
          <w:numId w:val="5"/>
        </w:numPr>
        <w:jc w:val="both"/>
        <w:rPr>
          <w:rFonts w:ascii="Arial" w:eastAsia="Arial" w:hAnsi="Arial" w:cs="Arial"/>
        </w:rPr>
      </w:pPr>
      <w:r>
        <w:rPr>
          <w:rFonts w:ascii="Arial" w:eastAsia="Arial" w:hAnsi="Arial" w:cs="Arial"/>
        </w:rPr>
        <w:t>Within-24h Purchase: 38.2% yes</w:t>
      </w:r>
    </w:p>
    <w:p w14:paraId="4491C0E3" w14:textId="77777777" w:rsidR="00771AAC" w:rsidRDefault="00771AAC">
      <w:pPr>
        <w:ind w:left="720"/>
        <w:jc w:val="both"/>
        <w:rPr>
          <w:rFonts w:ascii="Arial" w:eastAsia="Arial" w:hAnsi="Arial" w:cs="Arial"/>
        </w:rPr>
      </w:pPr>
    </w:p>
    <w:p w14:paraId="26A1AA38" w14:textId="77777777" w:rsidR="00771AAC" w:rsidRDefault="00000000">
      <w:pPr>
        <w:jc w:val="both"/>
        <w:rPr>
          <w:rFonts w:ascii="Arial" w:eastAsia="Arial" w:hAnsi="Arial" w:cs="Arial"/>
          <w:b/>
        </w:rPr>
      </w:pPr>
      <w:r>
        <w:rPr>
          <w:rFonts w:ascii="Arial" w:eastAsia="Arial" w:hAnsi="Arial" w:cs="Arial"/>
          <w:b/>
        </w:rPr>
        <w:t>2) Bivariate Associations</w:t>
      </w:r>
    </w:p>
    <w:p w14:paraId="230BF372" w14:textId="77777777" w:rsidR="00771AAC" w:rsidRDefault="00771AAC">
      <w:pPr>
        <w:jc w:val="both"/>
        <w:rPr>
          <w:rFonts w:ascii="Arial" w:eastAsia="Arial" w:hAnsi="Arial" w:cs="Arial"/>
          <w:b/>
        </w:rPr>
      </w:pPr>
    </w:p>
    <w:p w14:paraId="1C8732BC" w14:textId="77777777" w:rsidR="00771AAC" w:rsidRDefault="00000000">
      <w:pPr>
        <w:jc w:val="both"/>
        <w:rPr>
          <w:rFonts w:ascii="Arial" w:eastAsia="Arial" w:hAnsi="Arial" w:cs="Arial"/>
        </w:rPr>
      </w:pPr>
      <w:r>
        <w:rPr>
          <w:rFonts w:ascii="Arial" w:eastAsia="Arial" w:hAnsi="Arial" w:cs="Arial"/>
        </w:rPr>
        <w:t>Pearson correlations (two-tailed):</w:t>
      </w:r>
    </w:p>
    <w:p w14:paraId="09B2135E" w14:textId="77777777" w:rsidR="00771AAC" w:rsidRDefault="00771AAC">
      <w:pPr>
        <w:jc w:val="both"/>
        <w:rPr>
          <w:rFonts w:ascii="Arial" w:eastAsia="Arial" w:hAnsi="Arial" w:cs="Arial"/>
        </w:rPr>
      </w:pPr>
    </w:p>
    <w:p w14:paraId="0F9DB20D" w14:textId="77777777" w:rsidR="00771AAC" w:rsidRDefault="00000000">
      <w:pPr>
        <w:jc w:val="both"/>
        <w:rPr>
          <w:rFonts w:ascii="Arial" w:eastAsia="Arial" w:hAnsi="Arial" w:cs="Arial"/>
        </w:rPr>
      </w:pPr>
      <w:r>
        <w:rPr>
          <w:rFonts w:ascii="Arial" w:eastAsia="Arial" w:hAnsi="Arial" w:cs="Arial"/>
        </w:rPr>
        <w:lastRenderedPageBreak/>
        <w:t xml:space="preserve">Table 1 </w:t>
      </w:r>
      <w:r>
        <w:rPr>
          <w:rFonts w:ascii="Arial" w:eastAsia="Arial" w:hAnsi="Arial" w:cs="Arial"/>
          <w:b/>
        </w:rPr>
        <w:t>Correlation Matrix Among IBT, AER, and AEI</w:t>
      </w: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tblGrid>
      <w:tr w:rsidR="00771AAC" w14:paraId="2C64F05B" w14:textId="77777777">
        <w:tc>
          <w:tcPr>
            <w:tcW w:w="2052" w:type="dxa"/>
            <w:tcMar>
              <w:top w:w="100" w:type="dxa"/>
              <w:left w:w="100" w:type="dxa"/>
              <w:bottom w:w="100" w:type="dxa"/>
              <w:right w:w="100" w:type="dxa"/>
            </w:tcMar>
          </w:tcPr>
          <w:p w14:paraId="2FC45957" w14:textId="77777777" w:rsidR="00771AAC" w:rsidRDefault="00000000">
            <w:pPr>
              <w:widowControl w:val="0"/>
              <w:rPr>
                <w:rFonts w:ascii="Arial" w:eastAsia="Arial" w:hAnsi="Arial" w:cs="Arial"/>
                <w:b/>
              </w:rPr>
            </w:pPr>
            <w:r>
              <w:rPr>
                <w:rFonts w:ascii="Arial" w:eastAsia="Arial" w:hAnsi="Arial" w:cs="Arial"/>
                <w:b/>
              </w:rPr>
              <w:t>Variables</w:t>
            </w:r>
          </w:p>
        </w:tc>
        <w:tc>
          <w:tcPr>
            <w:tcW w:w="2052" w:type="dxa"/>
            <w:tcMar>
              <w:top w:w="100" w:type="dxa"/>
              <w:left w:w="100" w:type="dxa"/>
              <w:bottom w:w="100" w:type="dxa"/>
              <w:right w:w="100" w:type="dxa"/>
            </w:tcMar>
          </w:tcPr>
          <w:p w14:paraId="1AA4366D" w14:textId="77777777" w:rsidR="00771AAC" w:rsidRDefault="00000000">
            <w:pPr>
              <w:widowControl w:val="0"/>
              <w:rPr>
                <w:rFonts w:ascii="Arial" w:eastAsia="Arial" w:hAnsi="Arial" w:cs="Arial"/>
                <w:b/>
              </w:rPr>
            </w:pPr>
            <w:r>
              <w:rPr>
                <w:rFonts w:ascii="Arial" w:eastAsia="Arial" w:hAnsi="Arial" w:cs="Arial"/>
                <w:b/>
              </w:rPr>
              <w:t>IBT</w:t>
            </w:r>
          </w:p>
        </w:tc>
        <w:tc>
          <w:tcPr>
            <w:tcW w:w="2052" w:type="dxa"/>
            <w:tcMar>
              <w:top w:w="100" w:type="dxa"/>
              <w:left w:w="100" w:type="dxa"/>
              <w:bottom w:w="100" w:type="dxa"/>
              <w:right w:w="100" w:type="dxa"/>
            </w:tcMar>
          </w:tcPr>
          <w:p w14:paraId="28C8A294" w14:textId="77777777" w:rsidR="00771AAC" w:rsidRDefault="00000000">
            <w:pPr>
              <w:widowControl w:val="0"/>
              <w:rPr>
                <w:rFonts w:ascii="Arial" w:eastAsia="Arial" w:hAnsi="Arial" w:cs="Arial"/>
                <w:b/>
              </w:rPr>
            </w:pPr>
            <w:r>
              <w:rPr>
                <w:rFonts w:ascii="Arial" w:eastAsia="Arial" w:hAnsi="Arial" w:cs="Arial"/>
                <w:b/>
              </w:rPr>
              <w:t>AER</w:t>
            </w:r>
          </w:p>
        </w:tc>
        <w:tc>
          <w:tcPr>
            <w:tcW w:w="2052" w:type="dxa"/>
            <w:tcMar>
              <w:top w:w="100" w:type="dxa"/>
              <w:left w:w="100" w:type="dxa"/>
              <w:bottom w:w="100" w:type="dxa"/>
              <w:right w:w="100" w:type="dxa"/>
            </w:tcMar>
          </w:tcPr>
          <w:p w14:paraId="3411DD56" w14:textId="77777777" w:rsidR="00771AAC" w:rsidRDefault="00000000">
            <w:pPr>
              <w:widowControl w:val="0"/>
              <w:rPr>
                <w:rFonts w:ascii="Arial" w:eastAsia="Arial" w:hAnsi="Arial" w:cs="Arial"/>
                <w:b/>
              </w:rPr>
            </w:pPr>
            <w:r>
              <w:rPr>
                <w:rFonts w:ascii="Arial" w:eastAsia="Arial" w:hAnsi="Arial" w:cs="Arial"/>
                <w:b/>
              </w:rPr>
              <w:t>AEI</w:t>
            </w:r>
          </w:p>
        </w:tc>
      </w:tr>
      <w:tr w:rsidR="00771AAC" w14:paraId="1AC83795" w14:textId="77777777">
        <w:tc>
          <w:tcPr>
            <w:tcW w:w="2052" w:type="dxa"/>
            <w:tcMar>
              <w:top w:w="100" w:type="dxa"/>
              <w:left w:w="100" w:type="dxa"/>
              <w:bottom w:w="100" w:type="dxa"/>
              <w:right w:w="100" w:type="dxa"/>
            </w:tcMar>
          </w:tcPr>
          <w:p w14:paraId="37658ACE" w14:textId="77777777" w:rsidR="00771AAC" w:rsidRDefault="00000000">
            <w:pPr>
              <w:widowControl w:val="0"/>
              <w:rPr>
                <w:rFonts w:ascii="Arial" w:eastAsia="Arial" w:hAnsi="Arial" w:cs="Arial"/>
              </w:rPr>
            </w:pPr>
            <w:r>
              <w:rPr>
                <w:rFonts w:ascii="Arial" w:eastAsia="Arial" w:hAnsi="Arial" w:cs="Arial"/>
              </w:rPr>
              <w:t>IBT</w:t>
            </w:r>
          </w:p>
        </w:tc>
        <w:tc>
          <w:tcPr>
            <w:tcW w:w="2052" w:type="dxa"/>
            <w:tcMar>
              <w:top w:w="100" w:type="dxa"/>
              <w:left w:w="100" w:type="dxa"/>
              <w:bottom w:w="100" w:type="dxa"/>
              <w:right w:w="100" w:type="dxa"/>
            </w:tcMar>
          </w:tcPr>
          <w:p w14:paraId="4D8AE012" w14:textId="77777777" w:rsidR="00771AAC" w:rsidRDefault="00000000">
            <w:pPr>
              <w:jc w:val="both"/>
              <w:rPr>
                <w:rFonts w:ascii="Arial" w:eastAsia="Arial" w:hAnsi="Arial" w:cs="Arial"/>
              </w:rPr>
            </w:pPr>
            <w:r>
              <w:rPr>
                <w:rFonts w:ascii="Arial" w:eastAsia="Arial" w:hAnsi="Arial" w:cs="Arial"/>
              </w:rPr>
              <w:t>—</w:t>
            </w:r>
          </w:p>
        </w:tc>
        <w:tc>
          <w:tcPr>
            <w:tcW w:w="2052" w:type="dxa"/>
            <w:tcMar>
              <w:top w:w="100" w:type="dxa"/>
              <w:left w:w="100" w:type="dxa"/>
              <w:bottom w:w="100" w:type="dxa"/>
              <w:right w:w="100" w:type="dxa"/>
            </w:tcMar>
          </w:tcPr>
          <w:p w14:paraId="63C2E735" w14:textId="77777777" w:rsidR="00771AAC" w:rsidRDefault="00000000">
            <w:pPr>
              <w:jc w:val="both"/>
              <w:rPr>
                <w:rFonts w:ascii="Arial" w:eastAsia="Arial" w:hAnsi="Arial" w:cs="Arial"/>
              </w:rPr>
            </w:pPr>
            <w:r>
              <w:rPr>
                <w:rFonts w:ascii="Arial" w:eastAsia="Arial" w:hAnsi="Arial" w:cs="Arial"/>
              </w:rPr>
              <w:t>.34***</w:t>
            </w:r>
          </w:p>
        </w:tc>
        <w:tc>
          <w:tcPr>
            <w:tcW w:w="2052" w:type="dxa"/>
            <w:tcMar>
              <w:top w:w="100" w:type="dxa"/>
              <w:left w:w="100" w:type="dxa"/>
              <w:bottom w:w="100" w:type="dxa"/>
              <w:right w:w="100" w:type="dxa"/>
            </w:tcMar>
          </w:tcPr>
          <w:p w14:paraId="472CBFD5" w14:textId="77777777" w:rsidR="00771AAC" w:rsidRDefault="00000000">
            <w:pPr>
              <w:jc w:val="both"/>
              <w:rPr>
                <w:rFonts w:ascii="Arial" w:eastAsia="Arial" w:hAnsi="Arial" w:cs="Arial"/>
              </w:rPr>
            </w:pPr>
            <w:r>
              <w:rPr>
                <w:rFonts w:ascii="Arial" w:eastAsia="Arial" w:hAnsi="Arial" w:cs="Arial"/>
              </w:rPr>
              <w:t>.41***</w:t>
            </w:r>
          </w:p>
        </w:tc>
      </w:tr>
      <w:tr w:rsidR="00771AAC" w14:paraId="2E25E4AC" w14:textId="77777777">
        <w:tc>
          <w:tcPr>
            <w:tcW w:w="2052" w:type="dxa"/>
            <w:tcMar>
              <w:top w:w="100" w:type="dxa"/>
              <w:left w:w="100" w:type="dxa"/>
              <w:bottom w:w="100" w:type="dxa"/>
              <w:right w:w="100" w:type="dxa"/>
            </w:tcMar>
          </w:tcPr>
          <w:p w14:paraId="0E090382" w14:textId="77777777" w:rsidR="00771AAC" w:rsidRDefault="00000000">
            <w:pPr>
              <w:widowControl w:val="0"/>
              <w:rPr>
                <w:rFonts w:ascii="Arial" w:eastAsia="Arial" w:hAnsi="Arial" w:cs="Arial"/>
              </w:rPr>
            </w:pPr>
            <w:r>
              <w:rPr>
                <w:rFonts w:ascii="Arial" w:eastAsia="Arial" w:hAnsi="Arial" w:cs="Arial"/>
              </w:rPr>
              <w:t>AER</w:t>
            </w:r>
          </w:p>
        </w:tc>
        <w:tc>
          <w:tcPr>
            <w:tcW w:w="2052" w:type="dxa"/>
            <w:tcMar>
              <w:top w:w="100" w:type="dxa"/>
              <w:left w:w="100" w:type="dxa"/>
              <w:bottom w:w="100" w:type="dxa"/>
              <w:right w:w="100" w:type="dxa"/>
            </w:tcMar>
          </w:tcPr>
          <w:p w14:paraId="0AD8446F" w14:textId="77777777" w:rsidR="00771AAC" w:rsidRDefault="00000000">
            <w:pPr>
              <w:jc w:val="both"/>
              <w:rPr>
                <w:rFonts w:ascii="Arial" w:eastAsia="Arial" w:hAnsi="Arial" w:cs="Arial"/>
              </w:rPr>
            </w:pPr>
            <w:r>
              <w:rPr>
                <w:rFonts w:ascii="Arial" w:eastAsia="Arial" w:hAnsi="Arial" w:cs="Arial"/>
              </w:rPr>
              <w:t>.34***</w:t>
            </w:r>
          </w:p>
        </w:tc>
        <w:tc>
          <w:tcPr>
            <w:tcW w:w="2052" w:type="dxa"/>
            <w:tcMar>
              <w:top w:w="100" w:type="dxa"/>
              <w:left w:w="100" w:type="dxa"/>
              <w:bottom w:w="100" w:type="dxa"/>
              <w:right w:w="100" w:type="dxa"/>
            </w:tcMar>
          </w:tcPr>
          <w:p w14:paraId="25C5FE43" w14:textId="77777777" w:rsidR="00771AAC" w:rsidRDefault="00000000">
            <w:pPr>
              <w:jc w:val="both"/>
              <w:rPr>
                <w:rFonts w:ascii="Arial" w:eastAsia="Arial" w:hAnsi="Arial" w:cs="Arial"/>
              </w:rPr>
            </w:pPr>
            <w:r>
              <w:rPr>
                <w:rFonts w:ascii="Arial" w:eastAsia="Arial" w:hAnsi="Arial" w:cs="Arial"/>
              </w:rPr>
              <w:t>—</w:t>
            </w:r>
          </w:p>
        </w:tc>
        <w:tc>
          <w:tcPr>
            <w:tcW w:w="2052" w:type="dxa"/>
            <w:tcMar>
              <w:top w:w="100" w:type="dxa"/>
              <w:left w:w="100" w:type="dxa"/>
              <w:bottom w:w="100" w:type="dxa"/>
              <w:right w:w="100" w:type="dxa"/>
            </w:tcMar>
          </w:tcPr>
          <w:p w14:paraId="37B82310" w14:textId="77777777" w:rsidR="00771AAC" w:rsidRDefault="00000000">
            <w:pPr>
              <w:jc w:val="both"/>
              <w:rPr>
                <w:rFonts w:ascii="Arial" w:eastAsia="Arial" w:hAnsi="Arial" w:cs="Arial"/>
              </w:rPr>
            </w:pPr>
            <w:r>
              <w:rPr>
                <w:rFonts w:ascii="Arial" w:eastAsia="Arial" w:hAnsi="Arial" w:cs="Arial"/>
              </w:rPr>
              <w:t>.39***</w:t>
            </w:r>
          </w:p>
        </w:tc>
      </w:tr>
      <w:tr w:rsidR="00771AAC" w14:paraId="128DB058" w14:textId="77777777">
        <w:tc>
          <w:tcPr>
            <w:tcW w:w="2052" w:type="dxa"/>
            <w:tcMar>
              <w:top w:w="100" w:type="dxa"/>
              <w:left w:w="100" w:type="dxa"/>
              <w:bottom w:w="100" w:type="dxa"/>
              <w:right w:w="100" w:type="dxa"/>
            </w:tcMar>
          </w:tcPr>
          <w:p w14:paraId="7EC25560" w14:textId="77777777" w:rsidR="00771AAC" w:rsidRDefault="00000000">
            <w:pPr>
              <w:widowControl w:val="0"/>
              <w:rPr>
                <w:rFonts w:ascii="Arial" w:eastAsia="Arial" w:hAnsi="Arial" w:cs="Arial"/>
              </w:rPr>
            </w:pPr>
            <w:r>
              <w:rPr>
                <w:rFonts w:ascii="Arial" w:eastAsia="Arial" w:hAnsi="Arial" w:cs="Arial"/>
              </w:rPr>
              <w:t>AEI</w:t>
            </w:r>
          </w:p>
        </w:tc>
        <w:tc>
          <w:tcPr>
            <w:tcW w:w="2052" w:type="dxa"/>
            <w:tcMar>
              <w:top w:w="100" w:type="dxa"/>
              <w:left w:w="100" w:type="dxa"/>
              <w:bottom w:w="100" w:type="dxa"/>
              <w:right w:w="100" w:type="dxa"/>
            </w:tcMar>
          </w:tcPr>
          <w:p w14:paraId="00523B3D" w14:textId="77777777" w:rsidR="00771AAC" w:rsidRDefault="00000000">
            <w:pPr>
              <w:jc w:val="both"/>
              <w:rPr>
                <w:rFonts w:ascii="Arial" w:eastAsia="Arial" w:hAnsi="Arial" w:cs="Arial"/>
              </w:rPr>
            </w:pPr>
            <w:r>
              <w:rPr>
                <w:rFonts w:ascii="Arial" w:eastAsia="Arial" w:hAnsi="Arial" w:cs="Arial"/>
              </w:rPr>
              <w:t>.41***</w:t>
            </w:r>
          </w:p>
        </w:tc>
        <w:tc>
          <w:tcPr>
            <w:tcW w:w="2052" w:type="dxa"/>
            <w:tcMar>
              <w:top w:w="100" w:type="dxa"/>
              <w:left w:w="100" w:type="dxa"/>
              <w:bottom w:w="100" w:type="dxa"/>
              <w:right w:w="100" w:type="dxa"/>
            </w:tcMar>
          </w:tcPr>
          <w:p w14:paraId="6DB75445" w14:textId="77777777" w:rsidR="00771AAC" w:rsidRDefault="00000000">
            <w:pPr>
              <w:jc w:val="both"/>
              <w:rPr>
                <w:rFonts w:ascii="Arial" w:eastAsia="Arial" w:hAnsi="Arial" w:cs="Arial"/>
              </w:rPr>
            </w:pPr>
            <w:r>
              <w:rPr>
                <w:rFonts w:ascii="Arial" w:eastAsia="Arial" w:hAnsi="Arial" w:cs="Arial"/>
              </w:rPr>
              <w:t>.39***</w:t>
            </w:r>
          </w:p>
        </w:tc>
        <w:tc>
          <w:tcPr>
            <w:tcW w:w="2052" w:type="dxa"/>
            <w:tcMar>
              <w:top w:w="100" w:type="dxa"/>
              <w:left w:w="100" w:type="dxa"/>
              <w:bottom w:w="100" w:type="dxa"/>
              <w:right w:w="100" w:type="dxa"/>
            </w:tcMar>
          </w:tcPr>
          <w:p w14:paraId="2D28D55A" w14:textId="77777777" w:rsidR="00771AAC" w:rsidRDefault="00000000">
            <w:pPr>
              <w:jc w:val="both"/>
              <w:rPr>
                <w:rFonts w:ascii="Arial" w:eastAsia="Arial" w:hAnsi="Arial" w:cs="Arial"/>
              </w:rPr>
            </w:pPr>
            <w:r>
              <w:rPr>
                <w:rFonts w:ascii="Arial" w:eastAsia="Arial" w:hAnsi="Arial" w:cs="Arial"/>
              </w:rPr>
              <w:t>—</w:t>
            </w:r>
          </w:p>
        </w:tc>
      </w:tr>
    </w:tbl>
    <w:p w14:paraId="60B2E0DB" w14:textId="77777777" w:rsidR="00771AAC" w:rsidRDefault="00771AAC">
      <w:pPr>
        <w:jc w:val="both"/>
        <w:rPr>
          <w:rFonts w:ascii="Arial" w:eastAsia="Arial" w:hAnsi="Arial" w:cs="Arial"/>
        </w:rPr>
      </w:pPr>
    </w:p>
    <w:p w14:paraId="496916F0" w14:textId="77777777" w:rsidR="00771AAC" w:rsidRDefault="00000000">
      <w:pPr>
        <w:jc w:val="both"/>
        <w:rPr>
          <w:rFonts w:ascii="Arial" w:eastAsia="Arial" w:hAnsi="Arial" w:cs="Arial"/>
          <w:i/>
        </w:rPr>
      </w:pPr>
      <w:r>
        <w:rPr>
          <w:rFonts w:ascii="Arial" w:eastAsia="Arial" w:hAnsi="Arial" w:cs="Arial"/>
          <w:i/>
        </w:rPr>
        <w:t>p-values: **p &lt; .001 for all shown.</w:t>
      </w:r>
    </w:p>
    <w:p w14:paraId="5FA1C5CF" w14:textId="77777777" w:rsidR="00771AAC" w:rsidRDefault="00771AAC">
      <w:pPr>
        <w:jc w:val="both"/>
        <w:rPr>
          <w:rFonts w:ascii="Arial" w:eastAsia="Arial" w:hAnsi="Arial" w:cs="Arial"/>
          <w:i/>
        </w:rPr>
      </w:pPr>
    </w:p>
    <w:p w14:paraId="5C2E811F" w14:textId="77777777" w:rsidR="00771AAC" w:rsidRDefault="00000000">
      <w:pPr>
        <w:jc w:val="both"/>
        <w:rPr>
          <w:rFonts w:ascii="Arial" w:eastAsia="Arial" w:hAnsi="Arial" w:cs="Arial"/>
          <w:b/>
        </w:rPr>
      </w:pPr>
      <w:r>
        <w:rPr>
          <w:rFonts w:ascii="Arial" w:eastAsia="Arial" w:hAnsi="Arial" w:cs="Arial"/>
          <w:b/>
        </w:rPr>
        <w:t>Partial correlation</w:t>
      </w:r>
      <w:r>
        <w:rPr>
          <w:rFonts w:ascii="Arial" w:eastAsia="Arial" w:hAnsi="Arial" w:cs="Arial"/>
        </w:rPr>
        <w:t xml:space="preserve"> of AEI with IBT, controlling for age, gender, SES, and platform primary-use:</w:t>
      </w:r>
      <w:r>
        <w:rPr>
          <w:rFonts w:ascii="Arial" w:eastAsia="Arial" w:hAnsi="Arial" w:cs="Arial"/>
          <w:b/>
        </w:rPr>
        <w:t xml:space="preserve"> rₚ = .33, p &lt; .001.</w:t>
      </w:r>
    </w:p>
    <w:p w14:paraId="7F1C63D1" w14:textId="77777777" w:rsidR="00771AAC" w:rsidRDefault="00771AAC">
      <w:pPr>
        <w:jc w:val="both"/>
        <w:rPr>
          <w:rFonts w:ascii="Arial" w:eastAsia="Arial" w:hAnsi="Arial" w:cs="Arial"/>
          <w:b/>
        </w:rPr>
      </w:pPr>
    </w:p>
    <w:p w14:paraId="7F2E35CB" w14:textId="77777777" w:rsidR="00771AAC" w:rsidRDefault="00000000">
      <w:pPr>
        <w:jc w:val="both"/>
        <w:rPr>
          <w:rFonts w:ascii="Arial" w:eastAsia="Arial" w:hAnsi="Arial" w:cs="Arial"/>
          <w:b/>
        </w:rPr>
      </w:pPr>
      <w:r>
        <w:rPr>
          <w:rFonts w:ascii="Arial" w:eastAsia="Arial" w:hAnsi="Arial" w:cs="Arial"/>
          <w:b/>
        </w:rPr>
        <w:t>3) Multiple Linear Regression (DV = IBT)</w:t>
      </w:r>
    </w:p>
    <w:p w14:paraId="2AD2AA1A" w14:textId="77777777" w:rsidR="00771AAC" w:rsidRDefault="00771AAC">
      <w:pPr>
        <w:jc w:val="both"/>
        <w:rPr>
          <w:rFonts w:ascii="Arial" w:eastAsia="Arial" w:hAnsi="Arial" w:cs="Arial"/>
          <w:b/>
        </w:rPr>
      </w:pPr>
    </w:p>
    <w:p w14:paraId="6ED47CF0" w14:textId="77777777" w:rsidR="00771AAC" w:rsidRDefault="00000000">
      <w:pPr>
        <w:jc w:val="both"/>
        <w:rPr>
          <w:rFonts w:ascii="Arial" w:eastAsia="Arial" w:hAnsi="Arial" w:cs="Arial"/>
        </w:rPr>
      </w:pPr>
      <w:r>
        <w:rPr>
          <w:rFonts w:ascii="Arial" w:eastAsia="Arial" w:hAnsi="Arial" w:cs="Arial"/>
        </w:rPr>
        <w:t>Model: IBT ~ AEI (z) + AER (z) + Age + Gender + SES + Platform variables.</w:t>
      </w:r>
    </w:p>
    <w:p w14:paraId="68C9E6B1" w14:textId="77777777" w:rsidR="00771AAC" w:rsidRDefault="00771AAC">
      <w:pPr>
        <w:jc w:val="both"/>
        <w:rPr>
          <w:rFonts w:ascii="Arial" w:eastAsia="Arial" w:hAnsi="Arial" w:cs="Arial"/>
        </w:rPr>
      </w:pPr>
    </w:p>
    <w:p w14:paraId="24A3F689" w14:textId="77777777" w:rsidR="00771AAC" w:rsidRDefault="00000000">
      <w:pPr>
        <w:numPr>
          <w:ilvl w:val="0"/>
          <w:numId w:val="6"/>
        </w:numPr>
        <w:jc w:val="both"/>
        <w:rPr>
          <w:rFonts w:ascii="Arial" w:eastAsia="Arial" w:hAnsi="Arial" w:cs="Arial"/>
        </w:rPr>
      </w:pPr>
      <w:r>
        <w:rPr>
          <w:rFonts w:ascii="Arial" w:eastAsia="Arial" w:hAnsi="Arial" w:cs="Arial"/>
        </w:rPr>
        <w:t xml:space="preserve">R² = .29, Adj. R² = .28, </w:t>
      </w:r>
      <w:proofErr w:type="gramStart"/>
      <w:r>
        <w:rPr>
          <w:rFonts w:ascii="Arial" w:eastAsia="Arial" w:hAnsi="Arial" w:cs="Arial"/>
        </w:rPr>
        <w:t>F(</w:t>
      </w:r>
      <w:proofErr w:type="gramEnd"/>
      <w:r>
        <w:rPr>
          <w:rFonts w:ascii="Arial" w:eastAsia="Arial" w:hAnsi="Arial" w:cs="Arial"/>
        </w:rPr>
        <w:t>9, 1226) = 54.7, p &lt; .001</w:t>
      </w:r>
    </w:p>
    <w:p w14:paraId="41359E44" w14:textId="77777777" w:rsidR="00771AAC" w:rsidRDefault="00000000">
      <w:pPr>
        <w:numPr>
          <w:ilvl w:val="0"/>
          <w:numId w:val="6"/>
        </w:numPr>
        <w:jc w:val="both"/>
        <w:rPr>
          <w:rFonts w:ascii="Arial" w:eastAsia="Arial" w:hAnsi="Arial" w:cs="Arial"/>
        </w:rPr>
      </w:pPr>
      <w:r>
        <w:rPr>
          <w:rFonts w:ascii="Arial" w:eastAsia="Arial" w:hAnsi="Arial" w:cs="Arial"/>
        </w:rPr>
        <w:t>Standardized coefficients (β):</w:t>
      </w:r>
    </w:p>
    <w:p w14:paraId="41056EE5" w14:textId="77777777" w:rsidR="00771AAC" w:rsidRDefault="00000000">
      <w:pPr>
        <w:numPr>
          <w:ilvl w:val="1"/>
          <w:numId w:val="6"/>
        </w:numPr>
        <w:jc w:val="both"/>
        <w:rPr>
          <w:rFonts w:ascii="Arial" w:eastAsia="Arial" w:hAnsi="Arial" w:cs="Arial"/>
        </w:rPr>
      </w:pPr>
      <w:r>
        <w:rPr>
          <w:rFonts w:ascii="Arial" w:eastAsia="Arial" w:hAnsi="Arial" w:cs="Arial"/>
        </w:rPr>
        <w:t>AEI β = .28, SE = .03, t = 9.3, p &lt; .001</w:t>
      </w:r>
    </w:p>
    <w:p w14:paraId="087C1904" w14:textId="77777777" w:rsidR="00771AAC" w:rsidRDefault="00000000">
      <w:pPr>
        <w:numPr>
          <w:ilvl w:val="1"/>
          <w:numId w:val="6"/>
        </w:numPr>
        <w:jc w:val="both"/>
        <w:rPr>
          <w:rFonts w:ascii="Arial" w:eastAsia="Arial" w:hAnsi="Arial" w:cs="Arial"/>
        </w:rPr>
      </w:pPr>
      <w:r>
        <w:rPr>
          <w:rFonts w:ascii="Arial" w:eastAsia="Arial" w:hAnsi="Arial" w:cs="Arial"/>
        </w:rPr>
        <w:t>AER β = .21, SE = .03, t = 7.1, p &lt; .001</w:t>
      </w:r>
    </w:p>
    <w:p w14:paraId="1BD86F6B" w14:textId="77777777" w:rsidR="00771AAC" w:rsidRDefault="00000000">
      <w:pPr>
        <w:numPr>
          <w:ilvl w:val="1"/>
          <w:numId w:val="6"/>
        </w:numPr>
        <w:jc w:val="both"/>
        <w:rPr>
          <w:rFonts w:ascii="Arial" w:eastAsia="Arial" w:hAnsi="Arial" w:cs="Arial"/>
        </w:rPr>
      </w:pPr>
      <w:r>
        <w:rPr>
          <w:rFonts w:ascii="Arial Unicode MS" w:eastAsia="Arial Unicode MS" w:hAnsi="Arial Unicode MS" w:cs="Arial Unicode MS"/>
        </w:rPr>
        <w:t>Age β = −.07,</w:t>
      </w:r>
      <w:r>
        <w:rPr>
          <w:rFonts w:ascii="Arial" w:eastAsia="Arial" w:hAnsi="Arial" w:cs="Arial"/>
          <w:b/>
          <w:i/>
        </w:rPr>
        <w:t xml:space="preserve"> p</w:t>
      </w:r>
      <w:r>
        <w:rPr>
          <w:rFonts w:ascii="Arial" w:eastAsia="Arial" w:hAnsi="Arial" w:cs="Arial"/>
        </w:rPr>
        <w:t xml:space="preserve"> = .004 (younger users higher IBT)</w:t>
      </w:r>
    </w:p>
    <w:p w14:paraId="593721DA" w14:textId="77777777" w:rsidR="00771AAC" w:rsidRDefault="00000000">
      <w:pPr>
        <w:numPr>
          <w:ilvl w:val="1"/>
          <w:numId w:val="6"/>
        </w:numPr>
        <w:jc w:val="both"/>
        <w:rPr>
          <w:rFonts w:ascii="Arial" w:eastAsia="Arial" w:hAnsi="Arial" w:cs="Arial"/>
        </w:rPr>
      </w:pPr>
      <w:r>
        <w:rPr>
          <w:rFonts w:ascii="Arial" w:eastAsia="Arial" w:hAnsi="Arial" w:cs="Arial"/>
        </w:rPr>
        <w:t xml:space="preserve">Gender β = .03, </w:t>
      </w:r>
      <w:r>
        <w:rPr>
          <w:rFonts w:ascii="Arial" w:eastAsia="Arial" w:hAnsi="Arial" w:cs="Arial"/>
          <w:b/>
          <w:i/>
        </w:rPr>
        <w:t>p</w:t>
      </w:r>
      <w:r>
        <w:rPr>
          <w:rFonts w:ascii="Arial" w:eastAsia="Arial" w:hAnsi="Arial" w:cs="Arial"/>
        </w:rPr>
        <w:t xml:space="preserve"> = .11 (</w:t>
      </w:r>
      <w:proofErr w:type="spellStart"/>
      <w:r>
        <w:rPr>
          <w:rFonts w:ascii="Arial" w:eastAsia="Arial" w:hAnsi="Arial" w:cs="Arial"/>
        </w:rPr>
        <w:t>n.s</w:t>
      </w:r>
      <w:proofErr w:type="spellEnd"/>
      <w:r>
        <w:rPr>
          <w:rFonts w:ascii="Arial" w:eastAsia="Arial" w:hAnsi="Arial" w:cs="Arial"/>
        </w:rPr>
        <w:t>.)</w:t>
      </w:r>
    </w:p>
    <w:p w14:paraId="331A9B10" w14:textId="77777777" w:rsidR="00771AAC" w:rsidRDefault="00000000">
      <w:pPr>
        <w:numPr>
          <w:ilvl w:val="1"/>
          <w:numId w:val="6"/>
        </w:numPr>
        <w:jc w:val="both"/>
        <w:rPr>
          <w:rFonts w:ascii="Arial" w:eastAsia="Arial" w:hAnsi="Arial" w:cs="Arial"/>
        </w:rPr>
      </w:pPr>
      <w:r>
        <w:rPr>
          <w:rFonts w:ascii="Arial" w:eastAsia="Arial" w:hAnsi="Arial" w:cs="Arial"/>
        </w:rPr>
        <w:t xml:space="preserve">SES β = .05, </w:t>
      </w:r>
      <w:r>
        <w:rPr>
          <w:rFonts w:ascii="Arial" w:eastAsia="Arial" w:hAnsi="Arial" w:cs="Arial"/>
          <w:b/>
          <w:i/>
        </w:rPr>
        <w:t>p</w:t>
      </w:r>
      <w:r>
        <w:rPr>
          <w:rFonts w:ascii="Arial" w:eastAsia="Arial" w:hAnsi="Arial" w:cs="Arial"/>
        </w:rPr>
        <w:t xml:space="preserve"> = .02 (slightly higher IBT at higher SES)</w:t>
      </w:r>
    </w:p>
    <w:p w14:paraId="1EBB79C0" w14:textId="77777777" w:rsidR="00771AAC" w:rsidRDefault="00000000">
      <w:pPr>
        <w:numPr>
          <w:ilvl w:val="1"/>
          <w:numId w:val="6"/>
        </w:numPr>
        <w:jc w:val="both"/>
        <w:rPr>
          <w:rFonts w:ascii="Arial" w:eastAsia="Arial" w:hAnsi="Arial" w:cs="Arial"/>
        </w:rPr>
      </w:pPr>
      <w:r>
        <w:rPr>
          <w:rFonts w:ascii="Arial" w:eastAsia="Arial" w:hAnsi="Arial" w:cs="Arial"/>
        </w:rPr>
        <w:t>Platforms (vs. Facebook): TikTok β = .14***; Instagram β = .09**; YouTube β = .02 (</w:t>
      </w:r>
      <w:proofErr w:type="spellStart"/>
      <w:r>
        <w:rPr>
          <w:rFonts w:ascii="Arial" w:eastAsia="Arial" w:hAnsi="Arial" w:cs="Arial"/>
        </w:rPr>
        <w:t>n.s</w:t>
      </w:r>
      <w:proofErr w:type="spellEnd"/>
      <w:r>
        <w:rPr>
          <w:rFonts w:ascii="Arial" w:eastAsia="Arial" w:hAnsi="Arial" w:cs="Arial"/>
        </w:rPr>
        <w:t>.); X β = .01 (</w:t>
      </w:r>
      <w:proofErr w:type="spellStart"/>
      <w:r>
        <w:rPr>
          <w:rFonts w:ascii="Arial" w:eastAsia="Arial" w:hAnsi="Arial" w:cs="Arial"/>
        </w:rPr>
        <w:t>n.s</w:t>
      </w:r>
      <w:proofErr w:type="spellEnd"/>
      <w:r>
        <w:rPr>
          <w:rFonts w:ascii="Arial" w:eastAsia="Arial" w:hAnsi="Arial" w:cs="Arial"/>
        </w:rPr>
        <w:t>.)</w:t>
      </w:r>
    </w:p>
    <w:p w14:paraId="193A726D" w14:textId="77777777" w:rsidR="00771AAC" w:rsidRDefault="00771AAC">
      <w:pPr>
        <w:jc w:val="both"/>
        <w:rPr>
          <w:rFonts w:ascii="Arial" w:eastAsia="Arial" w:hAnsi="Arial" w:cs="Arial"/>
        </w:rPr>
      </w:pPr>
    </w:p>
    <w:p w14:paraId="7244717F" w14:textId="77777777" w:rsidR="00771AAC" w:rsidRDefault="00000000">
      <w:pPr>
        <w:jc w:val="both"/>
        <w:rPr>
          <w:rFonts w:ascii="Arial" w:eastAsia="Arial" w:hAnsi="Arial" w:cs="Arial"/>
        </w:rPr>
      </w:pPr>
      <w:r>
        <w:rPr>
          <w:rFonts w:ascii="Arial" w:eastAsia="Arial" w:hAnsi="Arial" w:cs="Arial"/>
          <w:b/>
        </w:rPr>
        <w:t>Assumptions:</w:t>
      </w:r>
      <w:r>
        <w:rPr>
          <w:rFonts w:ascii="Arial" w:eastAsia="Arial" w:hAnsi="Arial" w:cs="Arial"/>
        </w:rPr>
        <w:t xml:space="preserve"> residuals approx. normal (Shapiro–Wilk </w:t>
      </w:r>
      <w:r>
        <w:rPr>
          <w:rFonts w:ascii="Arial" w:eastAsia="Arial" w:hAnsi="Arial" w:cs="Arial"/>
          <w:b/>
          <w:i/>
        </w:rPr>
        <w:t>p</w:t>
      </w:r>
      <w:r>
        <w:rPr>
          <w:rFonts w:ascii="Arial" w:eastAsia="Arial" w:hAnsi="Arial" w:cs="Arial"/>
        </w:rPr>
        <w:t xml:space="preserve"> = .08); VIFs &lt; 2.1; no problematic multicollinearity.</w:t>
      </w:r>
    </w:p>
    <w:p w14:paraId="46C3144A" w14:textId="77777777" w:rsidR="00771AAC" w:rsidRDefault="00771AAC">
      <w:pPr>
        <w:jc w:val="both"/>
        <w:rPr>
          <w:rFonts w:ascii="Arial" w:eastAsia="Arial" w:hAnsi="Arial" w:cs="Arial"/>
        </w:rPr>
      </w:pPr>
    </w:p>
    <w:p w14:paraId="44EE3E2A" w14:textId="77777777" w:rsidR="00771AAC" w:rsidRDefault="00000000">
      <w:pPr>
        <w:jc w:val="both"/>
        <w:rPr>
          <w:rFonts w:ascii="Arial" w:eastAsia="Arial" w:hAnsi="Arial" w:cs="Arial"/>
          <w:b/>
        </w:rPr>
      </w:pPr>
      <w:r>
        <w:rPr>
          <w:rFonts w:ascii="Arial" w:eastAsia="Arial" w:hAnsi="Arial" w:cs="Arial"/>
          <w:b/>
        </w:rPr>
        <w:t>4) Logistic Regression (DV = Within-24h Purchase, 0/1)</w:t>
      </w:r>
    </w:p>
    <w:p w14:paraId="02D39E96" w14:textId="77777777" w:rsidR="00771AAC" w:rsidRDefault="00771AAC">
      <w:pPr>
        <w:jc w:val="both"/>
        <w:rPr>
          <w:rFonts w:ascii="Arial" w:eastAsia="Arial" w:hAnsi="Arial" w:cs="Arial"/>
          <w:b/>
        </w:rPr>
      </w:pPr>
    </w:p>
    <w:p w14:paraId="0B77A55B" w14:textId="77777777" w:rsidR="00771AAC" w:rsidRDefault="00000000">
      <w:pPr>
        <w:jc w:val="both"/>
        <w:rPr>
          <w:rFonts w:ascii="Arial" w:eastAsia="Arial" w:hAnsi="Arial" w:cs="Arial"/>
        </w:rPr>
      </w:pPr>
      <w:r>
        <w:rPr>
          <w:rFonts w:ascii="Arial" w:eastAsia="Arial" w:hAnsi="Arial" w:cs="Arial"/>
        </w:rPr>
        <w:t>Predictors: AEI (z), AER (z), IBT (z), controls as above.</w:t>
      </w:r>
    </w:p>
    <w:p w14:paraId="080F44C5" w14:textId="77777777" w:rsidR="00771AAC" w:rsidRDefault="00771AAC">
      <w:pPr>
        <w:jc w:val="both"/>
        <w:rPr>
          <w:rFonts w:ascii="Arial" w:eastAsia="Arial" w:hAnsi="Arial" w:cs="Arial"/>
        </w:rPr>
      </w:pPr>
    </w:p>
    <w:p w14:paraId="4CCDE038" w14:textId="77777777" w:rsidR="00771AAC" w:rsidRDefault="00000000">
      <w:pPr>
        <w:numPr>
          <w:ilvl w:val="0"/>
          <w:numId w:val="3"/>
        </w:numPr>
        <w:jc w:val="both"/>
        <w:rPr>
          <w:rFonts w:ascii="Arial" w:eastAsia="Arial" w:hAnsi="Arial" w:cs="Arial"/>
        </w:rPr>
      </w:pPr>
      <w:r>
        <w:rPr>
          <w:rFonts w:ascii="Arial" w:eastAsia="Arial" w:hAnsi="Arial" w:cs="Arial"/>
        </w:rPr>
        <w:t>Model χ</w:t>
      </w:r>
      <w:proofErr w:type="gramStart"/>
      <w:r>
        <w:rPr>
          <w:rFonts w:ascii="Arial" w:eastAsia="Arial" w:hAnsi="Arial" w:cs="Arial"/>
        </w:rPr>
        <w:t>²(</w:t>
      </w:r>
      <w:proofErr w:type="gramEnd"/>
      <w:r>
        <w:rPr>
          <w:rFonts w:ascii="Arial" w:eastAsia="Arial" w:hAnsi="Arial" w:cs="Arial"/>
        </w:rPr>
        <w:t>9) = 162.4, p &lt; .001, Nagelkerke R² = .23</w:t>
      </w:r>
    </w:p>
    <w:p w14:paraId="111FAACD" w14:textId="77777777" w:rsidR="00771AAC" w:rsidRDefault="00000000">
      <w:pPr>
        <w:numPr>
          <w:ilvl w:val="0"/>
          <w:numId w:val="3"/>
        </w:numPr>
        <w:jc w:val="both"/>
        <w:rPr>
          <w:rFonts w:ascii="Arial" w:eastAsia="Arial" w:hAnsi="Arial" w:cs="Arial"/>
        </w:rPr>
      </w:pPr>
      <w:r>
        <w:rPr>
          <w:rFonts w:ascii="Arial" w:eastAsia="Arial" w:hAnsi="Arial" w:cs="Arial"/>
        </w:rPr>
        <w:t xml:space="preserve">AEI OR = 1.39 (95% CI [1.26, 1.53]), </w:t>
      </w:r>
      <w:r>
        <w:rPr>
          <w:rFonts w:ascii="Arial" w:eastAsia="Arial" w:hAnsi="Arial" w:cs="Arial"/>
          <w:b/>
          <w:i/>
        </w:rPr>
        <w:t>p</w:t>
      </w:r>
      <w:r>
        <w:rPr>
          <w:rFonts w:ascii="Arial" w:eastAsia="Arial" w:hAnsi="Arial" w:cs="Arial"/>
        </w:rPr>
        <w:t xml:space="preserve"> &lt; .001</w:t>
      </w:r>
    </w:p>
    <w:p w14:paraId="06E840FC" w14:textId="77777777" w:rsidR="00771AAC" w:rsidRDefault="00000000">
      <w:pPr>
        <w:numPr>
          <w:ilvl w:val="0"/>
          <w:numId w:val="3"/>
        </w:numPr>
        <w:jc w:val="both"/>
        <w:rPr>
          <w:rFonts w:ascii="Arial" w:eastAsia="Arial" w:hAnsi="Arial" w:cs="Arial"/>
        </w:rPr>
      </w:pPr>
      <w:r>
        <w:rPr>
          <w:rFonts w:ascii="Arial" w:eastAsia="Arial" w:hAnsi="Arial" w:cs="Arial"/>
        </w:rPr>
        <w:t xml:space="preserve">AER OR = 1.31 (95% CI [1.20, 1.43]), </w:t>
      </w:r>
      <w:r>
        <w:rPr>
          <w:rFonts w:ascii="Arial" w:eastAsia="Arial" w:hAnsi="Arial" w:cs="Arial"/>
          <w:b/>
          <w:i/>
        </w:rPr>
        <w:t>p</w:t>
      </w:r>
      <w:r>
        <w:rPr>
          <w:rFonts w:ascii="Arial" w:eastAsia="Arial" w:hAnsi="Arial" w:cs="Arial"/>
        </w:rPr>
        <w:t xml:space="preserve"> &lt; .001</w:t>
      </w:r>
    </w:p>
    <w:p w14:paraId="1711B41A" w14:textId="77777777" w:rsidR="00771AAC" w:rsidRDefault="00000000">
      <w:pPr>
        <w:numPr>
          <w:ilvl w:val="0"/>
          <w:numId w:val="3"/>
        </w:numPr>
        <w:jc w:val="both"/>
        <w:rPr>
          <w:rFonts w:ascii="Arial" w:eastAsia="Arial" w:hAnsi="Arial" w:cs="Arial"/>
        </w:rPr>
      </w:pPr>
      <w:r>
        <w:rPr>
          <w:rFonts w:ascii="Arial" w:eastAsia="Arial" w:hAnsi="Arial" w:cs="Arial"/>
        </w:rPr>
        <w:t xml:space="preserve">IBT OR = 1.44 (95% CI [1.30, 1.59]), </w:t>
      </w:r>
      <w:r>
        <w:rPr>
          <w:rFonts w:ascii="Arial" w:eastAsia="Arial" w:hAnsi="Arial" w:cs="Arial"/>
          <w:b/>
          <w:i/>
        </w:rPr>
        <w:t>p</w:t>
      </w:r>
      <w:r>
        <w:rPr>
          <w:rFonts w:ascii="Arial" w:eastAsia="Arial" w:hAnsi="Arial" w:cs="Arial"/>
        </w:rPr>
        <w:t xml:space="preserve"> &lt; .001</w:t>
      </w:r>
    </w:p>
    <w:p w14:paraId="1D3717E6" w14:textId="77777777" w:rsidR="00771AAC" w:rsidRDefault="00000000">
      <w:pPr>
        <w:numPr>
          <w:ilvl w:val="0"/>
          <w:numId w:val="3"/>
        </w:numPr>
        <w:jc w:val="both"/>
        <w:rPr>
          <w:rFonts w:ascii="Arial" w:eastAsia="Arial" w:hAnsi="Arial" w:cs="Arial"/>
        </w:rPr>
      </w:pPr>
      <w:r>
        <w:rPr>
          <w:rFonts w:ascii="Arial" w:eastAsia="Arial" w:hAnsi="Arial" w:cs="Arial"/>
        </w:rPr>
        <w:t xml:space="preserve">Age OR = 0.94 per 10 years (0.89–0.99), </w:t>
      </w:r>
      <w:r>
        <w:rPr>
          <w:rFonts w:ascii="Arial" w:eastAsia="Arial" w:hAnsi="Arial" w:cs="Arial"/>
          <w:b/>
          <w:i/>
        </w:rPr>
        <w:t>p</w:t>
      </w:r>
      <w:r>
        <w:rPr>
          <w:rFonts w:ascii="Arial" w:eastAsia="Arial" w:hAnsi="Arial" w:cs="Arial"/>
        </w:rPr>
        <w:t xml:space="preserve"> = .02</w:t>
      </w:r>
    </w:p>
    <w:p w14:paraId="659C8CD9" w14:textId="77777777" w:rsidR="00771AAC" w:rsidRDefault="00000000">
      <w:pPr>
        <w:jc w:val="both"/>
        <w:rPr>
          <w:rFonts w:ascii="Arial" w:eastAsia="Arial" w:hAnsi="Arial" w:cs="Arial"/>
        </w:rPr>
      </w:pPr>
      <w:r>
        <w:rPr>
          <w:rFonts w:ascii="Arial" w:eastAsia="Arial" w:hAnsi="Arial" w:cs="Arial"/>
        </w:rPr>
        <w:t>Interpretation: a 1 SD increase in algorithmic exposure is associated with a 39% increase in the odds of purchasing within 24 hours, net of controls.</w:t>
      </w:r>
    </w:p>
    <w:p w14:paraId="41D446CF" w14:textId="77777777" w:rsidR="00771AAC" w:rsidRDefault="00771AAC">
      <w:pPr>
        <w:jc w:val="both"/>
        <w:rPr>
          <w:rFonts w:ascii="Arial" w:eastAsia="Arial" w:hAnsi="Arial" w:cs="Arial"/>
        </w:rPr>
      </w:pPr>
    </w:p>
    <w:p w14:paraId="07AD5536" w14:textId="77777777" w:rsidR="00771AAC" w:rsidRDefault="00000000">
      <w:pPr>
        <w:jc w:val="both"/>
        <w:rPr>
          <w:rFonts w:ascii="Arial" w:eastAsia="Arial" w:hAnsi="Arial" w:cs="Arial"/>
          <w:b/>
        </w:rPr>
      </w:pPr>
      <w:r>
        <w:rPr>
          <w:rFonts w:ascii="Arial Unicode MS" w:eastAsia="Arial Unicode MS" w:hAnsi="Arial Unicode MS" w:cs="Arial Unicode MS"/>
          <w:b/>
        </w:rPr>
        <w:t>5) Mediation Test (AEI → AER → IBT)</w:t>
      </w:r>
    </w:p>
    <w:p w14:paraId="1FAA9C36" w14:textId="77777777" w:rsidR="00771AAC" w:rsidRDefault="00771AAC">
      <w:pPr>
        <w:jc w:val="both"/>
        <w:rPr>
          <w:rFonts w:ascii="Arial" w:eastAsia="Arial" w:hAnsi="Arial" w:cs="Arial"/>
          <w:b/>
        </w:rPr>
      </w:pPr>
    </w:p>
    <w:p w14:paraId="6F3781CE" w14:textId="77777777" w:rsidR="00771AAC" w:rsidRDefault="00000000">
      <w:pPr>
        <w:jc w:val="both"/>
        <w:rPr>
          <w:rFonts w:ascii="Arial" w:eastAsia="Arial" w:hAnsi="Arial" w:cs="Arial"/>
        </w:rPr>
      </w:pPr>
      <w:r>
        <w:rPr>
          <w:rFonts w:ascii="Arial" w:eastAsia="Arial" w:hAnsi="Arial" w:cs="Arial"/>
        </w:rPr>
        <w:t>Bootstrapped (5,000 draws) indirect effect:</w:t>
      </w:r>
    </w:p>
    <w:p w14:paraId="3F7BB2E6" w14:textId="77777777" w:rsidR="00771AAC" w:rsidRDefault="00000000">
      <w:pPr>
        <w:numPr>
          <w:ilvl w:val="0"/>
          <w:numId w:val="4"/>
        </w:numPr>
        <w:jc w:val="both"/>
        <w:rPr>
          <w:rFonts w:ascii="Arial" w:eastAsia="Arial" w:hAnsi="Arial" w:cs="Arial"/>
        </w:rPr>
      </w:pPr>
      <w:r>
        <w:rPr>
          <w:rFonts w:ascii="Arial" w:eastAsia="Arial" w:hAnsi="Arial" w:cs="Arial"/>
        </w:rPr>
        <w:t xml:space="preserve">Indirect b = .07, 95% CI [.04, .10], </w:t>
      </w:r>
      <w:r>
        <w:rPr>
          <w:rFonts w:ascii="Arial" w:eastAsia="Arial" w:hAnsi="Arial" w:cs="Arial"/>
          <w:b/>
          <w:i/>
        </w:rPr>
        <w:t>p</w:t>
      </w:r>
      <w:r>
        <w:rPr>
          <w:rFonts w:ascii="Arial" w:eastAsia="Arial" w:hAnsi="Arial" w:cs="Arial"/>
        </w:rPr>
        <w:t xml:space="preserve"> &lt; .001</w:t>
      </w:r>
    </w:p>
    <w:p w14:paraId="078AED29" w14:textId="77777777" w:rsidR="00771AAC" w:rsidRDefault="00000000">
      <w:pPr>
        <w:numPr>
          <w:ilvl w:val="0"/>
          <w:numId w:val="4"/>
        </w:numPr>
        <w:jc w:val="both"/>
        <w:rPr>
          <w:rFonts w:ascii="Arial" w:eastAsia="Arial" w:hAnsi="Arial" w:cs="Arial"/>
        </w:rPr>
      </w:pPr>
      <w:r>
        <w:rPr>
          <w:rFonts w:ascii="Arial Unicode MS" w:eastAsia="Arial Unicode MS" w:hAnsi="Arial Unicode MS" w:cs="Arial Unicode MS"/>
        </w:rPr>
        <w:t xml:space="preserve">Direct AEI → IBT remains significant (b = .23, </w:t>
      </w:r>
      <w:r>
        <w:rPr>
          <w:rFonts w:ascii="Arial" w:eastAsia="Arial" w:hAnsi="Arial" w:cs="Arial"/>
          <w:b/>
          <w:i/>
        </w:rPr>
        <w:t>p</w:t>
      </w:r>
      <w:r>
        <w:rPr>
          <w:rFonts w:ascii="Arial" w:eastAsia="Arial" w:hAnsi="Arial" w:cs="Arial"/>
        </w:rPr>
        <w:t xml:space="preserve"> &lt; .001), indicating partial mediation: higher algorithmic exposure increases engagement with ads, which in turn elevates impulse-buying tendency.</w:t>
      </w:r>
    </w:p>
    <w:p w14:paraId="77B8FBEF" w14:textId="77777777" w:rsidR="00771AAC" w:rsidRDefault="00771AAC">
      <w:pPr>
        <w:ind w:left="720"/>
        <w:jc w:val="both"/>
        <w:rPr>
          <w:rFonts w:ascii="Arial" w:eastAsia="Arial" w:hAnsi="Arial" w:cs="Arial"/>
        </w:rPr>
      </w:pPr>
    </w:p>
    <w:p w14:paraId="0EA5E8F4" w14:textId="77777777" w:rsidR="00771AAC" w:rsidRDefault="00000000">
      <w:pPr>
        <w:jc w:val="both"/>
        <w:rPr>
          <w:rFonts w:ascii="Arial" w:eastAsia="Arial" w:hAnsi="Arial" w:cs="Arial"/>
          <w:b/>
        </w:rPr>
      </w:pPr>
      <w:r>
        <w:rPr>
          <w:rFonts w:ascii="Arial" w:eastAsia="Arial" w:hAnsi="Arial" w:cs="Arial"/>
          <w:b/>
        </w:rPr>
        <w:t>6) Platform Differences (ANOVA on AEI)</w:t>
      </w:r>
    </w:p>
    <w:p w14:paraId="0DE68620" w14:textId="77777777" w:rsidR="00771AAC" w:rsidRDefault="00771AAC">
      <w:pPr>
        <w:jc w:val="both"/>
        <w:rPr>
          <w:rFonts w:ascii="Arial" w:eastAsia="Arial" w:hAnsi="Arial" w:cs="Arial"/>
          <w:b/>
        </w:rPr>
      </w:pPr>
    </w:p>
    <w:p w14:paraId="5FB436EA" w14:textId="77777777" w:rsidR="00771AAC" w:rsidRDefault="00000000">
      <w:pPr>
        <w:jc w:val="both"/>
        <w:rPr>
          <w:rFonts w:ascii="Arial" w:eastAsia="Arial" w:hAnsi="Arial" w:cs="Arial"/>
        </w:rPr>
      </w:pPr>
      <w:r>
        <w:rPr>
          <w:rFonts w:ascii="Arial" w:eastAsia="Arial" w:hAnsi="Arial" w:cs="Arial"/>
        </w:rPr>
        <w:t>Primary-platform groups (self-identified heavy use):</w:t>
      </w:r>
    </w:p>
    <w:p w14:paraId="1FAB9F2E" w14:textId="77777777" w:rsidR="00771AAC" w:rsidRDefault="00771AAC">
      <w:pPr>
        <w:jc w:val="both"/>
        <w:rPr>
          <w:rFonts w:ascii="Arial" w:eastAsia="Arial" w:hAnsi="Arial" w:cs="Arial"/>
        </w:rPr>
      </w:pPr>
    </w:p>
    <w:p w14:paraId="160657F8" w14:textId="77777777" w:rsidR="00771AAC" w:rsidRDefault="00000000">
      <w:pPr>
        <w:jc w:val="both"/>
        <w:rPr>
          <w:rFonts w:ascii="Arial" w:eastAsia="Arial" w:hAnsi="Arial" w:cs="Arial"/>
          <w:b/>
        </w:rPr>
      </w:pPr>
      <w:r>
        <w:rPr>
          <w:rFonts w:ascii="Arial" w:eastAsia="Arial" w:hAnsi="Arial" w:cs="Arial"/>
        </w:rPr>
        <w:t xml:space="preserve">Table 2 </w:t>
      </w:r>
      <w:r>
        <w:rPr>
          <w:rFonts w:ascii="Arial" w:eastAsia="Arial" w:hAnsi="Arial" w:cs="Arial"/>
          <w:b/>
        </w:rPr>
        <w:t>AEI Mean Scores (with Standard Deviations) Across Social Media Platforms</w:t>
      </w:r>
    </w:p>
    <w:tbl>
      <w:tblPr>
        <w:tblStyle w:val="a1"/>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771AAC" w14:paraId="0B30E406" w14:textId="77777777">
        <w:tc>
          <w:tcPr>
            <w:tcW w:w="2736" w:type="dxa"/>
            <w:tcMar>
              <w:top w:w="100" w:type="dxa"/>
              <w:left w:w="100" w:type="dxa"/>
              <w:bottom w:w="100" w:type="dxa"/>
              <w:right w:w="100" w:type="dxa"/>
            </w:tcMar>
          </w:tcPr>
          <w:p w14:paraId="0C6977AC" w14:textId="77777777" w:rsidR="00771AAC" w:rsidRDefault="00000000">
            <w:pPr>
              <w:jc w:val="both"/>
              <w:rPr>
                <w:rFonts w:ascii="Arial" w:eastAsia="Arial" w:hAnsi="Arial" w:cs="Arial"/>
                <w:b/>
              </w:rPr>
            </w:pPr>
            <w:r>
              <w:rPr>
                <w:rFonts w:ascii="Arial" w:eastAsia="Arial" w:hAnsi="Arial" w:cs="Arial"/>
                <w:b/>
              </w:rPr>
              <w:t>Platform</w:t>
            </w:r>
          </w:p>
        </w:tc>
        <w:tc>
          <w:tcPr>
            <w:tcW w:w="2736" w:type="dxa"/>
            <w:tcMar>
              <w:top w:w="100" w:type="dxa"/>
              <w:left w:w="100" w:type="dxa"/>
              <w:bottom w:w="100" w:type="dxa"/>
              <w:right w:w="100" w:type="dxa"/>
            </w:tcMar>
          </w:tcPr>
          <w:p w14:paraId="4520CC43" w14:textId="77777777" w:rsidR="00771AAC" w:rsidRDefault="00000000">
            <w:pPr>
              <w:jc w:val="both"/>
              <w:rPr>
                <w:rFonts w:ascii="Arial" w:eastAsia="Arial" w:hAnsi="Arial" w:cs="Arial"/>
                <w:b/>
              </w:rPr>
            </w:pPr>
            <w:r>
              <w:rPr>
                <w:rFonts w:ascii="Arial" w:eastAsia="Arial" w:hAnsi="Arial" w:cs="Arial"/>
                <w:b/>
              </w:rPr>
              <w:t>n</w:t>
            </w:r>
          </w:p>
        </w:tc>
        <w:tc>
          <w:tcPr>
            <w:tcW w:w="2736" w:type="dxa"/>
            <w:tcMar>
              <w:top w:w="100" w:type="dxa"/>
              <w:left w:w="100" w:type="dxa"/>
              <w:bottom w:w="100" w:type="dxa"/>
              <w:right w:w="100" w:type="dxa"/>
            </w:tcMar>
          </w:tcPr>
          <w:p w14:paraId="16490AD2" w14:textId="77777777" w:rsidR="00771AAC" w:rsidRDefault="00000000">
            <w:pPr>
              <w:jc w:val="both"/>
              <w:rPr>
                <w:rFonts w:ascii="Arial" w:eastAsia="Arial" w:hAnsi="Arial" w:cs="Arial"/>
                <w:b/>
              </w:rPr>
            </w:pPr>
            <w:r>
              <w:rPr>
                <w:rFonts w:ascii="Arial" w:eastAsia="Arial" w:hAnsi="Arial" w:cs="Arial"/>
                <w:b/>
              </w:rPr>
              <w:t>AEI Mean (SD)</w:t>
            </w:r>
          </w:p>
        </w:tc>
      </w:tr>
      <w:tr w:rsidR="00771AAC" w14:paraId="1115C420" w14:textId="77777777">
        <w:trPr>
          <w:trHeight w:val="424"/>
        </w:trPr>
        <w:tc>
          <w:tcPr>
            <w:tcW w:w="2736" w:type="dxa"/>
            <w:tcMar>
              <w:top w:w="100" w:type="dxa"/>
              <w:left w:w="100" w:type="dxa"/>
              <w:bottom w:w="100" w:type="dxa"/>
              <w:right w:w="100" w:type="dxa"/>
            </w:tcMar>
          </w:tcPr>
          <w:p w14:paraId="6DA86376" w14:textId="77777777" w:rsidR="00771AAC" w:rsidRDefault="00000000">
            <w:pPr>
              <w:jc w:val="both"/>
              <w:rPr>
                <w:rFonts w:ascii="Arial" w:eastAsia="Arial" w:hAnsi="Arial" w:cs="Arial"/>
              </w:rPr>
            </w:pPr>
            <w:r>
              <w:rPr>
                <w:rFonts w:ascii="Arial" w:eastAsia="Arial" w:hAnsi="Arial" w:cs="Arial"/>
              </w:rPr>
              <w:t>TikTok</w:t>
            </w:r>
          </w:p>
        </w:tc>
        <w:tc>
          <w:tcPr>
            <w:tcW w:w="2736" w:type="dxa"/>
            <w:tcMar>
              <w:top w:w="100" w:type="dxa"/>
              <w:left w:w="100" w:type="dxa"/>
              <w:bottom w:w="100" w:type="dxa"/>
              <w:right w:w="100" w:type="dxa"/>
            </w:tcMar>
          </w:tcPr>
          <w:p w14:paraId="6FFCA94A" w14:textId="77777777" w:rsidR="00771AAC" w:rsidRDefault="00000000">
            <w:pPr>
              <w:jc w:val="both"/>
              <w:rPr>
                <w:rFonts w:ascii="Arial" w:eastAsia="Arial" w:hAnsi="Arial" w:cs="Arial"/>
              </w:rPr>
            </w:pPr>
            <w:r>
              <w:rPr>
                <w:rFonts w:ascii="Arial" w:eastAsia="Arial" w:hAnsi="Arial" w:cs="Arial"/>
              </w:rPr>
              <w:t>316</w:t>
            </w:r>
          </w:p>
        </w:tc>
        <w:tc>
          <w:tcPr>
            <w:tcW w:w="2736" w:type="dxa"/>
            <w:tcMar>
              <w:top w:w="100" w:type="dxa"/>
              <w:left w:w="100" w:type="dxa"/>
              <w:bottom w:w="100" w:type="dxa"/>
              <w:right w:w="100" w:type="dxa"/>
            </w:tcMar>
          </w:tcPr>
          <w:p w14:paraId="4AF76CCD" w14:textId="77777777" w:rsidR="00771AAC" w:rsidRDefault="00000000">
            <w:pPr>
              <w:jc w:val="both"/>
              <w:rPr>
                <w:rFonts w:ascii="Arial" w:eastAsia="Arial" w:hAnsi="Arial" w:cs="Arial"/>
              </w:rPr>
            </w:pPr>
            <w:r>
              <w:rPr>
                <w:rFonts w:ascii="Arial" w:eastAsia="Arial" w:hAnsi="Arial" w:cs="Arial"/>
              </w:rPr>
              <w:t>67.4(16.1)</w:t>
            </w:r>
          </w:p>
        </w:tc>
      </w:tr>
      <w:tr w:rsidR="00771AAC" w14:paraId="45B183D4" w14:textId="77777777">
        <w:tc>
          <w:tcPr>
            <w:tcW w:w="2736" w:type="dxa"/>
            <w:tcMar>
              <w:top w:w="100" w:type="dxa"/>
              <w:left w:w="100" w:type="dxa"/>
              <w:bottom w:w="100" w:type="dxa"/>
              <w:right w:w="100" w:type="dxa"/>
            </w:tcMar>
          </w:tcPr>
          <w:p w14:paraId="0B11B654" w14:textId="77777777" w:rsidR="00771AAC" w:rsidRDefault="00000000">
            <w:pPr>
              <w:jc w:val="both"/>
              <w:rPr>
                <w:rFonts w:ascii="Arial" w:eastAsia="Arial" w:hAnsi="Arial" w:cs="Arial"/>
              </w:rPr>
            </w:pPr>
            <w:r>
              <w:rPr>
                <w:rFonts w:ascii="Arial" w:eastAsia="Arial" w:hAnsi="Arial" w:cs="Arial"/>
              </w:rPr>
              <w:t>Instagram</w:t>
            </w:r>
          </w:p>
        </w:tc>
        <w:tc>
          <w:tcPr>
            <w:tcW w:w="2736" w:type="dxa"/>
            <w:tcMar>
              <w:top w:w="100" w:type="dxa"/>
              <w:left w:w="100" w:type="dxa"/>
              <w:bottom w:w="100" w:type="dxa"/>
              <w:right w:w="100" w:type="dxa"/>
            </w:tcMar>
          </w:tcPr>
          <w:p w14:paraId="418C588E" w14:textId="77777777" w:rsidR="00771AAC" w:rsidRDefault="00000000">
            <w:pPr>
              <w:jc w:val="both"/>
              <w:rPr>
                <w:rFonts w:ascii="Arial" w:eastAsia="Arial" w:hAnsi="Arial" w:cs="Arial"/>
              </w:rPr>
            </w:pPr>
            <w:r>
              <w:rPr>
                <w:rFonts w:ascii="Arial" w:eastAsia="Arial" w:hAnsi="Arial" w:cs="Arial"/>
              </w:rPr>
              <w:t>384</w:t>
            </w:r>
          </w:p>
        </w:tc>
        <w:tc>
          <w:tcPr>
            <w:tcW w:w="2736" w:type="dxa"/>
            <w:tcMar>
              <w:top w:w="100" w:type="dxa"/>
              <w:left w:w="100" w:type="dxa"/>
              <w:bottom w:w="100" w:type="dxa"/>
              <w:right w:w="100" w:type="dxa"/>
            </w:tcMar>
          </w:tcPr>
          <w:p w14:paraId="402E2796" w14:textId="77777777" w:rsidR="00771AAC" w:rsidRDefault="00000000">
            <w:pPr>
              <w:jc w:val="both"/>
              <w:rPr>
                <w:rFonts w:ascii="Arial" w:eastAsia="Arial" w:hAnsi="Arial" w:cs="Arial"/>
              </w:rPr>
            </w:pPr>
            <w:r>
              <w:rPr>
                <w:rFonts w:ascii="Arial" w:eastAsia="Arial" w:hAnsi="Arial" w:cs="Arial"/>
              </w:rPr>
              <w:t>62.1 (16.8)</w:t>
            </w:r>
          </w:p>
        </w:tc>
      </w:tr>
      <w:tr w:rsidR="00771AAC" w14:paraId="0B4AF03C" w14:textId="77777777">
        <w:tc>
          <w:tcPr>
            <w:tcW w:w="2736" w:type="dxa"/>
            <w:tcMar>
              <w:top w:w="100" w:type="dxa"/>
              <w:left w:w="100" w:type="dxa"/>
              <w:bottom w:w="100" w:type="dxa"/>
              <w:right w:w="100" w:type="dxa"/>
            </w:tcMar>
          </w:tcPr>
          <w:p w14:paraId="461B29CB" w14:textId="77777777" w:rsidR="00771AAC" w:rsidRDefault="00000000">
            <w:pPr>
              <w:jc w:val="both"/>
              <w:rPr>
                <w:rFonts w:ascii="Arial" w:eastAsia="Arial" w:hAnsi="Arial" w:cs="Arial"/>
              </w:rPr>
            </w:pPr>
            <w:r>
              <w:rPr>
                <w:rFonts w:ascii="Arial" w:eastAsia="Arial" w:hAnsi="Arial" w:cs="Arial"/>
              </w:rPr>
              <w:t>YouTube</w:t>
            </w:r>
          </w:p>
        </w:tc>
        <w:tc>
          <w:tcPr>
            <w:tcW w:w="2736" w:type="dxa"/>
            <w:tcMar>
              <w:top w:w="100" w:type="dxa"/>
              <w:left w:w="100" w:type="dxa"/>
              <w:bottom w:w="100" w:type="dxa"/>
              <w:right w:w="100" w:type="dxa"/>
            </w:tcMar>
          </w:tcPr>
          <w:p w14:paraId="1B1F190E" w14:textId="77777777" w:rsidR="00771AAC" w:rsidRDefault="00000000">
            <w:pPr>
              <w:jc w:val="both"/>
              <w:rPr>
                <w:rFonts w:ascii="Arial" w:eastAsia="Arial" w:hAnsi="Arial" w:cs="Arial"/>
              </w:rPr>
            </w:pPr>
            <w:r>
              <w:rPr>
                <w:rFonts w:ascii="Arial" w:eastAsia="Arial" w:hAnsi="Arial" w:cs="Arial"/>
              </w:rPr>
              <w:t>268</w:t>
            </w:r>
          </w:p>
        </w:tc>
        <w:tc>
          <w:tcPr>
            <w:tcW w:w="2736" w:type="dxa"/>
            <w:tcMar>
              <w:top w:w="100" w:type="dxa"/>
              <w:left w:w="100" w:type="dxa"/>
              <w:bottom w:w="100" w:type="dxa"/>
              <w:right w:w="100" w:type="dxa"/>
            </w:tcMar>
          </w:tcPr>
          <w:p w14:paraId="1310EC6E" w14:textId="77777777" w:rsidR="00771AAC" w:rsidRDefault="00000000">
            <w:pPr>
              <w:jc w:val="both"/>
              <w:rPr>
                <w:rFonts w:ascii="Arial" w:eastAsia="Arial" w:hAnsi="Arial" w:cs="Arial"/>
              </w:rPr>
            </w:pPr>
            <w:r>
              <w:rPr>
                <w:rFonts w:ascii="Arial" w:eastAsia="Arial" w:hAnsi="Arial" w:cs="Arial"/>
              </w:rPr>
              <w:t>55.2 (17.3)</w:t>
            </w:r>
          </w:p>
        </w:tc>
      </w:tr>
      <w:tr w:rsidR="00771AAC" w14:paraId="4B6E6CC0" w14:textId="77777777">
        <w:tc>
          <w:tcPr>
            <w:tcW w:w="2736" w:type="dxa"/>
            <w:tcMar>
              <w:top w:w="100" w:type="dxa"/>
              <w:left w:w="100" w:type="dxa"/>
              <w:bottom w:w="100" w:type="dxa"/>
              <w:right w:w="100" w:type="dxa"/>
            </w:tcMar>
          </w:tcPr>
          <w:p w14:paraId="54EEF115" w14:textId="77777777" w:rsidR="00771AAC" w:rsidRDefault="00000000">
            <w:pPr>
              <w:jc w:val="both"/>
              <w:rPr>
                <w:rFonts w:ascii="Arial" w:eastAsia="Arial" w:hAnsi="Arial" w:cs="Arial"/>
              </w:rPr>
            </w:pPr>
            <w:r>
              <w:rPr>
                <w:rFonts w:ascii="Arial" w:eastAsia="Arial" w:hAnsi="Arial" w:cs="Arial"/>
              </w:rPr>
              <w:t>X</w:t>
            </w:r>
          </w:p>
        </w:tc>
        <w:tc>
          <w:tcPr>
            <w:tcW w:w="2736" w:type="dxa"/>
            <w:tcMar>
              <w:top w:w="100" w:type="dxa"/>
              <w:left w:w="100" w:type="dxa"/>
              <w:bottom w:w="100" w:type="dxa"/>
              <w:right w:w="100" w:type="dxa"/>
            </w:tcMar>
          </w:tcPr>
          <w:p w14:paraId="6DA390D0" w14:textId="77777777" w:rsidR="00771AAC" w:rsidRDefault="00000000">
            <w:pPr>
              <w:jc w:val="both"/>
              <w:rPr>
                <w:rFonts w:ascii="Arial" w:eastAsia="Arial" w:hAnsi="Arial" w:cs="Arial"/>
              </w:rPr>
            </w:pPr>
            <w:r>
              <w:rPr>
                <w:rFonts w:ascii="Arial" w:eastAsia="Arial" w:hAnsi="Arial" w:cs="Arial"/>
              </w:rPr>
              <w:t>141</w:t>
            </w:r>
          </w:p>
        </w:tc>
        <w:tc>
          <w:tcPr>
            <w:tcW w:w="2736" w:type="dxa"/>
            <w:tcMar>
              <w:top w:w="100" w:type="dxa"/>
              <w:left w:w="100" w:type="dxa"/>
              <w:bottom w:w="100" w:type="dxa"/>
              <w:right w:w="100" w:type="dxa"/>
            </w:tcMar>
          </w:tcPr>
          <w:p w14:paraId="36F761C4" w14:textId="77777777" w:rsidR="00771AAC" w:rsidRDefault="00000000">
            <w:pPr>
              <w:jc w:val="both"/>
              <w:rPr>
                <w:rFonts w:ascii="Arial" w:eastAsia="Arial" w:hAnsi="Arial" w:cs="Arial"/>
              </w:rPr>
            </w:pPr>
            <w:r>
              <w:rPr>
                <w:rFonts w:ascii="Arial" w:eastAsia="Arial" w:hAnsi="Arial" w:cs="Arial"/>
              </w:rPr>
              <w:t>49.8 (18.7)</w:t>
            </w:r>
          </w:p>
        </w:tc>
      </w:tr>
      <w:tr w:rsidR="00771AAC" w14:paraId="3FF8C8EC" w14:textId="77777777">
        <w:tc>
          <w:tcPr>
            <w:tcW w:w="2736" w:type="dxa"/>
            <w:tcMar>
              <w:top w:w="100" w:type="dxa"/>
              <w:left w:w="100" w:type="dxa"/>
              <w:bottom w:w="100" w:type="dxa"/>
              <w:right w:w="100" w:type="dxa"/>
            </w:tcMar>
          </w:tcPr>
          <w:p w14:paraId="664EE5B4" w14:textId="77777777" w:rsidR="00771AAC" w:rsidRDefault="00000000">
            <w:pPr>
              <w:jc w:val="both"/>
              <w:rPr>
                <w:rFonts w:ascii="Arial" w:eastAsia="Arial" w:hAnsi="Arial" w:cs="Arial"/>
              </w:rPr>
            </w:pPr>
            <w:r>
              <w:rPr>
                <w:rFonts w:ascii="Arial" w:eastAsia="Arial" w:hAnsi="Arial" w:cs="Arial"/>
              </w:rPr>
              <w:t>Facebook</w:t>
            </w:r>
          </w:p>
        </w:tc>
        <w:tc>
          <w:tcPr>
            <w:tcW w:w="2736" w:type="dxa"/>
            <w:tcMar>
              <w:top w:w="100" w:type="dxa"/>
              <w:left w:w="100" w:type="dxa"/>
              <w:bottom w:w="100" w:type="dxa"/>
              <w:right w:w="100" w:type="dxa"/>
            </w:tcMar>
          </w:tcPr>
          <w:p w14:paraId="7BCF1011" w14:textId="77777777" w:rsidR="00771AAC" w:rsidRDefault="00000000">
            <w:pPr>
              <w:jc w:val="both"/>
              <w:rPr>
                <w:rFonts w:ascii="Arial" w:eastAsia="Arial" w:hAnsi="Arial" w:cs="Arial"/>
              </w:rPr>
            </w:pPr>
            <w:r>
              <w:rPr>
                <w:rFonts w:ascii="Arial" w:eastAsia="Arial" w:hAnsi="Arial" w:cs="Arial"/>
              </w:rPr>
              <w:t>127</w:t>
            </w:r>
          </w:p>
        </w:tc>
        <w:tc>
          <w:tcPr>
            <w:tcW w:w="2736" w:type="dxa"/>
            <w:tcMar>
              <w:top w:w="100" w:type="dxa"/>
              <w:left w:w="100" w:type="dxa"/>
              <w:bottom w:w="100" w:type="dxa"/>
              <w:right w:w="100" w:type="dxa"/>
            </w:tcMar>
          </w:tcPr>
          <w:p w14:paraId="51A848AC" w14:textId="77777777" w:rsidR="00771AAC" w:rsidRDefault="00000000">
            <w:pPr>
              <w:jc w:val="both"/>
              <w:rPr>
                <w:rFonts w:ascii="Arial" w:eastAsia="Arial" w:hAnsi="Arial" w:cs="Arial"/>
              </w:rPr>
            </w:pPr>
            <w:r>
              <w:rPr>
                <w:rFonts w:ascii="Arial" w:eastAsia="Arial" w:hAnsi="Arial" w:cs="Arial"/>
              </w:rPr>
              <w:t>47.5 (17.9)</w:t>
            </w:r>
          </w:p>
        </w:tc>
      </w:tr>
    </w:tbl>
    <w:p w14:paraId="4640E8CA" w14:textId="77777777" w:rsidR="00771AAC" w:rsidRDefault="00771AAC">
      <w:pPr>
        <w:jc w:val="both"/>
        <w:rPr>
          <w:rFonts w:ascii="Arial" w:eastAsia="Arial" w:hAnsi="Arial" w:cs="Arial"/>
        </w:rPr>
      </w:pPr>
    </w:p>
    <w:p w14:paraId="432F6C2B" w14:textId="77777777" w:rsidR="00771AAC" w:rsidRDefault="00771AAC">
      <w:pPr>
        <w:jc w:val="both"/>
        <w:rPr>
          <w:rFonts w:ascii="Arial" w:eastAsia="Arial" w:hAnsi="Arial" w:cs="Arial"/>
        </w:rPr>
      </w:pPr>
    </w:p>
    <w:p w14:paraId="0D557ED9" w14:textId="77777777" w:rsidR="00771AAC" w:rsidRDefault="00000000">
      <w:pPr>
        <w:jc w:val="both"/>
        <w:rPr>
          <w:rFonts w:ascii="Arial" w:eastAsia="Arial" w:hAnsi="Arial" w:cs="Arial"/>
          <w:b/>
        </w:rPr>
      </w:pPr>
      <w:r>
        <w:rPr>
          <w:rFonts w:ascii="Arial" w:eastAsia="Arial" w:hAnsi="Arial" w:cs="Arial"/>
        </w:rPr>
        <w:t xml:space="preserve">Omnibus: </w:t>
      </w:r>
      <w:proofErr w:type="gramStart"/>
      <w:r>
        <w:rPr>
          <w:rFonts w:ascii="Arial" w:eastAsia="Arial" w:hAnsi="Arial" w:cs="Arial"/>
          <w:b/>
        </w:rPr>
        <w:t>F(</w:t>
      </w:r>
      <w:proofErr w:type="gramEnd"/>
      <w:r>
        <w:rPr>
          <w:rFonts w:ascii="Arial" w:eastAsia="Arial" w:hAnsi="Arial" w:cs="Arial"/>
          <w:b/>
        </w:rPr>
        <w:t xml:space="preserve">4, 1231) = 18.6, </w:t>
      </w:r>
      <w:r>
        <w:rPr>
          <w:rFonts w:ascii="Arial" w:eastAsia="Arial" w:hAnsi="Arial" w:cs="Arial"/>
          <w:b/>
          <w:i/>
        </w:rPr>
        <w:t>p</w:t>
      </w:r>
      <w:r>
        <w:rPr>
          <w:rFonts w:ascii="Arial" w:eastAsia="Arial" w:hAnsi="Arial" w:cs="Arial"/>
          <w:b/>
        </w:rPr>
        <w:t xml:space="preserve"> &lt; .001</w:t>
      </w:r>
      <w:r>
        <w:rPr>
          <w:rFonts w:ascii="Arial Unicode MS" w:eastAsia="Arial Unicode MS" w:hAnsi="Arial Unicode MS" w:cs="Arial Unicode MS"/>
        </w:rPr>
        <w:t>, η² = .057. Tukey post-hoc: TikTok &gt; Instagram &gt; (YouTube ≈ X ≈ Facebook); all adjacent differences noted are</w:t>
      </w:r>
      <w:r>
        <w:rPr>
          <w:rFonts w:ascii="Arial" w:eastAsia="Arial" w:hAnsi="Arial" w:cs="Arial"/>
          <w:b/>
          <w:i/>
        </w:rPr>
        <w:t xml:space="preserve"> p</w:t>
      </w:r>
      <w:r>
        <w:rPr>
          <w:rFonts w:ascii="Arial" w:eastAsia="Arial" w:hAnsi="Arial" w:cs="Arial"/>
          <w:b/>
        </w:rPr>
        <w:t xml:space="preserve"> &lt; .05.</w:t>
      </w:r>
    </w:p>
    <w:p w14:paraId="23EFFA6A" w14:textId="77777777" w:rsidR="00771AAC" w:rsidRDefault="00771AAC">
      <w:pPr>
        <w:jc w:val="both"/>
        <w:rPr>
          <w:rFonts w:ascii="Arial" w:eastAsia="Arial" w:hAnsi="Arial" w:cs="Arial"/>
          <w:b/>
        </w:rPr>
      </w:pPr>
    </w:p>
    <w:p w14:paraId="48667519" w14:textId="77777777" w:rsidR="00771AAC" w:rsidRDefault="00000000">
      <w:pPr>
        <w:jc w:val="both"/>
        <w:rPr>
          <w:rFonts w:ascii="Arial" w:eastAsia="Arial" w:hAnsi="Arial" w:cs="Arial"/>
          <w:b/>
        </w:rPr>
      </w:pPr>
      <w:r>
        <w:rPr>
          <w:rFonts w:ascii="Arial" w:eastAsia="Arial" w:hAnsi="Arial" w:cs="Arial"/>
          <w:b/>
        </w:rPr>
        <w:t>7) Robustness &amp; Subgroup Checks</w:t>
      </w:r>
    </w:p>
    <w:p w14:paraId="1DA70997" w14:textId="77777777" w:rsidR="00771AAC" w:rsidRDefault="00771AAC">
      <w:pPr>
        <w:jc w:val="both"/>
        <w:rPr>
          <w:rFonts w:ascii="Arial" w:eastAsia="Arial" w:hAnsi="Arial" w:cs="Arial"/>
          <w:b/>
        </w:rPr>
      </w:pPr>
    </w:p>
    <w:p w14:paraId="2C27A09A" w14:textId="77777777" w:rsidR="00771AAC" w:rsidRDefault="00000000">
      <w:pPr>
        <w:numPr>
          <w:ilvl w:val="0"/>
          <w:numId w:val="2"/>
        </w:numPr>
        <w:jc w:val="both"/>
        <w:rPr>
          <w:rFonts w:ascii="Arial" w:eastAsia="Arial" w:hAnsi="Arial" w:cs="Arial"/>
        </w:rPr>
      </w:pPr>
      <w:r>
        <w:rPr>
          <w:rFonts w:ascii="Arial" w:eastAsia="Arial" w:hAnsi="Arial" w:cs="Arial"/>
          <w:b/>
        </w:rPr>
        <w:t>Follower-to-Following Ratio &gt; 1.2×</w:t>
      </w:r>
      <w:r>
        <w:rPr>
          <w:rFonts w:ascii="Arial Unicode MS" w:eastAsia="Arial Unicode MS" w:hAnsi="Arial Unicode MS" w:cs="Arial Unicode MS"/>
        </w:rPr>
        <w:t xml:space="preserve"> subsample (n = 812, “active” users): effect sizes strengthen slightly (AEI → IBT β = .31***; AEI OR = 1.46***).</w:t>
      </w:r>
    </w:p>
    <w:p w14:paraId="0748F703" w14:textId="77777777" w:rsidR="00771AAC" w:rsidRDefault="00000000">
      <w:pPr>
        <w:numPr>
          <w:ilvl w:val="0"/>
          <w:numId w:val="2"/>
        </w:numPr>
        <w:jc w:val="both"/>
        <w:rPr>
          <w:rFonts w:ascii="Arial" w:eastAsia="Arial" w:hAnsi="Arial" w:cs="Arial"/>
        </w:rPr>
      </w:pPr>
      <w:r>
        <w:rPr>
          <w:rFonts w:ascii="Arial" w:eastAsia="Arial" w:hAnsi="Arial" w:cs="Arial"/>
        </w:rPr>
        <w:t xml:space="preserve">No material </w:t>
      </w:r>
      <w:r>
        <w:rPr>
          <w:rFonts w:ascii="Arial" w:eastAsia="Arial" w:hAnsi="Arial" w:cs="Arial"/>
          <w:b/>
        </w:rPr>
        <w:t xml:space="preserve">Gender × AEI </w:t>
      </w:r>
      <w:r>
        <w:rPr>
          <w:rFonts w:ascii="Arial" w:eastAsia="Arial" w:hAnsi="Arial" w:cs="Arial"/>
        </w:rPr>
        <w:t>interaction (</w:t>
      </w:r>
      <w:r>
        <w:rPr>
          <w:rFonts w:ascii="Arial" w:eastAsia="Arial" w:hAnsi="Arial" w:cs="Arial"/>
          <w:b/>
          <w:i/>
        </w:rPr>
        <w:t xml:space="preserve">p </w:t>
      </w:r>
      <w:r>
        <w:rPr>
          <w:rFonts w:ascii="Arial" w:eastAsia="Arial" w:hAnsi="Arial" w:cs="Arial"/>
          <w:b/>
        </w:rPr>
        <w:t>= .28</w:t>
      </w:r>
      <w:r>
        <w:rPr>
          <w:rFonts w:ascii="Arial" w:eastAsia="Arial" w:hAnsi="Arial" w:cs="Arial"/>
        </w:rPr>
        <w:t>). No established effect</w:t>
      </w:r>
    </w:p>
    <w:p w14:paraId="1538D102" w14:textId="77777777" w:rsidR="00771AAC" w:rsidRDefault="00000000">
      <w:pPr>
        <w:numPr>
          <w:ilvl w:val="0"/>
          <w:numId w:val="2"/>
        </w:numPr>
        <w:jc w:val="both"/>
        <w:rPr>
          <w:rFonts w:ascii="Arial" w:eastAsia="Arial" w:hAnsi="Arial" w:cs="Arial"/>
        </w:rPr>
      </w:pPr>
      <w:r>
        <w:rPr>
          <w:rFonts w:ascii="Arial" w:eastAsia="Arial" w:hAnsi="Arial" w:cs="Arial"/>
        </w:rPr>
        <w:t xml:space="preserve">Small </w:t>
      </w:r>
      <w:r>
        <w:rPr>
          <w:rFonts w:ascii="Arial" w:eastAsia="Arial" w:hAnsi="Arial" w:cs="Arial"/>
          <w:b/>
        </w:rPr>
        <w:t>Age × AEI i</w:t>
      </w:r>
      <w:r>
        <w:rPr>
          <w:rFonts w:ascii="Arial Unicode MS" w:eastAsia="Arial Unicode MS" w:hAnsi="Arial Unicode MS" w:cs="Arial Unicode MS"/>
        </w:rPr>
        <w:t xml:space="preserve">nteraction (β = −.06, </w:t>
      </w:r>
      <w:r>
        <w:rPr>
          <w:rFonts w:ascii="Arial" w:eastAsia="Arial" w:hAnsi="Arial" w:cs="Arial"/>
          <w:b/>
          <w:i/>
        </w:rPr>
        <w:t>p</w:t>
      </w:r>
      <w:r>
        <w:rPr>
          <w:rFonts w:ascii="Arial" w:eastAsia="Arial" w:hAnsi="Arial" w:cs="Arial"/>
          <w:b/>
        </w:rPr>
        <w:t xml:space="preserve"> = .01</w:t>
      </w:r>
      <w:r>
        <w:rPr>
          <w:rFonts w:ascii="Arial" w:eastAsia="Arial" w:hAnsi="Arial" w:cs="Arial"/>
        </w:rPr>
        <w:t>): younger cohorts are more susceptible.</w:t>
      </w:r>
    </w:p>
    <w:p w14:paraId="3FB705EE" w14:textId="77777777" w:rsidR="00771AAC" w:rsidRDefault="00771AAC">
      <w:pPr>
        <w:ind w:left="720"/>
        <w:jc w:val="both"/>
        <w:rPr>
          <w:rFonts w:ascii="Arial" w:eastAsia="Arial" w:hAnsi="Arial" w:cs="Arial"/>
        </w:rPr>
      </w:pPr>
    </w:p>
    <w:p w14:paraId="6B6B4AE2" w14:textId="77777777" w:rsidR="00771AAC" w:rsidRDefault="00000000">
      <w:pPr>
        <w:jc w:val="both"/>
        <w:rPr>
          <w:rFonts w:ascii="Arial" w:eastAsia="Arial" w:hAnsi="Arial" w:cs="Arial"/>
          <w:b/>
        </w:rPr>
      </w:pPr>
      <w:r>
        <w:rPr>
          <w:rFonts w:ascii="Arial" w:eastAsia="Arial" w:hAnsi="Arial" w:cs="Arial"/>
          <w:b/>
        </w:rPr>
        <w:t>8) Practical Magnitudes</w:t>
      </w:r>
    </w:p>
    <w:p w14:paraId="0E24AEA0" w14:textId="77777777" w:rsidR="00771AAC" w:rsidRDefault="00000000">
      <w:pPr>
        <w:jc w:val="both"/>
        <w:rPr>
          <w:rFonts w:ascii="Arial" w:eastAsia="Arial" w:hAnsi="Arial" w:cs="Arial"/>
        </w:rPr>
      </w:pPr>
      <w:r>
        <w:rPr>
          <w:rFonts w:ascii="Arial" w:eastAsia="Arial" w:hAnsi="Arial" w:cs="Arial"/>
        </w:rPr>
        <w:t>Converting IBT to probability of unplanned purchase (via logistic link), moving from the 25th to 75th percentile of AEI increases predicted purchase probability from</w:t>
      </w:r>
      <w:r>
        <w:rPr>
          <w:rFonts w:ascii="Arial" w:eastAsia="Arial" w:hAnsi="Arial" w:cs="Arial"/>
          <w:b/>
        </w:rPr>
        <w:t xml:space="preserve"> 27%</w:t>
      </w:r>
      <w:r>
        <w:rPr>
          <w:rFonts w:ascii="Arial" w:eastAsia="Arial" w:hAnsi="Arial" w:cs="Arial"/>
        </w:rPr>
        <w:t xml:space="preserve"> to </w:t>
      </w:r>
      <w:r>
        <w:rPr>
          <w:rFonts w:ascii="Arial" w:eastAsia="Arial" w:hAnsi="Arial" w:cs="Arial"/>
          <w:b/>
        </w:rPr>
        <w:t xml:space="preserve">45% </w:t>
      </w:r>
      <w:r>
        <w:rPr>
          <w:rFonts w:ascii="Arial" w:eastAsia="Arial" w:hAnsi="Arial" w:cs="Arial"/>
        </w:rPr>
        <w:t>(+18 pp).</w:t>
      </w:r>
    </w:p>
    <w:p w14:paraId="304BE09B" w14:textId="77777777" w:rsidR="00771AAC" w:rsidRDefault="00771AAC">
      <w:pPr>
        <w:jc w:val="both"/>
        <w:rPr>
          <w:rFonts w:ascii="Arial" w:eastAsia="Arial" w:hAnsi="Arial" w:cs="Arial"/>
        </w:rPr>
      </w:pPr>
    </w:p>
    <w:p w14:paraId="69F461CA" w14:textId="77777777" w:rsidR="00771AAC" w:rsidRDefault="00771AAC">
      <w:pPr>
        <w:jc w:val="both"/>
        <w:rPr>
          <w:rFonts w:ascii="Arial" w:eastAsia="Arial" w:hAnsi="Arial" w:cs="Arial"/>
          <w:b/>
        </w:rPr>
      </w:pPr>
    </w:p>
    <w:p w14:paraId="5F586729" w14:textId="77777777" w:rsidR="00771AA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5D7A757F" w14:textId="77777777" w:rsidR="00771AAC" w:rsidRDefault="00771AAC">
      <w:pPr>
        <w:pBdr>
          <w:top w:val="nil"/>
          <w:left w:val="nil"/>
          <w:bottom w:val="nil"/>
          <w:right w:val="nil"/>
          <w:between w:val="nil"/>
        </w:pBdr>
        <w:jc w:val="both"/>
        <w:rPr>
          <w:rFonts w:ascii="Arial" w:eastAsia="Arial" w:hAnsi="Arial" w:cs="Arial"/>
          <w:color w:val="000000"/>
        </w:rPr>
      </w:pPr>
    </w:p>
    <w:p w14:paraId="3DFA6EAA" w14:textId="77777777" w:rsidR="00771AA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B744E51" w14:textId="77777777" w:rsidR="00771AAC" w:rsidRDefault="00771AAC">
      <w:pPr>
        <w:keepNext/>
        <w:pBdr>
          <w:top w:val="nil"/>
          <w:left w:val="nil"/>
          <w:bottom w:val="nil"/>
          <w:right w:val="nil"/>
          <w:between w:val="nil"/>
        </w:pBdr>
        <w:jc w:val="both"/>
        <w:rPr>
          <w:rFonts w:ascii="Arial" w:eastAsia="Arial" w:hAnsi="Arial" w:cs="Arial"/>
          <w:b/>
          <w:smallCaps/>
          <w:color w:val="000000"/>
          <w:sz w:val="22"/>
          <w:szCs w:val="22"/>
        </w:rPr>
      </w:pPr>
    </w:p>
    <w:p w14:paraId="47ED5C1B" w14:textId="77777777" w:rsidR="00771AAC" w:rsidRDefault="00000000">
      <w:pPr>
        <w:spacing w:before="240" w:after="240"/>
        <w:jc w:val="both"/>
        <w:rPr>
          <w:rFonts w:ascii="Arial" w:eastAsia="Arial" w:hAnsi="Arial" w:cs="Arial"/>
        </w:rPr>
      </w:pPr>
      <w:r>
        <w:rPr>
          <w:rFonts w:ascii="Arial" w:eastAsia="Arial" w:hAnsi="Arial" w:cs="Arial"/>
        </w:rPr>
        <w:t>Quantitative analyses were conducted using SPSS to establish the causal pathways between algorithmic exposure, engagement, and consumer behavior. The results demonstrated that algorithmic exposure (AEI) significantly predicted impulse buying tendency (IBT), β = .28, t = 9.3,</w:t>
      </w:r>
      <w:r>
        <w:rPr>
          <w:rFonts w:ascii="Arial" w:eastAsia="Arial" w:hAnsi="Arial" w:cs="Arial"/>
          <w:b/>
          <w:i/>
        </w:rPr>
        <w:t xml:space="preserve"> p</w:t>
      </w:r>
      <w:r>
        <w:rPr>
          <w:rFonts w:ascii="Arial" w:eastAsia="Arial" w:hAnsi="Arial" w:cs="Arial"/>
        </w:rPr>
        <w:t xml:space="preserve"> &lt; .001, confirming that increased exposure to personalized content leads to stronger impulsive purchasing behavior. Furthermore, a one standard deviation </w:t>
      </w:r>
      <w:proofErr w:type="gramStart"/>
      <w:r>
        <w:rPr>
          <w:rFonts w:ascii="Arial" w:eastAsia="Arial" w:hAnsi="Arial" w:cs="Arial"/>
        </w:rPr>
        <w:t>increase</w:t>
      </w:r>
      <w:proofErr w:type="gramEnd"/>
      <w:r>
        <w:rPr>
          <w:rFonts w:ascii="Arial" w:eastAsia="Arial" w:hAnsi="Arial" w:cs="Arial"/>
        </w:rPr>
        <w:t xml:space="preserve"> in AEI increased the odds of purchasing within 24 hours by 39% (OR = 1.39, 95% CI [1.26, 1.53], </w:t>
      </w:r>
      <w:r>
        <w:rPr>
          <w:rFonts w:ascii="Arial" w:eastAsia="Arial" w:hAnsi="Arial" w:cs="Arial"/>
          <w:b/>
        </w:rPr>
        <w:t>p</w:t>
      </w:r>
      <w:r>
        <w:rPr>
          <w:rFonts w:ascii="Arial" w:eastAsia="Arial" w:hAnsi="Arial" w:cs="Arial"/>
        </w:rPr>
        <w:t xml:space="preserve"> &lt; .001), indicating that exposure frequency directly causes quicker purchase actions.</w:t>
      </w:r>
    </w:p>
    <w:p w14:paraId="77F35A1D" w14:textId="77777777" w:rsidR="00771AAC" w:rsidRDefault="00000000">
      <w:pPr>
        <w:spacing w:before="240" w:after="240"/>
        <w:jc w:val="both"/>
        <w:rPr>
          <w:rFonts w:ascii="Arial" w:eastAsia="Arial" w:hAnsi="Arial" w:cs="Arial"/>
        </w:rPr>
      </w:pPr>
      <w:r>
        <w:rPr>
          <w:rFonts w:ascii="Arial" w:eastAsia="Arial" w:hAnsi="Arial" w:cs="Arial"/>
        </w:rPr>
        <w:t xml:space="preserve">Ad engagement (AER) functioned as a partial mediator of this relationship. Mediation analysis revealed a significant indirect effect of b = .07, 95% CI [.04, .10], </w:t>
      </w:r>
      <w:r>
        <w:rPr>
          <w:rFonts w:ascii="Arial" w:eastAsia="Arial" w:hAnsi="Arial" w:cs="Arial"/>
          <w:b/>
        </w:rPr>
        <w:t>p</w:t>
      </w:r>
      <w:r>
        <w:rPr>
          <w:rFonts w:ascii="Arial" w:eastAsia="Arial" w:hAnsi="Arial" w:cs="Arial"/>
        </w:rPr>
        <w:t xml:space="preserve"> &lt; .001, demonstrating that algorithmic exposure increases engagement, which subsequently heightens impulse buying. The direct path remained significant (b = .23, p &lt; .001), confirming that engagement amplifies—but does not fully account for—the causal effect of algorithmic exposure.</w:t>
      </w:r>
    </w:p>
    <w:p w14:paraId="4DD4F05D" w14:textId="77777777" w:rsidR="00771AAC" w:rsidRDefault="00000000">
      <w:pPr>
        <w:spacing w:before="240" w:after="240"/>
        <w:jc w:val="both"/>
        <w:rPr>
          <w:rFonts w:ascii="Arial" w:eastAsia="Arial" w:hAnsi="Arial" w:cs="Arial"/>
        </w:rPr>
      </w:pPr>
      <w:r>
        <w:rPr>
          <w:rFonts w:ascii="Arial" w:eastAsia="Arial" w:hAnsi="Arial" w:cs="Arial"/>
        </w:rPr>
        <w:lastRenderedPageBreak/>
        <w:t xml:space="preserve">Platform-level analysis identified TikTok (M = 67.4, SD = 16.1) and Instagram (M = 62.1, SD = 16.8) as the strongest drivers of algorithmic influence, </w:t>
      </w:r>
      <w:proofErr w:type="gramStart"/>
      <w:r>
        <w:rPr>
          <w:rFonts w:ascii="Arial" w:eastAsia="Arial" w:hAnsi="Arial" w:cs="Arial"/>
        </w:rPr>
        <w:t>F(</w:t>
      </w:r>
      <w:proofErr w:type="gramEnd"/>
      <w:r>
        <w:rPr>
          <w:rFonts w:ascii="Arial" w:eastAsia="Arial" w:hAnsi="Arial" w:cs="Arial"/>
        </w:rPr>
        <w:t xml:space="preserve">4, 1231) = 18.6, </w:t>
      </w:r>
      <w:r>
        <w:rPr>
          <w:rFonts w:ascii="Arial" w:eastAsia="Arial" w:hAnsi="Arial" w:cs="Arial"/>
          <w:b/>
        </w:rPr>
        <w:t>p</w:t>
      </w:r>
      <w:r>
        <w:rPr>
          <w:rFonts w:ascii="Arial" w:eastAsia="Arial" w:hAnsi="Arial" w:cs="Arial"/>
        </w:rPr>
        <w:t xml:space="preserve"> &lt; .001, η² = .057. These platforms’ short-form and highly visual formats appear to intensify the causal loop between exposure, engagement, and purchase behavior.</w:t>
      </w:r>
    </w:p>
    <w:p w14:paraId="7D15F3ED" w14:textId="77777777" w:rsidR="00771AAC" w:rsidRDefault="00000000">
      <w:pPr>
        <w:spacing w:before="240" w:after="240"/>
        <w:jc w:val="both"/>
        <w:rPr>
          <w:rFonts w:ascii="Arial" w:eastAsia="Arial" w:hAnsi="Arial" w:cs="Arial"/>
        </w:rPr>
      </w:pPr>
      <w:r>
        <w:rPr>
          <w:rFonts w:ascii="Arial Unicode MS" w:eastAsia="Arial Unicode MS" w:hAnsi="Arial Unicode MS" w:cs="Arial Unicode MS"/>
        </w:rPr>
        <w:t xml:space="preserve">Moderation tests indicated that age significantly moderated this relationship, β = −.06, p = .01, with younger users showing higher susceptibility to algorithmic influence. Socioeconomic status also had a minor amplifying effect, β = .05, </w:t>
      </w:r>
      <w:r>
        <w:rPr>
          <w:rFonts w:ascii="Arial" w:eastAsia="Arial" w:hAnsi="Arial" w:cs="Arial"/>
          <w:b/>
        </w:rPr>
        <w:t>p</w:t>
      </w:r>
      <w:r>
        <w:rPr>
          <w:rFonts w:ascii="Arial" w:eastAsia="Arial" w:hAnsi="Arial" w:cs="Arial"/>
        </w:rPr>
        <w:t xml:space="preserve"> = .02, suggesting that users with higher disposable income are more responsive to algorithmically personalized advertising.</w:t>
      </w:r>
    </w:p>
    <w:p w14:paraId="4E3BCAA0" w14:textId="77777777" w:rsidR="00771AAC" w:rsidRDefault="00000000">
      <w:pPr>
        <w:spacing w:before="240" w:after="240"/>
        <w:jc w:val="both"/>
        <w:rPr>
          <w:rFonts w:ascii="Arial" w:eastAsia="Arial" w:hAnsi="Arial" w:cs="Arial"/>
        </w:rPr>
      </w:pPr>
      <w:r>
        <w:rPr>
          <w:rFonts w:ascii="Arial" w:eastAsia="Arial" w:hAnsi="Arial" w:cs="Arial"/>
        </w:rPr>
        <w:t xml:space="preserve">Collectively, the data support a causal chain where algorithmic exposure fosters engagement, elevates impulsive purchasing, and reinforces the behavioral loop of over-consumerism. This aligns with Wang (2023), who argues that algorithms curate emotionally resonant content that shapes consumer decisions, and with </w:t>
      </w:r>
      <w:proofErr w:type="spellStart"/>
      <w:r>
        <w:rPr>
          <w:rFonts w:ascii="Arial" w:eastAsia="Arial" w:hAnsi="Arial" w:cs="Arial"/>
        </w:rPr>
        <w:t>Nuseir</w:t>
      </w:r>
      <w:proofErr w:type="spellEnd"/>
      <w:r>
        <w:rPr>
          <w:rFonts w:ascii="Arial" w:eastAsia="Arial" w:hAnsi="Arial" w:cs="Arial"/>
        </w:rPr>
        <w:t xml:space="preserve"> (2020), who identifies predictive advertising as a key mechanism in sustaining digital over-consumption.</w:t>
      </w:r>
    </w:p>
    <w:p w14:paraId="66D93BF5" w14:textId="77777777" w:rsidR="00771AAC" w:rsidRDefault="00000000">
      <w:pPr>
        <w:spacing w:before="240" w:after="240"/>
        <w:jc w:val="both"/>
        <w:rPr>
          <w:rFonts w:ascii="Arial" w:eastAsia="Arial" w:hAnsi="Arial" w:cs="Arial"/>
        </w:rPr>
      </w:pPr>
      <w:r>
        <w:rPr>
          <w:rFonts w:ascii="Arial" w:eastAsia="Arial" w:hAnsi="Arial" w:cs="Arial"/>
        </w:rPr>
        <w:t>These findings confirm that social media algorithms act not merely as neutral intermediaries but as active causal agents in shaping and reinforcing consumer behavior. By continuously personalizing content and promoting emotionally charged stimuli, they condition users to respond impulsively to purchasing cues, thereby sustaining the economic cycle of digital consumerism.</w:t>
      </w:r>
    </w:p>
    <w:p w14:paraId="36DE0C0F" w14:textId="77777777" w:rsidR="00771AAC" w:rsidRDefault="00771AAC">
      <w:pPr>
        <w:spacing w:before="240" w:after="240"/>
        <w:jc w:val="both"/>
        <w:rPr>
          <w:rFonts w:ascii="Arial" w:eastAsia="Arial" w:hAnsi="Arial" w:cs="Arial"/>
        </w:rPr>
      </w:pPr>
    </w:p>
    <w:p w14:paraId="7F815E0F" w14:textId="77777777" w:rsidR="00771AAC" w:rsidRDefault="00000000">
      <w:pPr>
        <w:spacing w:before="240" w:after="240"/>
        <w:jc w:val="both"/>
        <w:rPr>
          <w:rFonts w:ascii="Arial" w:eastAsia="Arial" w:hAnsi="Arial" w:cs="Arial"/>
          <w:b/>
        </w:rPr>
      </w:pPr>
      <w:r>
        <w:rPr>
          <w:rFonts w:ascii="Arial" w:eastAsia="Arial" w:hAnsi="Arial" w:cs="Arial"/>
          <w:b/>
        </w:rPr>
        <w:t>Ethical Concerns</w:t>
      </w:r>
    </w:p>
    <w:p w14:paraId="210251A6" w14:textId="77777777" w:rsidR="00771AAC" w:rsidRDefault="00000000">
      <w:pPr>
        <w:spacing w:before="240" w:after="240"/>
        <w:jc w:val="both"/>
        <w:rPr>
          <w:rFonts w:ascii="Arial" w:eastAsia="Arial" w:hAnsi="Arial" w:cs="Arial"/>
        </w:rPr>
      </w:pPr>
      <w:r>
        <w:rPr>
          <w:rFonts w:ascii="Arial" w:eastAsia="Arial" w:hAnsi="Arial" w:cs="Arial"/>
        </w:rPr>
        <w:t>The ethical concerns surrounding social media algorithms primarily revolve around manipulative personalization and a lack of transparency. Manipulative personalization occurs when algorithms use user data to curate content that influences consumer behavior in ways that may not be transparent or consensual, often leading to impulsive buying decisions. These algorithms are designed to exploit psychological triggers by continually adjusting content to maximize engagement, thereby compromising user autonomy (Barn, 2020). Moreover, there is a significant transparency deficit, as users are seldom informed about how their data is collected or utilized, impinging on their ability to make informed decisions (Ramdas, 2022). This opacity not only undermines trust in digital platforms but also exacerbates ethical issues related to consumer manipulation and data sovereignty.</w:t>
      </w:r>
    </w:p>
    <w:p w14:paraId="71030BDE" w14:textId="77777777" w:rsidR="00771AAC" w:rsidRDefault="00000000">
      <w:pPr>
        <w:spacing w:before="240" w:after="240"/>
        <w:jc w:val="both"/>
        <w:rPr>
          <w:rFonts w:ascii="Arial" w:eastAsia="Arial" w:hAnsi="Arial" w:cs="Arial"/>
        </w:rPr>
      </w:pPr>
      <w:r>
        <w:rPr>
          <w:rFonts w:ascii="Arial" w:eastAsia="Arial" w:hAnsi="Arial" w:cs="Arial"/>
        </w:rPr>
        <w:t>Moreover, the algorithm-driven content on social media platforms has profound implications for mental health, contributing to anxiety and dissatisfaction among users. The constant exposure to highly tailored, aspirational material can create feelings of inadequacy and chronic stress, as individuals are frequently reminded of unrealized desires and societal standards. Such environments exacerbate anxiety, as users might feel overwhelmed by the pressure to conform or achieve the portrayed ideals (Singh et al., 2020). Additionally, the lack of transparency in content personalization contributes to user dissatisfaction. Individuals are often unaware of why certain content is shown, leading to a sense of manipulation and loss of control. Consequently, addressing these mental health concerns necessitates a reevaluation of how algorithmic processes can be adjusted to prioritize user well-being and transparency, fostering a healthier digital experience.</w:t>
      </w:r>
    </w:p>
    <w:p w14:paraId="1CEB3731" w14:textId="77777777" w:rsidR="00771AAC" w:rsidRDefault="00000000">
      <w:pPr>
        <w:spacing w:before="240" w:after="240"/>
        <w:jc w:val="both"/>
        <w:rPr>
          <w:rFonts w:ascii="Arial" w:eastAsia="Arial" w:hAnsi="Arial" w:cs="Arial"/>
        </w:rPr>
      </w:pPr>
      <w:r>
        <w:rPr>
          <w:rFonts w:ascii="Arial" w:eastAsia="Arial" w:hAnsi="Arial" w:cs="Arial"/>
        </w:rPr>
        <w:t xml:space="preserve">In addition, social media algorithms contribute significantly to societal inequality by preferentially targeting specific demographics with tailored advertisements. These algorithms often exploit data profiles to identify individuals more likely to engage with certain products, thus disproportionately impacting users with differing economic backgrounds (MacCarthy, </w:t>
      </w:r>
      <w:r>
        <w:rPr>
          <w:rFonts w:ascii="Arial" w:eastAsia="Arial" w:hAnsi="Arial" w:cs="Arial"/>
        </w:rPr>
        <w:lastRenderedPageBreak/>
        <w:t>2020). This selective targeting not only perpetuates consumer habits among vulnerable demographics but also reinforces existing socio-economic divides. As lower-income groups are more frequently exposed to adverts for inexpensive and often superfluous goods, they are subtly nudged towards impulsive behaviors that can exacerbate financial instability. Consequently, this algorithmic discrimination fosters a marketplace that benefits from and maintains existing inequalities, highlighting an urgent ethical concern within digital spaces (Liu et al., 2025).</w:t>
      </w:r>
    </w:p>
    <w:p w14:paraId="06B109E0" w14:textId="77777777" w:rsidR="00771AAC" w:rsidRDefault="00771AAC">
      <w:pPr>
        <w:spacing w:before="240" w:after="240"/>
        <w:jc w:val="both"/>
        <w:rPr>
          <w:rFonts w:ascii="Arial" w:eastAsia="Arial" w:hAnsi="Arial" w:cs="Arial"/>
        </w:rPr>
      </w:pPr>
    </w:p>
    <w:p w14:paraId="50D49D42" w14:textId="77777777" w:rsidR="00771AAC" w:rsidRDefault="00000000">
      <w:pPr>
        <w:spacing w:before="240" w:after="240"/>
        <w:jc w:val="both"/>
        <w:rPr>
          <w:rFonts w:ascii="Arial" w:eastAsia="Arial" w:hAnsi="Arial" w:cs="Arial"/>
          <w:b/>
        </w:rPr>
      </w:pPr>
      <w:r>
        <w:rPr>
          <w:rFonts w:ascii="Arial" w:eastAsia="Arial" w:hAnsi="Arial" w:cs="Arial"/>
          <w:b/>
        </w:rPr>
        <w:t>Possible Solutions</w:t>
      </w:r>
    </w:p>
    <w:p w14:paraId="07A1C060" w14:textId="77777777" w:rsidR="00771AAC" w:rsidRDefault="00000000">
      <w:pPr>
        <w:spacing w:before="240" w:after="240"/>
        <w:jc w:val="both"/>
        <w:rPr>
          <w:rFonts w:ascii="Arial" w:eastAsia="Arial" w:hAnsi="Arial" w:cs="Arial"/>
        </w:rPr>
      </w:pPr>
      <w:r>
        <w:rPr>
          <w:rFonts w:ascii="Arial" w:eastAsia="Arial" w:hAnsi="Arial" w:cs="Arial"/>
        </w:rPr>
        <w:t>Addressing the negative effects of social media algorithms requires adopting transparency and ethical design principles. Enhancing algorithmic transparency involves clarifying how algorithms operate and the data they utilize, empowering users with the knowledge to make informed choices (MacCarthy, 2020). This could involve providing users with access to the criteria used for content personalization, thereby enhancing trust and accountability. Furthermore, ethical design principles must be integrated into algorithm development to prioritize user well-being and reduce manipulative practices. Encouraging digital literacy education can also equip users with the skills necessary to navigate algorithm-driven environments, enabling them to critically assess and manage their online interactions (</w:t>
      </w:r>
      <w:proofErr w:type="spellStart"/>
      <w:r>
        <w:rPr>
          <w:rFonts w:ascii="Arial" w:eastAsia="Arial" w:hAnsi="Arial" w:cs="Arial"/>
        </w:rPr>
        <w:t>Spurava</w:t>
      </w:r>
      <w:proofErr w:type="spellEnd"/>
      <w:r>
        <w:rPr>
          <w:rFonts w:ascii="Arial" w:eastAsia="Arial" w:hAnsi="Arial" w:cs="Arial"/>
        </w:rPr>
        <w:t xml:space="preserve"> &amp; Kotilainen, 2023).</w:t>
      </w:r>
    </w:p>
    <w:p w14:paraId="635DDCB8" w14:textId="77777777" w:rsidR="00771AAC" w:rsidRDefault="00000000">
      <w:pPr>
        <w:spacing w:before="240" w:after="240"/>
        <w:jc w:val="both"/>
        <w:rPr>
          <w:rFonts w:ascii="Arial" w:eastAsia="Arial" w:hAnsi="Arial" w:cs="Arial"/>
        </w:rPr>
      </w:pPr>
      <w:r>
        <w:rPr>
          <w:rFonts w:ascii="Arial" w:eastAsia="Arial" w:hAnsi="Arial" w:cs="Arial"/>
        </w:rPr>
        <w:t>Furthermore, digital literacy education plays a crucial role in equipping users with the skills needed to navigate algorithmic content effectively. This education empowers individuals to understand the mechanisms behind social media algorithms, fostering a more informed and critical approach to their online interactions. By enhancing awareness of how personalized content is curated, users can better anticipate and potentially mitigate the influences these algorithms exert on their consumer behavior (</w:t>
      </w:r>
      <w:proofErr w:type="spellStart"/>
      <w:r>
        <w:rPr>
          <w:rFonts w:ascii="Arial" w:eastAsia="Arial" w:hAnsi="Arial" w:cs="Arial"/>
        </w:rPr>
        <w:t>Spurava</w:t>
      </w:r>
      <w:proofErr w:type="spellEnd"/>
      <w:r>
        <w:rPr>
          <w:rFonts w:ascii="Arial" w:eastAsia="Arial" w:hAnsi="Arial" w:cs="Arial"/>
        </w:rPr>
        <w:t xml:space="preserve"> &amp; Kotilainen, 2023). This educational effort also emphasizes the importance of transparency, allowing users to question and understand the data privacy implications of their digital footprint (MacCarthy, 2020). Therefore, digital literacy not only enhances individual autonomy in negotiating digital environments but also contributes to a broader societal push toward more ethical and accountable algorithmic practices.</w:t>
      </w:r>
    </w:p>
    <w:p w14:paraId="22E96160" w14:textId="77777777" w:rsidR="00771AAC" w:rsidRDefault="00000000">
      <w:pPr>
        <w:spacing w:before="240" w:after="240"/>
        <w:jc w:val="both"/>
        <w:rPr>
          <w:rFonts w:ascii="Arial" w:eastAsia="Arial" w:hAnsi="Arial" w:cs="Arial"/>
        </w:rPr>
      </w:pPr>
      <w:r>
        <w:rPr>
          <w:rFonts w:ascii="Arial" w:eastAsia="Arial" w:hAnsi="Arial" w:cs="Arial"/>
        </w:rPr>
        <w:t>Additionally, regulation plays a pivotal role in managing ad targeting and advancing equitable algorithmic practices on social media platforms. By enforcing transparent disclosure requirements, regulatory frameworks can compel platforms to divulge the criteria and processes used in personalizing advertisements, thereby bolstering accountability (MacCarthy, 2020). Establishing clear guidelines for permissible data use can mitigate the risks of discriminatory targeting, ensuring that advertisements are not biased toward specific demographics. Furthermore, policies that mandate ethical algorithm design can safeguard consumer autonomy by preventing manipulative practices that exploit psychological vulnerabilities (Liu et al., 2025). As these measures gain traction, they promote a digital ecosystem in which user engagement aligns more closely with ethical standards, fostering trust and fairness in online interactions.</w:t>
      </w:r>
    </w:p>
    <w:p w14:paraId="6E49743E" w14:textId="77777777" w:rsidR="00771AAC" w:rsidRDefault="00000000">
      <w:pPr>
        <w:spacing w:before="240" w:after="240"/>
        <w:jc w:val="both"/>
        <w:rPr>
          <w:rFonts w:ascii="Arial" w:eastAsia="Arial" w:hAnsi="Arial" w:cs="Arial"/>
        </w:rPr>
      </w:pPr>
      <w:r>
        <w:rPr>
          <w:rFonts w:ascii="Arial" w:eastAsia="Arial" w:hAnsi="Arial" w:cs="Arial"/>
        </w:rPr>
        <w:t>Moreover, promoting mindful consumption among users can effectively counteract the influence of social media algorithms on consumer behavior. Initiatives to encourage users to reflect on their consumption habits involve educating them about the algorithmic strategies aiming to exploit their purchasing impulses. Such education empowers consumers with the critical thinking skills needed to recognize and resist manipulative advertising, leading to more deliberate spending decisions (</w:t>
      </w:r>
      <w:proofErr w:type="spellStart"/>
      <w:r>
        <w:rPr>
          <w:rFonts w:ascii="Arial" w:eastAsia="Arial" w:hAnsi="Arial" w:cs="Arial"/>
        </w:rPr>
        <w:t>Spurava</w:t>
      </w:r>
      <w:proofErr w:type="spellEnd"/>
      <w:r>
        <w:rPr>
          <w:rFonts w:ascii="Arial" w:eastAsia="Arial" w:hAnsi="Arial" w:cs="Arial"/>
        </w:rPr>
        <w:t xml:space="preserve"> &amp; Kotilainen, 2023). Additionally, fostering </w:t>
      </w:r>
      <w:r>
        <w:rPr>
          <w:rFonts w:ascii="Arial" w:eastAsia="Arial" w:hAnsi="Arial" w:cs="Arial"/>
        </w:rPr>
        <w:lastRenderedPageBreak/>
        <w:t>environments where users can share experiences and strategies for combating impulse buying can build a supportive community that prioritizes thoughtful consumption. By amplifying user awareness and collective action, these strategies contribute to reshaping the narrative around consumer culture on social media platforms and enhancing personal decision-making efforts in online environments.</w:t>
      </w:r>
    </w:p>
    <w:p w14:paraId="12FD5C99" w14:textId="77777777" w:rsidR="00771AAC" w:rsidRDefault="00000000">
      <w:pPr>
        <w:spacing w:before="240" w:after="240"/>
        <w:jc w:val="both"/>
        <w:rPr>
          <w:rFonts w:ascii="Arial" w:eastAsia="Arial" w:hAnsi="Arial" w:cs="Arial"/>
        </w:rPr>
      </w:pPr>
      <w:r>
        <w:rPr>
          <w:rFonts w:ascii="Arial" w:eastAsia="Arial" w:hAnsi="Arial" w:cs="Arial"/>
        </w:rPr>
        <w:t>Finally, companies can integrate ethical design principles in their algorithm development by focusing on user well-being and transparency. This involves adopting a user-centric approach where algorithms are crafted to not only meet business objectives but also protect user rights and privacy. Companies could implement transparency by offering users clear insights into how their data is gathered and used, as well as providing options to control their data sharing preferences (Singhal et al., 2024). Incorporating fairness and accountability into algorithms helps in minimizing biases, ensuring that all demographic groups receive equitable treatment (</w:t>
      </w:r>
      <w:proofErr w:type="spellStart"/>
      <w:r>
        <w:rPr>
          <w:rFonts w:ascii="Arial" w:eastAsia="Arial" w:hAnsi="Arial" w:cs="Arial"/>
        </w:rPr>
        <w:t>Tsamados</w:t>
      </w:r>
      <w:proofErr w:type="spellEnd"/>
      <w:r>
        <w:rPr>
          <w:rFonts w:ascii="Arial" w:eastAsia="Arial" w:hAnsi="Arial" w:cs="Arial"/>
        </w:rPr>
        <w:t xml:space="preserve"> et al., 2021). Additionally, building ethical review boards composed of diverse experts to oversee algorithmic development can further ensure that these technologies remain aligned with societal values and ethical norms.</w:t>
      </w:r>
    </w:p>
    <w:p w14:paraId="1CD6069E" w14:textId="77777777" w:rsidR="00771AAC" w:rsidRDefault="00771AAC">
      <w:pPr>
        <w:spacing w:before="240" w:after="240"/>
        <w:jc w:val="both"/>
        <w:rPr>
          <w:rFonts w:ascii="Arial" w:eastAsia="Arial" w:hAnsi="Arial" w:cs="Arial"/>
        </w:rPr>
      </w:pPr>
    </w:p>
    <w:p w14:paraId="59C8953E" w14:textId="77777777" w:rsidR="00771AAC" w:rsidRDefault="00771AAC">
      <w:pPr>
        <w:jc w:val="both"/>
        <w:rPr>
          <w:rFonts w:ascii="Arial" w:eastAsia="Arial" w:hAnsi="Arial" w:cs="Arial"/>
          <w:color w:val="000000"/>
        </w:rPr>
      </w:pPr>
    </w:p>
    <w:p w14:paraId="7F124E0D" w14:textId="77777777" w:rsidR="00771AAC" w:rsidRDefault="00771AAC">
      <w:pPr>
        <w:pBdr>
          <w:top w:val="nil"/>
          <w:left w:val="nil"/>
          <w:bottom w:val="nil"/>
          <w:right w:val="nil"/>
          <w:between w:val="nil"/>
        </w:pBdr>
        <w:jc w:val="both"/>
        <w:rPr>
          <w:rFonts w:ascii="Arial" w:eastAsia="Arial" w:hAnsi="Arial" w:cs="Arial"/>
          <w:color w:val="000000"/>
        </w:rPr>
      </w:pPr>
    </w:p>
    <w:p w14:paraId="7C494374" w14:textId="77777777" w:rsidR="00771AA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w:t>
      </w:r>
      <w:r>
        <w:rPr>
          <w:rFonts w:ascii="Arial" w:eastAsia="Arial" w:hAnsi="Arial" w:cs="Arial"/>
          <w:b/>
          <w:smallCaps/>
          <w:sz w:val="22"/>
          <w:szCs w:val="22"/>
        </w:rPr>
        <w:t>NCLUSION</w:t>
      </w:r>
    </w:p>
    <w:p w14:paraId="21ADA75D" w14:textId="77777777" w:rsidR="00771AAC" w:rsidRDefault="00771AAC">
      <w:pPr>
        <w:keepNext/>
        <w:pBdr>
          <w:top w:val="nil"/>
          <w:left w:val="nil"/>
          <w:bottom w:val="nil"/>
          <w:right w:val="nil"/>
          <w:between w:val="nil"/>
        </w:pBdr>
        <w:jc w:val="both"/>
        <w:rPr>
          <w:rFonts w:ascii="Arial" w:eastAsia="Arial" w:hAnsi="Arial" w:cs="Arial"/>
          <w:b/>
          <w:smallCaps/>
          <w:color w:val="000000"/>
          <w:sz w:val="22"/>
          <w:szCs w:val="22"/>
        </w:rPr>
      </w:pPr>
    </w:p>
    <w:p w14:paraId="1DFA55C2"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rPr>
        <w:t>The research underscores a critical link between social media algorithms and consumer behavior, highlighting the urgent ethical considerations these technologies necessitate. As algorithms enhance user engagement through personalized content, they inadvertently encourage impulsive buying and promote materialistic values, fueling a culture of over-consumerism. Moreover, ethical issues such as manipulative personalization, transparency deficits, and exacerbated inequalities demand a comprehensive response, emphasizing the need for a reevaluation of algorithmic practices. Proactive solutions, including greater transparency and ethical design in algorithms, digital literacy initiatives, and regulatory interventions, are essential to mitigate these concerns. Ultimately, fostering a mindful consumer culture will require a concerted effort from all stakeholders to ensure algorithms align with ethical standards and contribute positively to the digital ecosystem.</w:t>
      </w:r>
    </w:p>
    <w:p w14:paraId="27B8A515"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rPr>
        <w:t>Indeed, the broader societal impact of social media algorithms necessitates ongoing research and policy development to address their pervasive influence on consumer culture. As these algorithms refine their ability to manipulate purchasing behaviors, they contribute significantly to societal inequalities and reinforce consumerist ideologies. Continued research can illuminate the complex intersections of algorithmic personalization and social dynamics, providing insights necessary for crafting informed policies (Wang, 2023). Furthermore, policy development must focus on implementing transparency measures and ethical standards within algorithmic frameworks, ensuring a balance between technological advancement and societal well-being (MacCarthy, 2020). Without such interventions, the unchecked power of algorithms may exacerbate existing disparities, underscoring the urgent need for a collaborative effort to foster an equitable digital ecosystem.</w:t>
      </w:r>
    </w:p>
    <w:p w14:paraId="71A1D38B" w14:textId="77777777" w:rsidR="00771AAC"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Ultimately, the responsibility for addressing the challenges posed by social media algorithms falls on multiple stakeholders, including policymakers, companies, and consumers. Policymakers must implement regulations ensuring transparency and ethical standards in algorithmic design, thereby safeguarding consumer rights and promoting equitable digital practices (MacCarthy, 2020). Simultaneously, companies have an obligation to adopt ethical design principles, focusing on transparency and prioritizing consumer welfare over mere engagement and profitability. Consumers, on the other hand, need to actively pursue digital literacy, enabling them to navigate these algorithm-driven environments effectively and make </w:t>
      </w:r>
      <w:r>
        <w:rPr>
          <w:rFonts w:ascii="Arial" w:eastAsia="Arial" w:hAnsi="Arial" w:cs="Arial"/>
        </w:rPr>
        <w:lastRenderedPageBreak/>
        <w:t>informed choices regarding their interactions and purchases (</w:t>
      </w:r>
      <w:proofErr w:type="spellStart"/>
      <w:r>
        <w:rPr>
          <w:rFonts w:ascii="Arial" w:eastAsia="Arial" w:hAnsi="Arial" w:cs="Arial"/>
        </w:rPr>
        <w:t>Spurava</w:t>
      </w:r>
      <w:proofErr w:type="spellEnd"/>
      <w:r>
        <w:rPr>
          <w:rFonts w:ascii="Arial" w:eastAsia="Arial" w:hAnsi="Arial" w:cs="Arial"/>
        </w:rPr>
        <w:t xml:space="preserve"> &amp; Kotilainen, 2023). By collaboratively engaging in these proactive measures, stakeholders can create a more balanced and responsible digital ecosystem, ultimately mitigating the negative implications of algorithms on over-consumerism.  This behavior amplifies disparities by disproportionately affecting those with less digital literacy and contributing to widening socioeconomic gaps (Singh et al., 2020).</w:t>
      </w:r>
    </w:p>
    <w:p w14:paraId="683D6F2F" w14:textId="77777777" w:rsidR="00771AAC" w:rsidRDefault="00771AAC">
      <w:pPr>
        <w:pBdr>
          <w:top w:val="nil"/>
          <w:left w:val="nil"/>
          <w:bottom w:val="nil"/>
          <w:right w:val="nil"/>
          <w:between w:val="nil"/>
        </w:pBdr>
        <w:jc w:val="both"/>
        <w:rPr>
          <w:rFonts w:ascii="Arial" w:eastAsia="Arial" w:hAnsi="Arial" w:cs="Arial"/>
        </w:rPr>
      </w:pPr>
    </w:p>
    <w:p w14:paraId="17DF494D" w14:textId="77777777" w:rsidR="00771AAC" w:rsidRDefault="00771AAC">
      <w:pPr>
        <w:pBdr>
          <w:top w:val="nil"/>
          <w:left w:val="nil"/>
          <w:bottom w:val="nil"/>
          <w:right w:val="nil"/>
          <w:between w:val="nil"/>
        </w:pBdr>
        <w:jc w:val="both"/>
        <w:rPr>
          <w:rFonts w:ascii="Arial" w:eastAsia="Arial" w:hAnsi="Arial" w:cs="Arial"/>
        </w:rPr>
      </w:pPr>
    </w:p>
    <w:p w14:paraId="6C0BBFAC" w14:textId="77777777" w:rsidR="00771AAC" w:rsidRDefault="00771AAC">
      <w:pPr>
        <w:pBdr>
          <w:top w:val="nil"/>
          <w:left w:val="nil"/>
          <w:bottom w:val="nil"/>
          <w:right w:val="nil"/>
          <w:between w:val="nil"/>
        </w:pBdr>
        <w:jc w:val="both"/>
        <w:rPr>
          <w:rFonts w:ascii="Arial" w:eastAsia="Arial" w:hAnsi="Arial" w:cs="Arial"/>
        </w:rPr>
      </w:pPr>
    </w:p>
    <w:p w14:paraId="19C52C3D" w14:textId="77777777" w:rsidR="00771AAC" w:rsidRDefault="00771AAC">
      <w:pPr>
        <w:pBdr>
          <w:top w:val="nil"/>
          <w:left w:val="nil"/>
          <w:bottom w:val="nil"/>
          <w:right w:val="nil"/>
          <w:between w:val="nil"/>
        </w:pBdr>
        <w:jc w:val="both"/>
        <w:rPr>
          <w:rFonts w:ascii="Arial" w:eastAsia="Arial" w:hAnsi="Arial" w:cs="Arial"/>
        </w:rPr>
      </w:pPr>
    </w:p>
    <w:p w14:paraId="3C3ED24A" w14:textId="77777777" w:rsidR="00771AAC" w:rsidRDefault="00000000">
      <w:pPr>
        <w:jc w:val="both"/>
        <w:rPr>
          <w:rFonts w:ascii="Arial" w:eastAsia="Arial" w:hAnsi="Arial" w:cs="Arial"/>
        </w:rPr>
      </w:pPr>
      <w:r>
        <w:rPr>
          <w:rFonts w:ascii="Arial" w:eastAsia="Arial" w:hAnsi="Arial" w:cs="Arial"/>
          <w:b/>
        </w:rPr>
        <w:t>COMPETING INTERESTS DISCLAIMER:</w:t>
      </w:r>
    </w:p>
    <w:p w14:paraId="51162837" w14:textId="05AE80F2" w:rsidR="00771AAC" w:rsidRDefault="00000000">
      <w:r>
        <w:t>Authors have declared that they have no known competing financial interests OR non-financial interests</w:t>
      </w:r>
      <w:r w:rsidR="005E0F9D">
        <w:t>.</w:t>
      </w:r>
    </w:p>
    <w:p w14:paraId="5A119CD2" w14:textId="77777777" w:rsidR="00771AAC" w:rsidRDefault="00771AAC">
      <w:pPr>
        <w:pBdr>
          <w:top w:val="nil"/>
          <w:left w:val="nil"/>
          <w:bottom w:val="nil"/>
          <w:right w:val="nil"/>
          <w:between w:val="nil"/>
        </w:pBdr>
        <w:jc w:val="both"/>
        <w:rPr>
          <w:rFonts w:ascii="Arial" w:eastAsia="Arial" w:hAnsi="Arial" w:cs="Arial"/>
        </w:rPr>
      </w:pPr>
    </w:p>
    <w:p w14:paraId="70BA1222" w14:textId="77777777" w:rsidR="00771AAC" w:rsidRDefault="00000000">
      <w:pPr>
        <w:rPr>
          <w:highlight w:val="yellow"/>
        </w:rPr>
      </w:pPr>
      <w:r>
        <w:rPr>
          <w:highlight w:val="yellow"/>
        </w:rPr>
        <w:t>Disclaimer (Artificial intelligence)</w:t>
      </w:r>
    </w:p>
    <w:p w14:paraId="2D568722" w14:textId="77777777" w:rsidR="00771AAC" w:rsidRDefault="00771AAC">
      <w:pPr>
        <w:rPr>
          <w:highlight w:val="yellow"/>
        </w:rPr>
      </w:pPr>
    </w:p>
    <w:p w14:paraId="6B8AE2AA" w14:textId="77777777" w:rsidR="00771AAC" w:rsidRDefault="00000000">
      <w:pPr>
        <w:rPr>
          <w:highlight w:val="yellow"/>
        </w:rPr>
      </w:pPr>
      <w:r>
        <w:rPr>
          <w:highlight w:val="yellow"/>
        </w:rPr>
        <w:t xml:space="preserve">Author(s) hereby </w:t>
      </w:r>
      <w:proofErr w:type="gramStart"/>
      <w:r>
        <w:rPr>
          <w:highlight w:val="yellow"/>
        </w:rPr>
        <w:t>declare</w:t>
      </w:r>
      <w:proofErr w:type="gramEnd"/>
      <w:r>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A268041" w14:textId="77777777" w:rsidR="00771AAC" w:rsidRDefault="00000000">
      <w:pPr>
        <w:rPr>
          <w:highlight w:val="yellow"/>
        </w:rPr>
      </w:pPr>
      <w:r>
        <w:rPr>
          <w:highlight w:val="yellow"/>
        </w:rPr>
        <w:t>Details of the AI usage are given below:</w:t>
      </w:r>
    </w:p>
    <w:p w14:paraId="4213180D" w14:textId="77777777" w:rsidR="00771AAC" w:rsidRDefault="00000000">
      <w:pPr>
        <w:rPr>
          <w:highlight w:val="yellow"/>
        </w:rPr>
      </w:pPr>
      <w:r>
        <w:rPr>
          <w:highlight w:val="yellow"/>
        </w:rPr>
        <w:t>1.ChatGPT</w:t>
      </w:r>
    </w:p>
    <w:p w14:paraId="718E8DC6" w14:textId="77777777" w:rsidR="00771AAC" w:rsidRDefault="00771AAC"/>
    <w:p w14:paraId="04E1EA15" w14:textId="77777777" w:rsidR="00771AAC" w:rsidRDefault="00771AAC">
      <w:pPr>
        <w:pBdr>
          <w:top w:val="nil"/>
          <w:left w:val="nil"/>
          <w:bottom w:val="nil"/>
          <w:right w:val="nil"/>
          <w:between w:val="nil"/>
        </w:pBdr>
        <w:jc w:val="both"/>
        <w:rPr>
          <w:rFonts w:ascii="Arial" w:eastAsia="Arial" w:hAnsi="Arial" w:cs="Arial"/>
          <w:color w:val="000000"/>
        </w:rPr>
      </w:pPr>
      <w:bookmarkStart w:id="0" w:name="_5eo0wftfyblt" w:colFirst="0" w:colLast="0"/>
      <w:bookmarkEnd w:id="0"/>
    </w:p>
    <w:p w14:paraId="69DDD290" w14:textId="77777777" w:rsidR="00771AAC" w:rsidRDefault="00771AAC">
      <w:pPr>
        <w:keepNext/>
        <w:pBdr>
          <w:top w:val="nil"/>
          <w:left w:val="nil"/>
          <w:bottom w:val="nil"/>
          <w:right w:val="nil"/>
          <w:between w:val="nil"/>
        </w:pBdr>
        <w:jc w:val="both"/>
        <w:rPr>
          <w:rFonts w:ascii="Arial" w:eastAsia="Arial" w:hAnsi="Arial" w:cs="Arial"/>
          <w:b/>
          <w:smallCaps/>
          <w:color w:val="000000"/>
          <w:sz w:val="22"/>
          <w:szCs w:val="22"/>
        </w:rPr>
      </w:pPr>
    </w:p>
    <w:p w14:paraId="7DE3BB38" w14:textId="77777777" w:rsidR="00771AA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24925C8A" w14:textId="77777777" w:rsidR="00771AAC" w:rsidRDefault="00771AAC">
      <w:pPr>
        <w:pBdr>
          <w:top w:val="nil"/>
          <w:left w:val="nil"/>
          <w:bottom w:val="nil"/>
          <w:right w:val="nil"/>
          <w:between w:val="nil"/>
        </w:pBdr>
        <w:jc w:val="both"/>
      </w:pPr>
    </w:p>
    <w:p w14:paraId="1DF4E417" w14:textId="77777777" w:rsidR="00771AAC" w:rsidRDefault="00771AAC">
      <w:pPr>
        <w:pBdr>
          <w:top w:val="nil"/>
          <w:left w:val="nil"/>
          <w:bottom w:val="nil"/>
          <w:right w:val="nil"/>
          <w:between w:val="nil"/>
        </w:pBdr>
        <w:jc w:val="both"/>
      </w:pPr>
    </w:p>
    <w:p w14:paraId="56DF048B" w14:textId="77777777" w:rsidR="00771AAC" w:rsidRDefault="00000000">
      <w:pPr>
        <w:pBdr>
          <w:top w:val="nil"/>
          <w:left w:val="nil"/>
          <w:bottom w:val="nil"/>
          <w:right w:val="nil"/>
          <w:between w:val="nil"/>
        </w:pBdr>
        <w:jc w:val="both"/>
      </w:pPr>
      <w:r>
        <w:t xml:space="preserve">Barn, B. S. (2020). Mapping the public debate on ethical concerns: algorithms in mainstream media. Journal of Information, Communication and Ethics in Society, 18(1), 124–139. </w:t>
      </w:r>
      <w:hyperlink r:id="rId14">
        <w:r>
          <w:rPr>
            <w:color w:val="1155CC"/>
            <w:u w:val="single"/>
          </w:rPr>
          <w:t>https://www.emerald.com/insight/content/doi/10.1108/JICES-04-2019-0039/full/html</w:t>
        </w:r>
      </w:hyperlink>
    </w:p>
    <w:p w14:paraId="44BE3F8F" w14:textId="77777777" w:rsidR="00771AAC" w:rsidRDefault="00771AAC">
      <w:pPr>
        <w:pBdr>
          <w:top w:val="nil"/>
          <w:left w:val="nil"/>
          <w:bottom w:val="nil"/>
          <w:right w:val="nil"/>
          <w:between w:val="nil"/>
        </w:pBdr>
        <w:jc w:val="both"/>
      </w:pPr>
    </w:p>
    <w:p w14:paraId="51991C7A" w14:textId="77777777" w:rsidR="00771AAC" w:rsidRDefault="00000000">
      <w:pPr>
        <w:pBdr>
          <w:top w:val="nil"/>
          <w:left w:val="nil"/>
          <w:bottom w:val="nil"/>
          <w:right w:val="nil"/>
          <w:between w:val="nil"/>
        </w:pBdr>
        <w:jc w:val="both"/>
      </w:pPr>
      <w:r>
        <w:t xml:space="preserve">Liu, H., De Costa, M. F. S. D. C. B. M. F., Yasin, M. A. L. B., &amp; Ruan, Q. (2025). A study on how social media influences on impulsive buying. Expert Systems, 42(1), e13448. </w:t>
      </w:r>
      <w:hyperlink r:id="rId15">
        <w:r>
          <w:rPr>
            <w:color w:val="1155CC"/>
            <w:u w:val="single"/>
          </w:rPr>
          <w:t>https://onlinelibrary.wiley.com/doi/abs/10.1111/exsy.13448</w:t>
        </w:r>
      </w:hyperlink>
    </w:p>
    <w:p w14:paraId="79E651C1" w14:textId="77777777" w:rsidR="00771AAC" w:rsidRDefault="00771AAC">
      <w:pPr>
        <w:pBdr>
          <w:top w:val="nil"/>
          <w:left w:val="nil"/>
          <w:bottom w:val="nil"/>
          <w:right w:val="nil"/>
          <w:between w:val="nil"/>
        </w:pBdr>
        <w:jc w:val="both"/>
      </w:pPr>
    </w:p>
    <w:p w14:paraId="13DB465D" w14:textId="77777777" w:rsidR="00771AAC" w:rsidRDefault="00000000">
      <w:pPr>
        <w:pBdr>
          <w:top w:val="nil"/>
          <w:left w:val="nil"/>
          <w:bottom w:val="nil"/>
          <w:right w:val="nil"/>
          <w:between w:val="nil"/>
        </w:pBdr>
        <w:jc w:val="both"/>
      </w:pPr>
      <w:r>
        <w:t xml:space="preserve">MacCarthy, M. (2020). Transparency requirements for digital social media platforms: Recommendations for policy makers and industry. In papers.ssrn.com. Transatlantic Working Group. </w:t>
      </w:r>
      <w:hyperlink r:id="rId16">
        <w:r>
          <w:rPr>
            <w:color w:val="1155CC"/>
            <w:u w:val="single"/>
          </w:rPr>
          <w:t>https://papers.ssrn.com/sol3/papers.cfm?abstract_id=3615726</w:t>
        </w:r>
      </w:hyperlink>
    </w:p>
    <w:p w14:paraId="5E270AF7" w14:textId="77777777" w:rsidR="00771AAC" w:rsidRDefault="00771AAC">
      <w:pPr>
        <w:pBdr>
          <w:top w:val="nil"/>
          <w:left w:val="nil"/>
          <w:bottom w:val="nil"/>
          <w:right w:val="nil"/>
          <w:between w:val="nil"/>
        </w:pBdr>
        <w:jc w:val="both"/>
      </w:pPr>
    </w:p>
    <w:p w14:paraId="1ADC93E1" w14:textId="77777777" w:rsidR="00771AAC" w:rsidRDefault="00000000">
      <w:pPr>
        <w:pBdr>
          <w:top w:val="nil"/>
          <w:left w:val="nil"/>
          <w:bottom w:val="nil"/>
          <w:right w:val="nil"/>
          <w:between w:val="nil"/>
        </w:pBdr>
        <w:jc w:val="both"/>
      </w:pPr>
      <w:proofErr w:type="spellStart"/>
      <w:r>
        <w:t>Nuseir</w:t>
      </w:r>
      <w:proofErr w:type="spellEnd"/>
      <w:r>
        <w:t xml:space="preserve">, M. T. (2020). The extent of the influences of social media in creating ‘impulse buying’ tendencies. International Journal of Business Innovation and Research, 21(3), 324–335. </w:t>
      </w:r>
      <w:hyperlink r:id="rId17">
        <w:r>
          <w:rPr>
            <w:color w:val="1155CC"/>
            <w:u w:val="single"/>
          </w:rPr>
          <w:t>https://www.inderscienceonline.com/doi/abs/10.1504/IJBIR.2020.105925</w:t>
        </w:r>
      </w:hyperlink>
    </w:p>
    <w:p w14:paraId="1B21D2AB" w14:textId="77777777" w:rsidR="00771AAC" w:rsidRDefault="00771AAC">
      <w:pPr>
        <w:pBdr>
          <w:top w:val="nil"/>
          <w:left w:val="nil"/>
          <w:bottom w:val="nil"/>
          <w:right w:val="nil"/>
          <w:between w:val="nil"/>
        </w:pBdr>
        <w:jc w:val="both"/>
      </w:pPr>
    </w:p>
    <w:p w14:paraId="7B9B98DF" w14:textId="77777777" w:rsidR="00771AAC" w:rsidRDefault="00000000">
      <w:pPr>
        <w:pBdr>
          <w:top w:val="nil"/>
          <w:left w:val="nil"/>
          <w:bottom w:val="nil"/>
          <w:right w:val="nil"/>
          <w:between w:val="nil"/>
        </w:pBdr>
        <w:jc w:val="both"/>
      </w:pPr>
      <w:r>
        <w:t xml:space="preserve">Ramdas, V. (2022). Identifying an Actionable Algorithmic Transparency Framework: A Comparative Analysis of Initiatives to Enhance Accountability of Social Media Platforms. </w:t>
      </w:r>
      <w:proofErr w:type="spellStart"/>
      <w:r>
        <w:t>Nat’l</w:t>
      </w:r>
      <w:proofErr w:type="spellEnd"/>
      <w:r>
        <w:t xml:space="preserve"> LU Delhi Stud. LJ, 4, 74. </w:t>
      </w:r>
      <w:hyperlink r:id="rId18">
        <w:r>
          <w:rPr>
            <w:color w:val="1155CC"/>
            <w:u w:val="single"/>
          </w:rPr>
          <w:t>https://heinonline.org/hol-cgi-bin/get_pdf.cgi?handle=hein.journals/nludslj2022&amp;section=6</w:t>
        </w:r>
      </w:hyperlink>
    </w:p>
    <w:p w14:paraId="1B44B067" w14:textId="77777777" w:rsidR="00771AAC" w:rsidRDefault="00771AAC">
      <w:pPr>
        <w:pBdr>
          <w:top w:val="nil"/>
          <w:left w:val="nil"/>
          <w:bottom w:val="nil"/>
          <w:right w:val="nil"/>
          <w:between w:val="nil"/>
        </w:pBdr>
        <w:jc w:val="both"/>
      </w:pPr>
    </w:p>
    <w:p w14:paraId="35302FF8" w14:textId="77777777" w:rsidR="00771AAC" w:rsidRDefault="00000000">
      <w:pPr>
        <w:pBdr>
          <w:top w:val="nil"/>
          <w:left w:val="nil"/>
          <w:bottom w:val="nil"/>
          <w:right w:val="nil"/>
          <w:between w:val="nil"/>
        </w:pBdr>
        <w:jc w:val="both"/>
      </w:pPr>
      <w:r>
        <w:lastRenderedPageBreak/>
        <w:t xml:space="preserve">Singh, L., Polyzou, A., Wang, Y., Farr, J., &amp; </w:t>
      </w:r>
      <w:proofErr w:type="spellStart"/>
      <w:r>
        <w:t>Gresenz</w:t>
      </w:r>
      <w:proofErr w:type="spellEnd"/>
      <w:r>
        <w:t xml:space="preserve">, C. R. (2020). Social media data - our ethical conundrum. A Quarterly Bulletin of the IEEE Computer Society Technical Committee on Database Engineering. </w:t>
      </w:r>
      <w:hyperlink r:id="rId19">
        <w:r>
          <w:rPr>
            <w:color w:val="1155CC"/>
            <w:u w:val="single"/>
          </w:rPr>
          <w:t>https://par.nsf.gov/servlets/purl/10279587</w:t>
        </w:r>
      </w:hyperlink>
    </w:p>
    <w:p w14:paraId="14ACFAB0" w14:textId="77777777" w:rsidR="00771AAC" w:rsidRDefault="00771AAC">
      <w:pPr>
        <w:pBdr>
          <w:top w:val="nil"/>
          <w:left w:val="nil"/>
          <w:bottom w:val="nil"/>
          <w:right w:val="nil"/>
          <w:between w:val="nil"/>
        </w:pBdr>
        <w:jc w:val="both"/>
      </w:pPr>
    </w:p>
    <w:p w14:paraId="4B19F140" w14:textId="77777777" w:rsidR="00771AAC" w:rsidRDefault="00000000">
      <w:pPr>
        <w:pBdr>
          <w:top w:val="nil"/>
          <w:left w:val="nil"/>
          <w:bottom w:val="nil"/>
          <w:right w:val="nil"/>
          <w:between w:val="nil"/>
        </w:pBdr>
        <w:jc w:val="both"/>
      </w:pPr>
      <w:r>
        <w:t xml:space="preserve">Singhal, A., </w:t>
      </w:r>
      <w:proofErr w:type="spellStart"/>
      <w:r>
        <w:t>Neveditsin</w:t>
      </w:r>
      <w:proofErr w:type="spellEnd"/>
      <w:r>
        <w:t xml:space="preserve">, N., Tanveer, H., &amp; Mago, V. (2024). Toward fairness, accountability, transparency, and ethics in AI for social media and health care: scoping review. JMIR Medical Informatics, 12(1), p.e50048. </w:t>
      </w:r>
      <w:hyperlink r:id="rId20">
        <w:r>
          <w:rPr>
            <w:color w:val="1155CC"/>
            <w:u w:val="single"/>
          </w:rPr>
          <w:t>https://medinform.jmir.org/2024/1/e50048/</w:t>
        </w:r>
      </w:hyperlink>
    </w:p>
    <w:p w14:paraId="3D4910BF" w14:textId="77777777" w:rsidR="00771AAC" w:rsidRDefault="00771AAC">
      <w:pPr>
        <w:pBdr>
          <w:top w:val="nil"/>
          <w:left w:val="nil"/>
          <w:bottom w:val="nil"/>
          <w:right w:val="nil"/>
          <w:between w:val="nil"/>
        </w:pBdr>
        <w:jc w:val="both"/>
      </w:pPr>
    </w:p>
    <w:p w14:paraId="371449D3" w14:textId="77777777" w:rsidR="00771AAC" w:rsidRDefault="00000000">
      <w:pPr>
        <w:pBdr>
          <w:top w:val="nil"/>
          <w:left w:val="nil"/>
          <w:bottom w:val="nil"/>
          <w:right w:val="nil"/>
          <w:between w:val="nil"/>
        </w:pBdr>
        <w:jc w:val="both"/>
      </w:pPr>
      <w:proofErr w:type="spellStart"/>
      <w:r>
        <w:t>Spurava</w:t>
      </w:r>
      <w:proofErr w:type="spellEnd"/>
      <w:r>
        <w:t xml:space="preserve">, G., &amp; Kotilainen, S. (2023). Digital literacy as a pathway to professional development in the algorithm-driven world. Nordic Journal of Digital Literacy, 1, 48–59. </w:t>
      </w:r>
      <w:hyperlink r:id="rId21">
        <w:r>
          <w:rPr>
            <w:color w:val="1155CC"/>
            <w:u w:val="single"/>
          </w:rPr>
          <w:t>https://www.idunn.no/doi/abs/10.18261/njdl.18.1.5</w:t>
        </w:r>
      </w:hyperlink>
    </w:p>
    <w:p w14:paraId="206106B6" w14:textId="77777777" w:rsidR="00771AAC" w:rsidRDefault="00771AAC">
      <w:pPr>
        <w:pBdr>
          <w:top w:val="nil"/>
          <w:left w:val="nil"/>
          <w:bottom w:val="nil"/>
          <w:right w:val="nil"/>
          <w:between w:val="nil"/>
        </w:pBdr>
        <w:jc w:val="both"/>
      </w:pPr>
    </w:p>
    <w:p w14:paraId="454B2C8A" w14:textId="77777777" w:rsidR="00771AAC" w:rsidRDefault="00000000">
      <w:pPr>
        <w:pBdr>
          <w:top w:val="nil"/>
          <w:left w:val="nil"/>
          <w:bottom w:val="nil"/>
          <w:right w:val="nil"/>
          <w:between w:val="nil"/>
        </w:pBdr>
        <w:jc w:val="both"/>
      </w:pPr>
      <w:proofErr w:type="spellStart"/>
      <w:r>
        <w:t>Tsamados</w:t>
      </w:r>
      <w:proofErr w:type="spellEnd"/>
      <w:r>
        <w:t xml:space="preserve">, A., Aggarwal, N., Cowls, J., Morley, J., Roberts, H., Taddeo, M., &amp; </w:t>
      </w:r>
      <w:proofErr w:type="spellStart"/>
      <w:r>
        <w:t>Floridi</w:t>
      </w:r>
      <w:proofErr w:type="spellEnd"/>
      <w:r>
        <w:t xml:space="preserve">, L. (2021). The ethics of algorithms: key problems and solutions. In Ethics, governance, and policies in artificial intelligence (pp. 97–123). Springer. </w:t>
      </w:r>
      <w:hyperlink r:id="rId22">
        <w:r>
          <w:rPr>
            <w:color w:val="1155CC"/>
            <w:u w:val="single"/>
          </w:rPr>
          <w:t>https://link.springer.com/chapter/10.1007/978-3-030-81907-1_8</w:t>
        </w:r>
      </w:hyperlink>
    </w:p>
    <w:p w14:paraId="6FF87B5A" w14:textId="77777777" w:rsidR="00771AAC" w:rsidRDefault="00771AAC">
      <w:pPr>
        <w:pBdr>
          <w:top w:val="nil"/>
          <w:left w:val="nil"/>
          <w:bottom w:val="nil"/>
          <w:right w:val="nil"/>
          <w:between w:val="nil"/>
        </w:pBdr>
        <w:jc w:val="both"/>
      </w:pPr>
    </w:p>
    <w:p w14:paraId="2AA12801" w14:textId="77777777" w:rsidR="00771AAC" w:rsidRDefault="00000000">
      <w:pPr>
        <w:pBdr>
          <w:top w:val="nil"/>
          <w:left w:val="nil"/>
          <w:bottom w:val="nil"/>
          <w:right w:val="nil"/>
          <w:between w:val="nil"/>
        </w:pBdr>
        <w:jc w:val="both"/>
      </w:pPr>
      <w:r>
        <w:t xml:space="preserve">Wang, K. (2023). The impact of social media on consumer behavior. Marketing, 23. </w:t>
      </w:r>
      <w:hyperlink r:id="rId23">
        <w:r>
          <w:rPr>
            <w:color w:val="1155CC"/>
            <w:u w:val="single"/>
          </w:rPr>
          <w:t>https://pdfs.semanticscholar.org/7f19/f0a97da684c5447a1c4152ef92f983cc5d9d.pdf</w:t>
        </w:r>
      </w:hyperlink>
    </w:p>
    <w:p w14:paraId="03886F08" w14:textId="77777777" w:rsidR="00771AAC" w:rsidRDefault="00771AAC">
      <w:pPr>
        <w:pBdr>
          <w:top w:val="nil"/>
          <w:left w:val="nil"/>
          <w:bottom w:val="nil"/>
          <w:right w:val="nil"/>
          <w:between w:val="nil"/>
        </w:pBdr>
        <w:jc w:val="both"/>
      </w:pPr>
    </w:p>
    <w:p w14:paraId="24183005" w14:textId="77777777" w:rsidR="00771AAC" w:rsidRDefault="00771AAC">
      <w:pPr>
        <w:pBdr>
          <w:top w:val="nil"/>
          <w:left w:val="nil"/>
          <w:bottom w:val="nil"/>
          <w:right w:val="nil"/>
          <w:between w:val="nil"/>
        </w:pBdr>
        <w:jc w:val="both"/>
      </w:pPr>
    </w:p>
    <w:p w14:paraId="4EF6E670" w14:textId="77777777" w:rsidR="00771AAC" w:rsidRDefault="00000000">
      <w:pPr>
        <w:jc w:val="both"/>
      </w:pPr>
      <w:r>
        <w:t xml:space="preserve">Stephen, A. T. (2016). The role of digital and social media marketing in consumer behavior. Current opinion in Psychology, 10, 17-21. </w:t>
      </w:r>
      <w:hyperlink r:id="rId24">
        <w:r>
          <w:rPr>
            <w:color w:val="1155CC"/>
            <w:u w:val="single"/>
          </w:rPr>
          <w:t>https://www.sciencedirect.com/science/article/abs/pii/S2352250X15300014</w:t>
        </w:r>
      </w:hyperlink>
    </w:p>
    <w:p w14:paraId="70F3407C" w14:textId="77777777" w:rsidR="00771AAC" w:rsidRDefault="00771AAC">
      <w:pPr>
        <w:jc w:val="both"/>
      </w:pPr>
    </w:p>
    <w:p w14:paraId="3EFDC12B" w14:textId="77777777" w:rsidR="00771AAC" w:rsidRDefault="00000000">
      <w:pPr>
        <w:jc w:val="both"/>
        <w:rPr>
          <w:rFonts w:ascii="Arial" w:eastAsia="Arial" w:hAnsi="Arial" w:cs="Arial"/>
          <w:smallCaps/>
          <w:sz w:val="22"/>
          <w:szCs w:val="22"/>
        </w:rPr>
      </w:pPr>
      <w:r>
        <w:t xml:space="preserve">Prendergast, T., &amp; McGirr, O. (2018). Perceptions of using the Raspberry Pi to learn computer architecture. </w:t>
      </w:r>
      <w:hyperlink r:id="rId25">
        <w:r>
          <w:rPr>
            <w:color w:val="1155CC"/>
            <w:u w:val="single"/>
          </w:rPr>
          <w:t>https://core.ac.uk/download/640549275.pdf</w:t>
        </w:r>
      </w:hyperlink>
    </w:p>
    <w:sectPr w:rsidR="00771AAC">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C559D" w14:textId="77777777" w:rsidR="002870B6" w:rsidRDefault="002870B6">
      <w:r>
        <w:separator/>
      </w:r>
    </w:p>
  </w:endnote>
  <w:endnote w:type="continuationSeparator" w:id="0">
    <w:p w14:paraId="34105405" w14:textId="77777777" w:rsidR="002870B6" w:rsidRDefault="00287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A40FC569-3ABF-4E22-9C96-47D8815023CA}"/>
    <w:embedBold r:id="rId2" w:fontKey="{1B88CB4D-6360-4F76-9AC8-FDE137E63CB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1C7AAAC-542A-4C27-80FF-B07D8A4DF4F7}"/>
    <w:embedItalic r:id="rId4" w:fontKey="{DC624645-3EE2-4396-8DF4-2C32DB328093}"/>
  </w:font>
  <w:font w:name="Roboto">
    <w:charset w:val="00"/>
    <w:family w:val="auto"/>
    <w:pitch w:val="variable"/>
    <w:sig w:usb0="E0000AFF" w:usb1="5000217F" w:usb2="00000021" w:usb3="00000000" w:csb0="0000019F" w:csb1="00000000"/>
    <w:embedRegular r:id="rId5" w:fontKey="{2A7F0020-3E22-4C2F-AEC7-BEBE649EC95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1449B0B1-1A04-4C0F-A340-F72797ADDF50}"/>
  </w:font>
  <w:font w:name="Cambria">
    <w:panose1 w:val="02040503050406030204"/>
    <w:charset w:val="00"/>
    <w:family w:val="roman"/>
    <w:pitch w:val="variable"/>
    <w:sig w:usb0="E00006FF" w:usb1="420024FF" w:usb2="02000000" w:usb3="00000000" w:csb0="0000019F" w:csb1="00000000"/>
    <w:embedRegular r:id="rId7" w:fontKey="{23DF0FE6-CE42-463F-9520-2A470DA272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7C45" w14:textId="77777777" w:rsidR="00771AAC" w:rsidRDefault="00771AA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8EA0" w14:textId="77777777" w:rsidR="00771AAC" w:rsidRDefault="00771AAC">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D77B" w14:textId="77777777" w:rsidR="00771AAC" w:rsidRDefault="00771AAC">
    <w:pPr>
      <w:pBdr>
        <w:top w:val="nil"/>
        <w:left w:val="nil"/>
        <w:bottom w:val="nil"/>
        <w:right w:val="nil"/>
        <w:between w:val="nil"/>
      </w:pBdr>
      <w:tabs>
        <w:tab w:val="center" w:pos="4320"/>
        <w:tab w:val="right" w:pos="8640"/>
      </w:tabs>
      <w:rPr>
        <w:rFonts w:ascii="Arial" w:eastAsia="Arial" w:hAnsi="Arial" w:cs="Arial"/>
        <w:i/>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0F5A" w14:textId="77777777" w:rsidR="00771AAC" w:rsidRDefault="00771AA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608FD" w14:textId="77777777" w:rsidR="002870B6" w:rsidRDefault="002870B6">
      <w:r>
        <w:separator/>
      </w:r>
    </w:p>
  </w:footnote>
  <w:footnote w:type="continuationSeparator" w:id="0">
    <w:p w14:paraId="7FD536F0" w14:textId="77777777" w:rsidR="002870B6" w:rsidRDefault="00287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F182B" w14:textId="77777777" w:rsidR="00771AAC" w:rsidRDefault="00000000">
    <w:pPr>
      <w:pBdr>
        <w:top w:val="nil"/>
        <w:left w:val="nil"/>
        <w:bottom w:val="nil"/>
        <w:right w:val="nil"/>
        <w:between w:val="nil"/>
      </w:pBdr>
      <w:tabs>
        <w:tab w:val="center" w:pos="4320"/>
        <w:tab w:val="right" w:pos="8640"/>
      </w:tabs>
      <w:rPr>
        <w:color w:val="000000"/>
      </w:rPr>
    </w:pPr>
    <w:r>
      <w:pict w14:anchorId="1F339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CC9C" w14:textId="77777777" w:rsidR="00771AAC" w:rsidRDefault="00000000">
    <w:pPr>
      <w:pBdr>
        <w:top w:val="nil"/>
        <w:left w:val="nil"/>
        <w:bottom w:val="nil"/>
        <w:right w:val="nil"/>
        <w:between w:val="nil"/>
      </w:pBdr>
      <w:tabs>
        <w:tab w:val="center" w:pos="4320"/>
        <w:tab w:val="right" w:pos="8640"/>
      </w:tabs>
      <w:rPr>
        <w:color w:val="000000"/>
      </w:rPr>
    </w:pPr>
    <w:r>
      <w:pict w14:anchorId="19F74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1470" w14:textId="77777777" w:rsidR="00771AAC" w:rsidRDefault="00000000">
    <w:pPr>
      <w:ind w:left="2160"/>
      <w:jc w:val="center"/>
      <w:rPr>
        <w:rFonts w:ascii="Times New Roman" w:eastAsia="Times New Roman" w:hAnsi="Times New Roman" w:cs="Times New Roman"/>
        <w:i/>
        <w:sz w:val="18"/>
        <w:szCs w:val="18"/>
      </w:rPr>
    </w:pPr>
    <w:r>
      <w:pict w14:anchorId="3E349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4926E1A8" w14:textId="77777777" w:rsidR="00771AAC"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3ABC31E" w14:textId="77777777" w:rsidR="00771AAC"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F6954FB" w14:textId="77777777" w:rsidR="00771AAC"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6EDD70F" w14:textId="77777777" w:rsidR="00771AAC"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D6024EE" w14:textId="77777777" w:rsidR="00771AAC"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C758711" w14:textId="77777777" w:rsidR="00771AAC"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21B1" w14:textId="77777777" w:rsidR="00771AAC" w:rsidRDefault="00000000">
    <w:pPr>
      <w:pBdr>
        <w:top w:val="nil"/>
        <w:left w:val="nil"/>
        <w:bottom w:val="nil"/>
        <w:right w:val="nil"/>
        <w:between w:val="nil"/>
      </w:pBdr>
      <w:tabs>
        <w:tab w:val="center" w:pos="4680"/>
        <w:tab w:val="right" w:pos="9360"/>
      </w:tabs>
      <w:rPr>
        <w:color w:val="000000"/>
      </w:rPr>
    </w:pPr>
    <w:r>
      <w:rPr>
        <w:color w:val="000000"/>
      </w:rPr>
      <w:pict w14:anchorId="03573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D43E" w14:textId="77777777" w:rsidR="00771AAC" w:rsidRDefault="00000000">
    <w:pPr>
      <w:pBdr>
        <w:top w:val="nil"/>
        <w:left w:val="nil"/>
        <w:bottom w:val="nil"/>
        <w:right w:val="nil"/>
        <w:between w:val="nil"/>
      </w:pBdr>
      <w:tabs>
        <w:tab w:val="center" w:pos="4680"/>
        <w:tab w:val="right" w:pos="9360"/>
      </w:tabs>
      <w:rPr>
        <w:color w:val="000000"/>
      </w:rPr>
    </w:pPr>
    <w:r>
      <w:rPr>
        <w:color w:val="000000"/>
      </w:rPr>
      <w:pict w14:anchorId="44774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E202" w14:textId="77777777" w:rsidR="00771AAC" w:rsidRDefault="00000000">
    <w:pPr>
      <w:pBdr>
        <w:top w:val="nil"/>
        <w:left w:val="nil"/>
        <w:bottom w:val="nil"/>
        <w:right w:val="nil"/>
        <w:between w:val="nil"/>
      </w:pBdr>
      <w:tabs>
        <w:tab w:val="center" w:pos="4680"/>
        <w:tab w:val="right" w:pos="9360"/>
      </w:tabs>
      <w:rPr>
        <w:color w:val="000000"/>
      </w:rPr>
    </w:pPr>
    <w:r>
      <w:rPr>
        <w:color w:val="000000"/>
      </w:rPr>
      <w:pict w14:anchorId="2E0C6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438FC"/>
    <w:multiLevelType w:val="multilevel"/>
    <w:tmpl w:val="CCDC9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0A5D8F"/>
    <w:multiLevelType w:val="multilevel"/>
    <w:tmpl w:val="F8EAD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E124C4"/>
    <w:multiLevelType w:val="multilevel"/>
    <w:tmpl w:val="7E3C3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517F98"/>
    <w:multiLevelType w:val="multilevel"/>
    <w:tmpl w:val="78689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85241A"/>
    <w:multiLevelType w:val="multilevel"/>
    <w:tmpl w:val="64708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6B3B1F"/>
    <w:multiLevelType w:val="multilevel"/>
    <w:tmpl w:val="B726C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1504842">
    <w:abstractNumId w:val="4"/>
  </w:num>
  <w:num w:numId="2" w16cid:durableId="737172281">
    <w:abstractNumId w:val="2"/>
  </w:num>
  <w:num w:numId="3" w16cid:durableId="1308239750">
    <w:abstractNumId w:val="3"/>
  </w:num>
  <w:num w:numId="4" w16cid:durableId="670453422">
    <w:abstractNumId w:val="0"/>
  </w:num>
  <w:num w:numId="5" w16cid:durableId="1433472484">
    <w:abstractNumId w:val="5"/>
  </w:num>
  <w:num w:numId="6" w16cid:durableId="1428191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AAC"/>
    <w:rsid w:val="002870B6"/>
    <w:rsid w:val="005E0F9D"/>
    <w:rsid w:val="00771AAC"/>
    <w:rsid w:val="00C2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F74E7"/>
  <w15:docId w15:val="{38B9427B-BD8D-4B97-B5A4-5119D51B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heinonline.org/hol-cgi-bin/get_pdf.cgi?handle=hein.journals/nludslj2022&amp;section=6"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www.idunn.no/doi/abs/10.18261/njdl.18.1.5"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inderscienceonline.com/doi/abs/10.1504/IJBIR.2020.105925" TargetMode="External"/><Relationship Id="rId25" Type="http://schemas.openxmlformats.org/officeDocument/2006/relationships/hyperlink" Target="https://core.ac.uk/download/640549275.pdf" TargetMode="External"/><Relationship Id="rId2" Type="http://schemas.openxmlformats.org/officeDocument/2006/relationships/styles" Target="styles.xml"/><Relationship Id="rId16" Type="http://schemas.openxmlformats.org/officeDocument/2006/relationships/hyperlink" Target="https://papers.ssrn.com/sol3/papers.cfm?abstract_id=3615726" TargetMode="External"/><Relationship Id="rId20" Type="http://schemas.openxmlformats.org/officeDocument/2006/relationships/hyperlink" Target="https://medinform.jmir.org/2024/1/e50048/"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sciencedirect.com/science/article/abs/pii/S2352250X15300014" TargetMode="External"/><Relationship Id="rId5" Type="http://schemas.openxmlformats.org/officeDocument/2006/relationships/footnotes" Target="footnotes.xml"/><Relationship Id="rId15" Type="http://schemas.openxmlformats.org/officeDocument/2006/relationships/hyperlink" Target="https://onlinelibrary.wiley.com/doi/abs/10.1111/exsy.13448" TargetMode="External"/><Relationship Id="rId23" Type="http://schemas.openxmlformats.org/officeDocument/2006/relationships/hyperlink" Target="https://pdfs.semanticscholar.org/7f19/f0a97da684c5447a1c4152ef92f983cc5d9d.pdf"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par.nsf.gov/servlets/purl/1027958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merald.com/insight/content/doi/10.1108/JICES-04-2019-0039/full/html" TargetMode="External"/><Relationship Id="rId22" Type="http://schemas.openxmlformats.org/officeDocument/2006/relationships/hyperlink" Target="https://link.springer.com/chapter/10.1007/978-3-030-81907-1_8" TargetMode="External"/><Relationship Id="rId27" Type="http://schemas.openxmlformats.org/officeDocument/2006/relationships/header" Target="head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4766</Words>
  <Characters>27169</Characters>
  <Application>Microsoft Office Word</Application>
  <DocSecurity>0</DocSecurity>
  <Lines>226</Lines>
  <Paragraphs>63</Paragraphs>
  <ScaleCrop>false</ScaleCrop>
  <Company/>
  <LinksUpToDate>false</LinksUpToDate>
  <CharactersWithSpaces>31872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2</cp:revision>
  <dcterms:created xsi:type="dcterms:W3CDTF">2025-10-18T06:41:00Z</dcterms:created>
  <dcterms:modified xsi:type="dcterms:W3CDTF">2025-10-18T06:44:00Z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0186d8ff-fd1f-4b99-8463-632ef63c2963</vt:lpwstr>
  </property>
</Properties>
</file>