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41C1A" w14:textId="7D594DE8" w:rsidR="0006348B" w:rsidRDefault="0006348B" w:rsidP="0036263B">
      <w:pPr>
        <w:spacing w:after="0" w:line="240" w:lineRule="auto"/>
        <w:jc w:val="both"/>
        <w:rPr>
          <w:rFonts w:ascii="Times New Roman" w:eastAsia="Times New Roman" w:hAnsi="Times New Roman" w:cs="Times New Roman"/>
          <w:b/>
          <w:bCs/>
          <w:sz w:val="24"/>
          <w:szCs w:val="24"/>
          <w:lang w:val="en"/>
        </w:rPr>
      </w:pPr>
    </w:p>
    <w:p w14:paraId="660EB697" w14:textId="4896036C" w:rsidR="000D179C" w:rsidRPr="00EC7E89" w:rsidRDefault="008B29DF" w:rsidP="00EC7E89">
      <w:pPr>
        <w:spacing w:after="0" w:line="240" w:lineRule="auto"/>
        <w:jc w:val="center"/>
        <w:rPr>
          <w:rFonts w:ascii="Times New Roman" w:hAnsi="Times New Roman" w:cs="Times New Roman"/>
          <w:b/>
          <w:bCs/>
          <w:lang w:val="en-GB"/>
        </w:rPr>
      </w:pPr>
      <w:r w:rsidRPr="00EC7E89">
        <w:rPr>
          <w:rFonts w:ascii="Times New Roman" w:hAnsi="Times New Roman" w:cs="Times New Roman"/>
          <w:b/>
          <w:bCs/>
          <w:highlight w:val="yellow"/>
          <w:lang w:val="en-GB"/>
        </w:rPr>
        <w:t xml:space="preserve">Analysis </w:t>
      </w:r>
      <w:r>
        <w:rPr>
          <w:rFonts w:ascii="Times New Roman" w:hAnsi="Times New Roman" w:cs="Times New Roman"/>
          <w:b/>
          <w:bCs/>
          <w:highlight w:val="yellow"/>
          <w:lang w:val="en-GB"/>
        </w:rPr>
        <w:t>o</w:t>
      </w:r>
      <w:r w:rsidRPr="00EC7E89">
        <w:rPr>
          <w:rFonts w:ascii="Times New Roman" w:hAnsi="Times New Roman" w:cs="Times New Roman"/>
          <w:b/>
          <w:bCs/>
          <w:highlight w:val="yellow"/>
          <w:lang w:val="en-GB"/>
        </w:rPr>
        <w:t>f Production Costs, Revenue</w:t>
      </w:r>
      <w:r>
        <w:rPr>
          <w:rFonts w:ascii="Times New Roman" w:hAnsi="Times New Roman" w:cs="Times New Roman"/>
          <w:b/>
          <w:bCs/>
          <w:highlight w:val="yellow"/>
          <w:lang w:val="en-GB"/>
        </w:rPr>
        <w:t xml:space="preserve"> a</w:t>
      </w:r>
      <w:r w:rsidRPr="00EC7E89">
        <w:rPr>
          <w:rFonts w:ascii="Times New Roman" w:hAnsi="Times New Roman" w:cs="Times New Roman"/>
          <w:b/>
          <w:bCs/>
          <w:highlight w:val="yellow"/>
          <w:lang w:val="en-GB"/>
        </w:rPr>
        <w:t xml:space="preserve">nd Profitability </w:t>
      </w:r>
      <w:r>
        <w:rPr>
          <w:rFonts w:ascii="Times New Roman" w:hAnsi="Times New Roman" w:cs="Times New Roman"/>
          <w:b/>
          <w:bCs/>
          <w:highlight w:val="yellow"/>
          <w:lang w:val="en-GB"/>
        </w:rPr>
        <w:t>o</w:t>
      </w:r>
      <w:r w:rsidRPr="00EC7E89">
        <w:rPr>
          <w:rFonts w:ascii="Times New Roman" w:hAnsi="Times New Roman" w:cs="Times New Roman"/>
          <w:b/>
          <w:bCs/>
          <w:highlight w:val="yellow"/>
          <w:lang w:val="en-GB"/>
        </w:rPr>
        <w:t xml:space="preserve">f Smallholder Oil Palm </w:t>
      </w:r>
      <w:proofErr w:type="gramStart"/>
      <w:r w:rsidRPr="00EC7E89">
        <w:rPr>
          <w:rFonts w:ascii="Times New Roman" w:hAnsi="Times New Roman" w:cs="Times New Roman"/>
          <w:b/>
          <w:bCs/>
          <w:highlight w:val="yellow"/>
          <w:lang w:val="en-GB"/>
        </w:rPr>
        <w:t>Farming  In</w:t>
      </w:r>
      <w:proofErr w:type="gramEnd"/>
      <w:r w:rsidRPr="00EC7E89">
        <w:rPr>
          <w:rFonts w:ascii="Times New Roman" w:hAnsi="Times New Roman" w:cs="Times New Roman"/>
          <w:b/>
          <w:bCs/>
          <w:highlight w:val="yellow"/>
          <w:lang w:val="en-GB"/>
        </w:rPr>
        <w:t xml:space="preserve"> East </w:t>
      </w:r>
      <w:proofErr w:type="spellStart"/>
      <w:r w:rsidRPr="00EC7E89">
        <w:rPr>
          <w:rFonts w:ascii="Times New Roman" w:hAnsi="Times New Roman" w:cs="Times New Roman"/>
          <w:b/>
          <w:bCs/>
          <w:highlight w:val="yellow"/>
          <w:lang w:val="en-GB"/>
        </w:rPr>
        <w:t>Kutai</w:t>
      </w:r>
      <w:proofErr w:type="spellEnd"/>
      <w:r w:rsidRPr="00EC7E89">
        <w:rPr>
          <w:rFonts w:ascii="Times New Roman" w:hAnsi="Times New Roman" w:cs="Times New Roman"/>
          <w:b/>
          <w:bCs/>
          <w:highlight w:val="yellow"/>
          <w:lang w:val="en-GB"/>
        </w:rPr>
        <w:t xml:space="preserve"> Regency, Indonesia</w:t>
      </w:r>
    </w:p>
    <w:p w14:paraId="1FA35060" w14:textId="77777777" w:rsidR="00EC7E89" w:rsidRDefault="00EC7E89" w:rsidP="0006348B">
      <w:pPr>
        <w:spacing w:after="0" w:line="240" w:lineRule="auto"/>
        <w:jc w:val="both"/>
        <w:rPr>
          <w:rFonts w:ascii="Times New Roman" w:eastAsia="Times New Roman" w:hAnsi="Times New Roman" w:cs="Times New Roman"/>
          <w:b/>
          <w:bCs/>
          <w:sz w:val="24"/>
          <w:szCs w:val="24"/>
          <w:lang w:val="en"/>
        </w:rPr>
      </w:pPr>
    </w:p>
    <w:p w14:paraId="1F16D30D" w14:textId="77777777" w:rsidR="00EC7E89" w:rsidRDefault="00EC7E89" w:rsidP="0006348B">
      <w:pPr>
        <w:spacing w:after="0" w:line="240" w:lineRule="auto"/>
        <w:jc w:val="both"/>
        <w:rPr>
          <w:rFonts w:ascii="Times New Roman" w:eastAsia="Times New Roman" w:hAnsi="Times New Roman" w:cs="Times New Roman"/>
          <w:b/>
          <w:bCs/>
          <w:sz w:val="24"/>
          <w:szCs w:val="24"/>
          <w:lang w:val="en"/>
        </w:rPr>
      </w:pPr>
    </w:p>
    <w:p w14:paraId="580D8AF3" w14:textId="7A796B50" w:rsidR="0006348B" w:rsidRPr="0006348B" w:rsidRDefault="0006348B" w:rsidP="0006348B">
      <w:pPr>
        <w:spacing w:after="0" w:line="240" w:lineRule="auto"/>
        <w:jc w:val="both"/>
        <w:rPr>
          <w:rFonts w:ascii="Times New Roman" w:eastAsia="Times New Roman" w:hAnsi="Times New Roman" w:cs="Times New Roman"/>
          <w:b/>
          <w:bCs/>
          <w:sz w:val="24"/>
          <w:szCs w:val="24"/>
          <w:lang w:val="en"/>
        </w:rPr>
      </w:pPr>
      <w:r w:rsidRPr="0006348B">
        <w:rPr>
          <w:rFonts w:ascii="Times New Roman" w:eastAsia="Times New Roman" w:hAnsi="Times New Roman" w:cs="Times New Roman"/>
          <w:b/>
          <w:bCs/>
          <w:sz w:val="24"/>
          <w:szCs w:val="24"/>
          <w:lang w:val="en"/>
        </w:rPr>
        <w:t xml:space="preserve">ABSTRACT </w:t>
      </w:r>
    </w:p>
    <w:p w14:paraId="4B17C4E8" w14:textId="7BD10A1B" w:rsidR="0006348B" w:rsidRPr="0006348B" w:rsidRDefault="0006348B" w:rsidP="0006348B">
      <w:pPr>
        <w:spacing w:after="0" w:line="240" w:lineRule="auto"/>
        <w:jc w:val="both"/>
        <w:rPr>
          <w:rFonts w:ascii="Times New Roman" w:eastAsia="Times New Roman" w:hAnsi="Times New Roman" w:cs="Times New Roman"/>
          <w:sz w:val="24"/>
          <w:szCs w:val="24"/>
        </w:rPr>
      </w:pPr>
      <w:r w:rsidRPr="0006348B">
        <w:rPr>
          <w:rFonts w:ascii="Times New Roman" w:eastAsia="Times New Roman" w:hAnsi="Times New Roman" w:cs="Times New Roman"/>
          <w:sz w:val="24"/>
          <w:szCs w:val="24"/>
          <w:lang w:val="en"/>
        </w:rPr>
        <w:t xml:space="preserve">Oil palm is one of the most important plantation crops. Oil palm development can increase farmer/community income, provide industrial raw materials, and generate foreign exchange through CPO exports. The majority of residents in Hamlet 3, </w:t>
      </w:r>
      <w:proofErr w:type="spellStart"/>
      <w:r w:rsidRPr="0006348B">
        <w:rPr>
          <w:rFonts w:ascii="Times New Roman" w:eastAsia="Times New Roman" w:hAnsi="Times New Roman" w:cs="Times New Roman"/>
          <w:sz w:val="24"/>
          <w:szCs w:val="24"/>
          <w:lang w:val="en"/>
        </w:rPr>
        <w:t>Marga</w:t>
      </w:r>
      <w:proofErr w:type="spellEnd"/>
      <w:r w:rsidRPr="0006348B">
        <w:rPr>
          <w:rFonts w:ascii="Times New Roman" w:eastAsia="Times New Roman" w:hAnsi="Times New Roman" w:cs="Times New Roman"/>
          <w:sz w:val="24"/>
          <w:szCs w:val="24"/>
          <w:lang w:val="en"/>
        </w:rPr>
        <w:t xml:space="preserve"> </w:t>
      </w:r>
      <w:proofErr w:type="spellStart"/>
      <w:r w:rsidRPr="0006348B">
        <w:rPr>
          <w:rFonts w:ascii="Times New Roman" w:eastAsia="Times New Roman" w:hAnsi="Times New Roman" w:cs="Times New Roman"/>
          <w:sz w:val="24"/>
          <w:szCs w:val="24"/>
          <w:lang w:val="en"/>
        </w:rPr>
        <w:t>Mulia</w:t>
      </w:r>
      <w:proofErr w:type="spellEnd"/>
      <w:r w:rsidRPr="0006348B">
        <w:rPr>
          <w:rFonts w:ascii="Times New Roman" w:eastAsia="Times New Roman" w:hAnsi="Times New Roman" w:cs="Times New Roman"/>
          <w:sz w:val="24"/>
          <w:szCs w:val="24"/>
          <w:lang w:val="en"/>
        </w:rPr>
        <w:t xml:space="preserve"> Village, rely on oil palm plantations for their primary income because they are considered to have long-term prospects, high profits, and relatively easy cultivation techniques. Economic and feasibility analysis of smallholder oil palm farming is essential to evaluate the profitability and sustainability of the business. The purpose of this study was to determine the production costs, revenues, and income of smallholder oil palm businesses and to assess their feasibility using the Revenue/Cost (R/C) ratio. </w:t>
      </w:r>
      <w:r w:rsidR="000704E0" w:rsidRPr="000704E0">
        <w:rPr>
          <w:rFonts w:ascii="Times New Roman" w:eastAsia="Times New Roman" w:hAnsi="Times New Roman" w:cs="Times New Roman"/>
          <w:highlight w:val="yellow"/>
          <w:lang w:val="en"/>
        </w:rPr>
        <w:t xml:space="preserve">The </w:t>
      </w:r>
      <w:proofErr w:type="gramStart"/>
      <w:r w:rsidR="000704E0" w:rsidRPr="000704E0">
        <w:rPr>
          <w:rFonts w:ascii="Times New Roman" w:eastAsia="Times New Roman" w:hAnsi="Times New Roman" w:cs="Times New Roman"/>
          <w:highlight w:val="yellow"/>
          <w:lang w:val="en"/>
        </w:rPr>
        <w:t>study  was</w:t>
      </w:r>
      <w:proofErr w:type="gramEnd"/>
      <w:r w:rsidR="000704E0" w:rsidRPr="000704E0">
        <w:rPr>
          <w:rFonts w:ascii="Times New Roman" w:eastAsia="Times New Roman" w:hAnsi="Times New Roman" w:cs="Times New Roman"/>
          <w:highlight w:val="yellow"/>
          <w:lang w:val="en"/>
        </w:rPr>
        <w:t xml:space="preserve"> conducted from February to April 2025 in Dusun 3, </w:t>
      </w:r>
      <w:proofErr w:type="spellStart"/>
      <w:r w:rsidR="000704E0" w:rsidRPr="000704E0">
        <w:rPr>
          <w:rFonts w:ascii="Times New Roman" w:eastAsia="Times New Roman" w:hAnsi="Times New Roman" w:cs="Times New Roman"/>
          <w:highlight w:val="yellow"/>
          <w:lang w:val="en"/>
        </w:rPr>
        <w:t>Marga</w:t>
      </w:r>
      <w:proofErr w:type="spellEnd"/>
      <w:r w:rsidR="000704E0" w:rsidRPr="000704E0">
        <w:rPr>
          <w:rFonts w:ascii="Times New Roman" w:eastAsia="Times New Roman" w:hAnsi="Times New Roman" w:cs="Times New Roman"/>
          <w:highlight w:val="yellow"/>
          <w:lang w:val="en"/>
        </w:rPr>
        <w:t xml:space="preserve"> </w:t>
      </w:r>
      <w:proofErr w:type="spellStart"/>
      <w:r w:rsidR="000704E0" w:rsidRPr="000704E0">
        <w:rPr>
          <w:rFonts w:ascii="Times New Roman" w:eastAsia="Times New Roman" w:hAnsi="Times New Roman" w:cs="Times New Roman"/>
          <w:highlight w:val="yellow"/>
          <w:lang w:val="en"/>
        </w:rPr>
        <w:t>Mulia</w:t>
      </w:r>
      <w:proofErr w:type="spellEnd"/>
      <w:r w:rsidR="000704E0" w:rsidRPr="000704E0">
        <w:rPr>
          <w:rFonts w:ascii="Times New Roman" w:eastAsia="Times New Roman" w:hAnsi="Times New Roman" w:cs="Times New Roman"/>
          <w:highlight w:val="yellow"/>
          <w:lang w:val="en"/>
        </w:rPr>
        <w:t xml:space="preserve"> Village, </w:t>
      </w:r>
      <w:proofErr w:type="spellStart"/>
      <w:r w:rsidR="000704E0" w:rsidRPr="000704E0">
        <w:rPr>
          <w:rFonts w:ascii="Times New Roman" w:eastAsia="Times New Roman" w:hAnsi="Times New Roman" w:cs="Times New Roman"/>
          <w:highlight w:val="yellow"/>
          <w:lang w:val="en"/>
        </w:rPr>
        <w:t>Kongbeng</w:t>
      </w:r>
      <w:proofErr w:type="spellEnd"/>
      <w:r w:rsidR="000704E0" w:rsidRPr="000704E0">
        <w:rPr>
          <w:rFonts w:ascii="Times New Roman" w:eastAsia="Times New Roman" w:hAnsi="Times New Roman" w:cs="Times New Roman"/>
          <w:highlight w:val="yellow"/>
          <w:lang w:val="en"/>
        </w:rPr>
        <w:t xml:space="preserve"> District, East </w:t>
      </w:r>
      <w:proofErr w:type="spellStart"/>
      <w:r w:rsidR="000704E0" w:rsidRPr="000704E0">
        <w:rPr>
          <w:rFonts w:ascii="Times New Roman" w:eastAsia="Times New Roman" w:hAnsi="Times New Roman" w:cs="Times New Roman"/>
          <w:highlight w:val="yellow"/>
          <w:lang w:val="en"/>
        </w:rPr>
        <w:t>Kutai</w:t>
      </w:r>
      <w:proofErr w:type="spellEnd"/>
      <w:r w:rsidR="000704E0" w:rsidRPr="000704E0">
        <w:rPr>
          <w:rFonts w:ascii="Times New Roman" w:eastAsia="Times New Roman" w:hAnsi="Times New Roman" w:cs="Times New Roman"/>
          <w:highlight w:val="yellow"/>
          <w:lang w:val="en"/>
        </w:rPr>
        <w:t xml:space="preserve"> Regency, East Kalimantan Province.  </w:t>
      </w:r>
      <w:r w:rsidR="000704E0" w:rsidRPr="000704E0">
        <w:rPr>
          <w:rStyle w:val="rynqvb"/>
          <w:rFonts w:ascii="Times New Roman" w:hAnsi="Times New Roman" w:cs="Times New Roman"/>
          <w:highlight w:val="yellow"/>
          <w:lang w:val="en"/>
        </w:rPr>
        <w:t>The study used a saturated or census sampling method, resulting in a sample size of 24 farmers from the entire population.</w:t>
      </w:r>
      <w:r w:rsidR="000704E0" w:rsidRPr="000704E0">
        <w:rPr>
          <w:rStyle w:val="hwtze"/>
          <w:rFonts w:ascii="Times New Roman" w:hAnsi="Times New Roman" w:cs="Times New Roman"/>
          <w:highlight w:val="yellow"/>
          <w:lang w:val="en"/>
        </w:rPr>
        <w:t xml:space="preserve"> </w:t>
      </w:r>
      <w:r w:rsidR="000704E0" w:rsidRPr="000704E0">
        <w:rPr>
          <w:rStyle w:val="rynqvb"/>
          <w:rFonts w:ascii="Times New Roman" w:hAnsi="Times New Roman" w:cs="Times New Roman"/>
          <w:highlight w:val="yellow"/>
          <w:lang w:val="en"/>
        </w:rPr>
        <w:t>The criteria were oil palm farmers with oil palm plantations aged between 10 and 12 years.</w:t>
      </w:r>
      <w:r w:rsidR="000704E0" w:rsidRPr="00577F0E">
        <w:rPr>
          <w:rStyle w:val="hwtze"/>
          <w:rFonts w:ascii="Times New Roman" w:hAnsi="Times New Roman" w:cs="Times New Roman"/>
          <w:lang w:val="en"/>
        </w:rPr>
        <w:t xml:space="preserve"> </w:t>
      </w:r>
      <w:r w:rsidRPr="0006348B">
        <w:rPr>
          <w:rFonts w:ascii="Times New Roman" w:eastAsia="Times New Roman" w:hAnsi="Times New Roman" w:cs="Times New Roman"/>
          <w:sz w:val="24"/>
          <w:szCs w:val="24"/>
          <w:lang w:val="en"/>
        </w:rPr>
        <w:t xml:space="preserve">Data were collected through primary and secondary methods through observation, interviews, and literature review, and then analyzed using descriptive quantitative analysis. The results show that the average production cost </w:t>
      </w:r>
      <w:r>
        <w:rPr>
          <w:rFonts w:ascii="Times New Roman" w:eastAsia="Times New Roman" w:hAnsi="Times New Roman" w:cs="Times New Roman"/>
          <w:sz w:val="24"/>
          <w:szCs w:val="24"/>
          <w:lang w:val="en"/>
        </w:rPr>
        <w:t>was</w:t>
      </w:r>
      <w:r w:rsidRPr="0006348B">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15,014,749.18/ha/year, the average revenue </w:t>
      </w:r>
      <w:r>
        <w:rPr>
          <w:rFonts w:ascii="Times New Roman" w:eastAsia="Times New Roman" w:hAnsi="Times New Roman" w:cs="Times New Roman"/>
          <w:sz w:val="24"/>
          <w:szCs w:val="24"/>
          <w:lang w:val="en"/>
        </w:rPr>
        <w:t>wa</w:t>
      </w:r>
      <w:r w:rsidRPr="0006348B">
        <w:rPr>
          <w:rFonts w:ascii="Times New Roman" w:eastAsia="Times New Roman" w:hAnsi="Times New Roman" w:cs="Times New Roman"/>
          <w:sz w:val="24"/>
          <w:szCs w:val="24"/>
          <w:lang w:val="en"/>
        </w:rPr>
        <w:t xml:space="preserve">s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47,895,964.08/ha, and the income </w:t>
      </w:r>
      <w:r>
        <w:rPr>
          <w:rFonts w:ascii="Times New Roman" w:eastAsia="Times New Roman" w:hAnsi="Times New Roman" w:cs="Times New Roman"/>
          <w:sz w:val="24"/>
          <w:szCs w:val="24"/>
          <w:lang w:val="en"/>
        </w:rPr>
        <w:t>wa</w:t>
      </w:r>
      <w:r w:rsidRPr="0006348B">
        <w:rPr>
          <w:rFonts w:ascii="Times New Roman" w:eastAsia="Times New Roman" w:hAnsi="Times New Roman" w:cs="Times New Roman"/>
          <w:sz w:val="24"/>
          <w:szCs w:val="24"/>
          <w:lang w:val="en"/>
        </w:rPr>
        <w:t xml:space="preserve">s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32,881,214.89/ha/year. The smallholder oil palm business in this area is declared profitable and feasible to be developed with an R/C ratio of 3.19</w:t>
      </w:r>
      <w:r>
        <w:rPr>
          <w:rFonts w:ascii="Times New Roman" w:eastAsia="Times New Roman" w:hAnsi="Times New Roman" w:cs="Times New Roman"/>
          <w:sz w:val="24"/>
          <w:szCs w:val="24"/>
          <w:lang w:val="en"/>
        </w:rPr>
        <w:t>,</w:t>
      </w:r>
      <w:r w:rsidRPr="0006348B">
        <w:rPr>
          <w:rFonts w:ascii="Times New Roman" w:eastAsia="Times New Roman" w:hAnsi="Times New Roman" w:cs="Times New Roman"/>
          <w:sz w:val="24"/>
          <w:szCs w:val="24"/>
          <w:lang w:val="en"/>
        </w:rPr>
        <w:t xml:space="preserve"> indicating that every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1.00 of production costs generates </w:t>
      </w:r>
      <w:r>
        <w:rPr>
          <w:rFonts w:ascii="Times New Roman" w:eastAsia="Times New Roman" w:hAnsi="Times New Roman" w:cs="Times New Roman"/>
          <w:sz w:val="24"/>
          <w:szCs w:val="24"/>
          <w:lang w:val="en"/>
        </w:rPr>
        <w:t>IDR</w:t>
      </w:r>
      <w:r w:rsidRPr="0006348B">
        <w:rPr>
          <w:rFonts w:ascii="Times New Roman" w:eastAsia="Times New Roman" w:hAnsi="Times New Roman" w:cs="Times New Roman"/>
          <w:sz w:val="24"/>
          <w:szCs w:val="24"/>
          <w:lang w:val="en"/>
        </w:rPr>
        <w:t xml:space="preserve"> 3.19 in income.</w:t>
      </w:r>
    </w:p>
    <w:p w14:paraId="4E052F9E" w14:textId="46163018" w:rsidR="0006348B" w:rsidRPr="00604E88" w:rsidRDefault="00604E88" w:rsidP="0036263B">
      <w:pPr>
        <w:spacing w:after="0" w:line="240" w:lineRule="auto"/>
        <w:jc w:val="both"/>
        <w:rPr>
          <w:rFonts w:ascii="Times New Roman" w:eastAsia="Times New Roman" w:hAnsi="Times New Roman" w:cs="Times New Roman"/>
          <w:b/>
          <w:bCs/>
          <w:sz w:val="24"/>
          <w:szCs w:val="24"/>
          <w:lang w:val="en"/>
        </w:rPr>
      </w:pPr>
      <w:r w:rsidRPr="00604E88">
        <w:rPr>
          <w:rStyle w:val="rynqvb"/>
          <w:rFonts w:ascii="Times New Roman" w:hAnsi="Times New Roman" w:cs="Times New Roman"/>
          <w:b/>
          <w:bCs/>
          <w:lang w:val="en"/>
        </w:rPr>
        <w:t>Keywords: Smallholder oil palm plantations, economic analysis</w:t>
      </w:r>
      <w:r w:rsidR="008B29DF">
        <w:rPr>
          <w:rStyle w:val="rynqvb"/>
          <w:rFonts w:ascii="Times New Roman" w:hAnsi="Times New Roman" w:cs="Times New Roman"/>
          <w:b/>
          <w:bCs/>
          <w:lang w:val="en"/>
        </w:rPr>
        <w:t xml:space="preserve">, </w:t>
      </w:r>
      <w:r w:rsidR="008B29DF" w:rsidRPr="008B29DF">
        <w:rPr>
          <w:rStyle w:val="rynqvb"/>
          <w:rFonts w:ascii="Times New Roman" w:hAnsi="Times New Roman" w:cs="Times New Roman"/>
          <w:b/>
          <w:bCs/>
          <w:lang w:val="en"/>
        </w:rPr>
        <w:t xml:space="preserve">cultivation </w:t>
      </w:r>
      <w:proofErr w:type="spellStart"/>
      <w:r w:rsidR="008B29DF" w:rsidRPr="008B29DF">
        <w:rPr>
          <w:rStyle w:val="rynqvb"/>
          <w:rFonts w:ascii="Times New Roman" w:hAnsi="Times New Roman" w:cs="Times New Roman"/>
          <w:b/>
          <w:bCs/>
          <w:lang w:val="en"/>
        </w:rPr>
        <w:t>techniques</w:t>
      </w:r>
      <w:r w:rsidR="008B29DF">
        <w:rPr>
          <w:rStyle w:val="rynqvb"/>
          <w:rFonts w:ascii="Times New Roman" w:hAnsi="Times New Roman" w:cs="Times New Roman"/>
          <w:b/>
          <w:bCs/>
          <w:lang w:val="en"/>
        </w:rPr>
        <w:t>m</w:t>
      </w:r>
      <w:proofErr w:type="spellEnd"/>
      <w:r w:rsidR="008B29DF">
        <w:rPr>
          <w:rStyle w:val="rynqvb"/>
          <w:rFonts w:ascii="Times New Roman" w:hAnsi="Times New Roman" w:cs="Times New Roman"/>
          <w:b/>
          <w:bCs/>
          <w:lang w:val="en"/>
        </w:rPr>
        <w:t xml:space="preserve">, </w:t>
      </w:r>
      <w:r w:rsidR="008B29DF" w:rsidRPr="008B29DF">
        <w:rPr>
          <w:rStyle w:val="rynqvb"/>
          <w:rFonts w:ascii="Times New Roman" w:hAnsi="Times New Roman" w:cs="Times New Roman"/>
          <w:b/>
          <w:bCs/>
          <w:lang w:val="en"/>
        </w:rPr>
        <w:t>profitability and sustainability</w:t>
      </w:r>
      <w:r w:rsidR="008B29DF" w:rsidRPr="008B29DF">
        <w:t xml:space="preserve"> </w:t>
      </w:r>
      <w:r w:rsidR="008B29DF" w:rsidRPr="008B29DF">
        <w:rPr>
          <w:rStyle w:val="rynqvb"/>
          <w:rFonts w:ascii="Times New Roman" w:hAnsi="Times New Roman" w:cs="Times New Roman"/>
          <w:b/>
          <w:bCs/>
          <w:lang w:val="en"/>
        </w:rPr>
        <w:t>of the business</w:t>
      </w:r>
      <w:r w:rsidR="008B29DF">
        <w:rPr>
          <w:rStyle w:val="rynqvb"/>
          <w:rFonts w:ascii="Times New Roman" w:hAnsi="Times New Roman" w:cs="Times New Roman"/>
          <w:b/>
          <w:bCs/>
          <w:lang w:val="en"/>
        </w:rPr>
        <w:t xml:space="preserve">, </w:t>
      </w:r>
      <w:r w:rsidR="008B29DF" w:rsidRPr="008B29DF">
        <w:rPr>
          <w:rStyle w:val="rynqvb"/>
          <w:rFonts w:ascii="Times New Roman" w:hAnsi="Times New Roman" w:cs="Times New Roman"/>
          <w:b/>
          <w:bCs/>
          <w:lang w:val="en"/>
        </w:rPr>
        <w:t>Revenue/Cost (R/C) ratio</w:t>
      </w:r>
    </w:p>
    <w:p w14:paraId="2B52F326" w14:textId="77777777" w:rsidR="00604E88" w:rsidRDefault="00604E88" w:rsidP="0036263B">
      <w:pPr>
        <w:spacing w:after="0" w:line="240" w:lineRule="auto"/>
        <w:jc w:val="both"/>
        <w:rPr>
          <w:rFonts w:ascii="Times New Roman" w:eastAsia="Times New Roman" w:hAnsi="Times New Roman" w:cs="Times New Roman"/>
          <w:b/>
          <w:bCs/>
          <w:sz w:val="24"/>
          <w:szCs w:val="24"/>
          <w:lang w:val="en"/>
        </w:rPr>
      </w:pPr>
    </w:p>
    <w:p w14:paraId="647A952F" w14:textId="03DAED4E" w:rsidR="0036263B" w:rsidRPr="00604E88" w:rsidRDefault="0036263B" w:rsidP="00604E88">
      <w:pPr>
        <w:pStyle w:val="ListParagraph"/>
        <w:numPr>
          <w:ilvl w:val="0"/>
          <w:numId w:val="1"/>
        </w:numPr>
        <w:spacing w:after="0" w:line="240" w:lineRule="auto"/>
        <w:ind w:left="284" w:hanging="284"/>
        <w:jc w:val="both"/>
        <w:rPr>
          <w:rFonts w:ascii="Times New Roman" w:eastAsia="Times New Roman" w:hAnsi="Times New Roman" w:cs="Times New Roman"/>
          <w:b/>
          <w:bCs/>
          <w:sz w:val="24"/>
          <w:szCs w:val="24"/>
          <w:lang w:val="en"/>
        </w:rPr>
      </w:pPr>
      <w:r w:rsidRPr="00604E88">
        <w:rPr>
          <w:rFonts w:ascii="Times New Roman" w:eastAsia="Times New Roman" w:hAnsi="Times New Roman" w:cs="Times New Roman"/>
          <w:b/>
          <w:bCs/>
          <w:sz w:val="24"/>
          <w:szCs w:val="24"/>
          <w:lang w:val="en"/>
        </w:rPr>
        <w:t xml:space="preserve">INTRODUCTION </w:t>
      </w:r>
    </w:p>
    <w:p w14:paraId="3C7E90F2" w14:textId="7000A9AF" w:rsidR="0036263B" w:rsidRPr="0036263B" w:rsidRDefault="0036263B" w:rsidP="0036263B">
      <w:pPr>
        <w:spacing w:after="0" w:line="240" w:lineRule="auto"/>
        <w:ind w:firstLine="567"/>
        <w:jc w:val="both"/>
        <w:rPr>
          <w:rFonts w:ascii="Times New Roman" w:eastAsia="Times New Roman" w:hAnsi="Times New Roman" w:cs="Times New Roman"/>
          <w:sz w:val="24"/>
          <w:szCs w:val="24"/>
        </w:rPr>
      </w:pPr>
      <w:r w:rsidRPr="0036263B">
        <w:rPr>
          <w:rFonts w:ascii="Times New Roman" w:eastAsia="Times New Roman" w:hAnsi="Times New Roman" w:cs="Times New Roman"/>
          <w:sz w:val="24"/>
          <w:szCs w:val="24"/>
          <w:lang w:val="en"/>
        </w:rPr>
        <w:t>The agricultural sector plays a significant role in the Indonesian economy, contributing 12.53% of GDP in 2023, or IDR 2,617.7 trillion. The plantation subsector contributed IDR 811.3 trillion (30.99%) to the total GDP of the Agriculture, Forestry, and Fisheries sector (BPS, 2024).</w:t>
      </w:r>
    </w:p>
    <w:p w14:paraId="66FDA0C7" w14:textId="77777777" w:rsidR="0036263B" w:rsidRDefault="0036263B" w:rsidP="0036263B">
      <w:pPr>
        <w:spacing w:after="0" w:line="240" w:lineRule="auto"/>
        <w:ind w:firstLine="567"/>
        <w:jc w:val="both"/>
        <w:rPr>
          <w:rFonts w:ascii="Times New Roman" w:eastAsia="Times New Roman" w:hAnsi="Times New Roman" w:cs="Times New Roman"/>
          <w:sz w:val="24"/>
          <w:szCs w:val="24"/>
          <w:lang w:val="en"/>
        </w:rPr>
      </w:pPr>
      <w:r w:rsidRPr="0036263B">
        <w:rPr>
          <w:rFonts w:ascii="Times New Roman" w:eastAsia="Times New Roman" w:hAnsi="Times New Roman" w:cs="Times New Roman"/>
          <w:sz w:val="24"/>
          <w:szCs w:val="24"/>
          <w:lang w:val="en"/>
        </w:rPr>
        <w:t>Indonesia is the world's largest palm oil producer, producing 46.99 million tons of CPO in 2023 from 6.29 million hectares of land. This industry contributed IDR 88 trillion to the state budget, consisting of taxes (IDR 50.2 trillion), non-tax state revenue (IDR 32.4 trillion), and export duties (IDR 6.1 trillion) (</w:t>
      </w:r>
      <w:proofErr w:type="spellStart"/>
      <w:r w:rsidRPr="0036263B">
        <w:rPr>
          <w:rFonts w:ascii="Times New Roman" w:eastAsia="Times New Roman" w:hAnsi="Times New Roman" w:cs="Times New Roman"/>
          <w:sz w:val="24"/>
          <w:szCs w:val="24"/>
          <w:lang w:val="en"/>
        </w:rPr>
        <w:t>Astuti</w:t>
      </w:r>
      <w:proofErr w:type="spellEnd"/>
      <w:r w:rsidRPr="0036263B">
        <w:rPr>
          <w:rFonts w:ascii="Times New Roman" w:eastAsia="Times New Roman" w:hAnsi="Times New Roman" w:cs="Times New Roman"/>
          <w:sz w:val="24"/>
          <w:szCs w:val="24"/>
          <w:lang w:val="en"/>
        </w:rPr>
        <w:t xml:space="preserve">, 2024). </w:t>
      </w:r>
    </w:p>
    <w:p w14:paraId="24A76311" w14:textId="77777777" w:rsidR="0036263B" w:rsidRDefault="0036263B" w:rsidP="0036263B">
      <w:pPr>
        <w:spacing w:after="0" w:line="240" w:lineRule="auto"/>
        <w:ind w:firstLine="567"/>
        <w:jc w:val="both"/>
        <w:rPr>
          <w:rFonts w:ascii="Times New Roman" w:eastAsia="Times New Roman" w:hAnsi="Times New Roman" w:cs="Times New Roman"/>
          <w:sz w:val="24"/>
          <w:szCs w:val="24"/>
          <w:lang w:val="en"/>
        </w:rPr>
      </w:pPr>
      <w:r w:rsidRPr="0036263B">
        <w:rPr>
          <w:rFonts w:ascii="Times New Roman" w:eastAsia="Times New Roman" w:hAnsi="Times New Roman" w:cs="Times New Roman"/>
          <w:sz w:val="24"/>
          <w:szCs w:val="24"/>
          <w:lang w:val="en"/>
        </w:rPr>
        <w:t xml:space="preserve">Nine provinces in Sumatra and Kalimantan dominate Indonesia's palm oil production, contributing a total of 87.82% of national production in 2023. These provinces include Riau (18.71%), Central Kalimantan (18.19%), and North Sumatra (10.68%), as well as South Sumatra, Jambi, West Kalimantan, East Kalimantan, West Sumatra, and South Kalimantan (Secretariat General of the Ministry of Agriculture, 2024). </w:t>
      </w:r>
    </w:p>
    <w:p w14:paraId="5E8B7026" w14:textId="6F4D96F0" w:rsidR="0036263B" w:rsidRPr="0036263B" w:rsidRDefault="0036263B" w:rsidP="0036263B">
      <w:pPr>
        <w:spacing w:after="0" w:line="240" w:lineRule="auto"/>
        <w:ind w:firstLine="567"/>
        <w:jc w:val="both"/>
        <w:rPr>
          <w:rFonts w:ascii="Times New Roman" w:eastAsia="Times New Roman" w:hAnsi="Times New Roman" w:cs="Times New Roman"/>
          <w:sz w:val="24"/>
          <w:szCs w:val="24"/>
        </w:rPr>
      </w:pPr>
      <w:r w:rsidRPr="0036263B">
        <w:rPr>
          <w:rFonts w:ascii="Times New Roman" w:eastAsia="Times New Roman" w:hAnsi="Times New Roman" w:cs="Times New Roman"/>
          <w:sz w:val="24"/>
          <w:szCs w:val="24"/>
          <w:lang w:val="en"/>
        </w:rPr>
        <w:t xml:space="preserve">East Kalimantan produced 20.71 million tons of palm oil in 2023 from 1.33 million hectares of land. Of this total, 373,212 hectares of smallholder land yielded 519,497 tons. This represents an increase in production from the previous year (BPS, 2024). East </w:t>
      </w:r>
      <w:proofErr w:type="spellStart"/>
      <w:r w:rsidRPr="0036263B">
        <w:rPr>
          <w:rFonts w:ascii="Times New Roman" w:eastAsia="Times New Roman" w:hAnsi="Times New Roman" w:cs="Times New Roman"/>
          <w:sz w:val="24"/>
          <w:szCs w:val="24"/>
          <w:lang w:val="en"/>
        </w:rPr>
        <w:t>Kutai</w:t>
      </w:r>
      <w:proofErr w:type="spellEnd"/>
      <w:r w:rsidRPr="0036263B">
        <w:rPr>
          <w:rFonts w:ascii="Times New Roman" w:eastAsia="Times New Roman" w:hAnsi="Times New Roman" w:cs="Times New Roman"/>
          <w:sz w:val="24"/>
          <w:szCs w:val="24"/>
          <w:lang w:val="en"/>
        </w:rPr>
        <w:t xml:space="preserve"> Regency is 1 one of the palm oil centers in East Kalimantan, with a community plantation area reaching 59,525 2 hectares and a production of 6.55 million tons in 2023. A total of 20,853 families are involved in oil palm cultivation (BPS, 2024).</w:t>
      </w:r>
    </w:p>
    <w:p w14:paraId="23AD953B" w14:textId="756F7522" w:rsidR="0036263B" w:rsidRDefault="0036263B" w:rsidP="0036263B">
      <w:pPr>
        <w:spacing w:after="0" w:line="240" w:lineRule="auto"/>
        <w:ind w:firstLine="567"/>
        <w:jc w:val="both"/>
        <w:rPr>
          <w:rFonts w:ascii="Times New Roman" w:eastAsia="Times New Roman" w:hAnsi="Times New Roman" w:cs="Times New Roman"/>
          <w:sz w:val="24"/>
          <w:szCs w:val="24"/>
          <w:lang w:val="en"/>
        </w:rPr>
      </w:pPr>
      <w:proofErr w:type="spellStart"/>
      <w:r>
        <w:rPr>
          <w:rFonts w:ascii="Times New Roman" w:eastAsia="Times New Roman" w:hAnsi="Times New Roman" w:cs="Times New Roman"/>
          <w:sz w:val="24"/>
          <w:szCs w:val="24"/>
          <w:lang w:val="en"/>
        </w:rPr>
        <w:lastRenderedPageBreak/>
        <w:t>K</w:t>
      </w:r>
      <w:r w:rsidRPr="0036263B">
        <w:rPr>
          <w:rFonts w:ascii="Times New Roman" w:eastAsia="Times New Roman" w:hAnsi="Times New Roman" w:cs="Times New Roman"/>
          <w:sz w:val="24"/>
          <w:szCs w:val="24"/>
          <w:lang w:val="en"/>
        </w:rPr>
        <w:t>ongbeng</w:t>
      </w:r>
      <w:proofErr w:type="spellEnd"/>
      <w:r w:rsidRPr="0036263B">
        <w:rPr>
          <w:rFonts w:ascii="Times New Roman" w:eastAsia="Times New Roman" w:hAnsi="Times New Roman" w:cs="Times New Roman"/>
          <w:sz w:val="24"/>
          <w:szCs w:val="24"/>
          <w:lang w:val="en"/>
        </w:rPr>
        <w:t xml:space="preserve"> District is a center for palm oil FFB production, with 4,201 farmer families managing 52,605.82 hectares of land, and production reaching 838,032.5 tons in 2023 (BPS, 2024). Currently, oil palm plantations are a favorite among the people of </w:t>
      </w:r>
      <w:proofErr w:type="spellStart"/>
      <w:r w:rsidRPr="0036263B">
        <w:rPr>
          <w:rFonts w:ascii="Times New Roman" w:eastAsia="Times New Roman" w:hAnsi="Times New Roman" w:cs="Times New Roman"/>
          <w:sz w:val="24"/>
          <w:szCs w:val="24"/>
          <w:lang w:val="en"/>
        </w:rPr>
        <w:t>Kongbeng</w:t>
      </w:r>
      <w:proofErr w:type="spellEnd"/>
      <w:r w:rsidRPr="0036263B">
        <w:rPr>
          <w:rFonts w:ascii="Times New Roman" w:eastAsia="Times New Roman" w:hAnsi="Times New Roman" w:cs="Times New Roman"/>
          <w:sz w:val="24"/>
          <w:szCs w:val="24"/>
          <w:lang w:val="en"/>
        </w:rPr>
        <w:t xml:space="preserve"> District. The presence of a CPO processing plant owned by PT </w:t>
      </w:r>
      <w:proofErr w:type="spellStart"/>
      <w:r w:rsidRPr="0036263B">
        <w:rPr>
          <w:rFonts w:ascii="Times New Roman" w:eastAsia="Times New Roman" w:hAnsi="Times New Roman" w:cs="Times New Roman"/>
          <w:sz w:val="24"/>
          <w:szCs w:val="24"/>
          <w:lang w:val="en"/>
        </w:rPr>
        <w:t>Sinar</w:t>
      </w:r>
      <w:proofErr w:type="spellEnd"/>
      <w:r w:rsidRPr="0036263B">
        <w:rPr>
          <w:rFonts w:ascii="Times New Roman" w:eastAsia="Times New Roman" w:hAnsi="Times New Roman" w:cs="Times New Roman"/>
          <w:sz w:val="24"/>
          <w:szCs w:val="24"/>
          <w:lang w:val="en"/>
        </w:rPr>
        <w:t xml:space="preserve"> Mas in </w:t>
      </w:r>
      <w:proofErr w:type="spellStart"/>
      <w:r w:rsidRPr="0036263B">
        <w:rPr>
          <w:rFonts w:ascii="Times New Roman" w:eastAsia="Times New Roman" w:hAnsi="Times New Roman" w:cs="Times New Roman"/>
          <w:sz w:val="24"/>
          <w:szCs w:val="24"/>
          <w:lang w:val="en"/>
        </w:rPr>
        <w:t>Kongbeng</w:t>
      </w:r>
      <w:proofErr w:type="spellEnd"/>
      <w:r w:rsidRPr="0036263B">
        <w:rPr>
          <w:rFonts w:ascii="Times New Roman" w:eastAsia="Times New Roman" w:hAnsi="Times New Roman" w:cs="Times New Roman"/>
          <w:sz w:val="24"/>
          <w:szCs w:val="24"/>
          <w:lang w:val="en"/>
        </w:rPr>
        <w:t xml:space="preserve"> District has boosted economic growth in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particularly in the marketing of palm oil products. Farmers can sell their harvests directly or through cooperatives, thus strengthening market access. According to the 2021 Village Profile, </w:t>
      </w:r>
      <w:r w:rsidR="0006348B">
        <w:rPr>
          <w:rFonts w:ascii="Times New Roman" w:eastAsia="Times New Roman" w:hAnsi="Times New Roman" w:cs="Times New Roman"/>
          <w:sz w:val="24"/>
          <w:szCs w:val="24"/>
          <w:lang w:val="en"/>
        </w:rPr>
        <w:t>1,184 families own</w:t>
      </w:r>
      <w:r w:rsidRPr="0036263B">
        <w:rPr>
          <w:rFonts w:ascii="Times New Roman" w:eastAsia="Times New Roman" w:hAnsi="Times New Roman" w:cs="Times New Roman"/>
          <w:sz w:val="24"/>
          <w:szCs w:val="24"/>
          <w:lang w:val="en"/>
        </w:rPr>
        <w:t xml:space="preserve"> 1,155.18 hectares of plantation land, consisting of 1,071.7 hectares of smallholder oil palm plantations, 47.9 hectares of private oil palm plantations, and 35.58 hectares of rubber. Private plantations began entering the area in 2001, spurring the growth of independently managed smallholder oil palm plantations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Government, 2021). </w:t>
      </w:r>
    </w:p>
    <w:p w14:paraId="37E1DBAD" w14:textId="55889618" w:rsidR="0036263B" w:rsidRDefault="0036263B" w:rsidP="0036263B">
      <w:pPr>
        <w:spacing w:after="0" w:line="240" w:lineRule="auto"/>
        <w:ind w:firstLine="567"/>
        <w:jc w:val="both"/>
        <w:rPr>
          <w:rFonts w:ascii="Times New Roman" w:eastAsia="Times New Roman" w:hAnsi="Times New Roman" w:cs="Times New Roman"/>
          <w:sz w:val="24"/>
          <w:szCs w:val="24"/>
          <w:lang w:val="en"/>
        </w:rPr>
      </w:pPr>
      <w:r w:rsidRPr="0036263B">
        <w:rPr>
          <w:rFonts w:ascii="Times New Roman" w:eastAsia="Times New Roman" w:hAnsi="Times New Roman" w:cs="Times New Roman"/>
          <w:sz w:val="24"/>
          <w:szCs w:val="24"/>
          <w:lang w:val="en"/>
        </w:rPr>
        <w:t xml:space="preserve">In </w:t>
      </w:r>
      <w:r>
        <w:rPr>
          <w:rFonts w:ascii="Times New Roman" w:eastAsia="Times New Roman" w:hAnsi="Times New Roman" w:cs="Times New Roman"/>
          <w:sz w:val="24"/>
          <w:szCs w:val="24"/>
          <w:lang w:val="en"/>
        </w:rPr>
        <w:t>Dusun</w:t>
      </w:r>
      <w:r w:rsidRPr="0036263B">
        <w:rPr>
          <w:rFonts w:ascii="Times New Roman" w:eastAsia="Times New Roman" w:hAnsi="Times New Roman" w:cs="Times New Roman"/>
          <w:sz w:val="24"/>
          <w:szCs w:val="24"/>
          <w:lang w:val="en"/>
        </w:rPr>
        <w:t xml:space="preserve"> 3, approximately 60 families independently manage oil palm plantations with varying planting years. The majority consider oil palm a primary source of income because it is considered profitable, has long-term prospects, and is easy to cultivate. Therefore, optimal production management is essential to maintain and increase income. Based on the above description, this study aimed to analyze the production costs, revenues, and income of smallholder oil palm plantations in </w:t>
      </w:r>
      <w:r>
        <w:rPr>
          <w:rFonts w:ascii="Times New Roman" w:eastAsia="Times New Roman" w:hAnsi="Times New Roman" w:cs="Times New Roman"/>
          <w:sz w:val="24"/>
          <w:szCs w:val="24"/>
          <w:lang w:val="en"/>
        </w:rPr>
        <w:t>Dusun</w:t>
      </w:r>
      <w:r w:rsidRPr="0036263B">
        <w:rPr>
          <w:rFonts w:ascii="Times New Roman" w:eastAsia="Times New Roman" w:hAnsi="Times New Roman" w:cs="Times New Roman"/>
          <w:sz w:val="24"/>
          <w:szCs w:val="24"/>
          <w:lang w:val="en"/>
        </w:rPr>
        <w:t xml:space="preserve"> 3,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and to determine the feasibility of smallholder oil palm plantations in </w:t>
      </w:r>
      <w:r>
        <w:rPr>
          <w:rFonts w:ascii="Times New Roman" w:eastAsia="Times New Roman" w:hAnsi="Times New Roman" w:cs="Times New Roman"/>
          <w:sz w:val="24"/>
          <w:szCs w:val="24"/>
          <w:lang w:val="en"/>
        </w:rPr>
        <w:t>Dusun</w:t>
      </w:r>
      <w:r w:rsidRPr="0036263B">
        <w:rPr>
          <w:rFonts w:ascii="Times New Roman" w:eastAsia="Times New Roman" w:hAnsi="Times New Roman" w:cs="Times New Roman"/>
          <w:sz w:val="24"/>
          <w:szCs w:val="24"/>
          <w:lang w:val="en"/>
        </w:rPr>
        <w:t xml:space="preserve"> 3, </w:t>
      </w:r>
      <w:proofErr w:type="spellStart"/>
      <w:r w:rsidRPr="0036263B">
        <w:rPr>
          <w:rFonts w:ascii="Times New Roman" w:eastAsia="Times New Roman" w:hAnsi="Times New Roman" w:cs="Times New Roman"/>
          <w:sz w:val="24"/>
          <w:szCs w:val="24"/>
          <w:lang w:val="en"/>
        </w:rPr>
        <w:t>Marga</w:t>
      </w:r>
      <w:proofErr w:type="spellEnd"/>
      <w:r w:rsidRPr="0036263B">
        <w:rPr>
          <w:rFonts w:ascii="Times New Roman" w:eastAsia="Times New Roman" w:hAnsi="Times New Roman" w:cs="Times New Roman"/>
          <w:sz w:val="24"/>
          <w:szCs w:val="24"/>
          <w:lang w:val="en"/>
        </w:rPr>
        <w:t xml:space="preserve"> </w:t>
      </w:r>
      <w:proofErr w:type="spellStart"/>
      <w:r w:rsidRPr="0036263B">
        <w:rPr>
          <w:rFonts w:ascii="Times New Roman" w:eastAsia="Times New Roman" w:hAnsi="Times New Roman" w:cs="Times New Roman"/>
          <w:sz w:val="24"/>
          <w:szCs w:val="24"/>
          <w:lang w:val="en"/>
        </w:rPr>
        <w:t>Mulia</w:t>
      </w:r>
      <w:proofErr w:type="spellEnd"/>
      <w:r w:rsidRPr="0036263B">
        <w:rPr>
          <w:rFonts w:ascii="Times New Roman" w:eastAsia="Times New Roman" w:hAnsi="Times New Roman" w:cs="Times New Roman"/>
          <w:sz w:val="24"/>
          <w:szCs w:val="24"/>
          <w:lang w:val="en"/>
        </w:rPr>
        <w:t xml:space="preserve"> Village, based on the R/C ratio indicator.</w:t>
      </w:r>
    </w:p>
    <w:p w14:paraId="73F04DE3" w14:textId="77777777" w:rsidR="00577F0E" w:rsidRDefault="00577F0E" w:rsidP="00577F0E">
      <w:pPr>
        <w:spacing w:after="0" w:line="240" w:lineRule="auto"/>
        <w:jc w:val="both"/>
        <w:rPr>
          <w:rFonts w:ascii="Times New Roman" w:eastAsia="Times New Roman" w:hAnsi="Times New Roman" w:cs="Times New Roman"/>
          <w:sz w:val="24"/>
          <w:szCs w:val="24"/>
          <w:lang w:val="en"/>
        </w:rPr>
      </w:pPr>
    </w:p>
    <w:p w14:paraId="29D3F716" w14:textId="3AACD406" w:rsidR="00577F0E" w:rsidRPr="00577F0E" w:rsidRDefault="00577F0E" w:rsidP="00577F0E">
      <w:pPr>
        <w:spacing w:after="0" w:line="240" w:lineRule="auto"/>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 xml:space="preserve">2. RESEARCH METHODS </w:t>
      </w:r>
    </w:p>
    <w:p w14:paraId="42570974" w14:textId="77777777" w:rsidR="00577F0E" w:rsidRDefault="00577F0E" w:rsidP="00577F0E">
      <w:pPr>
        <w:spacing w:after="0" w:line="240" w:lineRule="auto"/>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b/>
          <w:bCs/>
          <w:sz w:val="24"/>
          <w:szCs w:val="24"/>
          <w:lang w:val="en"/>
        </w:rPr>
        <w:t>2.1. Time and Location</w:t>
      </w:r>
      <w:r w:rsidRPr="00577F0E">
        <w:rPr>
          <w:rFonts w:ascii="Times New Roman" w:eastAsia="Times New Roman" w:hAnsi="Times New Roman" w:cs="Times New Roman"/>
          <w:sz w:val="24"/>
          <w:szCs w:val="24"/>
          <w:lang w:val="en"/>
        </w:rPr>
        <w:t xml:space="preserve"> </w:t>
      </w:r>
    </w:p>
    <w:p w14:paraId="3A9723D5" w14:textId="5D45F2B5" w:rsidR="00577F0E" w:rsidRPr="00577F0E" w:rsidRDefault="00577F0E" w:rsidP="00577F0E">
      <w:pPr>
        <w:spacing w:after="0" w:line="240" w:lineRule="auto"/>
        <w:ind w:firstLine="567"/>
        <w:jc w:val="both"/>
        <w:rPr>
          <w:rFonts w:ascii="Times New Roman" w:eastAsia="Times New Roman" w:hAnsi="Times New Roman" w:cs="Times New Roman"/>
          <w:lang w:val="en"/>
        </w:rPr>
      </w:pPr>
      <w:r w:rsidRPr="00577F0E">
        <w:rPr>
          <w:rFonts w:ascii="Times New Roman" w:eastAsia="Times New Roman" w:hAnsi="Times New Roman" w:cs="Times New Roman"/>
          <w:lang w:val="en"/>
        </w:rPr>
        <w:t xml:space="preserve">This </w:t>
      </w:r>
      <w:r w:rsidR="000704E0">
        <w:rPr>
          <w:rFonts w:ascii="Times New Roman" w:eastAsia="Times New Roman" w:hAnsi="Times New Roman" w:cs="Times New Roman"/>
          <w:lang w:val="en"/>
        </w:rPr>
        <w:t>study</w:t>
      </w:r>
      <w:r w:rsidRPr="00577F0E">
        <w:rPr>
          <w:rFonts w:ascii="Times New Roman" w:eastAsia="Times New Roman" w:hAnsi="Times New Roman" w:cs="Times New Roman"/>
          <w:lang w:val="en"/>
        </w:rPr>
        <w:t xml:space="preserve"> was conducted from February to April 2025 in </w:t>
      </w:r>
      <w:r>
        <w:rPr>
          <w:rFonts w:ascii="Times New Roman" w:eastAsia="Times New Roman" w:hAnsi="Times New Roman" w:cs="Times New Roman"/>
          <w:lang w:val="en"/>
        </w:rPr>
        <w:t>Dusun</w:t>
      </w:r>
      <w:r w:rsidRPr="00577F0E">
        <w:rPr>
          <w:rFonts w:ascii="Times New Roman" w:eastAsia="Times New Roman" w:hAnsi="Times New Roman" w:cs="Times New Roman"/>
          <w:lang w:val="en"/>
        </w:rPr>
        <w:t xml:space="preserve">3, </w:t>
      </w:r>
      <w:proofErr w:type="spellStart"/>
      <w:r w:rsidRPr="00577F0E">
        <w:rPr>
          <w:rFonts w:ascii="Times New Roman" w:eastAsia="Times New Roman" w:hAnsi="Times New Roman" w:cs="Times New Roman"/>
          <w:lang w:val="en"/>
        </w:rPr>
        <w:t>Marga</w:t>
      </w:r>
      <w:proofErr w:type="spellEnd"/>
      <w:r w:rsidRPr="00577F0E">
        <w:rPr>
          <w:rFonts w:ascii="Times New Roman" w:eastAsia="Times New Roman" w:hAnsi="Times New Roman" w:cs="Times New Roman"/>
          <w:lang w:val="en"/>
        </w:rPr>
        <w:t xml:space="preserve"> </w:t>
      </w:r>
      <w:proofErr w:type="spellStart"/>
      <w:r w:rsidRPr="00577F0E">
        <w:rPr>
          <w:rFonts w:ascii="Times New Roman" w:eastAsia="Times New Roman" w:hAnsi="Times New Roman" w:cs="Times New Roman"/>
          <w:lang w:val="en"/>
        </w:rPr>
        <w:t>Mulia</w:t>
      </w:r>
      <w:proofErr w:type="spellEnd"/>
      <w:r w:rsidRPr="00577F0E">
        <w:rPr>
          <w:rFonts w:ascii="Times New Roman" w:eastAsia="Times New Roman" w:hAnsi="Times New Roman" w:cs="Times New Roman"/>
          <w:lang w:val="en"/>
        </w:rPr>
        <w:t xml:space="preserve"> Village, </w:t>
      </w:r>
      <w:proofErr w:type="spellStart"/>
      <w:r w:rsidRPr="00577F0E">
        <w:rPr>
          <w:rFonts w:ascii="Times New Roman" w:eastAsia="Times New Roman" w:hAnsi="Times New Roman" w:cs="Times New Roman"/>
          <w:lang w:val="en"/>
        </w:rPr>
        <w:t>Kongbeng</w:t>
      </w:r>
      <w:proofErr w:type="spellEnd"/>
      <w:r w:rsidRPr="00577F0E">
        <w:rPr>
          <w:rFonts w:ascii="Times New Roman" w:eastAsia="Times New Roman" w:hAnsi="Times New Roman" w:cs="Times New Roman"/>
          <w:lang w:val="en"/>
        </w:rPr>
        <w:t xml:space="preserve"> District, East </w:t>
      </w:r>
      <w:proofErr w:type="spellStart"/>
      <w:r w:rsidRPr="00577F0E">
        <w:rPr>
          <w:rFonts w:ascii="Times New Roman" w:eastAsia="Times New Roman" w:hAnsi="Times New Roman" w:cs="Times New Roman"/>
          <w:lang w:val="en"/>
        </w:rPr>
        <w:t>Kutai</w:t>
      </w:r>
      <w:proofErr w:type="spellEnd"/>
      <w:r w:rsidRPr="00577F0E">
        <w:rPr>
          <w:rFonts w:ascii="Times New Roman" w:eastAsia="Times New Roman" w:hAnsi="Times New Roman" w:cs="Times New Roman"/>
          <w:lang w:val="en"/>
        </w:rPr>
        <w:t xml:space="preserve"> Regency, East Kalimantan Province. The location was selected purposively because it is </w:t>
      </w:r>
      <w:r w:rsidR="0006348B">
        <w:rPr>
          <w:rFonts w:ascii="Times New Roman" w:eastAsia="Times New Roman" w:hAnsi="Times New Roman" w:cs="Times New Roman"/>
          <w:lang w:val="en"/>
        </w:rPr>
        <w:t>the</w:t>
      </w:r>
      <w:r w:rsidRPr="00577F0E">
        <w:rPr>
          <w:rFonts w:ascii="Times New Roman" w:eastAsia="Times New Roman" w:hAnsi="Times New Roman" w:cs="Times New Roman"/>
          <w:lang w:val="en"/>
        </w:rPr>
        <w:t xml:space="preserve"> center of palm oil production, with the majority of residents working as palm oil farmers. Furthermore, Hamlet 3 is close to several Crude Palm Oil (CPO) processing plants, such as PT. </w:t>
      </w:r>
      <w:proofErr w:type="spellStart"/>
      <w:r w:rsidRPr="00577F0E">
        <w:rPr>
          <w:rFonts w:ascii="Times New Roman" w:eastAsia="Times New Roman" w:hAnsi="Times New Roman" w:cs="Times New Roman"/>
          <w:lang w:val="en"/>
        </w:rPr>
        <w:t>Kresna</w:t>
      </w:r>
      <w:proofErr w:type="spellEnd"/>
      <w:r w:rsidRPr="00577F0E">
        <w:rPr>
          <w:rFonts w:ascii="Times New Roman" w:eastAsia="Times New Roman" w:hAnsi="Times New Roman" w:cs="Times New Roman"/>
          <w:lang w:val="en"/>
        </w:rPr>
        <w:t xml:space="preserve"> Duta </w:t>
      </w:r>
      <w:proofErr w:type="spellStart"/>
      <w:r w:rsidRPr="00577F0E">
        <w:rPr>
          <w:rFonts w:ascii="Times New Roman" w:eastAsia="Times New Roman" w:hAnsi="Times New Roman" w:cs="Times New Roman"/>
          <w:lang w:val="en"/>
        </w:rPr>
        <w:t>Agroindo</w:t>
      </w:r>
      <w:proofErr w:type="spellEnd"/>
      <w:r w:rsidRPr="00577F0E">
        <w:rPr>
          <w:rFonts w:ascii="Times New Roman" w:eastAsia="Times New Roman" w:hAnsi="Times New Roman" w:cs="Times New Roman"/>
          <w:lang w:val="en"/>
        </w:rPr>
        <w:t xml:space="preserve"> (Plasma and </w:t>
      </w:r>
      <w:proofErr w:type="spellStart"/>
      <w:r w:rsidRPr="00577F0E">
        <w:rPr>
          <w:rFonts w:ascii="Times New Roman" w:eastAsia="Times New Roman" w:hAnsi="Times New Roman" w:cs="Times New Roman"/>
          <w:lang w:val="en"/>
        </w:rPr>
        <w:t>Wahau</w:t>
      </w:r>
      <w:proofErr w:type="spellEnd"/>
      <w:r w:rsidRPr="00577F0E">
        <w:rPr>
          <w:rFonts w:ascii="Times New Roman" w:eastAsia="Times New Roman" w:hAnsi="Times New Roman" w:cs="Times New Roman"/>
          <w:lang w:val="en"/>
        </w:rPr>
        <w:t xml:space="preserve">), PT. Dharma Satya Nusantara (PKS 3), and PT. </w:t>
      </w:r>
      <w:proofErr w:type="spellStart"/>
      <w:r w:rsidRPr="00577F0E">
        <w:rPr>
          <w:rFonts w:ascii="Times New Roman" w:eastAsia="Times New Roman" w:hAnsi="Times New Roman" w:cs="Times New Roman"/>
          <w:lang w:val="en"/>
        </w:rPr>
        <w:t>Swakarsa</w:t>
      </w:r>
      <w:proofErr w:type="spellEnd"/>
      <w:r w:rsidRPr="00577F0E">
        <w:rPr>
          <w:rFonts w:ascii="Times New Roman" w:eastAsia="Times New Roman" w:hAnsi="Times New Roman" w:cs="Times New Roman"/>
          <w:lang w:val="en"/>
        </w:rPr>
        <w:t xml:space="preserve"> </w:t>
      </w:r>
      <w:proofErr w:type="spellStart"/>
      <w:r w:rsidRPr="00577F0E">
        <w:rPr>
          <w:rFonts w:ascii="Times New Roman" w:eastAsia="Times New Roman" w:hAnsi="Times New Roman" w:cs="Times New Roman"/>
          <w:lang w:val="en"/>
        </w:rPr>
        <w:t>Sinar</w:t>
      </w:r>
      <w:proofErr w:type="spellEnd"/>
      <w:r w:rsidRPr="00577F0E">
        <w:rPr>
          <w:rFonts w:ascii="Times New Roman" w:eastAsia="Times New Roman" w:hAnsi="Times New Roman" w:cs="Times New Roman"/>
          <w:lang w:val="en"/>
        </w:rPr>
        <w:t xml:space="preserve"> Sentosa. </w:t>
      </w:r>
    </w:p>
    <w:p w14:paraId="0A379F37" w14:textId="77777777" w:rsidR="00577F0E" w:rsidRPr="00577F0E" w:rsidRDefault="00577F0E" w:rsidP="00577F0E">
      <w:pPr>
        <w:spacing w:after="0" w:line="240" w:lineRule="auto"/>
        <w:jc w:val="both"/>
        <w:rPr>
          <w:rFonts w:ascii="Times New Roman" w:eastAsia="Times New Roman" w:hAnsi="Times New Roman" w:cs="Times New Roman"/>
          <w:b/>
          <w:bCs/>
          <w:lang w:val="en"/>
        </w:rPr>
      </w:pPr>
      <w:r w:rsidRPr="00577F0E">
        <w:rPr>
          <w:rFonts w:ascii="Times New Roman" w:eastAsia="Times New Roman" w:hAnsi="Times New Roman" w:cs="Times New Roman"/>
          <w:b/>
          <w:bCs/>
          <w:lang w:val="en"/>
        </w:rPr>
        <w:t xml:space="preserve">2.2. Data Collection Methods </w:t>
      </w:r>
    </w:p>
    <w:p w14:paraId="7AEDCAF6" w14:textId="23BC4F36" w:rsidR="00577F0E" w:rsidRPr="00577F0E" w:rsidRDefault="00577F0E" w:rsidP="00577F0E">
      <w:pPr>
        <w:spacing w:after="0" w:line="240" w:lineRule="auto"/>
        <w:ind w:firstLine="567"/>
        <w:jc w:val="both"/>
        <w:rPr>
          <w:rFonts w:ascii="Times New Roman" w:eastAsia="Times New Roman" w:hAnsi="Times New Roman" w:cs="Times New Roman"/>
          <w:lang w:val="en"/>
        </w:rPr>
      </w:pPr>
      <w:r w:rsidRPr="00577F0E">
        <w:rPr>
          <w:rFonts w:ascii="Times New Roman" w:eastAsia="Times New Roman" w:hAnsi="Times New Roman" w:cs="Times New Roman"/>
          <w:lang w:val="en"/>
        </w:rPr>
        <w:t xml:space="preserve">The data collection methods used included observation, interviews, and literature review. The data collected consisted of primary data, including respondent identities, characteristics of smallholder oil palm plantations, costs, revenues, and income. Secondary data was obtained from several sources, including the Central Statistics Agency (BPS), the </w:t>
      </w:r>
      <w:proofErr w:type="spellStart"/>
      <w:r w:rsidRPr="00577F0E">
        <w:rPr>
          <w:rFonts w:ascii="Times New Roman" w:eastAsia="Times New Roman" w:hAnsi="Times New Roman" w:cs="Times New Roman"/>
          <w:lang w:val="en"/>
        </w:rPr>
        <w:t>Marga</w:t>
      </w:r>
      <w:proofErr w:type="spellEnd"/>
      <w:r w:rsidRPr="00577F0E">
        <w:rPr>
          <w:rFonts w:ascii="Times New Roman" w:eastAsia="Times New Roman" w:hAnsi="Times New Roman" w:cs="Times New Roman"/>
          <w:lang w:val="en"/>
        </w:rPr>
        <w:t xml:space="preserve"> </w:t>
      </w:r>
      <w:proofErr w:type="spellStart"/>
      <w:r w:rsidRPr="00577F0E">
        <w:rPr>
          <w:rFonts w:ascii="Times New Roman" w:eastAsia="Times New Roman" w:hAnsi="Times New Roman" w:cs="Times New Roman"/>
          <w:lang w:val="en"/>
        </w:rPr>
        <w:t>Mulia</w:t>
      </w:r>
      <w:proofErr w:type="spellEnd"/>
      <w:r w:rsidRPr="00577F0E">
        <w:rPr>
          <w:rFonts w:ascii="Times New Roman" w:eastAsia="Times New Roman" w:hAnsi="Times New Roman" w:cs="Times New Roman"/>
          <w:lang w:val="en"/>
        </w:rPr>
        <w:t xml:space="preserve"> Village Government, the Plantation Office, and other literature sources.</w:t>
      </w:r>
    </w:p>
    <w:p w14:paraId="6435C2FD" w14:textId="77777777" w:rsidR="00577F0E" w:rsidRPr="00577F0E" w:rsidRDefault="00577F0E" w:rsidP="00577F0E">
      <w:pPr>
        <w:spacing w:after="0" w:line="240" w:lineRule="auto"/>
        <w:jc w:val="both"/>
        <w:rPr>
          <w:rStyle w:val="rynqvb"/>
          <w:rFonts w:ascii="Times New Roman" w:hAnsi="Times New Roman" w:cs="Times New Roman"/>
          <w:b/>
          <w:bCs/>
          <w:lang w:val="en"/>
        </w:rPr>
      </w:pPr>
      <w:r w:rsidRPr="00577F0E">
        <w:rPr>
          <w:rStyle w:val="rynqvb"/>
          <w:rFonts w:ascii="Times New Roman" w:hAnsi="Times New Roman" w:cs="Times New Roman"/>
          <w:b/>
          <w:bCs/>
          <w:lang w:val="en"/>
        </w:rPr>
        <w:t xml:space="preserve">2.3. Sampling Method </w:t>
      </w:r>
    </w:p>
    <w:p w14:paraId="22073FE8" w14:textId="4EDFBEB1" w:rsidR="00577F0E" w:rsidRPr="00577F0E" w:rsidRDefault="00577F0E" w:rsidP="00577F0E">
      <w:pPr>
        <w:spacing w:after="0" w:line="240" w:lineRule="auto"/>
        <w:ind w:firstLine="567"/>
        <w:jc w:val="both"/>
        <w:rPr>
          <w:rStyle w:val="rynqvb"/>
          <w:rFonts w:ascii="Times New Roman" w:hAnsi="Times New Roman" w:cs="Times New Roman"/>
          <w:lang w:val="en"/>
        </w:rPr>
      </w:pPr>
      <w:r w:rsidRPr="00577F0E">
        <w:rPr>
          <w:rStyle w:val="rynqvb"/>
          <w:rFonts w:ascii="Times New Roman" w:hAnsi="Times New Roman" w:cs="Times New Roman"/>
          <w:lang w:val="en"/>
        </w:rPr>
        <w:t>Th</w:t>
      </w:r>
      <w:r w:rsidR="000704E0">
        <w:rPr>
          <w:rStyle w:val="rynqvb"/>
          <w:rFonts w:ascii="Times New Roman" w:hAnsi="Times New Roman" w:cs="Times New Roman"/>
          <w:lang w:val="en"/>
        </w:rPr>
        <w:t>e</w:t>
      </w:r>
      <w:r w:rsidRPr="00577F0E">
        <w:rPr>
          <w:rStyle w:val="rynqvb"/>
          <w:rFonts w:ascii="Times New Roman" w:hAnsi="Times New Roman" w:cs="Times New Roman"/>
          <w:lang w:val="en"/>
        </w:rPr>
        <w:t xml:space="preserve"> </w:t>
      </w:r>
      <w:r w:rsidR="000704E0">
        <w:rPr>
          <w:rStyle w:val="rynqvb"/>
          <w:rFonts w:ascii="Times New Roman" w:hAnsi="Times New Roman" w:cs="Times New Roman"/>
          <w:lang w:val="en"/>
        </w:rPr>
        <w:t>study</w:t>
      </w:r>
      <w:r w:rsidRPr="00577F0E">
        <w:rPr>
          <w:rStyle w:val="rynqvb"/>
          <w:rFonts w:ascii="Times New Roman" w:hAnsi="Times New Roman" w:cs="Times New Roman"/>
          <w:lang w:val="en"/>
        </w:rPr>
        <w:t xml:space="preserve"> used a saturated or census sampling method, resulting in a sample size of 24 farmers from the entire population.</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The criteria were oil palm farmers with oil palm plantations aged between 10 and 12 years.</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The saturated or census sampling method is a sampling technique where all members of the population are used as samples.</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This is often used when the population is relatively small, less than 30 people (</w:t>
      </w:r>
      <w:proofErr w:type="spellStart"/>
      <w:r w:rsidRPr="00577F0E">
        <w:rPr>
          <w:rStyle w:val="rynqvb"/>
          <w:rFonts w:ascii="Times New Roman" w:hAnsi="Times New Roman" w:cs="Times New Roman"/>
          <w:lang w:val="en"/>
        </w:rPr>
        <w:t>Sugiyono</w:t>
      </w:r>
      <w:proofErr w:type="spellEnd"/>
      <w:r w:rsidRPr="00577F0E">
        <w:rPr>
          <w:rStyle w:val="rynqvb"/>
          <w:rFonts w:ascii="Times New Roman" w:hAnsi="Times New Roman" w:cs="Times New Roman"/>
          <w:lang w:val="en"/>
        </w:rPr>
        <w:t xml:space="preserve">, 2013). </w:t>
      </w:r>
    </w:p>
    <w:p w14:paraId="1C8170E8" w14:textId="700CB7A9" w:rsidR="00577F0E" w:rsidRPr="00577F0E" w:rsidRDefault="00577F0E" w:rsidP="00577F0E">
      <w:pPr>
        <w:spacing w:after="0" w:line="240" w:lineRule="auto"/>
        <w:jc w:val="both"/>
        <w:rPr>
          <w:rStyle w:val="rynqvb"/>
          <w:rFonts w:ascii="Times New Roman" w:hAnsi="Times New Roman" w:cs="Times New Roman"/>
          <w:b/>
          <w:bCs/>
          <w:lang w:val="en"/>
        </w:rPr>
      </w:pPr>
      <w:r w:rsidRPr="00577F0E">
        <w:rPr>
          <w:rStyle w:val="rynqvb"/>
          <w:rFonts w:ascii="Times New Roman" w:hAnsi="Times New Roman" w:cs="Times New Roman"/>
          <w:b/>
          <w:bCs/>
          <w:lang w:val="en"/>
        </w:rPr>
        <w:t xml:space="preserve">2.4 Data Analysis Method </w:t>
      </w:r>
    </w:p>
    <w:p w14:paraId="4F499834" w14:textId="649CC6F4" w:rsidR="00577F0E" w:rsidRDefault="00577F0E" w:rsidP="00577F0E">
      <w:pPr>
        <w:spacing w:after="0" w:line="240" w:lineRule="auto"/>
        <w:ind w:firstLine="567"/>
        <w:jc w:val="both"/>
        <w:rPr>
          <w:rStyle w:val="rynqvb"/>
          <w:rFonts w:ascii="Times New Roman" w:hAnsi="Times New Roman" w:cs="Times New Roman"/>
          <w:lang w:val="en"/>
        </w:rPr>
      </w:pPr>
      <w:r w:rsidRPr="00577F0E">
        <w:rPr>
          <w:rStyle w:val="rynqvb"/>
          <w:rFonts w:ascii="Times New Roman" w:hAnsi="Times New Roman" w:cs="Times New Roman"/>
          <w:lang w:val="en"/>
        </w:rPr>
        <w:t xml:space="preserve">The data analysis method in this </w:t>
      </w:r>
      <w:r w:rsidR="000704E0">
        <w:rPr>
          <w:rStyle w:val="rynqvb"/>
          <w:rFonts w:ascii="Times New Roman" w:hAnsi="Times New Roman" w:cs="Times New Roman"/>
          <w:lang w:val="en"/>
        </w:rPr>
        <w:t>study</w:t>
      </w:r>
      <w:r w:rsidRPr="00577F0E">
        <w:rPr>
          <w:rStyle w:val="rynqvb"/>
          <w:rFonts w:ascii="Times New Roman" w:hAnsi="Times New Roman" w:cs="Times New Roman"/>
          <w:lang w:val="en"/>
        </w:rPr>
        <w:t xml:space="preserve"> used a quantitative descriptive approach.</w:t>
      </w:r>
      <w:r w:rsidRPr="00577F0E">
        <w:rPr>
          <w:rStyle w:val="hwtze"/>
          <w:rFonts w:ascii="Times New Roman" w:hAnsi="Times New Roman" w:cs="Times New Roman"/>
          <w:lang w:val="en"/>
        </w:rPr>
        <w:t xml:space="preserve"> </w:t>
      </w:r>
      <w:r w:rsidRPr="00577F0E">
        <w:rPr>
          <w:rStyle w:val="rynqvb"/>
          <w:rFonts w:ascii="Times New Roman" w:hAnsi="Times New Roman" w:cs="Times New Roman"/>
          <w:lang w:val="en"/>
        </w:rPr>
        <w:t>This approach was used to provide a systematic overview of the condition of smallholder oil palm plantations based on numerical data obtained from respondents, as follows:</w:t>
      </w:r>
    </w:p>
    <w:p w14:paraId="39AFF681" w14:textId="214F1FDF" w:rsidR="00577F0E" w:rsidRPr="00577F0E" w:rsidRDefault="00577F0E" w:rsidP="00577F0E">
      <w:pPr>
        <w:spacing w:after="0" w:line="240" w:lineRule="auto"/>
        <w:jc w:val="both"/>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2.4</w:t>
      </w:r>
      <w:r w:rsidR="00604E88">
        <w:rPr>
          <w:rFonts w:ascii="Times New Roman" w:eastAsia="Times New Roman" w:hAnsi="Times New Roman" w:cs="Times New Roman"/>
          <w:b/>
          <w:bCs/>
          <w:sz w:val="24"/>
          <w:szCs w:val="24"/>
          <w:lang w:val="en"/>
        </w:rPr>
        <w:t>.</w:t>
      </w:r>
      <w:r w:rsidRPr="00577F0E">
        <w:rPr>
          <w:rFonts w:ascii="Times New Roman" w:eastAsia="Times New Roman" w:hAnsi="Times New Roman" w:cs="Times New Roman"/>
          <w:b/>
          <w:bCs/>
          <w:sz w:val="24"/>
          <w:szCs w:val="24"/>
          <w:lang w:val="en"/>
        </w:rPr>
        <w:t xml:space="preserve">1. Costs </w:t>
      </w:r>
    </w:p>
    <w:p w14:paraId="2CE77CC5" w14:textId="2883CA71" w:rsidR="00577F0E" w:rsidRDefault="00577F0E" w:rsidP="00577F0E">
      <w:pPr>
        <w:spacing w:after="0" w:line="240" w:lineRule="auto"/>
        <w:ind w:firstLine="567"/>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sz w:val="24"/>
          <w:szCs w:val="24"/>
          <w:lang w:val="en"/>
        </w:rPr>
        <w:t>Costs are all costs incurred in a production process, which are the sum of fixed costs and variable costs (</w:t>
      </w:r>
      <w:proofErr w:type="spellStart"/>
      <w:r w:rsidRPr="00577F0E">
        <w:rPr>
          <w:rFonts w:ascii="Times New Roman" w:eastAsia="Times New Roman" w:hAnsi="Times New Roman" w:cs="Times New Roman"/>
          <w:sz w:val="24"/>
          <w:szCs w:val="24"/>
          <w:lang w:val="en"/>
        </w:rPr>
        <w:t>Pracoyo</w:t>
      </w:r>
      <w:proofErr w:type="spellEnd"/>
      <w:r w:rsidRPr="00577F0E">
        <w:rPr>
          <w:rFonts w:ascii="Times New Roman" w:eastAsia="Times New Roman" w:hAnsi="Times New Roman" w:cs="Times New Roman"/>
          <w:sz w:val="24"/>
          <w:szCs w:val="24"/>
          <w:lang w:val="en"/>
        </w:rPr>
        <w:t xml:space="preserve"> &amp; </w:t>
      </w:r>
      <w:proofErr w:type="spellStart"/>
      <w:r w:rsidRPr="00577F0E">
        <w:rPr>
          <w:rFonts w:ascii="Times New Roman" w:eastAsia="Times New Roman" w:hAnsi="Times New Roman" w:cs="Times New Roman"/>
          <w:sz w:val="24"/>
          <w:szCs w:val="24"/>
          <w:lang w:val="en"/>
        </w:rPr>
        <w:t>Pracoyo</w:t>
      </w:r>
      <w:proofErr w:type="spellEnd"/>
      <w:r w:rsidRPr="00577F0E">
        <w:rPr>
          <w:rFonts w:ascii="Times New Roman" w:eastAsia="Times New Roman" w:hAnsi="Times New Roman" w:cs="Times New Roman"/>
          <w:sz w:val="24"/>
          <w:szCs w:val="24"/>
          <w:lang w:val="en"/>
        </w:rPr>
        <w:t>, 2006).</w:t>
      </w:r>
      <w:r>
        <w:rPr>
          <w:rFonts w:ascii="Times New Roman" w:eastAsia="Times New Roman" w:hAnsi="Times New Roman" w:cs="Times New Roman"/>
          <w:sz w:val="24"/>
          <w:szCs w:val="24"/>
        </w:rPr>
        <w:t xml:space="preserve"> </w:t>
      </w:r>
      <w:r w:rsidRPr="00577F0E">
        <w:rPr>
          <w:rFonts w:ascii="Times New Roman" w:eastAsia="Times New Roman" w:hAnsi="Times New Roman" w:cs="Times New Roman"/>
          <w:sz w:val="24"/>
          <w:szCs w:val="24"/>
          <w:lang w:val="en"/>
        </w:rPr>
        <w:t>Costs are calculated using the formula: TC = TFC + TVC</w:t>
      </w:r>
      <w:r w:rsidR="0006348B">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r w:rsidR="00EC7E89">
        <w:rPr>
          <w:rFonts w:ascii="Times New Roman" w:eastAsia="Times New Roman" w:hAnsi="Times New Roman" w:cs="Times New Roman"/>
          <w:sz w:val="24"/>
          <w:szCs w:val="24"/>
          <w:lang w:val="en"/>
        </w:rPr>
        <w:t>information</w:t>
      </w:r>
      <w:r w:rsidRPr="00577F0E">
        <w:rPr>
          <w:rFonts w:ascii="Times New Roman" w:eastAsia="Times New Roman" w:hAnsi="Times New Roman" w:cs="Times New Roman"/>
          <w:sz w:val="24"/>
          <w:szCs w:val="24"/>
          <w:lang w:val="en"/>
        </w:rPr>
        <w:t xml:space="preserve">: TC = Total Cost (IDR/year); TFC = Total Fixed Cost (IDR/year); and TVC = Total Variable Cost (IDR/year). </w:t>
      </w:r>
    </w:p>
    <w:p w14:paraId="4C7B312B" w14:textId="77777777" w:rsidR="000704E0" w:rsidRDefault="000704E0" w:rsidP="00577F0E">
      <w:pPr>
        <w:spacing w:after="0" w:line="240" w:lineRule="auto"/>
        <w:ind w:firstLine="567"/>
        <w:jc w:val="both"/>
        <w:rPr>
          <w:rFonts w:ascii="Times New Roman" w:eastAsia="Times New Roman" w:hAnsi="Times New Roman" w:cs="Times New Roman"/>
          <w:sz w:val="24"/>
          <w:szCs w:val="24"/>
          <w:lang w:val="en"/>
        </w:rPr>
      </w:pPr>
    </w:p>
    <w:p w14:paraId="5FB2DB4F" w14:textId="77777777" w:rsidR="000704E0" w:rsidRPr="00577F0E" w:rsidRDefault="000704E0" w:rsidP="00577F0E">
      <w:pPr>
        <w:spacing w:after="0" w:line="240" w:lineRule="auto"/>
        <w:ind w:firstLine="567"/>
        <w:jc w:val="both"/>
        <w:rPr>
          <w:rFonts w:ascii="Times New Roman" w:eastAsia="Times New Roman" w:hAnsi="Times New Roman" w:cs="Times New Roman"/>
          <w:sz w:val="24"/>
          <w:szCs w:val="24"/>
        </w:rPr>
      </w:pPr>
    </w:p>
    <w:p w14:paraId="2BD947F4" w14:textId="77777777" w:rsidR="00577F0E" w:rsidRPr="00577F0E" w:rsidRDefault="00577F0E" w:rsidP="00577F0E">
      <w:pPr>
        <w:spacing w:after="0" w:line="240" w:lineRule="auto"/>
        <w:jc w:val="both"/>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 xml:space="preserve">2.4.2. Revenue </w:t>
      </w:r>
    </w:p>
    <w:p w14:paraId="06D7F8C2" w14:textId="77777777" w:rsidR="00604E88" w:rsidRDefault="00577F0E" w:rsidP="00577F0E">
      <w:pPr>
        <w:spacing w:after="0" w:line="240" w:lineRule="auto"/>
        <w:ind w:firstLine="567"/>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sz w:val="24"/>
          <w:szCs w:val="24"/>
          <w:lang w:val="en"/>
        </w:rPr>
        <w:t>Revenue is the total production quantity multiplied by the price or production cost. Revenue is the product of price and output (</w:t>
      </w:r>
      <w:proofErr w:type="spellStart"/>
      <w:r w:rsidRPr="00577F0E">
        <w:rPr>
          <w:rFonts w:ascii="Times New Roman" w:eastAsia="Times New Roman" w:hAnsi="Times New Roman" w:cs="Times New Roman"/>
          <w:sz w:val="24"/>
          <w:szCs w:val="24"/>
          <w:lang w:val="en"/>
        </w:rPr>
        <w:t>Soekarwati</w:t>
      </w:r>
      <w:proofErr w:type="spellEnd"/>
      <w:r w:rsidRPr="00577F0E">
        <w:rPr>
          <w:rFonts w:ascii="Times New Roman" w:eastAsia="Times New Roman" w:hAnsi="Times New Roman" w:cs="Times New Roman"/>
          <w:sz w:val="24"/>
          <w:szCs w:val="24"/>
          <w:lang w:val="en"/>
        </w:rPr>
        <w:t xml:space="preserve">, 2003). </w:t>
      </w:r>
      <w:r>
        <w:rPr>
          <w:rFonts w:ascii="Times New Roman" w:eastAsia="Times New Roman" w:hAnsi="Times New Roman" w:cs="Times New Roman"/>
          <w:sz w:val="24"/>
          <w:szCs w:val="24"/>
          <w:lang w:val="en"/>
        </w:rPr>
        <w:t xml:space="preserve"> </w:t>
      </w:r>
      <w:r w:rsidRPr="00577F0E">
        <w:rPr>
          <w:rFonts w:ascii="Times New Roman" w:eastAsia="Times New Roman" w:hAnsi="Times New Roman" w:cs="Times New Roman"/>
          <w:sz w:val="24"/>
          <w:szCs w:val="24"/>
          <w:lang w:val="en"/>
        </w:rPr>
        <w:t>The revenue formula is: TR = P x Q</w:t>
      </w:r>
      <w:r w:rsidR="0006348B">
        <w:rPr>
          <w:rFonts w:ascii="Times New Roman" w:eastAsia="Times New Roman" w:hAnsi="Times New Roman" w:cs="Times New Roman"/>
          <w:sz w:val="24"/>
          <w:szCs w:val="24"/>
          <w:lang w:val="en"/>
        </w:rPr>
        <w:t>,</w:t>
      </w:r>
      <w:r w:rsidRPr="00577F0E">
        <w:rPr>
          <w:rFonts w:ascii="Times New Roman" w:eastAsia="Times New Roman" w:hAnsi="Times New Roman" w:cs="Times New Roman"/>
          <w:sz w:val="24"/>
          <w:szCs w:val="24"/>
          <w:lang w:val="en"/>
        </w:rPr>
        <w:t xml:space="preserve"> </w:t>
      </w:r>
    </w:p>
    <w:p w14:paraId="1D9C91DB" w14:textId="1B882354" w:rsidR="00577F0E" w:rsidRDefault="00EC7E89" w:rsidP="00604E88">
      <w:pPr>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information</w:t>
      </w:r>
      <w:r w:rsidR="00577F0E" w:rsidRPr="00577F0E">
        <w:rPr>
          <w:rFonts w:ascii="Times New Roman" w:eastAsia="Times New Roman" w:hAnsi="Times New Roman" w:cs="Times New Roman"/>
          <w:sz w:val="24"/>
          <w:szCs w:val="24"/>
          <w:lang w:val="en"/>
        </w:rPr>
        <w:t xml:space="preserve">: TR = Total Revenue (IDR/year); P = Price (IDR/kg); and Q = Quantity (kg/year). </w:t>
      </w:r>
    </w:p>
    <w:p w14:paraId="6CA87159" w14:textId="15F36BB5" w:rsidR="00577F0E" w:rsidRPr="000704E0" w:rsidRDefault="00577F0E" w:rsidP="00577F0E">
      <w:pPr>
        <w:spacing w:after="0" w:line="240" w:lineRule="auto"/>
        <w:jc w:val="both"/>
        <w:rPr>
          <w:rFonts w:ascii="Times New Roman" w:eastAsia="Times New Roman" w:hAnsi="Times New Roman" w:cs="Times New Roman"/>
          <w:b/>
          <w:bCs/>
          <w:sz w:val="24"/>
          <w:szCs w:val="24"/>
          <w:highlight w:val="yellow"/>
          <w:lang w:val="en"/>
        </w:rPr>
      </w:pPr>
      <w:r w:rsidRPr="000704E0">
        <w:rPr>
          <w:rFonts w:ascii="Times New Roman" w:eastAsia="Times New Roman" w:hAnsi="Times New Roman" w:cs="Times New Roman"/>
          <w:b/>
          <w:bCs/>
          <w:sz w:val="24"/>
          <w:szCs w:val="24"/>
          <w:highlight w:val="yellow"/>
          <w:lang w:val="en"/>
        </w:rPr>
        <w:t xml:space="preserve">2.4.3. </w:t>
      </w:r>
      <w:r w:rsidR="000704E0" w:rsidRPr="000704E0">
        <w:rPr>
          <w:rFonts w:ascii="Times New Roman" w:eastAsia="Times New Roman" w:hAnsi="Times New Roman" w:cs="Times New Roman"/>
          <w:b/>
          <w:bCs/>
          <w:sz w:val="24"/>
          <w:szCs w:val="24"/>
          <w:highlight w:val="yellow"/>
          <w:lang w:val="en"/>
        </w:rPr>
        <w:t>Income</w:t>
      </w:r>
      <w:r w:rsidRPr="000704E0">
        <w:rPr>
          <w:rFonts w:ascii="Times New Roman" w:eastAsia="Times New Roman" w:hAnsi="Times New Roman" w:cs="Times New Roman"/>
          <w:b/>
          <w:bCs/>
          <w:sz w:val="24"/>
          <w:szCs w:val="24"/>
          <w:highlight w:val="yellow"/>
          <w:lang w:val="en"/>
        </w:rPr>
        <w:t xml:space="preserve"> </w:t>
      </w:r>
    </w:p>
    <w:p w14:paraId="573B4F7B" w14:textId="77D20C68" w:rsidR="00577F0E" w:rsidRDefault="000704E0" w:rsidP="00577F0E">
      <w:pPr>
        <w:spacing w:after="0" w:line="240" w:lineRule="auto"/>
        <w:ind w:firstLine="567"/>
        <w:jc w:val="both"/>
        <w:rPr>
          <w:rFonts w:ascii="Times New Roman" w:eastAsia="Times New Roman" w:hAnsi="Times New Roman" w:cs="Times New Roman"/>
          <w:sz w:val="24"/>
          <w:szCs w:val="24"/>
          <w:lang w:val="en"/>
        </w:rPr>
      </w:pPr>
      <w:r w:rsidRPr="000704E0">
        <w:rPr>
          <w:rFonts w:ascii="Times New Roman" w:eastAsia="Times New Roman" w:hAnsi="Times New Roman" w:cs="Times New Roman"/>
          <w:sz w:val="24"/>
          <w:szCs w:val="24"/>
          <w:highlight w:val="yellow"/>
          <w:lang w:val="en"/>
        </w:rPr>
        <w:t xml:space="preserve">Income </w:t>
      </w:r>
      <w:r w:rsidR="00577F0E" w:rsidRPr="000704E0">
        <w:rPr>
          <w:rFonts w:ascii="Times New Roman" w:eastAsia="Times New Roman" w:hAnsi="Times New Roman" w:cs="Times New Roman"/>
          <w:sz w:val="24"/>
          <w:szCs w:val="24"/>
          <w:highlight w:val="yellow"/>
          <w:lang w:val="en"/>
        </w:rPr>
        <w:t>received from a production result is the total revenue minus the total costs incurred in the production process (</w:t>
      </w:r>
      <w:proofErr w:type="spellStart"/>
      <w:r w:rsidR="00577F0E" w:rsidRPr="000704E0">
        <w:rPr>
          <w:rFonts w:ascii="Times New Roman" w:eastAsia="Times New Roman" w:hAnsi="Times New Roman" w:cs="Times New Roman"/>
          <w:sz w:val="24"/>
          <w:szCs w:val="24"/>
          <w:highlight w:val="yellow"/>
          <w:lang w:val="en"/>
        </w:rPr>
        <w:t>Soekarwati</w:t>
      </w:r>
      <w:proofErr w:type="spellEnd"/>
      <w:r w:rsidR="00577F0E" w:rsidRPr="000704E0">
        <w:rPr>
          <w:rFonts w:ascii="Times New Roman" w:eastAsia="Times New Roman" w:hAnsi="Times New Roman" w:cs="Times New Roman"/>
          <w:sz w:val="24"/>
          <w:szCs w:val="24"/>
          <w:highlight w:val="yellow"/>
          <w:lang w:val="en"/>
        </w:rPr>
        <w:t xml:space="preserve">, 2003). To calculate </w:t>
      </w:r>
      <w:r w:rsidRPr="000704E0">
        <w:rPr>
          <w:rFonts w:ascii="Times New Roman" w:eastAsia="Times New Roman" w:hAnsi="Times New Roman" w:cs="Times New Roman"/>
          <w:sz w:val="24"/>
          <w:szCs w:val="24"/>
          <w:highlight w:val="yellow"/>
          <w:lang w:val="en"/>
        </w:rPr>
        <w:t>income</w:t>
      </w:r>
      <w:r w:rsidR="00577F0E" w:rsidRPr="000704E0">
        <w:rPr>
          <w:rFonts w:ascii="Times New Roman" w:eastAsia="Times New Roman" w:hAnsi="Times New Roman" w:cs="Times New Roman"/>
          <w:sz w:val="24"/>
          <w:szCs w:val="24"/>
          <w:highlight w:val="yellow"/>
          <w:lang w:val="en"/>
        </w:rPr>
        <w:t xml:space="preserve">, use the formula I = TR - TC. </w:t>
      </w:r>
      <w:r w:rsidR="00EC7E89" w:rsidRPr="00EC7E89">
        <w:rPr>
          <w:rFonts w:ascii="Times New Roman" w:eastAsia="Times New Roman" w:hAnsi="Times New Roman" w:cs="Times New Roman"/>
          <w:sz w:val="24"/>
          <w:szCs w:val="24"/>
          <w:highlight w:val="yellow"/>
          <w:lang w:val="en"/>
        </w:rPr>
        <w:t>information:</w:t>
      </w:r>
      <w:r w:rsidR="00577F0E" w:rsidRPr="00EC7E89">
        <w:rPr>
          <w:rFonts w:ascii="Times New Roman" w:eastAsia="Times New Roman" w:hAnsi="Times New Roman" w:cs="Times New Roman"/>
          <w:sz w:val="24"/>
          <w:szCs w:val="24"/>
          <w:highlight w:val="yellow"/>
          <w:lang w:val="en"/>
        </w:rPr>
        <w:t xml:space="preserve"> I </w:t>
      </w:r>
      <w:r w:rsidR="00577F0E" w:rsidRPr="000704E0">
        <w:rPr>
          <w:rFonts w:ascii="Times New Roman" w:eastAsia="Times New Roman" w:hAnsi="Times New Roman" w:cs="Times New Roman"/>
          <w:sz w:val="24"/>
          <w:szCs w:val="24"/>
          <w:highlight w:val="yellow"/>
          <w:lang w:val="en"/>
        </w:rPr>
        <w:t>= Income (IDR/year); TR = Total Revenue (IDR/year); and TC = Total Cost (IDR/year).</w:t>
      </w:r>
      <w:r w:rsidR="00577F0E" w:rsidRPr="00577F0E">
        <w:rPr>
          <w:rFonts w:ascii="Times New Roman" w:eastAsia="Times New Roman" w:hAnsi="Times New Roman" w:cs="Times New Roman"/>
          <w:sz w:val="24"/>
          <w:szCs w:val="24"/>
          <w:lang w:val="en"/>
        </w:rPr>
        <w:t xml:space="preserve"> </w:t>
      </w:r>
    </w:p>
    <w:p w14:paraId="7B26C62E" w14:textId="77777777" w:rsidR="00577F0E" w:rsidRPr="00577F0E" w:rsidRDefault="00577F0E" w:rsidP="00577F0E">
      <w:pPr>
        <w:spacing w:after="0" w:line="240" w:lineRule="auto"/>
        <w:jc w:val="both"/>
        <w:rPr>
          <w:rFonts w:ascii="Times New Roman" w:eastAsia="Times New Roman" w:hAnsi="Times New Roman" w:cs="Times New Roman"/>
          <w:b/>
          <w:bCs/>
          <w:sz w:val="24"/>
          <w:szCs w:val="24"/>
          <w:lang w:val="en"/>
        </w:rPr>
      </w:pPr>
      <w:r w:rsidRPr="00577F0E">
        <w:rPr>
          <w:rFonts w:ascii="Times New Roman" w:eastAsia="Times New Roman" w:hAnsi="Times New Roman" w:cs="Times New Roman"/>
          <w:b/>
          <w:bCs/>
          <w:sz w:val="24"/>
          <w:szCs w:val="24"/>
          <w:lang w:val="en"/>
        </w:rPr>
        <w:t xml:space="preserve">2.4.4. R/C ratio </w:t>
      </w:r>
    </w:p>
    <w:p w14:paraId="60AD323F" w14:textId="5F42AF3A" w:rsidR="00577F0E" w:rsidRPr="00577F0E" w:rsidRDefault="00577F0E" w:rsidP="00577F0E">
      <w:pPr>
        <w:spacing w:after="0" w:line="240" w:lineRule="auto"/>
        <w:ind w:firstLine="567"/>
        <w:jc w:val="both"/>
        <w:rPr>
          <w:rFonts w:ascii="Times New Roman" w:eastAsia="Times New Roman" w:hAnsi="Times New Roman" w:cs="Times New Roman"/>
          <w:sz w:val="24"/>
          <w:szCs w:val="24"/>
          <w:lang w:val="en"/>
        </w:rPr>
      </w:pPr>
      <w:r w:rsidRPr="00577F0E">
        <w:rPr>
          <w:rFonts w:ascii="Times New Roman" w:eastAsia="Times New Roman" w:hAnsi="Times New Roman" w:cs="Times New Roman"/>
          <w:sz w:val="24"/>
          <w:szCs w:val="24"/>
          <w:lang w:val="en"/>
        </w:rPr>
        <w:t>The R/C ratio is an indicator used to compare total revenue to total costs (Noor, 2007). To calculate the R/C ratio, use the formula: R/C ratio = R/C</w:t>
      </w:r>
      <w:r w:rsidR="0006348B">
        <w:rPr>
          <w:rFonts w:ascii="Times New Roman" w:eastAsia="Times New Roman" w:hAnsi="Times New Roman" w:cs="Times New Roman"/>
          <w:sz w:val="24"/>
          <w:szCs w:val="24"/>
          <w:lang w:val="en"/>
        </w:rPr>
        <w:t>,</w:t>
      </w:r>
      <w:r w:rsidRPr="00577F0E">
        <w:rPr>
          <w:rFonts w:ascii="Times New Roman" w:eastAsia="Times New Roman" w:hAnsi="Times New Roman" w:cs="Times New Roman"/>
          <w:sz w:val="24"/>
          <w:szCs w:val="24"/>
          <w:lang w:val="en"/>
        </w:rPr>
        <w:t xml:space="preserve"> </w:t>
      </w:r>
      <w:r w:rsidR="0006348B">
        <w:rPr>
          <w:rFonts w:ascii="Times New Roman" w:eastAsia="Times New Roman" w:hAnsi="Times New Roman" w:cs="Times New Roman"/>
          <w:sz w:val="24"/>
          <w:szCs w:val="24"/>
          <w:lang w:val="en"/>
        </w:rPr>
        <w:t>w</w:t>
      </w:r>
      <w:r w:rsidRPr="00577F0E">
        <w:rPr>
          <w:rFonts w:ascii="Times New Roman" w:eastAsia="Times New Roman" w:hAnsi="Times New Roman" w:cs="Times New Roman"/>
          <w:sz w:val="24"/>
          <w:szCs w:val="24"/>
          <w:lang w:val="en"/>
        </w:rPr>
        <w:t xml:space="preserve">here: R = Revenue (IDR/year) and TC = Total Cost (IDR/year). </w:t>
      </w:r>
      <w:r>
        <w:rPr>
          <w:rFonts w:ascii="Times New Roman" w:eastAsia="Times New Roman" w:hAnsi="Times New Roman" w:cs="Times New Roman"/>
          <w:sz w:val="24"/>
          <w:szCs w:val="24"/>
          <w:lang w:val="en"/>
        </w:rPr>
        <w:t xml:space="preserve"> </w:t>
      </w:r>
      <w:r w:rsidRPr="00577F0E">
        <w:rPr>
          <w:rFonts w:ascii="Times New Roman" w:eastAsia="Times New Roman" w:hAnsi="Times New Roman" w:cs="Times New Roman"/>
          <w:sz w:val="24"/>
          <w:szCs w:val="24"/>
          <w:lang w:val="en"/>
        </w:rPr>
        <w:t>Decision rule: If R/C &lt;1, the business is considered unviable because revenue is unable to cover costs. If R/C &gt;1, the business is considered viable and profitable because revenue exceeds costs. If R/C = 1, the business is at the break-even point, where revenue equals costs.</w:t>
      </w:r>
    </w:p>
    <w:p w14:paraId="0C7E2510" w14:textId="77777777" w:rsidR="00577F0E" w:rsidRPr="00577F0E" w:rsidRDefault="00577F0E" w:rsidP="00577F0E">
      <w:pPr>
        <w:spacing w:after="0" w:line="240" w:lineRule="auto"/>
        <w:jc w:val="both"/>
        <w:rPr>
          <w:rFonts w:ascii="Times New Roman" w:eastAsia="Times New Roman" w:hAnsi="Times New Roman" w:cs="Times New Roman"/>
        </w:rPr>
      </w:pPr>
    </w:p>
    <w:p w14:paraId="55317E92" w14:textId="77777777" w:rsidR="0089555F" w:rsidRDefault="0089555F" w:rsidP="00577F0E">
      <w:pPr>
        <w:spacing w:after="0" w:line="240" w:lineRule="auto"/>
        <w:jc w:val="both"/>
        <w:rPr>
          <w:rFonts w:ascii="Times New Roman" w:eastAsia="Times New Roman" w:hAnsi="Times New Roman" w:cs="Times New Roman"/>
        </w:rPr>
      </w:pPr>
    </w:p>
    <w:p w14:paraId="725B893F" w14:textId="628F4592" w:rsidR="0089555F" w:rsidRPr="0089555F" w:rsidRDefault="0089555F" w:rsidP="0089555F">
      <w:p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3. </w:t>
      </w:r>
      <w:r w:rsidRPr="0089555F">
        <w:rPr>
          <w:rFonts w:ascii="Times New Roman" w:eastAsia="Times New Roman" w:hAnsi="Times New Roman" w:cs="Times New Roman"/>
          <w:b/>
          <w:bCs/>
          <w:sz w:val="24"/>
          <w:szCs w:val="24"/>
          <w:lang w:val="en"/>
        </w:rPr>
        <w:t xml:space="preserve">RESULTS AND DISCUSSION </w:t>
      </w:r>
    </w:p>
    <w:p w14:paraId="1764CCDA" w14:textId="77777777" w:rsidR="0089555F" w:rsidRPr="0089555F" w:rsidRDefault="0089555F" w:rsidP="0089555F">
      <w:pPr>
        <w:spacing w:after="0" w:line="240" w:lineRule="auto"/>
        <w:jc w:val="both"/>
        <w:rPr>
          <w:rFonts w:ascii="Times New Roman" w:eastAsia="Times New Roman" w:hAnsi="Times New Roman" w:cs="Times New Roman"/>
          <w:b/>
          <w:bCs/>
          <w:sz w:val="24"/>
          <w:szCs w:val="24"/>
          <w:lang w:val="en"/>
        </w:rPr>
      </w:pPr>
      <w:r w:rsidRPr="0089555F">
        <w:rPr>
          <w:rFonts w:ascii="Times New Roman" w:eastAsia="Times New Roman" w:hAnsi="Times New Roman" w:cs="Times New Roman"/>
          <w:b/>
          <w:bCs/>
          <w:sz w:val="24"/>
          <w:szCs w:val="24"/>
          <w:lang w:val="en"/>
        </w:rPr>
        <w:t xml:space="preserve">3.1. Overview of Smallholder Oil Palm Plantations in Dusun 3 </w:t>
      </w:r>
    </w:p>
    <w:p w14:paraId="7A054C4E" w14:textId="77777777" w:rsidR="0089555F" w:rsidRDefault="0089555F" w:rsidP="0089555F">
      <w:pPr>
        <w:spacing w:after="0" w:line="240" w:lineRule="auto"/>
        <w:ind w:firstLine="567"/>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The development of smallholder oil palm plantations in Hamlet 3 began in 2004, following the establishment of private plantations and a plasma scheme by PT </w:t>
      </w:r>
      <w:proofErr w:type="spellStart"/>
      <w:r w:rsidRPr="0089555F">
        <w:rPr>
          <w:rFonts w:ascii="Times New Roman" w:eastAsia="Times New Roman" w:hAnsi="Times New Roman" w:cs="Times New Roman"/>
          <w:sz w:val="24"/>
          <w:szCs w:val="24"/>
          <w:lang w:val="en"/>
        </w:rPr>
        <w:t>Sinar</w:t>
      </w:r>
      <w:proofErr w:type="spellEnd"/>
      <w:r w:rsidRPr="0089555F">
        <w:rPr>
          <w:rFonts w:ascii="Times New Roman" w:eastAsia="Times New Roman" w:hAnsi="Times New Roman" w:cs="Times New Roman"/>
          <w:sz w:val="24"/>
          <w:szCs w:val="24"/>
          <w:lang w:val="en"/>
        </w:rPr>
        <w:t xml:space="preserve"> Mas in 2001. Previously, local communities cultivated food crops and plantations such as highland rice, coconut, rubber, and cocoa.</w:t>
      </w:r>
      <w:r>
        <w:rPr>
          <w:rFonts w:ascii="Times New Roman" w:eastAsia="Times New Roman" w:hAnsi="Times New Roman" w:cs="Times New Roman"/>
          <w:sz w:val="24"/>
          <w:szCs w:val="24"/>
        </w:rPr>
        <w:t xml:space="preserve"> </w:t>
      </w:r>
      <w:r w:rsidRPr="0089555F">
        <w:rPr>
          <w:rFonts w:ascii="Times New Roman" w:eastAsia="Times New Roman" w:hAnsi="Times New Roman" w:cs="Times New Roman"/>
          <w:sz w:val="24"/>
          <w:szCs w:val="24"/>
          <w:lang w:val="en"/>
        </w:rPr>
        <w:t xml:space="preserve">The shift to oil palm plantations was driven by the prospect of higher profits and the guaranteed market from the company. </w:t>
      </w:r>
    </w:p>
    <w:p w14:paraId="7AF1EE05" w14:textId="77777777" w:rsidR="0089555F" w:rsidRDefault="0089555F" w:rsidP="0089555F">
      <w:pPr>
        <w:spacing w:after="0" w:line="240" w:lineRule="auto"/>
        <w:ind w:firstLine="567"/>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Currently, approximately 60 families have been cultivating oil palms, with varying planting times since 2004. The expansion of land and the increasing number of farmers indicate that oil palm has become a primary source of livelihood and is growing significantly, even extending beyond the village administrative area. </w:t>
      </w:r>
    </w:p>
    <w:p w14:paraId="34CB26E5" w14:textId="77777777" w:rsidR="0089555F" w:rsidRDefault="0089555F" w:rsidP="0089555F">
      <w:pPr>
        <w:spacing w:after="0" w:line="240" w:lineRule="auto"/>
        <w:ind w:firstLine="567"/>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In general, oil palm cultivation activities carried out by farmers include: </w:t>
      </w:r>
    </w:p>
    <w:p w14:paraId="3E53F428" w14:textId="1C493CDB" w:rsidR="0089555F" w:rsidRDefault="0089555F" w:rsidP="0089555F">
      <w:pPr>
        <w:spacing w:after="0" w:line="240" w:lineRule="auto"/>
        <w:ind w:left="284" w:hanging="284"/>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1. Land preparation</w:t>
      </w:r>
      <w:r>
        <w:rPr>
          <w:rFonts w:ascii="Times New Roman" w:eastAsia="Times New Roman" w:hAnsi="Times New Roman" w:cs="Times New Roman"/>
          <w:sz w:val="24"/>
          <w:szCs w:val="24"/>
          <w:lang w:val="en"/>
        </w:rPr>
        <w:t>: l</w:t>
      </w:r>
      <w:r w:rsidRPr="0089555F">
        <w:rPr>
          <w:rFonts w:ascii="Times New Roman" w:eastAsia="Times New Roman" w:hAnsi="Times New Roman" w:cs="Times New Roman"/>
          <w:sz w:val="24"/>
          <w:szCs w:val="24"/>
          <w:lang w:val="en"/>
        </w:rPr>
        <w:t xml:space="preserve">and preparation activities rely on human labor, including clearing brush, felling trees, and burning residual vegetation. Although burning is still practiced, farmers strive to minimize its negative impacts. This activity aims to prepare the land so that it is clean and optimally ready for planting. </w:t>
      </w:r>
    </w:p>
    <w:p w14:paraId="4BEEED9A" w14:textId="40B06FE8" w:rsidR="0089555F" w:rsidRDefault="0089555F" w:rsidP="0089555F">
      <w:pPr>
        <w:spacing w:after="0" w:line="240" w:lineRule="auto"/>
        <w:ind w:left="284" w:hanging="284"/>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2. Planting</w:t>
      </w:r>
      <w:r>
        <w:rPr>
          <w:rFonts w:ascii="Times New Roman" w:eastAsia="Times New Roman" w:hAnsi="Times New Roman" w:cs="Times New Roman"/>
          <w:sz w:val="24"/>
          <w:szCs w:val="24"/>
          <w:lang w:val="en"/>
        </w:rPr>
        <w:t xml:space="preserve">: </w:t>
      </w:r>
      <w:r w:rsidRPr="0089555F">
        <w:rPr>
          <w:rFonts w:ascii="Times New Roman" w:eastAsia="Times New Roman" w:hAnsi="Times New Roman" w:cs="Times New Roman"/>
          <w:sz w:val="24"/>
          <w:szCs w:val="24"/>
          <w:lang w:val="en"/>
        </w:rPr>
        <w:t>Oil palms are planted using the "</w:t>
      </w:r>
      <w:proofErr w:type="spellStart"/>
      <w:r w:rsidRPr="0089555F">
        <w:rPr>
          <w:rFonts w:ascii="Times New Roman" w:eastAsia="Times New Roman" w:hAnsi="Times New Roman" w:cs="Times New Roman"/>
          <w:sz w:val="24"/>
          <w:szCs w:val="24"/>
          <w:lang w:val="en"/>
        </w:rPr>
        <w:t>jajar</w:t>
      </w:r>
      <w:proofErr w:type="spellEnd"/>
      <w:r w:rsidRPr="0089555F">
        <w:rPr>
          <w:rFonts w:ascii="Times New Roman" w:eastAsia="Times New Roman" w:hAnsi="Times New Roman" w:cs="Times New Roman"/>
          <w:sz w:val="24"/>
          <w:szCs w:val="24"/>
          <w:lang w:val="en"/>
        </w:rPr>
        <w:t xml:space="preserve"> </w:t>
      </w:r>
      <w:proofErr w:type="spellStart"/>
      <w:r w:rsidRPr="0089555F">
        <w:rPr>
          <w:rFonts w:ascii="Times New Roman" w:eastAsia="Times New Roman" w:hAnsi="Times New Roman" w:cs="Times New Roman"/>
          <w:sz w:val="24"/>
          <w:szCs w:val="24"/>
          <w:lang w:val="en"/>
        </w:rPr>
        <w:t>legowo</w:t>
      </w:r>
      <w:proofErr w:type="spellEnd"/>
      <w:r w:rsidRPr="0089555F">
        <w:rPr>
          <w:rFonts w:ascii="Times New Roman" w:eastAsia="Times New Roman" w:hAnsi="Times New Roman" w:cs="Times New Roman"/>
          <w:sz w:val="24"/>
          <w:szCs w:val="24"/>
          <w:lang w:val="en"/>
        </w:rPr>
        <w:t xml:space="preserve">" (hexagonal) planting system, with a spacing of 9 m x 9 m x 9 m to provide optimal growing space and improve lighting and air circulation. This pattern allows for the planting of approximately 143 trees per hectare. </w:t>
      </w:r>
    </w:p>
    <w:p w14:paraId="2521E5BC" w14:textId="77777777" w:rsidR="0089555F" w:rsidRDefault="0089555F" w:rsidP="0089555F">
      <w:pPr>
        <w:spacing w:after="0" w:line="240" w:lineRule="auto"/>
        <w:ind w:left="284" w:hanging="284"/>
        <w:jc w:val="both"/>
        <w:rPr>
          <w:rFonts w:ascii="Times New Roman" w:eastAsia="Times New Roman" w:hAnsi="Times New Roman" w:cs="Times New Roman"/>
          <w:sz w:val="24"/>
          <w:szCs w:val="24"/>
          <w:lang w:val="en"/>
        </w:rPr>
      </w:pPr>
      <w:r w:rsidRPr="0089555F">
        <w:rPr>
          <w:rFonts w:ascii="Times New Roman" w:eastAsia="Times New Roman" w:hAnsi="Times New Roman" w:cs="Times New Roman"/>
          <w:sz w:val="24"/>
          <w:szCs w:val="24"/>
          <w:lang w:val="en"/>
        </w:rPr>
        <w:t xml:space="preserve">3. Maintenance Oil palm plantation maintenance includes fertilization, pest control, and frond pruning. Fertilization is carried out every three months using inorganic fertilizers such as NPK </w:t>
      </w:r>
      <w:proofErr w:type="spellStart"/>
      <w:r w:rsidRPr="0089555F">
        <w:rPr>
          <w:rFonts w:ascii="Times New Roman" w:eastAsia="Times New Roman" w:hAnsi="Times New Roman" w:cs="Times New Roman"/>
          <w:sz w:val="24"/>
          <w:szCs w:val="24"/>
          <w:lang w:val="en"/>
        </w:rPr>
        <w:t>Pelangi</w:t>
      </w:r>
      <w:proofErr w:type="spellEnd"/>
      <w:r w:rsidRPr="0089555F">
        <w:rPr>
          <w:rFonts w:ascii="Times New Roman" w:eastAsia="Times New Roman" w:hAnsi="Times New Roman" w:cs="Times New Roman"/>
          <w:sz w:val="24"/>
          <w:szCs w:val="24"/>
          <w:lang w:val="en"/>
        </w:rPr>
        <w:t xml:space="preserve">, Borate, and Dolomite to meet nutrient needs and balance soil </w:t>
      </w:r>
      <w:proofErr w:type="spellStart"/>
      <w:r w:rsidRPr="0089555F">
        <w:rPr>
          <w:rFonts w:ascii="Times New Roman" w:eastAsia="Times New Roman" w:hAnsi="Times New Roman" w:cs="Times New Roman"/>
          <w:sz w:val="24"/>
          <w:szCs w:val="24"/>
          <w:lang w:val="en"/>
        </w:rPr>
        <w:t>pH.</w:t>
      </w:r>
      <w:proofErr w:type="spellEnd"/>
      <w:r w:rsidRPr="0089555F">
        <w:rPr>
          <w:rFonts w:ascii="Times New Roman" w:eastAsia="Times New Roman" w:hAnsi="Times New Roman" w:cs="Times New Roman"/>
          <w:sz w:val="24"/>
          <w:szCs w:val="24"/>
          <w:lang w:val="en"/>
        </w:rPr>
        <w:t xml:space="preserve"> Pest control is carried out against pests such as bagworms, rats, and porcupines, as well as weeds through manual weeding and limited herbicide use. Frond pruning is carried out twice a year to maintain air circulation, reduce humidity, and facilitate harvesting. </w:t>
      </w:r>
    </w:p>
    <w:p w14:paraId="6F154403" w14:textId="281E153F" w:rsidR="0089555F" w:rsidRPr="0089555F" w:rsidRDefault="0089555F" w:rsidP="0089555F">
      <w:pPr>
        <w:spacing w:after="0" w:line="240" w:lineRule="auto"/>
        <w:ind w:left="284" w:hanging="284"/>
        <w:jc w:val="both"/>
        <w:rPr>
          <w:rFonts w:ascii="Times New Roman" w:eastAsia="Times New Roman" w:hAnsi="Times New Roman" w:cs="Times New Roman"/>
          <w:sz w:val="24"/>
          <w:szCs w:val="24"/>
        </w:rPr>
      </w:pPr>
      <w:r w:rsidRPr="0089555F">
        <w:rPr>
          <w:rFonts w:ascii="Times New Roman" w:eastAsia="Times New Roman" w:hAnsi="Times New Roman" w:cs="Times New Roman"/>
          <w:sz w:val="24"/>
          <w:szCs w:val="24"/>
          <w:lang w:val="en"/>
        </w:rPr>
        <w:t xml:space="preserve">4. Production Oil palms begin producing at 3-4 years of age, marked by the appearance of sand fruit, the beginning of the formation of fresh fruit bunches (FFB). Harvesting is done every two </w:t>
      </w:r>
      <w:r w:rsidRPr="0089555F">
        <w:rPr>
          <w:rFonts w:ascii="Times New Roman" w:eastAsia="Times New Roman" w:hAnsi="Times New Roman" w:cs="Times New Roman"/>
          <w:sz w:val="24"/>
          <w:szCs w:val="24"/>
          <w:lang w:val="en"/>
        </w:rPr>
        <w:lastRenderedPageBreak/>
        <w:t xml:space="preserve">weeks manually using a </w:t>
      </w:r>
      <w:proofErr w:type="gramStart"/>
      <w:r w:rsidRPr="0089555F">
        <w:rPr>
          <w:rFonts w:ascii="Times New Roman" w:eastAsia="Times New Roman" w:hAnsi="Times New Roman" w:cs="Times New Roman"/>
          <w:sz w:val="24"/>
          <w:szCs w:val="24"/>
          <w:lang w:val="en"/>
        </w:rPr>
        <w:t>dodos</w:t>
      </w:r>
      <w:proofErr w:type="gramEnd"/>
      <w:r w:rsidRPr="0089555F">
        <w:rPr>
          <w:rFonts w:ascii="Times New Roman" w:eastAsia="Times New Roman" w:hAnsi="Times New Roman" w:cs="Times New Roman"/>
          <w:sz w:val="24"/>
          <w:szCs w:val="24"/>
          <w:lang w:val="en"/>
        </w:rPr>
        <w:t xml:space="preserve"> or </w:t>
      </w:r>
      <w:proofErr w:type="spellStart"/>
      <w:r w:rsidRPr="0089555F">
        <w:rPr>
          <w:rFonts w:ascii="Times New Roman" w:eastAsia="Times New Roman" w:hAnsi="Times New Roman" w:cs="Times New Roman"/>
          <w:sz w:val="24"/>
          <w:szCs w:val="24"/>
          <w:lang w:val="en"/>
        </w:rPr>
        <w:t>egrek</w:t>
      </w:r>
      <w:proofErr w:type="spellEnd"/>
      <w:r w:rsidRPr="0089555F">
        <w:rPr>
          <w:rFonts w:ascii="Times New Roman" w:eastAsia="Times New Roman" w:hAnsi="Times New Roman" w:cs="Times New Roman"/>
          <w:sz w:val="24"/>
          <w:szCs w:val="24"/>
          <w:lang w:val="en"/>
        </w:rPr>
        <w:t>, depending on the height of the tree, and the fruit is selected based on optimal ripeness, indicated by the fall of the loose fruit. The FFB are collected at the plantation collection point before being transported to the Weighing Station (TPH) using equipment such as wheelbarrows, modified motorcycles, or small trucks, depending on the farmer's facilities.</w:t>
      </w:r>
    </w:p>
    <w:p w14:paraId="505F53DF" w14:textId="4BC1E2A9" w:rsidR="0089555F" w:rsidRPr="0089555F" w:rsidRDefault="0089555F" w:rsidP="0089555F">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5. D</w:t>
      </w:r>
      <w:r w:rsidRPr="0089555F">
        <w:rPr>
          <w:rFonts w:ascii="Times New Roman" w:eastAsia="Times New Roman" w:hAnsi="Times New Roman" w:cs="Times New Roman"/>
          <w:sz w:val="24"/>
          <w:szCs w:val="24"/>
          <w:lang w:val="en"/>
        </w:rPr>
        <w:t>istribution of production Fruit</w:t>
      </w:r>
      <w:r>
        <w:rPr>
          <w:rFonts w:ascii="Times New Roman" w:eastAsia="Times New Roman" w:hAnsi="Times New Roman" w:cs="Times New Roman"/>
          <w:sz w:val="24"/>
          <w:szCs w:val="24"/>
          <w:lang w:val="en"/>
        </w:rPr>
        <w:t xml:space="preserve">: </w:t>
      </w:r>
      <w:r w:rsidRPr="0089555F">
        <w:rPr>
          <w:rFonts w:ascii="Times New Roman" w:eastAsia="Times New Roman" w:hAnsi="Times New Roman" w:cs="Times New Roman"/>
          <w:sz w:val="24"/>
          <w:szCs w:val="24"/>
          <w:lang w:val="en"/>
        </w:rPr>
        <w:t>fruit bunches (FFB) are generally distributed to palm oil mills (PKS) through farmer cooperatives. This collective system strengthens farmers' bargaining power and reduces dependence on middlemen who tend to set arbitrary prices. Cooperatives also provide access to transparent price information that aligns with market dynamics and the Palm Oil Reference Price (HAR-KS) policy of the East Kalimantan Provincial Plantation Office. In addition to streamlining the sales process, cooperatives support farmers with logistics and administration, enabling them to focus more on cultivation. This collective distribution scheme not only increases efficiency but also provides farmers with more stable and sustainable market certainty.</w:t>
      </w:r>
    </w:p>
    <w:p w14:paraId="11B9A1D7" w14:textId="77777777" w:rsidR="0089555F" w:rsidRDefault="0089555F" w:rsidP="0089555F">
      <w:pPr>
        <w:spacing w:after="0" w:line="240" w:lineRule="auto"/>
        <w:jc w:val="both"/>
        <w:rPr>
          <w:rFonts w:ascii="Times New Roman" w:eastAsia="Times New Roman" w:hAnsi="Times New Roman" w:cs="Times New Roman"/>
        </w:rPr>
      </w:pPr>
    </w:p>
    <w:p w14:paraId="152D1212" w14:textId="77777777" w:rsidR="00A86D58" w:rsidRPr="00604E88" w:rsidRDefault="00A86D58" w:rsidP="00A86D58">
      <w:pPr>
        <w:spacing w:after="0" w:line="240" w:lineRule="auto"/>
        <w:rPr>
          <w:rFonts w:ascii="Times New Roman" w:eastAsia="Times New Roman" w:hAnsi="Times New Roman" w:cs="Times New Roman"/>
          <w:b/>
          <w:bCs/>
          <w:sz w:val="24"/>
          <w:szCs w:val="24"/>
          <w:lang w:val="en"/>
        </w:rPr>
      </w:pPr>
      <w:r w:rsidRPr="00604E88">
        <w:rPr>
          <w:rFonts w:ascii="Times New Roman" w:eastAsia="Times New Roman" w:hAnsi="Times New Roman" w:cs="Times New Roman"/>
          <w:b/>
          <w:bCs/>
          <w:sz w:val="24"/>
          <w:szCs w:val="24"/>
          <w:lang w:val="en"/>
        </w:rPr>
        <w:t xml:space="preserve">3.2. Production Costs </w:t>
      </w:r>
    </w:p>
    <w:p w14:paraId="7F751E26" w14:textId="37F29EA3" w:rsidR="00A86D58" w:rsidRDefault="00A86D58" w:rsidP="00604E8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The research results show that the total annual production costs for smallholder oil palm plantations aged 10-12 years reach IDR 51,926,007.60 per respondent, or IDR 15,014,749.18 per hectare. These costs include both fixed and variable costs</w:t>
      </w:r>
      <w:r w:rsidR="00604E88">
        <w:rPr>
          <w:rFonts w:ascii="Times New Roman" w:eastAsia="Times New Roman" w:hAnsi="Times New Roman" w:cs="Times New Roman"/>
          <w:sz w:val="24"/>
          <w:szCs w:val="24"/>
          <w:lang w:val="en"/>
        </w:rPr>
        <w:t>, namely:</w:t>
      </w:r>
      <w:r w:rsidRPr="00A86D58">
        <w:rPr>
          <w:rFonts w:ascii="Times New Roman" w:eastAsia="Times New Roman" w:hAnsi="Times New Roman" w:cs="Times New Roman"/>
          <w:sz w:val="24"/>
          <w:szCs w:val="24"/>
          <w:lang w:val="en"/>
        </w:rPr>
        <w:t xml:space="preserve"> </w:t>
      </w:r>
    </w:p>
    <w:p w14:paraId="77770DB1"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1. Fixed Costs </w:t>
      </w:r>
    </w:p>
    <w:p w14:paraId="23641637" w14:textId="22F21F98"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research results show that the total fixed costs for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reach IDR 2,030,969.19 per respondent per year, or IDR 587,268.20 per hectare (3.91% of total production costs). The main components of fixed costs include depreciation of production equipment and payment of Land and Building Tax (PBB). </w:t>
      </w:r>
    </w:p>
    <w:p w14:paraId="2AD0CDF0"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2. Variable Costs </w:t>
      </w:r>
    </w:p>
    <w:p w14:paraId="72919D7B" w14:textId="3011CDD8"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The variable costs incurred by oil palm farmers amounted to IDR 49,895,038.40 per respondent per year, equivalent to IDR 14,427,480.99</w:t>
      </w:r>
      <w:r w:rsidR="0006348B">
        <w:rPr>
          <w:rFonts w:ascii="Times New Roman" w:eastAsia="Times New Roman" w:hAnsi="Times New Roman" w:cs="Times New Roman"/>
          <w:sz w:val="24"/>
          <w:szCs w:val="24"/>
          <w:lang w:val="en"/>
        </w:rPr>
        <w:t>/ha</w:t>
      </w:r>
      <w:r w:rsidRPr="00A86D58">
        <w:rPr>
          <w:rFonts w:ascii="Times New Roman" w:eastAsia="Times New Roman" w:hAnsi="Times New Roman" w:cs="Times New Roman"/>
          <w:sz w:val="24"/>
          <w:szCs w:val="24"/>
          <w:lang w:val="en"/>
        </w:rPr>
        <w:t xml:space="preserve"> (96.09% of total production costs). These variable costs consist of labor, fertilizer, pesticides, and cooperative commission fees. Details of production costs incurred by oil palm farmers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are presented in Table 1. </w:t>
      </w:r>
    </w:p>
    <w:p w14:paraId="3612A432" w14:textId="77777777" w:rsidR="00C62594" w:rsidRDefault="00C62594" w:rsidP="00A86D58">
      <w:pPr>
        <w:spacing w:after="0" w:line="240" w:lineRule="auto"/>
        <w:ind w:firstLine="567"/>
        <w:jc w:val="both"/>
        <w:rPr>
          <w:rFonts w:ascii="Times New Roman" w:eastAsia="Times New Roman" w:hAnsi="Times New Roman" w:cs="Times New Roman"/>
          <w:sz w:val="24"/>
          <w:szCs w:val="24"/>
          <w:lang w:val="en"/>
        </w:rPr>
      </w:pPr>
    </w:p>
    <w:p w14:paraId="6C967BCE" w14:textId="0B4BE95B"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Table 1. Details of Oil Palm Plantation Production Costs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w:t>
      </w:r>
    </w:p>
    <w:p w14:paraId="5656031D" w14:textId="42D894BC" w:rsidR="00A86D58" w:rsidRDefault="00A86D58" w:rsidP="00A86D58">
      <w:pPr>
        <w:pStyle w:val="Bodytext20"/>
        <w:shd w:val="clear" w:color="auto" w:fill="auto"/>
        <w:spacing w:before="0" w:line="240" w:lineRule="auto"/>
        <w:ind w:firstLine="0"/>
      </w:pPr>
    </w:p>
    <w:tbl>
      <w:tblPr>
        <w:tblStyle w:val="TableGrid"/>
        <w:tblW w:w="0" w:type="auto"/>
        <w:tblLook w:val="04A0" w:firstRow="1" w:lastRow="0" w:firstColumn="1" w:lastColumn="0" w:noHBand="0" w:noVBand="1"/>
      </w:tblPr>
      <w:tblGrid>
        <w:gridCol w:w="799"/>
        <w:gridCol w:w="3499"/>
        <w:gridCol w:w="2260"/>
        <w:gridCol w:w="2792"/>
      </w:tblGrid>
      <w:tr w:rsidR="00A86D58" w14:paraId="08684CCE" w14:textId="77777777" w:rsidTr="00C34AFF">
        <w:tc>
          <w:tcPr>
            <w:tcW w:w="9350" w:type="dxa"/>
            <w:gridSpan w:val="4"/>
          </w:tcPr>
          <w:p w14:paraId="3CC2634D" w14:textId="7943B661" w:rsidR="00A86D58" w:rsidRPr="00C106CB" w:rsidRDefault="00CC65FB" w:rsidP="00C34AFF">
            <w:pPr>
              <w:pStyle w:val="Bodytext50"/>
              <w:shd w:val="clear" w:color="auto" w:fill="auto"/>
              <w:spacing w:before="0" w:after="0" w:line="240" w:lineRule="auto"/>
              <w:ind w:firstLine="0"/>
            </w:pPr>
            <w:r>
              <w:t>FIXED COST</w:t>
            </w:r>
          </w:p>
        </w:tc>
      </w:tr>
      <w:tr w:rsidR="00A86D58" w14:paraId="22128000" w14:textId="77777777" w:rsidTr="00C34AFF">
        <w:tc>
          <w:tcPr>
            <w:tcW w:w="799" w:type="dxa"/>
            <w:vAlign w:val="center"/>
          </w:tcPr>
          <w:p w14:paraId="2457276C" w14:textId="77777777" w:rsidR="00A86D58" w:rsidRPr="00C106CB" w:rsidRDefault="00A86D58" w:rsidP="00C34AFF">
            <w:pPr>
              <w:pStyle w:val="Bodytext50"/>
              <w:shd w:val="clear" w:color="auto" w:fill="auto"/>
              <w:spacing w:before="0" w:after="0" w:line="240" w:lineRule="auto"/>
              <w:ind w:firstLine="0"/>
              <w:jc w:val="both"/>
            </w:pPr>
            <w:r w:rsidRPr="00C106CB">
              <w:rPr>
                <w:lang w:val="id-ID" w:eastAsia="id-ID"/>
              </w:rPr>
              <w:t>No</w:t>
            </w:r>
          </w:p>
        </w:tc>
        <w:tc>
          <w:tcPr>
            <w:tcW w:w="3499" w:type="dxa"/>
            <w:vAlign w:val="center"/>
          </w:tcPr>
          <w:p w14:paraId="3E9010A2" w14:textId="242EB84A" w:rsidR="00A86D58" w:rsidRPr="00C106CB" w:rsidRDefault="00CC65FB" w:rsidP="00C34AFF">
            <w:pPr>
              <w:pStyle w:val="Bodytext50"/>
              <w:shd w:val="clear" w:color="auto" w:fill="auto"/>
              <w:spacing w:before="0" w:after="0" w:line="240" w:lineRule="auto"/>
              <w:ind w:firstLine="0"/>
              <w:jc w:val="both"/>
            </w:pPr>
            <w:r>
              <w:rPr>
                <w:lang w:val="id-ID" w:eastAsia="id-ID"/>
              </w:rPr>
              <w:t>Description</w:t>
            </w:r>
          </w:p>
        </w:tc>
        <w:tc>
          <w:tcPr>
            <w:tcW w:w="2260" w:type="dxa"/>
            <w:vAlign w:val="center"/>
          </w:tcPr>
          <w:p w14:paraId="37DAEBBF" w14:textId="5D8FED1E" w:rsidR="00A86D58" w:rsidRPr="00C106CB" w:rsidRDefault="00CC65FB" w:rsidP="00C34AFF">
            <w:pPr>
              <w:jc w:val="center"/>
              <w:rPr>
                <w:rFonts w:ascii="Times New Roman" w:eastAsia="Times New Roman" w:hAnsi="Times New Roman" w:cs="Times New Roman"/>
                <w:b/>
                <w:bCs/>
                <w:lang w:val="id-ID" w:eastAsia="id-ID"/>
              </w:rPr>
            </w:pPr>
            <w:r>
              <w:rPr>
                <w:rFonts w:ascii="Times New Roman" w:eastAsia="Times New Roman" w:hAnsi="Times New Roman" w:cs="Times New Roman"/>
                <w:b/>
                <w:bCs/>
                <w:lang w:val="id-ID" w:eastAsia="id-ID"/>
              </w:rPr>
              <w:t>Average</w:t>
            </w:r>
          </w:p>
          <w:p w14:paraId="6492D082" w14:textId="4245B639" w:rsidR="00A86D58" w:rsidRPr="00C106CB" w:rsidRDefault="00A86D58" w:rsidP="00C34AFF">
            <w:pPr>
              <w:pStyle w:val="Bodytext50"/>
              <w:shd w:val="clear" w:color="auto" w:fill="auto"/>
              <w:spacing w:before="0" w:after="0" w:line="240" w:lineRule="auto"/>
              <w:ind w:firstLine="0"/>
            </w:pPr>
            <w:r w:rsidRPr="00C106CB">
              <w:rPr>
                <w:lang w:val="id-ID" w:eastAsia="id-ID"/>
              </w:rPr>
              <w:t>(</w:t>
            </w:r>
            <w:r w:rsidR="00CC65FB">
              <w:rPr>
                <w:lang w:val="id-ID" w:eastAsia="id-ID"/>
              </w:rPr>
              <w:t>IDR</w:t>
            </w:r>
            <w:r w:rsidRPr="00C106CB">
              <w:rPr>
                <w:lang w:val="id-ID" w:eastAsia="id-ID"/>
              </w:rPr>
              <w:t>/Responden</w:t>
            </w:r>
            <w:r w:rsidR="00CC65FB">
              <w:rPr>
                <w:lang w:val="id-ID" w:eastAsia="id-ID"/>
              </w:rPr>
              <w:t>t</w:t>
            </w:r>
            <w:r w:rsidRPr="00C106CB">
              <w:rPr>
                <w:lang w:val="id-ID" w:eastAsia="id-ID"/>
              </w:rPr>
              <w:t>)</w:t>
            </w:r>
          </w:p>
        </w:tc>
        <w:tc>
          <w:tcPr>
            <w:tcW w:w="2792" w:type="dxa"/>
            <w:vAlign w:val="center"/>
          </w:tcPr>
          <w:p w14:paraId="6F55E80F" w14:textId="7CF5AAEF" w:rsidR="00A86D58" w:rsidRPr="00C106CB" w:rsidRDefault="00CC65FB" w:rsidP="00C34AFF">
            <w:pPr>
              <w:jc w:val="center"/>
              <w:rPr>
                <w:rFonts w:ascii="Times New Roman" w:eastAsia="Times New Roman" w:hAnsi="Times New Roman" w:cs="Times New Roman"/>
                <w:b/>
                <w:bCs/>
                <w:lang w:val="id-ID" w:eastAsia="id-ID"/>
              </w:rPr>
            </w:pPr>
            <w:r>
              <w:rPr>
                <w:rFonts w:ascii="Times New Roman" w:eastAsia="Times New Roman" w:hAnsi="Times New Roman" w:cs="Times New Roman"/>
                <w:b/>
                <w:bCs/>
                <w:lang w:val="id-ID" w:eastAsia="id-ID"/>
              </w:rPr>
              <w:t>Average</w:t>
            </w:r>
          </w:p>
          <w:p w14:paraId="4DB489AD" w14:textId="51F72CC0" w:rsidR="00A86D58" w:rsidRPr="00C106CB" w:rsidRDefault="00A86D58" w:rsidP="00C34AFF">
            <w:pPr>
              <w:pStyle w:val="Bodytext50"/>
              <w:shd w:val="clear" w:color="auto" w:fill="auto"/>
              <w:spacing w:before="0" w:after="0" w:line="240" w:lineRule="auto"/>
              <w:ind w:firstLine="0"/>
            </w:pPr>
            <w:r w:rsidRPr="00C106CB">
              <w:rPr>
                <w:lang w:val="id-ID" w:eastAsia="id-ID"/>
              </w:rPr>
              <w:t>(</w:t>
            </w:r>
            <w:r w:rsidR="00CC65FB">
              <w:rPr>
                <w:lang w:val="id-ID" w:eastAsia="id-ID"/>
              </w:rPr>
              <w:t>IDR</w:t>
            </w:r>
            <w:r w:rsidRPr="00C106CB">
              <w:rPr>
                <w:lang w:val="id-ID" w:eastAsia="id-ID"/>
              </w:rPr>
              <w:t>/ha/</w:t>
            </w:r>
            <w:r w:rsidR="00CC65FB">
              <w:rPr>
                <w:lang w:val="id-ID" w:eastAsia="id-ID"/>
              </w:rPr>
              <w:t>year</w:t>
            </w:r>
            <w:r w:rsidRPr="00C106CB">
              <w:rPr>
                <w:lang w:val="id-ID" w:eastAsia="id-ID"/>
              </w:rPr>
              <w:t>)</w:t>
            </w:r>
          </w:p>
        </w:tc>
      </w:tr>
      <w:tr w:rsidR="00CC65FB" w14:paraId="4D27865E" w14:textId="77777777" w:rsidTr="00C34AFF">
        <w:tc>
          <w:tcPr>
            <w:tcW w:w="799" w:type="dxa"/>
            <w:vAlign w:val="center"/>
          </w:tcPr>
          <w:p w14:paraId="290392D7" w14:textId="3ED5D79B" w:rsidR="00CC65FB" w:rsidRPr="00C106CB" w:rsidRDefault="00604E88" w:rsidP="00CC65FB">
            <w:pPr>
              <w:pStyle w:val="Bodytext50"/>
              <w:shd w:val="clear" w:color="auto" w:fill="auto"/>
              <w:spacing w:before="0" w:after="0" w:line="240" w:lineRule="auto"/>
              <w:ind w:firstLine="0"/>
              <w:jc w:val="both"/>
              <w:rPr>
                <w:b w:val="0"/>
                <w:bCs w:val="0"/>
              </w:rPr>
            </w:pPr>
            <w:r>
              <w:rPr>
                <w:b w:val="0"/>
                <w:bCs w:val="0"/>
              </w:rPr>
              <w:t>1</w:t>
            </w:r>
          </w:p>
        </w:tc>
        <w:tc>
          <w:tcPr>
            <w:tcW w:w="3499" w:type="dxa"/>
          </w:tcPr>
          <w:p w14:paraId="092515A7" w14:textId="5484DD97" w:rsidR="00CC65FB" w:rsidRPr="00CC65FB" w:rsidRDefault="00604E88" w:rsidP="00CC65FB">
            <w:pPr>
              <w:pStyle w:val="Bodytext50"/>
              <w:shd w:val="clear" w:color="auto" w:fill="auto"/>
              <w:spacing w:before="0" w:after="0" w:line="240" w:lineRule="auto"/>
              <w:ind w:firstLine="0"/>
              <w:jc w:val="both"/>
              <w:rPr>
                <w:b w:val="0"/>
                <w:bCs w:val="0"/>
              </w:rPr>
            </w:pPr>
            <w:r w:rsidRPr="00CC65FB">
              <w:rPr>
                <w:rStyle w:val="rynqvb"/>
                <w:rFonts w:eastAsiaTheme="majorEastAsia"/>
                <w:b w:val="0"/>
                <w:bCs w:val="0"/>
                <w:lang w:val="en"/>
              </w:rPr>
              <w:t>Depreciation of Equipment</w:t>
            </w:r>
          </w:p>
        </w:tc>
        <w:tc>
          <w:tcPr>
            <w:tcW w:w="2260" w:type="dxa"/>
            <w:vAlign w:val="center"/>
          </w:tcPr>
          <w:p w14:paraId="6EBC6F72" w14:textId="409DE865" w:rsidR="00CC65FB" w:rsidRPr="00C106CB" w:rsidRDefault="00604E88" w:rsidP="00CC65FB">
            <w:pPr>
              <w:pStyle w:val="Bodytext50"/>
              <w:shd w:val="clear" w:color="auto" w:fill="auto"/>
              <w:spacing w:before="0" w:after="0" w:line="240" w:lineRule="auto"/>
              <w:ind w:firstLine="0"/>
              <w:rPr>
                <w:b w:val="0"/>
                <w:bCs w:val="0"/>
              </w:rPr>
            </w:pPr>
            <w:r w:rsidRPr="00C106CB">
              <w:rPr>
                <w:b w:val="0"/>
                <w:bCs w:val="0"/>
                <w:lang w:val="id-ID" w:eastAsia="id-ID"/>
              </w:rPr>
              <w:t>1.944.510,86</w:t>
            </w:r>
          </w:p>
        </w:tc>
        <w:tc>
          <w:tcPr>
            <w:tcW w:w="2792" w:type="dxa"/>
            <w:vAlign w:val="center"/>
          </w:tcPr>
          <w:p w14:paraId="4E0C6911" w14:textId="3229E35F" w:rsidR="00CC65FB" w:rsidRPr="00604E88" w:rsidRDefault="00604E88" w:rsidP="00604E88">
            <w:pPr>
              <w:pStyle w:val="ListParagraph"/>
              <w:ind w:right="654"/>
              <w:jc w:val="center"/>
              <w:rPr>
                <w:rFonts w:ascii="Times New Roman" w:eastAsia="Times New Roman" w:hAnsi="Times New Roman" w:cs="Times New Roman"/>
                <w:lang w:eastAsia="id-ID"/>
              </w:rPr>
            </w:pPr>
            <w:r w:rsidRPr="00C106CB">
              <w:rPr>
                <w:rFonts w:ascii="Times New Roman" w:eastAsia="Times New Roman" w:hAnsi="Times New Roman" w:cs="Times New Roman"/>
                <w:lang w:val="id-ID" w:eastAsia="id-ID"/>
              </w:rPr>
              <w:t>562.268,20</w:t>
            </w:r>
          </w:p>
        </w:tc>
      </w:tr>
      <w:tr w:rsidR="00604E88" w14:paraId="089DCBC6" w14:textId="77777777" w:rsidTr="00C34AFF">
        <w:tc>
          <w:tcPr>
            <w:tcW w:w="799" w:type="dxa"/>
            <w:vAlign w:val="center"/>
          </w:tcPr>
          <w:p w14:paraId="325002EF" w14:textId="515DCFB6" w:rsidR="00604E88" w:rsidRPr="00C106CB" w:rsidRDefault="00604E88" w:rsidP="00604E88">
            <w:pPr>
              <w:pStyle w:val="Bodytext50"/>
              <w:shd w:val="clear" w:color="auto" w:fill="auto"/>
              <w:spacing w:before="0" w:after="0" w:line="240" w:lineRule="auto"/>
              <w:ind w:firstLine="0"/>
              <w:jc w:val="both"/>
              <w:rPr>
                <w:b w:val="0"/>
                <w:bCs w:val="0"/>
                <w:lang w:val="id-ID" w:eastAsia="id-ID"/>
              </w:rPr>
            </w:pPr>
            <w:r w:rsidRPr="00C106CB">
              <w:rPr>
                <w:b w:val="0"/>
                <w:bCs w:val="0"/>
                <w:lang w:val="id-ID" w:eastAsia="id-ID"/>
              </w:rPr>
              <w:t>2</w:t>
            </w:r>
          </w:p>
        </w:tc>
        <w:tc>
          <w:tcPr>
            <w:tcW w:w="3499" w:type="dxa"/>
          </w:tcPr>
          <w:p w14:paraId="428D5048" w14:textId="16F64F70" w:rsidR="00604E88" w:rsidRPr="00CC65FB" w:rsidRDefault="00604E88" w:rsidP="00604E88">
            <w:pPr>
              <w:pStyle w:val="Bodytext50"/>
              <w:shd w:val="clear" w:color="auto" w:fill="auto"/>
              <w:spacing w:before="0" w:after="0" w:line="240" w:lineRule="auto"/>
              <w:ind w:firstLine="0"/>
              <w:jc w:val="both"/>
              <w:rPr>
                <w:rStyle w:val="rynqvb"/>
                <w:rFonts w:eastAsiaTheme="majorEastAsia"/>
                <w:b w:val="0"/>
                <w:bCs w:val="0"/>
                <w:lang w:val="en"/>
              </w:rPr>
            </w:pPr>
            <w:r w:rsidRPr="00CC65FB">
              <w:rPr>
                <w:rStyle w:val="rynqvb"/>
                <w:rFonts w:eastAsiaTheme="majorEastAsia"/>
                <w:b w:val="0"/>
                <w:bCs w:val="0"/>
                <w:lang w:val="en"/>
              </w:rPr>
              <w:t>Land and Building Tax (PBB)</w:t>
            </w:r>
          </w:p>
        </w:tc>
        <w:tc>
          <w:tcPr>
            <w:tcW w:w="2260" w:type="dxa"/>
            <w:vAlign w:val="center"/>
          </w:tcPr>
          <w:p w14:paraId="424DC29B" w14:textId="025238C2" w:rsidR="00604E88" w:rsidRPr="00C106CB" w:rsidRDefault="00604E88" w:rsidP="00604E88">
            <w:pPr>
              <w:pStyle w:val="Bodytext50"/>
              <w:shd w:val="clear" w:color="auto" w:fill="auto"/>
              <w:spacing w:before="0" w:after="0" w:line="240" w:lineRule="auto"/>
              <w:ind w:firstLine="0"/>
              <w:rPr>
                <w:b w:val="0"/>
                <w:bCs w:val="0"/>
                <w:lang w:val="id-ID" w:eastAsia="id-ID"/>
              </w:rPr>
            </w:pPr>
            <w:r w:rsidRPr="00C106CB">
              <w:rPr>
                <w:b w:val="0"/>
                <w:bCs w:val="0"/>
                <w:lang w:val="id-ID" w:eastAsia="id-ID"/>
              </w:rPr>
              <w:t>86.458,33</w:t>
            </w:r>
          </w:p>
        </w:tc>
        <w:tc>
          <w:tcPr>
            <w:tcW w:w="2792" w:type="dxa"/>
            <w:vAlign w:val="center"/>
          </w:tcPr>
          <w:p w14:paraId="3C2F9617" w14:textId="27581F61" w:rsidR="00604E88" w:rsidRPr="00C106CB" w:rsidRDefault="00604E88" w:rsidP="00604E88">
            <w:pPr>
              <w:pStyle w:val="Bodytext50"/>
              <w:shd w:val="clear" w:color="auto" w:fill="auto"/>
              <w:spacing w:before="0" w:after="0" w:line="240" w:lineRule="auto"/>
              <w:ind w:firstLine="0"/>
              <w:rPr>
                <w:b w:val="0"/>
                <w:bCs w:val="0"/>
                <w:lang w:val="id-ID" w:eastAsia="id-ID"/>
              </w:rPr>
            </w:pPr>
            <w:r w:rsidRPr="00C106CB">
              <w:rPr>
                <w:b w:val="0"/>
                <w:bCs w:val="0"/>
                <w:lang w:val="id-ID" w:eastAsia="id-ID"/>
              </w:rPr>
              <w:t>25.000,00</w:t>
            </w:r>
          </w:p>
        </w:tc>
      </w:tr>
      <w:tr w:rsidR="00604E88" w14:paraId="2E174E79" w14:textId="77777777" w:rsidTr="00C34AFF">
        <w:tc>
          <w:tcPr>
            <w:tcW w:w="4298" w:type="dxa"/>
            <w:gridSpan w:val="2"/>
          </w:tcPr>
          <w:p w14:paraId="005AB226" w14:textId="0E499C4A" w:rsidR="00604E88" w:rsidRPr="00C106CB" w:rsidRDefault="00604E88" w:rsidP="00604E88">
            <w:pPr>
              <w:pStyle w:val="Bodytext50"/>
              <w:shd w:val="clear" w:color="auto" w:fill="auto"/>
              <w:spacing w:before="0" w:after="0" w:line="240" w:lineRule="auto"/>
              <w:ind w:firstLine="0"/>
              <w:jc w:val="both"/>
            </w:pPr>
            <w:r w:rsidRPr="00C106CB">
              <w:t xml:space="preserve">Total </w:t>
            </w:r>
            <w:r>
              <w:t>Fixed Cost</w:t>
            </w:r>
          </w:p>
        </w:tc>
        <w:tc>
          <w:tcPr>
            <w:tcW w:w="2260" w:type="dxa"/>
            <w:vAlign w:val="center"/>
          </w:tcPr>
          <w:p w14:paraId="327101CB" w14:textId="77777777" w:rsidR="00604E88" w:rsidRPr="00C106CB" w:rsidRDefault="00604E88" w:rsidP="00604E88">
            <w:pPr>
              <w:pStyle w:val="Bodytext50"/>
              <w:shd w:val="clear" w:color="auto" w:fill="auto"/>
              <w:spacing w:before="0" w:after="0" w:line="240" w:lineRule="auto"/>
              <w:ind w:firstLine="0"/>
            </w:pPr>
            <w:r w:rsidRPr="00C106CB">
              <w:rPr>
                <w:lang w:val="id-ID" w:eastAsia="id-ID"/>
              </w:rPr>
              <w:t>2.030.969,19</w:t>
            </w:r>
          </w:p>
        </w:tc>
        <w:tc>
          <w:tcPr>
            <w:tcW w:w="2792" w:type="dxa"/>
            <w:vAlign w:val="center"/>
          </w:tcPr>
          <w:p w14:paraId="345EA61C" w14:textId="77777777" w:rsidR="00604E88" w:rsidRPr="00C106CB" w:rsidRDefault="00604E88" w:rsidP="00604E88">
            <w:pPr>
              <w:pStyle w:val="Bodytext50"/>
              <w:shd w:val="clear" w:color="auto" w:fill="auto"/>
              <w:spacing w:before="0" w:after="0" w:line="240" w:lineRule="auto"/>
              <w:ind w:firstLine="0"/>
            </w:pPr>
            <w:r w:rsidRPr="00C106CB">
              <w:rPr>
                <w:lang w:val="id-ID" w:eastAsia="id-ID"/>
              </w:rPr>
              <w:t>587.268,20</w:t>
            </w:r>
          </w:p>
        </w:tc>
      </w:tr>
      <w:tr w:rsidR="00604E88" w14:paraId="247FBD12" w14:textId="77777777" w:rsidTr="00C34AFF">
        <w:tc>
          <w:tcPr>
            <w:tcW w:w="9350" w:type="dxa"/>
            <w:gridSpan w:val="4"/>
          </w:tcPr>
          <w:p w14:paraId="4F2A4AAD" w14:textId="345A43F3" w:rsidR="00604E88" w:rsidRPr="00C106CB" w:rsidRDefault="00604E88" w:rsidP="00604E88">
            <w:pPr>
              <w:pStyle w:val="Bodytext50"/>
              <w:shd w:val="clear" w:color="auto" w:fill="auto"/>
              <w:spacing w:before="0" w:after="0" w:line="240" w:lineRule="auto"/>
              <w:ind w:firstLine="0"/>
            </w:pPr>
            <w:r w:rsidRPr="00C106CB">
              <w:t>VARIABL</w:t>
            </w:r>
            <w:r>
              <w:t>E COST</w:t>
            </w:r>
          </w:p>
        </w:tc>
      </w:tr>
      <w:tr w:rsidR="00604E88" w14:paraId="2BB3767F" w14:textId="77777777" w:rsidTr="00C34AFF">
        <w:tc>
          <w:tcPr>
            <w:tcW w:w="799" w:type="dxa"/>
            <w:vAlign w:val="center"/>
          </w:tcPr>
          <w:p w14:paraId="5385166F"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1</w:t>
            </w:r>
          </w:p>
        </w:tc>
        <w:tc>
          <w:tcPr>
            <w:tcW w:w="3499" w:type="dxa"/>
            <w:vAlign w:val="center"/>
          </w:tcPr>
          <w:p w14:paraId="33BA7153" w14:textId="0216A433" w:rsidR="00604E88" w:rsidRPr="00C106CB" w:rsidRDefault="00604E88" w:rsidP="00604E88">
            <w:pPr>
              <w:pStyle w:val="Bodytext50"/>
              <w:shd w:val="clear" w:color="auto" w:fill="auto"/>
              <w:spacing w:before="0" w:after="0" w:line="240" w:lineRule="auto"/>
              <w:ind w:firstLine="0"/>
              <w:jc w:val="both"/>
              <w:rPr>
                <w:b w:val="0"/>
                <w:bCs w:val="0"/>
              </w:rPr>
            </w:pPr>
            <w:r>
              <w:rPr>
                <w:b w:val="0"/>
                <w:bCs w:val="0"/>
              </w:rPr>
              <w:t>Fertilizer</w:t>
            </w:r>
          </w:p>
        </w:tc>
        <w:tc>
          <w:tcPr>
            <w:tcW w:w="2260" w:type="dxa"/>
            <w:vAlign w:val="center"/>
          </w:tcPr>
          <w:p w14:paraId="129A3E31"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eastAsia="id-ID"/>
              </w:rPr>
              <w:t>19.091.000,00</w:t>
            </w:r>
          </w:p>
        </w:tc>
        <w:tc>
          <w:tcPr>
            <w:tcW w:w="2792" w:type="dxa"/>
            <w:vAlign w:val="center"/>
          </w:tcPr>
          <w:p w14:paraId="4250AAC1"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rPr>
              <w:t>5.520.289,16</w:t>
            </w:r>
          </w:p>
        </w:tc>
      </w:tr>
      <w:tr w:rsidR="00604E88" w14:paraId="212D1CD9" w14:textId="77777777" w:rsidTr="00C34AFF">
        <w:tc>
          <w:tcPr>
            <w:tcW w:w="799" w:type="dxa"/>
            <w:vAlign w:val="center"/>
          </w:tcPr>
          <w:p w14:paraId="1ED5AB73"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2</w:t>
            </w:r>
          </w:p>
        </w:tc>
        <w:tc>
          <w:tcPr>
            <w:tcW w:w="3499" w:type="dxa"/>
            <w:vAlign w:val="center"/>
          </w:tcPr>
          <w:p w14:paraId="061F0EEE" w14:textId="364EC389"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Pesti</w:t>
            </w:r>
            <w:r>
              <w:rPr>
                <w:b w:val="0"/>
                <w:bCs w:val="0"/>
                <w:lang w:val="id-ID" w:eastAsia="id-ID"/>
              </w:rPr>
              <w:t>cide</w:t>
            </w:r>
          </w:p>
        </w:tc>
        <w:tc>
          <w:tcPr>
            <w:tcW w:w="2260" w:type="dxa"/>
            <w:vAlign w:val="center"/>
          </w:tcPr>
          <w:p w14:paraId="708C841E"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3.177.500,00</w:t>
            </w:r>
          </w:p>
        </w:tc>
        <w:tc>
          <w:tcPr>
            <w:tcW w:w="2792" w:type="dxa"/>
            <w:vAlign w:val="center"/>
          </w:tcPr>
          <w:p w14:paraId="59B573EC"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918.795,18</w:t>
            </w:r>
          </w:p>
        </w:tc>
      </w:tr>
      <w:tr w:rsidR="00604E88" w14:paraId="3B432D4C" w14:textId="77777777" w:rsidTr="00C34AFF">
        <w:tc>
          <w:tcPr>
            <w:tcW w:w="799" w:type="dxa"/>
            <w:vAlign w:val="center"/>
          </w:tcPr>
          <w:p w14:paraId="5AB86AD3"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3</w:t>
            </w:r>
          </w:p>
        </w:tc>
        <w:tc>
          <w:tcPr>
            <w:tcW w:w="3499" w:type="dxa"/>
            <w:vAlign w:val="center"/>
          </w:tcPr>
          <w:p w14:paraId="6FE7111E" w14:textId="3571D7D1" w:rsidR="00604E88" w:rsidRPr="00C106CB" w:rsidRDefault="00604E88" w:rsidP="00604E88">
            <w:pPr>
              <w:pStyle w:val="Bodytext50"/>
              <w:shd w:val="clear" w:color="auto" w:fill="auto"/>
              <w:spacing w:before="0" w:after="0" w:line="240" w:lineRule="auto"/>
              <w:ind w:firstLine="0"/>
              <w:jc w:val="both"/>
              <w:rPr>
                <w:b w:val="0"/>
                <w:bCs w:val="0"/>
              </w:rPr>
            </w:pPr>
            <w:r>
              <w:rPr>
                <w:b w:val="0"/>
                <w:bCs w:val="0"/>
                <w:lang w:val="id-ID" w:eastAsia="id-ID"/>
              </w:rPr>
              <w:t>Labor</w:t>
            </w:r>
          </w:p>
        </w:tc>
        <w:tc>
          <w:tcPr>
            <w:tcW w:w="2260" w:type="dxa"/>
            <w:vAlign w:val="center"/>
          </w:tcPr>
          <w:p w14:paraId="0E889E64"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eastAsia="id-ID"/>
              </w:rPr>
              <w:t>27.212.437,88</w:t>
            </w:r>
          </w:p>
        </w:tc>
        <w:tc>
          <w:tcPr>
            <w:tcW w:w="2792" w:type="dxa"/>
            <w:vAlign w:val="center"/>
          </w:tcPr>
          <w:p w14:paraId="2A312AC9"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7.868.656,73</w:t>
            </w:r>
          </w:p>
        </w:tc>
      </w:tr>
      <w:tr w:rsidR="00604E88" w14:paraId="470DB49D" w14:textId="77777777" w:rsidTr="00C34AFF">
        <w:tc>
          <w:tcPr>
            <w:tcW w:w="799" w:type="dxa"/>
            <w:vAlign w:val="center"/>
          </w:tcPr>
          <w:p w14:paraId="1B2D9301" w14:textId="77777777" w:rsidR="00604E88" w:rsidRPr="00C106CB" w:rsidRDefault="00604E88" w:rsidP="00604E88">
            <w:pPr>
              <w:pStyle w:val="Bodytext50"/>
              <w:shd w:val="clear" w:color="auto" w:fill="auto"/>
              <w:spacing w:before="0" w:after="0" w:line="240" w:lineRule="auto"/>
              <w:ind w:firstLine="0"/>
              <w:jc w:val="both"/>
              <w:rPr>
                <w:b w:val="0"/>
                <w:bCs w:val="0"/>
              </w:rPr>
            </w:pPr>
            <w:r w:rsidRPr="00C106CB">
              <w:rPr>
                <w:b w:val="0"/>
                <w:bCs w:val="0"/>
                <w:lang w:val="id-ID" w:eastAsia="id-ID"/>
              </w:rPr>
              <w:t>4</w:t>
            </w:r>
          </w:p>
        </w:tc>
        <w:tc>
          <w:tcPr>
            <w:tcW w:w="3499" w:type="dxa"/>
            <w:vAlign w:val="center"/>
          </w:tcPr>
          <w:p w14:paraId="3E6D5166" w14:textId="530EA35E" w:rsidR="00604E88" w:rsidRPr="00CC65FB" w:rsidRDefault="00604E88" w:rsidP="00604E88">
            <w:pPr>
              <w:pStyle w:val="Bodytext50"/>
              <w:shd w:val="clear" w:color="auto" w:fill="auto"/>
              <w:spacing w:before="0" w:after="0" w:line="240" w:lineRule="auto"/>
              <w:ind w:firstLine="0"/>
              <w:jc w:val="both"/>
              <w:rPr>
                <w:b w:val="0"/>
                <w:bCs w:val="0"/>
              </w:rPr>
            </w:pPr>
            <w:r w:rsidRPr="00CC65FB">
              <w:rPr>
                <w:rStyle w:val="rynqvb"/>
                <w:rFonts w:eastAsiaTheme="majorEastAsia"/>
                <w:b w:val="0"/>
                <w:bCs w:val="0"/>
                <w:lang w:val="en"/>
              </w:rPr>
              <w:t>Cooperative Commission</w:t>
            </w:r>
          </w:p>
        </w:tc>
        <w:tc>
          <w:tcPr>
            <w:tcW w:w="2260" w:type="dxa"/>
            <w:vAlign w:val="center"/>
          </w:tcPr>
          <w:p w14:paraId="02D88D33"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eastAsia="id-ID"/>
              </w:rPr>
              <w:t>414.100,52</w:t>
            </w:r>
          </w:p>
        </w:tc>
        <w:tc>
          <w:tcPr>
            <w:tcW w:w="2792" w:type="dxa"/>
            <w:vAlign w:val="center"/>
          </w:tcPr>
          <w:p w14:paraId="48AD9A85"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lang w:val="id-ID" w:eastAsia="id-ID"/>
              </w:rPr>
              <w:t>119.739,91</w:t>
            </w:r>
          </w:p>
        </w:tc>
      </w:tr>
      <w:tr w:rsidR="00604E88" w14:paraId="4B7B0E0A" w14:textId="77777777" w:rsidTr="00C34AFF">
        <w:tc>
          <w:tcPr>
            <w:tcW w:w="4298" w:type="dxa"/>
            <w:gridSpan w:val="2"/>
            <w:vAlign w:val="center"/>
          </w:tcPr>
          <w:p w14:paraId="73D6C2C6" w14:textId="028ED82D" w:rsidR="00604E88" w:rsidRPr="00C106CB" w:rsidRDefault="00604E88" w:rsidP="00604E88">
            <w:pPr>
              <w:pStyle w:val="Bodytext50"/>
              <w:shd w:val="clear" w:color="auto" w:fill="auto"/>
              <w:spacing w:before="0" w:after="0" w:line="240" w:lineRule="auto"/>
              <w:ind w:firstLine="0"/>
              <w:jc w:val="both"/>
            </w:pPr>
            <w:r w:rsidRPr="00C106CB">
              <w:rPr>
                <w:lang w:val="id-ID" w:eastAsia="id-ID"/>
              </w:rPr>
              <w:t>Total Variabl</w:t>
            </w:r>
            <w:r>
              <w:rPr>
                <w:lang w:val="id-ID" w:eastAsia="id-ID"/>
              </w:rPr>
              <w:t>e Cost</w:t>
            </w:r>
          </w:p>
        </w:tc>
        <w:tc>
          <w:tcPr>
            <w:tcW w:w="2260" w:type="dxa"/>
            <w:vAlign w:val="center"/>
          </w:tcPr>
          <w:p w14:paraId="10FB1AAC"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rPr>
              <w:t>49.895.038,40</w:t>
            </w:r>
          </w:p>
        </w:tc>
        <w:tc>
          <w:tcPr>
            <w:tcW w:w="2792" w:type="dxa"/>
            <w:vAlign w:val="center"/>
          </w:tcPr>
          <w:p w14:paraId="0C3AEBF7" w14:textId="77777777" w:rsidR="00604E88" w:rsidRPr="00C106CB" w:rsidRDefault="00604E88" w:rsidP="00604E88">
            <w:pPr>
              <w:pStyle w:val="Bodytext50"/>
              <w:shd w:val="clear" w:color="auto" w:fill="auto"/>
              <w:spacing w:before="0" w:after="0" w:line="240" w:lineRule="auto"/>
              <w:ind w:firstLine="0"/>
              <w:rPr>
                <w:b w:val="0"/>
                <w:bCs w:val="0"/>
              </w:rPr>
            </w:pPr>
            <w:r w:rsidRPr="00C106CB">
              <w:rPr>
                <w:b w:val="0"/>
                <w:bCs w:val="0"/>
              </w:rPr>
              <w:t>14.427.480,99</w:t>
            </w:r>
          </w:p>
        </w:tc>
      </w:tr>
      <w:tr w:rsidR="00604E88" w14:paraId="4C650FBF" w14:textId="77777777" w:rsidTr="00C34AFF">
        <w:tc>
          <w:tcPr>
            <w:tcW w:w="4298" w:type="dxa"/>
            <w:gridSpan w:val="2"/>
          </w:tcPr>
          <w:p w14:paraId="4AD66F06" w14:textId="2AB30BAE" w:rsidR="00604E88" w:rsidRPr="00C106CB" w:rsidRDefault="00604E88" w:rsidP="00604E88">
            <w:pPr>
              <w:pStyle w:val="Bodytext50"/>
              <w:shd w:val="clear" w:color="auto" w:fill="auto"/>
              <w:spacing w:before="0" w:after="0" w:line="240" w:lineRule="auto"/>
              <w:ind w:firstLine="0"/>
            </w:pPr>
            <w:r w:rsidRPr="00C106CB">
              <w:t>Total Produ</w:t>
            </w:r>
            <w:r>
              <w:t>ct</w:t>
            </w:r>
            <w:r w:rsidRPr="00C106CB">
              <w:t>i</w:t>
            </w:r>
            <w:r>
              <w:t>on Cost</w:t>
            </w:r>
          </w:p>
        </w:tc>
        <w:tc>
          <w:tcPr>
            <w:tcW w:w="2260" w:type="dxa"/>
            <w:vAlign w:val="center"/>
          </w:tcPr>
          <w:p w14:paraId="1F6E0768" w14:textId="77777777" w:rsidR="00604E88" w:rsidRPr="00C106CB" w:rsidRDefault="00604E88" w:rsidP="00604E88">
            <w:pPr>
              <w:pStyle w:val="Bodytext50"/>
              <w:shd w:val="clear" w:color="auto" w:fill="auto"/>
              <w:spacing w:before="0" w:after="0" w:line="240" w:lineRule="auto"/>
              <w:ind w:firstLine="0"/>
            </w:pPr>
            <w:r w:rsidRPr="00C106CB">
              <w:rPr>
                <w:lang w:eastAsia="id-ID"/>
              </w:rPr>
              <w:t>51.926.007,60</w:t>
            </w:r>
          </w:p>
        </w:tc>
        <w:tc>
          <w:tcPr>
            <w:tcW w:w="2792" w:type="dxa"/>
            <w:vAlign w:val="center"/>
          </w:tcPr>
          <w:p w14:paraId="5B1EEC88" w14:textId="77777777" w:rsidR="00604E88" w:rsidRPr="00C106CB" w:rsidRDefault="00604E88" w:rsidP="00604E88">
            <w:pPr>
              <w:pStyle w:val="Bodytext50"/>
              <w:shd w:val="clear" w:color="auto" w:fill="auto"/>
              <w:spacing w:before="0" w:after="0" w:line="240" w:lineRule="auto"/>
              <w:ind w:firstLine="0"/>
            </w:pPr>
            <w:r w:rsidRPr="00C106CB">
              <w:rPr>
                <w:lang w:eastAsia="id-ID"/>
              </w:rPr>
              <w:t>15.014.749,18</w:t>
            </w:r>
          </w:p>
        </w:tc>
      </w:tr>
    </w:tbl>
    <w:p w14:paraId="64DB510E" w14:textId="77777777" w:rsidR="0006348B" w:rsidRDefault="00A86D58" w:rsidP="00A86D58">
      <w:pPr>
        <w:spacing w:after="0" w:line="240" w:lineRule="auto"/>
        <w:jc w:val="both"/>
        <w:rPr>
          <w:rStyle w:val="rynqvb"/>
          <w:rFonts w:ascii="Times New Roman" w:hAnsi="Times New Roman" w:cs="Times New Roman"/>
          <w:lang w:val="en"/>
        </w:rPr>
      </w:pPr>
      <w:r w:rsidRPr="00A86D58">
        <w:rPr>
          <w:rStyle w:val="rynqvb"/>
          <w:rFonts w:ascii="Times New Roman" w:hAnsi="Times New Roman" w:cs="Times New Roman"/>
          <w:lang w:val="en"/>
        </w:rPr>
        <w:t>Source: Processed Primary Data in 2025</w:t>
      </w:r>
    </w:p>
    <w:p w14:paraId="36DC5B78" w14:textId="77777777" w:rsidR="0006348B" w:rsidRDefault="0006348B" w:rsidP="00A86D58">
      <w:pPr>
        <w:spacing w:after="0" w:line="240" w:lineRule="auto"/>
        <w:jc w:val="both"/>
        <w:rPr>
          <w:rStyle w:val="rynqvb"/>
          <w:rFonts w:ascii="Times New Roman" w:hAnsi="Times New Roman" w:cs="Times New Roman"/>
          <w:lang w:val="en"/>
        </w:rPr>
      </w:pPr>
    </w:p>
    <w:p w14:paraId="4C6E4883" w14:textId="4CC18371" w:rsidR="00A86D58" w:rsidRDefault="00A86D58" w:rsidP="00A86D58">
      <w:pPr>
        <w:spacing w:after="0" w:line="240" w:lineRule="auto"/>
        <w:jc w:val="both"/>
        <w:rPr>
          <w:rStyle w:val="rynqvb"/>
          <w:rFonts w:ascii="Times New Roman" w:hAnsi="Times New Roman" w:cs="Times New Roman"/>
          <w:lang w:val="en"/>
        </w:rPr>
      </w:pPr>
      <w:r w:rsidRPr="00A86D58">
        <w:rPr>
          <w:rStyle w:val="rynqvb"/>
          <w:rFonts w:ascii="Times New Roman" w:hAnsi="Times New Roman" w:cs="Times New Roman"/>
          <w:lang w:val="en"/>
        </w:rPr>
        <w:lastRenderedPageBreak/>
        <w:t xml:space="preserve"> </w:t>
      </w:r>
    </w:p>
    <w:p w14:paraId="6D61AA18" w14:textId="77777777" w:rsidR="00604E88" w:rsidRDefault="00604E88" w:rsidP="00A86D58">
      <w:pPr>
        <w:spacing w:after="0" w:line="240" w:lineRule="auto"/>
        <w:jc w:val="both"/>
        <w:rPr>
          <w:rStyle w:val="rynqvb"/>
          <w:rFonts w:ascii="Times New Roman" w:hAnsi="Times New Roman" w:cs="Times New Roman"/>
          <w:lang w:val="en"/>
        </w:rPr>
      </w:pPr>
    </w:p>
    <w:p w14:paraId="34CC8007" w14:textId="77777777" w:rsidR="000704E0" w:rsidRDefault="000704E0" w:rsidP="00A86D58">
      <w:pPr>
        <w:spacing w:after="0" w:line="240" w:lineRule="auto"/>
        <w:jc w:val="both"/>
        <w:rPr>
          <w:rStyle w:val="rynqvb"/>
          <w:rFonts w:ascii="Times New Roman" w:hAnsi="Times New Roman" w:cs="Times New Roman"/>
          <w:lang w:val="en"/>
        </w:rPr>
      </w:pPr>
    </w:p>
    <w:p w14:paraId="349C93A9" w14:textId="77777777" w:rsidR="00604E88" w:rsidRPr="00A86D58" w:rsidRDefault="00604E88" w:rsidP="00A86D58">
      <w:pPr>
        <w:spacing w:after="0" w:line="240" w:lineRule="auto"/>
        <w:jc w:val="both"/>
        <w:rPr>
          <w:rStyle w:val="rynqvb"/>
          <w:rFonts w:ascii="Times New Roman" w:hAnsi="Times New Roman" w:cs="Times New Roman"/>
          <w:lang w:val="en"/>
        </w:rPr>
      </w:pPr>
    </w:p>
    <w:p w14:paraId="26C88F4D" w14:textId="77777777" w:rsidR="00A86D58" w:rsidRPr="00A86D58" w:rsidRDefault="00A86D58" w:rsidP="00A86D58">
      <w:pPr>
        <w:spacing w:after="0" w:line="240" w:lineRule="auto"/>
        <w:jc w:val="both"/>
        <w:rPr>
          <w:rStyle w:val="rynqvb"/>
          <w:rFonts w:ascii="Times New Roman" w:hAnsi="Times New Roman" w:cs="Times New Roman"/>
          <w:b/>
          <w:bCs/>
          <w:lang w:val="en"/>
        </w:rPr>
      </w:pPr>
      <w:r w:rsidRPr="00A86D58">
        <w:rPr>
          <w:rStyle w:val="rynqvb"/>
          <w:rFonts w:ascii="Times New Roman" w:hAnsi="Times New Roman" w:cs="Times New Roman"/>
          <w:b/>
          <w:bCs/>
          <w:lang w:val="en"/>
        </w:rPr>
        <w:t xml:space="preserve">3.3. Revenue </w:t>
      </w:r>
    </w:p>
    <w:p w14:paraId="5DB726BD" w14:textId="4CD7346E" w:rsidR="00A86D58" w:rsidRPr="00A86D58" w:rsidRDefault="00A86D58" w:rsidP="00A86D58">
      <w:pPr>
        <w:spacing w:after="0" w:line="240" w:lineRule="auto"/>
        <w:ind w:firstLine="567"/>
        <w:jc w:val="both"/>
        <w:rPr>
          <w:rFonts w:ascii="Times New Roman" w:eastAsia="Times New Roman" w:hAnsi="Times New Roman" w:cs="Times New Roman"/>
          <w:sz w:val="24"/>
          <w:szCs w:val="24"/>
        </w:rPr>
      </w:pPr>
      <w:r w:rsidRPr="00A86D58">
        <w:rPr>
          <w:rStyle w:val="rynqvb"/>
          <w:rFonts w:ascii="Times New Roman" w:hAnsi="Times New Roman" w:cs="Times New Roman"/>
          <w:lang w:val="en"/>
        </w:rPr>
        <w:t>Revenue is the product of the total FFB production from 24 respondent farmers and the prevailing FFB selling price.</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The total fresh fruit bunch (FFB) production from smallholder oil palm plantations managed by 24 respondents during one production year was 1,455,010.01 kg/year, with an average production of 60,625.42 kg/respondent/year, or 17,530.24 kg/ha/year.</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Palm oil prices, particularly for Fresh Fruit Bunches (FFB), fluctuated from January to December 2024.</w:t>
      </w:r>
      <w:r>
        <w:rPr>
          <w:rStyle w:val="rynqvb"/>
          <w:rFonts w:ascii="Times New Roman" w:hAnsi="Times New Roman" w:cs="Times New Roman"/>
          <w:lang w:val="en"/>
        </w:rPr>
        <w:t xml:space="preserve"> </w:t>
      </w:r>
      <w:r w:rsidRPr="00A86D58">
        <w:rPr>
          <w:rStyle w:val="rynqvb"/>
          <w:rFonts w:ascii="Times New Roman" w:hAnsi="Times New Roman" w:cs="Times New Roman"/>
          <w:lang w:val="en"/>
        </w:rPr>
        <w:t xml:space="preserve"> The FFB selling price at the farmer level is based on the average monthly price set by the East Kalimantan Provincial Plantation Office at the beginning and end of each month.</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Based on the data, the lowest price was recorded at Rp2,322.10 per kilogram in January 2024, while the highest price reached Rp3,308.38 per kilogram in December 2024, with an average price of Rp2,732.19 per month.</w:t>
      </w:r>
      <w:r w:rsidRPr="00A86D58">
        <w:rPr>
          <w:rStyle w:val="hwtze"/>
          <w:rFonts w:ascii="Times New Roman" w:hAnsi="Times New Roman" w:cs="Times New Roman"/>
          <w:lang w:val="en"/>
        </w:rPr>
        <w:t xml:space="preserve"> </w:t>
      </w:r>
      <w:r w:rsidRPr="00A86D58">
        <w:rPr>
          <w:rStyle w:val="rynqvb"/>
          <w:rFonts w:ascii="Times New Roman" w:hAnsi="Times New Roman" w:cs="Times New Roman"/>
          <w:lang w:val="en"/>
        </w:rPr>
        <w:t>The state of palm oil plantation production and revenue is presented in Table 2.</w:t>
      </w:r>
    </w:p>
    <w:p w14:paraId="3FE2226E" w14:textId="77777777" w:rsidR="00A86D58" w:rsidRDefault="00A86D58" w:rsidP="00A86D58">
      <w:pPr>
        <w:pStyle w:val="Bodytext20"/>
        <w:shd w:val="clear" w:color="auto" w:fill="auto"/>
        <w:spacing w:before="0" w:line="240" w:lineRule="auto"/>
        <w:ind w:firstLine="0"/>
      </w:pPr>
    </w:p>
    <w:p w14:paraId="3FDC5ADE" w14:textId="1D11B7EE" w:rsidR="00A86D58" w:rsidRDefault="00A86D58" w:rsidP="00A86D58">
      <w:pPr>
        <w:pStyle w:val="Bodytext20"/>
        <w:shd w:val="clear" w:color="auto" w:fill="auto"/>
        <w:spacing w:before="0" w:line="240" w:lineRule="auto"/>
        <w:ind w:firstLine="0"/>
      </w:pPr>
      <w:r>
        <w:rPr>
          <w:rStyle w:val="rynqvb"/>
          <w:rFonts w:eastAsiaTheme="majorEastAsia"/>
          <w:lang w:val="en"/>
        </w:rPr>
        <w:t>Table 2. Average Productivity and Total Production of Fresh Fruit Bunches and Revenue</w:t>
      </w:r>
    </w:p>
    <w:tbl>
      <w:tblPr>
        <w:tblStyle w:val="TableGrid"/>
        <w:tblW w:w="0" w:type="auto"/>
        <w:tblLook w:val="04A0" w:firstRow="1" w:lastRow="0" w:firstColumn="1" w:lastColumn="0" w:noHBand="0" w:noVBand="1"/>
      </w:tblPr>
      <w:tblGrid>
        <w:gridCol w:w="1271"/>
        <w:gridCol w:w="3403"/>
        <w:gridCol w:w="2338"/>
        <w:gridCol w:w="2338"/>
      </w:tblGrid>
      <w:tr w:rsidR="00A86D58" w14:paraId="4E1F022F" w14:textId="77777777" w:rsidTr="00C34AFF">
        <w:tc>
          <w:tcPr>
            <w:tcW w:w="9350" w:type="dxa"/>
            <w:gridSpan w:val="4"/>
          </w:tcPr>
          <w:p w14:paraId="0396E014" w14:textId="79629204" w:rsidR="00A86D58" w:rsidRPr="00C106CB" w:rsidRDefault="00A86D58" w:rsidP="00C34AFF">
            <w:pPr>
              <w:pStyle w:val="Caption"/>
              <w:keepNext/>
              <w:jc w:val="center"/>
              <w:rPr>
                <w:i w:val="0"/>
                <w:iCs w:val="0"/>
                <w:color w:val="auto"/>
                <w:sz w:val="22"/>
                <w:szCs w:val="22"/>
              </w:rPr>
            </w:pPr>
            <w:r w:rsidRPr="00C106CB">
              <w:rPr>
                <w:i w:val="0"/>
                <w:iCs w:val="0"/>
                <w:color w:val="auto"/>
                <w:sz w:val="22"/>
                <w:szCs w:val="22"/>
              </w:rPr>
              <w:t>PRODUKTIVIT</w:t>
            </w:r>
            <w:r w:rsidR="00CC65FB">
              <w:rPr>
                <w:i w:val="0"/>
                <w:iCs w:val="0"/>
                <w:color w:val="auto"/>
                <w:sz w:val="22"/>
                <w:szCs w:val="22"/>
              </w:rPr>
              <w:t>Y</w:t>
            </w:r>
          </w:p>
        </w:tc>
      </w:tr>
      <w:tr w:rsidR="00A86D58" w14:paraId="7CC01494" w14:textId="77777777" w:rsidTr="00C34AFF">
        <w:tc>
          <w:tcPr>
            <w:tcW w:w="1271" w:type="dxa"/>
            <w:vAlign w:val="center"/>
          </w:tcPr>
          <w:p w14:paraId="16A39147" w14:textId="77777777" w:rsidR="00A86D58" w:rsidRPr="00CC65FB" w:rsidRDefault="00A86D58" w:rsidP="00C34AFF">
            <w:pPr>
              <w:pStyle w:val="Caption"/>
              <w:keepNext/>
              <w:rPr>
                <w:rFonts w:cs="Times New Roman"/>
                <w:i w:val="0"/>
                <w:iCs w:val="0"/>
                <w:color w:val="000000" w:themeColor="text1"/>
                <w:sz w:val="22"/>
                <w:szCs w:val="22"/>
              </w:rPr>
            </w:pPr>
            <w:r w:rsidRPr="00CC65FB">
              <w:rPr>
                <w:rFonts w:eastAsia="Times New Roman" w:cs="Times New Roman"/>
                <w:b/>
                <w:bCs/>
                <w:i w:val="0"/>
                <w:iCs w:val="0"/>
                <w:color w:val="000000" w:themeColor="text1"/>
                <w:sz w:val="22"/>
                <w:szCs w:val="22"/>
                <w:lang w:val="id-ID" w:eastAsia="id-ID"/>
              </w:rPr>
              <w:t>No</w:t>
            </w:r>
          </w:p>
        </w:tc>
        <w:tc>
          <w:tcPr>
            <w:tcW w:w="3403" w:type="dxa"/>
          </w:tcPr>
          <w:p w14:paraId="1C092038" w14:textId="614FB8A9" w:rsidR="00A86D58" w:rsidRPr="00CC65FB" w:rsidRDefault="00CC65FB" w:rsidP="00C34AFF">
            <w:pPr>
              <w:pStyle w:val="Caption"/>
              <w:keepNext/>
              <w:rPr>
                <w:rFonts w:cs="Times New Roman"/>
                <w:i w:val="0"/>
                <w:iCs w:val="0"/>
                <w:color w:val="000000" w:themeColor="text1"/>
                <w:sz w:val="22"/>
                <w:szCs w:val="22"/>
              </w:rPr>
            </w:pPr>
            <w:r w:rsidRPr="00CC65FB">
              <w:rPr>
                <w:rStyle w:val="rynqvb"/>
                <w:rFonts w:cs="Times New Roman"/>
                <w:i w:val="0"/>
                <w:iCs w:val="0"/>
                <w:sz w:val="22"/>
                <w:szCs w:val="22"/>
                <w:lang w:val="en"/>
              </w:rPr>
              <w:t>Description</w:t>
            </w:r>
          </w:p>
        </w:tc>
        <w:tc>
          <w:tcPr>
            <w:tcW w:w="2338" w:type="dxa"/>
            <w:vAlign w:val="center"/>
          </w:tcPr>
          <w:p w14:paraId="2525CC80" w14:textId="69684921" w:rsidR="00A86D58" w:rsidRPr="00CC65FB" w:rsidRDefault="00A86D58" w:rsidP="00CC65FB">
            <w:pPr>
              <w:pStyle w:val="Caption"/>
              <w:keepNext/>
              <w:jc w:val="center"/>
              <w:rPr>
                <w:rFonts w:cs="Times New Roman"/>
                <w:i w:val="0"/>
                <w:iCs w:val="0"/>
                <w:color w:val="000000" w:themeColor="text1"/>
                <w:sz w:val="22"/>
                <w:szCs w:val="22"/>
              </w:rPr>
            </w:pPr>
            <w:r w:rsidRPr="00CC65FB">
              <w:rPr>
                <w:rFonts w:eastAsia="Times New Roman" w:cs="Times New Roman"/>
                <w:b/>
                <w:bCs/>
                <w:i w:val="0"/>
                <w:iCs w:val="0"/>
                <w:color w:val="000000" w:themeColor="text1"/>
                <w:sz w:val="22"/>
                <w:szCs w:val="22"/>
                <w:lang w:val="id-ID" w:eastAsia="id-ID"/>
              </w:rPr>
              <w:t>L</w:t>
            </w:r>
            <w:r w:rsidR="00CC65FB" w:rsidRPr="00CC65FB">
              <w:rPr>
                <w:rFonts w:eastAsia="Times New Roman" w:cs="Times New Roman"/>
                <w:b/>
                <w:bCs/>
                <w:i w:val="0"/>
                <w:iCs w:val="0"/>
                <w:color w:val="000000" w:themeColor="text1"/>
                <w:sz w:val="22"/>
                <w:szCs w:val="22"/>
                <w:lang w:val="id-ID" w:eastAsia="id-ID"/>
              </w:rPr>
              <w:t>and area</w:t>
            </w:r>
            <w:r w:rsidRPr="00CC65FB">
              <w:rPr>
                <w:rFonts w:eastAsia="Times New Roman" w:cs="Times New Roman"/>
                <w:b/>
                <w:bCs/>
                <w:i w:val="0"/>
                <w:iCs w:val="0"/>
                <w:color w:val="000000" w:themeColor="text1"/>
                <w:sz w:val="22"/>
                <w:szCs w:val="22"/>
                <w:lang w:val="id-ID" w:eastAsia="id-ID"/>
              </w:rPr>
              <w:t xml:space="preserve"> (ha)</w:t>
            </w:r>
          </w:p>
        </w:tc>
        <w:tc>
          <w:tcPr>
            <w:tcW w:w="2338" w:type="dxa"/>
          </w:tcPr>
          <w:p w14:paraId="36232145" w14:textId="717D2196" w:rsidR="00A86D58" w:rsidRPr="00CC65FB" w:rsidRDefault="00CC65FB" w:rsidP="00C34AFF">
            <w:pPr>
              <w:pStyle w:val="Caption"/>
              <w:keepNext/>
              <w:rPr>
                <w:rFonts w:cs="Times New Roman"/>
                <w:i w:val="0"/>
                <w:iCs w:val="0"/>
                <w:color w:val="000000" w:themeColor="text1"/>
                <w:sz w:val="22"/>
                <w:szCs w:val="22"/>
              </w:rPr>
            </w:pPr>
            <w:r w:rsidRPr="00CC65FB">
              <w:rPr>
                <w:rFonts w:eastAsia="Times New Roman" w:cs="Times New Roman"/>
                <w:b/>
                <w:bCs/>
                <w:i w:val="0"/>
                <w:iCs w:val="0"/>
                <w:color w:val="000000" w:themeColor="text1"/>
                <w:sz w:val="22"/>
                <w:szCs w:val="22"/>
                <w:lang w:val="id-ID" w:eastAsia="id-ID"/>
              </w:rPr>
              <w:t>Amount</w:t>
            </w:r>
            <w:r w:rsidR="00A86D58" w:rsidRPr="00CC65FB">
              <w:rPr>
                <w:rFonts w:eastAsia="Times New Roman" w:cs="Times New Roman"/>
                <w:b/>
                <w:bCs/>
                <w:i w:val="0"/>
                <w:iCs w:val="0"/>
                <w:color w:val="000000" w:themeColor="text1"/>
                <w:sz w:val="22"/>
                <w:szCs w:val="22"/>
                <w:lang w:val="id-ID" w:eastAsia="id-ID"/>
              </w:rPr>
              <w:t xml:space="preserve"> (kg/</w:t>
            </w:r>
            <w:r w:rsidRPr="00CC65FB">
              <w:rPr>
                <w:rFonts w:eastAsia="Times New Roman" w:cs="Times New Roman"/>
                <w:b/>
                <w:bCs/>
                <w:i w:val="0"/>
                <w:iCs w:val="0"/>
                <w:color w:val="000000" w:themeColor="text1"/>
                <w:sz w:val="22"/>
                <w:szCs w:val="22"/>
                <w:lang w:val="id-ID" w:eastAsia="id-ID"/>
              </w:rPr>
              <w:t>year</w:t>
            </w:r>
            <w:r w:rsidR="00A86D58" w:rsidRPr="00CC65FB">
              <w:rPr>
                <w:rFonts w:eastAsia="Times New Roman" w:cs="Times New Roman"/>
                <w:b/>
                <w:bCs/>
                <w:i w:val="0"/>
                <w:iCs w:val="0"/>
                <w:color w:val="000000" w:themeColor="text1"/>
                <w:sz w:val="22"/>
                <w:szCs w:val="22"/>
                <w:lang w:val="id-ID" w:eastAsia="id-ID"/>
              </w:rPr>
              <w:t>)</w:t>
            </w:r>
          </w:p>
        </w:tc>
      </w:tr>
      <w:tr w:rsidR="00A86D58" w14:paraId="6FEEE84C" w14:textId="77777777" w:rsidTr="00C34AFF">
        <w:tc>
          <w:tcPr>
            <w:tcW w:w="1271" w:type="dxa"/>
            <w:vAlign w:val="center"/>
          </w:tcPr>
          <w:p w14:paraId="6FE25AAA" w14:textId="77777777" w:rsidR="00A86D58" w:rsidRPr="00CC65FB" w:rsidRDefault="00A86D58" w:rsidP="00C34AF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1</w:t>
            </w:r>
          </w:p>
        </w:tc>
        <w:tc>
          <w:tcPr>
            <w:tcW w:w="3403" w:type="dxa"/>
          </w:tcPr>
          <w:p w14:paraId="59BD10FC" w14:textId="13A5D0DB" w:rsidR="00A86D58" w:rsidRPr="00CC65FB" w:rsidRDefault="00CC65FB" w:rsidP="00C34AFF">
            <w:pPr>
              <w:pStyle w:val="Caption"/>
              <w:keepNext/>
              <w:rPr>
                <w:rFonts w:cs="Times New Roman"/>
                <w:i w:val="0"/>
                <w:iCs w:val="0"/>
                <w:color w:val="000000" w:themeColor="text1"/>
                <w:sz w:val="22"/>
                <w:szCs w:val="22"/>
              </w:rPr>
            </w:pPr>
            <w:r w:rsidRPr="00CC65FB">
              <w:rPr>
                <w:rStyle w:val="rynqvb"/>
                <w:rFonts w:cs="Times New Roman"/>
                <w:i w:val="0"/>
                <w:iCs w:val="0"/>
                <w:sz w:val="22"/>
                <w:szCs w:val="22"/>
                <w:lang w:val="en"/>
              </w:rPr>
              <w:t>Production/respondents</w:t>
            </w:r>
          </w:p>
        </w:tc>
        <w:tc>
          <w:tcPr>
            <w:tcW w:w="2338" w:type="dxa"/>
            <w:vAlign w:val="center"/>
          </w:tcPr>
          <w:p w14:paraId="45417CAC"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3,5</w:t>
            </w:r>
          </w:p>
        </w:tc>
        <w:tc>
          <w:tcPr>
            <w:tcW w:w="2338" w:type="dxa"/>
          </w:tcPr>
          <w:p w14:paraId="7C58A640"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60.625,42</w:t>
            </w:r>
          </w:p>
        </w:tc>
      </w:tr>
      <w:tr w:rsidR="00A86D58" w14:paraId="1FFAA76A" w14:textId="77777777" w:rsidTr="00C34AFF">
        <w:tc>
          <w:tcPr>
            <w:tcW w:w="1271" w:type="dxa"/>
            <w:vAlign w:val="center"/>
          </w:tcPr>
          <w:p w14:paraId="3B529FF9" w14:textId="77777777" w:rsidR="00A86D58" w:rsidRPr="00CC65FB" w:rsidRDefault="00A86D58" w:rsidP="00C34AF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w:t>
            </w:r>
          </w:p>
        </w:tc>
        <w:tc>
          <w:tcPr>
            <w:tcW w:w="3403" w:type="dxa"/>
          </w:tcPr>
          <w:p w14:paraId="6BCFF0BE" w14:textId="51EB5889" w:rsidR="00A86D58" w:rsidRPr="00CC65FB" w:rsidRDefault="00A86D58" w:rsidP="00C34AFF">
            <w:pPr>
              <w:pStyle w:val="Caption"/>
              <w:keepNext/>
              <w:rPr>
                <w:rFonts w:cs="Times New Roman"/>
                <w:i w:val="0"/>
                <w:iCs w:val="0"/>
                <w:color w:val="000000" w:themeColor="text1"/>
                <w:sz w:val="22"/>
                <w:szCs w:val="22"/>
              </w:rPr>
            </w:pPr>
            <w:proofErr w:type="spellStart"/>
            <w:r w:rsidRPr="00CC65FB">
              <w:rPr>
                <w:rFonts w:cs="Times New Roman"/>
                <w:i w:val="0"/>
                <w:iCs w:val="0"/>
                <w:color w:val="000000" w:themeColor="text1"/>
                <w:sz w:val="22"/>
                <w:szCs w:val="22"/>
              </w:rPr>
              <w:t>Produktivi</w:t>
            </w:r>
            <w:r w:rsidR="00CC65FB" w:rsidRPr="00CC65FB">
              <w:rPr>
                <w:rFonts w:cs="Times New Roman"/>
                <w:i w:val="0"/>
                <w:iCs w:val="0"/>
                <w:color w:val="000000" w:themeColor="text1"/>
                <w:sz w:val="22"/>
                <w:szCs w:val="22"/>
              </w:rPr>
              <w:t>ty</w:t>
            </w:r>
            <w:proofErr w:type="spellEnd"/>
          </w:p>
        </w:tc>
        <w:tc>
          <w:tcPr>
            <w:tcW w:w="2338" w:type="dxa"/>
            <w:vAlign w:val="center"/>
          </w:tcPr>
          <w:p w14:paraId="23538856"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1</w:t>
            </w:r>
          </w:p>
        </w:tc>
        <w:tc>
          <w:tcPr>
            <w:tcW w:w="2338" w:type="dxa"/>
          </w:tcPr>
          <w:p w14:paraId="56A20084"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lang w:val="id-ID"/>
              </w:rPr>
              <w:t>17.530,24</w:t>
            </w:r>
          </w:p>
        </w:tc>
      </w:tr>
      <w:tr w:rsidR="00A86D58" w14:paraId="2B0A2B2E" w14:textId="77777777" w:rsidTr="00C34AFF">
        <w:tc>
          <w:tcPr>
            <w:tcW w:w="4674" w:type="dxa"/>
            <w:gridSpan w:val="2"/>
            <w:vAlign w:val="center"/>
          </w:tcPr>
          <w:p w14:paraId="6DF550B7" w14:textId="523C3985"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Total Produ</w:t>
            </w:r>
            <w:r w:rsidR="00CC65FB" w:rsidRPr="00CC65FB">
              <w:rPr>
                <w:rFonts w:cs="Times New Roman"/>
                <w:i w:val="0"/>
                <w:iCs w:val="0"/>
                <w:color w:val="000000" w:themeColor="text1"/>
                <w:sz w:val="22"/>
                <w:szCs w:val="22"/>
              </w:rPr>
              <w:t>ction</w:t>
            </w:r>
          </w:p>
        </w:tc>
        <w:tc>
          <w:tcPr>
            <w:tcW w:w="2338" w:type="dxa"/>
            <w:vAlign w:val="center"/>
          </w:tcPr>
          <w:p w14:paraId="77267A0F"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83</w:t>
            </w:r>
          </w:p>
        </w:tc>
        <w:tc>
          <w:tcPr>
            <w:tcW w:w="2338" w:type="dxa"/>
          </w:tcPr>
          <w:p w14:paraId="1A257BC6"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1.455.010,01</w:t>
            </w:r>
          </w:p>
        </w:tc>
      </w:tr>
      <w:tr w:rsidR="00A86D58" w14:paraId="3E937A8C" w14:textId="77777777" w:rsidTr="00C34AFF">
        <w:tc>
          <w:tcPr>
            <w:tcW w:w="9350" w:type="dxa"/>
            <w:gridSpan w:val="4"/>
          </w:tcPr>
          <w:p w14:paraId="40274BCB" w14:textId="368F37DE" w:rsidR="00A86D58" w:rsidRPr="00CC65FB" w:rsidRDefault="00CC65FB"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REVENUE</w:t>
            </w:r>
          </w:p>
        </w:tc>
      </w:tr>
      <w:tr w:rsidR="00A86D58" w14:paraId="6FB8E1DF" w14:textId="77777777" w:rsidTr="00C34AFF">
        <w:tc>
          <w:tcPr>
            <w:tcW w:w="1271" w:type="dxa"/>
            <w:vAlign w:val="center"/>
          </w:tcPr>
          <w:p w14:paraId="3AD1117F" w14:textId="77777777" w:rsidR="00A86D58" w:rsidRPr="00CC65FB" w:rsidRDefault="00A86D58" w:rsidP="00C34AF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1</w:t>
            </w:r>
          </w:p>
        </w:tc>
        <w:tc>
          <w:tcPr>
            <w:tcW w:w="3403" w:type="dxa"/>
            <w:vAlign w:val="center"/>
          </w:tcPr>
          <w:p w14:paraId="0198F74D" w14:textId="1598EDB1" w:rsidR="00A86D58" w:rsidRPr="00CC65FB" w:rsidRDefault="00A86D58" w:rsidP="00C34AF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Produ</w:t>
            </w:r>
            <w:r w:rsidR="00CC65FB" w:rsidRPr="00CC65FB">
              <w:rPr>
                <w:rFonts w:eastAsia="Times New Roman" w:cs="Times New Roman"/>
                <w:i w:val="0"/>
                <w:iCs w:val="0"/>
                <w:color w:val="000000" w:themeColor="text1"/>
                <w:sz w:val="22"/>
                <w:szCs w:val="22"/>
                <w:lang w:val="id-ID" w:eastAsia="id-ID"/>
              </w:rPr>
              <w:t>ction</w:t>
            </w:r>
            <w:r w:rsidRPr="00CC65FB">
              <w:rPr>
                <w:rFonts w:eastAsia="Times New Roman" w:cs="Times New Roman"/>
                <w:i w:val="0"/>
                <w:iCs w:val="0"/>
                <w:color w:val="000000" w:themeColor="text1"/>
                <w:sz w:val="22"/>
                <w:szCs w:val="22"/>
                <w:lang w:val="id-ID" w:eastAsia="id-ID"/>
              </w:rPr>
              <w:t xml:space="preserve"> (kg)</w:t>
            </w:r>
          </w:p>
        </w:tc>
        <w:tc>
          <w:tcPr>
            <w:tcW w:w="2338" w:type="dxa"/>
            <w:vAlign w:val="center"/>
          </w:tcPr>
          <w:p w14:paraId="6454075B"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60.625,42</w:t>
            </w:r>
          </w:p>
        </w:tc>
        <w:tc>
          <w:tcPr>
            <w:tcW w:w="2338" w:type="dxa"/>
            <w:vAlign w:val="center"/>
          </w:tcPr>
          <w:p w14:paraId="06AB2BB8"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17.530,24</w:t>
            </w:r>
          </w:p>
        </w:tc>
      </w:tr>
      <w:tr w:rsidR="00A86D58" w14:paraId="415233F7" w14:textId="77777777" w:rsidTr="00C34AFF">
        <w:tc>
          <w:tcPr>
            <w:tcW w:w="1271" w:type="dxa"/>
            <w:vAlign w:val="center"/>
          </w:tcPr>
          <w:p w14:paraId="22BE1269" w14:textId="77777777" w:rsidR="00A86D58" w:rsidRPr="00CC65FB" w:rsidRDefault="00A86D58" w:rsidP="00C34AFF">
            <w:pPr>
              <w:pStyle w:val="Caption"/>
              <w:keepNext/>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w:t>
            </w:r>
          </w:p>
        </w:tc>
        <w:tc>
          <w:tcPr>
            <w:tcW w:w="3403" w:type="dxa"/>
            <w:vAlign w:val="center"/>
          </w:tcPr>
          <w:p w14:paraId="70D51D49" w14:textId="45094EAB" w:rsidR="00A86D58" w:rsidRPr="00CC65FB" w:rsidRDefault="00CC65FB" w:rsidP="00C34AFF">
            <w:pPr>
              <w:pStyle w:val="Caption"/>
              <w:keepNext/>
              <w:rPr>
                <w:rFonts w:cs="Times New Roman"/>
                <w:i w:val="0"/>
                <w:iCs w:val="0"/>
                <w:color w:val="000000" w:themeColor="text1"/>
                <w:sz w:val="22"/>
                <w:szCs w:val="22"/>
              </w:rPr>
            </w:pPr>
            <w:r w:rsidRPr="00CC65FB">
              <w:rPr>
                <w:rStyle w:val="rynqvb"/>
                <w:i w:val="0"/>
                <w:iCs w:val="0"/>
                <w:color w:val="auto"/>
                <w:sz w:val="22"/>
                <w:szCs w:val="22"/>
                <w:lang w:val="en"/>
              </w:rPr>
              <w:t>Average Selling Price of Fresh Fruit Bunches (IDR/kg)</w:t>
            </w:r>
          </w:p>
        </w:tc>
        <w:tc>
          <w:tcPr>
            <w:tcW w:w="2338" w:type="dxa"/>
            <w:vAlign w:val="center"/>
          </w:tcPr>
          <w:p w14:paraId="3AD15CE0"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2.732,19</w:t>
            </w:r>
          </w:p>
        </w:tc>
        <w:tc>
          <w:tcPr>
            <w:tcW w:w="2338" w:type="dxa"/>
            <w:vAlign w:val="center"/>
          </w:tcPr>
          <w:p w14:paraId="0CE4D1D3"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eastAsia="Times New Roman" w:cs="Times New Roman"/>
                <w:i w:val="0"/>
                <w:iCs w:val="0"/>
                <w:color w:val="000000" w:themeColor="text1"/>
                <w:sz w:val="22"/>
                <w:szCs w:val="22"/>
                <w:lang w:val="id-ID" w:eastAsia="id-ID"/>
              </w:rPr>
              <w:t>2.732,19</w:t>
            </w:r>
          </w:p>
        </w:tc>
      </w:tr>
      <w:tr w:rsidR="00A86D58" w14:paraId="3CE2C5A9" w14:textId="77777777" w:rsidTr="00C34AFF">
        <w:tc>
          <w:tcPr>
            <w:tcW w:w="4674" w:type="dxa"/>
            <w:gridSpan w:val="2"/>
          </w:tcPr>
          <w:p w14:paraId="09A059EF" w14:textId="14A07DA6"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i w:val="0"/>
                <w:iCs w:val="0"/>
                <w:color w:val="000000" w:themeColor="text1"/>
                <w:sz w:val="22"/>
                <w:szCs w:val="22"/>
              </w:rPr>
              <w:t xml:space="preserve">Total </w:t>
            </w:r>
            <w:r w:rsidR="00CC65FB" w:rsidRPr="00CC65FB">
              <w:rPr>
                <w:rFonts w:cs="Times New Roman"/>
                <w:i w:val="0"/>
                <w:iCs w:val="0"/>
                <w:color w:val="000000" w:themeColor="text1"/>
                <w:sz w:val="22"/>
                <w:szCs w:val="22"/>
              </w:rPr>
              <w:t>Revenue</w:t>
            </w:r>
          </w:p>
        </w:tc>
        <w:tc>
          <w:tcPr>
            <w:tcW w:w="2338" w:type="dxa"/>
            <w:vAlign w:val="center"/>
          </w:tcPr>
          <w:p w14:paraId="67A6D913"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b/>
                <w:bCs/>
                <w:i w:val="0"/>
                <w:iCs w:val="0"/>
                <w:color w:val="000000" w:themeColor="text1"/>
                <w:sz w:val="22"/>
                <w:szCs w:val="22"/>
              </w:rPr>
              <w:t>165.640.209,10</w:t>
            </w:r>
          </w:p>
        </w:tc>
        <w:tc>
          <w:tcPr>
            <w:tcW w:w="2338" w:type="dxa"/>
            <w:vAlign w:val="center"/>
          </w:tcPr>
          <w:p w14:paraId="06E29109" w14:textId="77777777" w:rsidR="00A86D58" w:rsidRPr="00CC65FB" w:rsidRDefault="00A86D58" w:rsidP="00C34AFF">
            <w:pPr>
              <w:pStyle w:val="Caption"/>
              <w:keepNext/>
              <w:jc w:val="center"/>
              <w:rPr>
                <w:rFonts w:cs="Times New Roman"/>
                <w:i w:val="0"/>
                <w:iCs w:val="0"/>
                <w:color w:val="000000" w:themeColor="text1"/>
                <w:sz w:val="22"/>
                <w:szCs w:val="22"/>
              </w:rPr>
            </w:pPr>
            <w:r w:rsidRPr="00CC65FB">
              <w:rPr>
                <w:rFonts w:cs="Times New Roman"/>
                <w:b/>
                <w:bCs/>
                <w:i w:val="0"/>
                <w:iCs w:val="0"/>
                <w:color w:val="000000" w:themeColor="text1"/>
                <w:sz w:val="22"/>
                <w:szCs w:val="22"/>
              </w:rPr>
              <w:t>47.895.964,08</w:t>
            </w:r>
          </w:p>
        </w:tc>
      </w:tr>
    </w:tbl>
    <w:p w14:paraId="1BAE0659"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Source: Processed Primary Data, 2025 </w:t>
      </w:r>
    </w:p>
    <w:p w14:paraId="06082479" w14:textId="77777777"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data in Table 2 shows that the average total income from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reached IDR 165,640,209.10 per respondent per year, or IDR 47,895,964.08 per hectare per year. This income value is obtained by multiplying the average total production of 60,625.42 kg per respondent per year, or 17,530.24 kg per hectare per year, by the average FFB price in 2024, which was IDR 2,732.19 per kg. </w:t>
      </w:r>
    </w:p>
    <w:p w14:paraId="6326AA28" w14:textId="77777777" w:rsidR="00A86D58" w:rsidRPr="00A86D58" w:rsidRDefault="00A86D58" w:rsidP="00A86D58">
      <w:pPr>
        <w:spacing w:after="0" w:line="240" w:lineRule="auto"/>
        <w:jc w:val="both"/>
        <w:rPr>
          <w:rFonts w:ascii="Times New Roman" w:eastAsia="Times New Roman" w:hAnsi="Times New Roman" w:cs="Times New Roman"/>
          <w:b/>
          <w:bCs/>
          <w:sz w:val="24"/>
          <w:szCs w:val="24"/>
          <w:lang w:val="en"/>
        </w:rPr>
      </w:pPr>
      <w:r w:rsidRPr="00A86D58">
        <w:rPr>
          <w:rFonts w:ascii="Times New Roman" w:eastAsia="Times New Roman" w:hAnsi="Times New Roman" w:cs="Times New Roman"/>
          <w:b/>
          <w:bCs/>
          <w:sz w:val="24"/>
          <w:szCs w:val="24"/>
          <w:lang w:val="en"/>
        </w:rPr>
        <w:t xml:space="preserve">3.4. Income </w:t>
      </w:r>
    </w:p>
    <w:p w14:paraId="18574973" w14:textId="531837EF"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results of the study on the income from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are presented in Table 3. </w:t>
      </w:r>
    </w:p>
    <w:p w14:paraId="0662DEF6" w14:textId="0BF9BCA4"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Table 3. Income from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w:t>
      </w:r>
    </w:p>
    <w:p w14:paraId="7CFA8B1E" w14:textId="1086D6B6" w:rsidR="00A86D58" w:rsidRDefault="00A86D58" w:rsidP="00A86D58">
      <w:pPr>
        <w:pStyle w:val="Bodytext20"/>
        <w:shd w:val="clear" w:color="auto" w:fill="auto"/>
        <w:spacing w:before="0" w:line="240" w:lineRule="auto"/>
        <w:ind w:firstLine="0"/>
      </w:pPr>
    </w:p>
    <w:tbl>
      <w:tblPr>
        <w:tblStyle w:val="TableGrid"/>
        <w:tblW w:w="0" w:type="auto"/>
        <w:tblLook w:val="04A0" w:firstRow="1" w:lastRow="0" w:firstColumn="1" w:lastColumn="0" w:noHBand="0" w:noVBand="1"/>
      </w:tblPr>
      <w:tblGrid>
        <w:gridCol w:w="794"/>
        <w:gridCol w:w="2105"/>
        <w:gridCol w:w="1716"/>
        <w:gridCol w:w="1596"/>
        <w:gridCol w:w="1596"/>
        <w:gridCol w:w="1543"/>
      </w:tblGrid>
      <w:tr w:rsidR="00CC65FB" w14:paraId="694E8EB8" w14:textId="77777777" w:rsidTr="00C34AFF">
        <w:tc>
          <w:tcPr>
            <w:tcW w:w="794" w:type="dxa"/>
            <w:vMerge w:val="restart"/>
          </w:tcPr>
          <w:p w14:paraId="32B80299" w14:textId="77777777" w:rsidR="00CC65FB" w:rsidRPr="00B25DE1" w:rsidRDefault="00CC65FB" w:rsidP="00CC65FB">
            <w:pPr>
              <w:pStyle w:val="Bodytext20"/>
              <w:shd w:val="clear" w:color="auto" w:fill="auto"/>
              <w:spacing w:before="0" w:line="240" w:lineRule="auto"/>
              <w:ind w:firstLine="0"/>
              <w:rPr>
                <w:sz w:val="24"/>
                <w:szCs w:val="24"/>
              </w:rPr>
            </w:pPr>
            <w:r w:rsidRPr="00B25DE1">
              <w:rPr>
                <w:sz w:val="24"/>
                <w:szCs w:val="24"/>
              </w:rPr>
              <w:t>No</w:t>
            </w:r>
          </w:p>
        </w:tc>
        <w:tc>
          <w:tcPr>
            <w:tcW w:w="2105" w:type="dxa"/>
            <w:vMerge w:val="restart"/>
          </w:tcPr>
          <w:p w14:paraId="5848756E" w14:textId="16D09DE6" w:rsidR="00CC65FB" w:rsidRPr="00B25DE1" w:rsidRDefault="00CC65FB" w:rsidP="00CC65FB">
            <w:pPr>
              <w:pStyle w:val="Bodytext20"/>
              <w:shd w:val="clear" w:color="auto" w:fill="auto"/>
              <w:spacing w:before="0" w:line="240" w:lineRule="auto"/>
              <w:ind w:firstLine="0"/>
              <w:rPr>
                <w:sz w:val="24"/>
                <w:szCs w:val="24"/>
              </w:rPr>
            </w:pPr>
            <w:r>
              <w:rPr>
                <w:rStyle w:val="rynqvb"/>
                <w:rFonts w:eastAsiaTheme="majorEastAsia"/>
                <w:lang w:val="en"/>
              </w:rPr>
              <w:t>Description</w:t>
            </w:r>
          </w:p>
        </w:tc>
        <w:tc>
          <w:tcPr>
            <w:tcW w:w="3312" w:type="dxa"/>
            <w:gridSpan w:val="2"/>
          </w:tcPr>
          <w:p w14:paraId="4113BFA5" w14:textId="77777777" w:rsidR="00CC65FB" w:rsidRDefault="00CC65FB" w:rsidP="00CC65FB">
            <w:pPr>
              <w:pStyle w:val="Bodytext20"/>
              <w:shd w:val="clear" w:color="auto" w:fill="auto"/>
              <w:spacing w:before="0" w:line="240" w:lineRule="auto"/>
              <w:ind w:firstLine="0"/>
              <w:jc w:val="center"/>
              <w:rPr>
                <w:rStyle w:val="rynqvb"/>
                <w:rFonts w:eastAsiaTheme="majorEastAsia"/>
                <w:lang w:val="en"/>
              </w:rPr>
            </w:pPr>
            <w:r w:rsidRPr="00BB781C">
              <w:rPr>
                <w:rStyle w:val="rynqvb"/>
                <w:rFonts w:eastAsiaTheme="majorEastAsia"/>
                <w:lang w:val="en"/>
              </w:rPr>
              <w:t xml:space="preserve">Average </w:t>
            </w:r>
          </w:p>
          <w:p w14:paraId="6DE0B82A" w14:textId="42BBFE33" w:rsidR="00CC65FB" w:rsidRPr="00B25DE1" w:rsidRDefault="00CC65FB" w:rsidP="00CC65FB">
            <w:pPr>
              <w:pStyle w:val="Bodytext20"/>
              <w:shd w:val="clear" w:color="auto" w:fill="auto"/>
              <w:spacing w:before="0" w:line="240" w:lineRule="auto"/>
              <w:ind w:firstLine="0"/>
              <w:jc w:val="center"/>
              <w:rPr>
                <w:sz w:val="24"/>
                <w:szCs w:val="24"/>
              </w:rPr>
            </w:pPr>
            <w:r w:rsidRPr="00BB781C">
              <w:rPr>
                <w:rStyle w:val="rynqvb"/>
                <w:rFonts w:eastAsiaTheme="majorEastAsia"/>
                <w:lang w:val="en"/>
              </w:rPr>
              <w:t>(</w:t>
            </w:r>
            <w:r>
              <w:rPr>
                <w:rStyle w:val="rynqvb"/>
                <w:rFonts w:eastAsiaTheme="majorEastAsia"/>
                <w:lang w:val="en"/>
              </w:rPr>
              <w:t>IDR</w:t>
            </w:r>
            <w:r w:rsidRPr="00BB781C">
              <w:rPr>
                <w:rStyle w:val="rynqvb"/>
                <w:rFonts w:eastAsiaTheme="majorEastAsia"/>
                <w:lang w:val="en"/>
              </w:rPr>
              <w:t xml:space="preserve">/Respondent) </w:t>
            </w:r>
          </w:p>
        </w:tc>
        <w:tc>
          <w:tcPr>
            <w:tcW w:w="3139" w:type="dxa"/>
            <w:gridSpan w:val="2"/>
          </w:tcPr>
          <w:p w14:paraId="591F7D3C" w14:textId="77777777" w:rsidR="00CC65FB" w:rsidRDefault="00CC65FB" w:rsidP="00CC65FB">
            <w:pPr>
              <w:pStyle w:val="Bodytext20"/>
              <w:shd w:val="clear" w:color="auto" w:fill="auto"/>
              <w:spacing w:before="0" w:line="240" w:lineRule="auto"/>
              <w:ind w:firstLine="0"/>
              <w:jc w:val="center"/>
              <w:rPr>
                <w:rStyle w:val="rynqvb"/>
                <w:rFonts w:eastAsiaTheme="majorEastAsia"/>
                <w:lang w:val="en"/>
              </w:rPr>
            </w:pPr>
            <w:r w:rsidRPr="00BB781C">
              <w:rPr>
                <w:rStyle w:val="rynqvb"/>
                <w:rFonts w:eastAsiaTheme="majorEastAsia"/>
                <w:lang w:val="en"/>
              </w:rPr>
              <w:t xml:space="preserve">Average </w:t>
            </w:r>
          </w:p>
          <w:p w14:paraId="3E94B0C7" w14:textId="7DE7F9C9" w:rsidR="00CC65FB" w:rsidRPr="00B25DE1" w:rsidRDefault="00CC65FB" w:rsidP="00CC65FB">
            <w:pPr>
              <w:pStyle w:val="Bodytext20"/>
              <w:shd w:val="clear" w:color="auto" w:fill="auto"/>
              <w:spacing w:before="0" w:line="240" w:lineRule="auto"/>
              <w:ind w:firstLine="0"/>
              <w:jc w:val="center"/>
              <w:rPr>
                <w:sz w:val="24"/>
                <w:szCs w:val="24"/>
              </w:rPr>
            </w:pPr>
            <w:r w:rsidRPr="00BB781C">
              <w:rPr>
                <w:rStyle w:val="rynqvb"/>
                <w:rFonts w:eastAsiaTheme="majorEastAsia"/>
                <w:lang w:val="en"/>
              </w:rPr>
              <w:t>(</w:t>
            </w:r>
            <w:r>
              <w:rPr>
                <w:rStyle w:val="rynqvb"/>
                <w:rFonts w:eastAsiaTheme="majorEastAsia"/>
                <w:lang w:val="en"/>
              </w:rPr>
              <w:t>IDR</w:t>
            </w:r>
            <w:r w:rsidRPr="00BB781C">
              <w:rPr>
                <w:rStyle w:val="rynqvb"/>
                <w:rFonts w:eastAsiaTheme="majorEastAsia"/>
                <w:lang w:val="en"/>
              </w:rPr>
              <w:t>/ha)</w:t>
            </w:r>
          </w:p>
        </w:tc>
      </w:tr>
      <w:tr w:rsidR="00CC65FB" w14:paraId="469B90F6" w14:textId="77777777" w:rsidTr="00C34AFF">
        <w:tc>
          <w:tcPr>
            <w:tcW w:w="794" w:type="dxa"/>
            <w:vMerge/>
          </w:tcPr>
          <w:p w14:paraId="05C60D2D" w14:textId="77777777" w:rsidR="00CC65FB" w:rsidRPr="00B25DE1" w:rsidRDefault="00CC65FB" w:rsidP="00CC65FB">
            <w:pPr>
              <w:pStyle w:val="Bodytext20"/>
              <w:shd w:val="clear" w:color="auto" w:fill="auto"/>
              <w:spacing w:before="0" w:line="240" w:lineRule="auto"/>
              <w:ind w:firstLine="0"/>
              <w:rPr>
                <w:sz w:val="24"/>
                <w:szCs w:val="24"/>
              </w:rPr>
            </w:pPr>
          </w:p>
        </w:tc>
        <w:tc>
          <w:tcPr>
            <w:tcW w:w="2105" w:type="dxa"/>
            <w:vMerge/>
          </w:tcPr>
          <w:p w14:paraId="19F43325" w14:textId="77777777" w:rsidR="00CC65FB" w:rsidRPr="00B25DE1" w:rsidRDefault="00CC65FB" w:rsidP="00CC65FB">
            <w:pPr>
              <w:pStyle w:val="Bodytext20"/>
              <w:shd w:val="clear" w:color="auto" w:fill="auto"/>
              <w:spacing w:before="0" w:line="240" w:lineRule="auto"/>
              <w:ind w:firstLine="0"/>
              <w:rPr>
                <w:sz w:val="24"/>
                <w:szCs w:val="24"/>
              </w:rPr>
            </w:pPr>
          </w:p>
        </w:tc>
        <w:tc>
          <w:tcPr>
            <w:tcW w:w="1716" w:type="dxa"/>
          </w:tcPr>
          <w:p w14:paraId="485AC3F8" w14:textId="051F5858"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 xml:space="preserve">Annual </w:t>
            </w:r>
          </w:p>
        </w:tc>
        <w:tc>
          <w:tcPr>
            <w:tcW w:w="1596" w:type="dxa"/>
          </w:tcPr>
          <w:p w14:paraId="5D1CDD67" w14:textId="15C93930"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Monthly</w:t>
            </w:r>
          </w:p>
        </w:tc>
        <w:tc>
          <w:tcPr>
            <w:tcW w:w="1596" w:type="dxa"/>
          </w:tcPr>
          <w:p w14:paraId="3766B03B" w14:textId="136A9C63"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 xml:space="preserve">Annual </w:t>
            </w:r>
          </w:p>
        </w:tc>
        <w:tc>
          <w:tcPr>
            <w:tcW w:w="1543" w:type="dxa"/>
          </w:tcPr>
          <w:p w14:paraId="79838BEA" w14:textId="62E79B20" w:rsidR="00CC65FB" w:rsidRPr="00B25DE1" w:rsidRDefault="00CC65FB" w:rsidP="00CC65FB">
            <w:pPr>
              <w:pStyle w:val="Bodytext20"/>
              <w:shd w:val="clear" w:color="auto" w:fill="auto"/>
              <w:spacing w:before="0" w:line="240" w:lineRule="auto"/>
              <w:ind w:firstLine="0"/>
              <w:jc w:val="center"/>
              <w:rPr>
                <w:sz w:val="24"/>
                <w:szCs w:val="24"/>
              </w:rPr>
            </w:pPr>
            <w:r w:rsidRPr="00227713">
              <w:rPr>
                <w:rStyle w:val="rynqvb"/>
                <w:rFonts w:eastAsiaTheme="majorEastAsia"/>
                <w:lang w:val="en"/>
              </w:rPr>
              <w:t>Monthly</w:t>
            </w:r>
          </w:p>
        </w:tc>
      </w:tr>
      <w:tr w:rsidR="00A86D58" w14:paraId="50E52D38" w14:textId="77777777" w:rsidTr="00C34AFF">
        <w:tc>
          <w:tcPr>
            <w:tcW w:w="794" w:type="dxa"/>
            <w:vAlign w:val="center"/>
          </w:tcPr>
          <w:p w14:paraId="5914F812" w14:textId="77777777" w:rsidR="00A86D58" w:rsidRPr="00B25DE1" w:rsidRDefault="00A86D58" w:rsidP="00C34AFF">
            <w:pPr>
              <w:pStyle w:val="Bodytext20"/>
              <w:shd w:val="clear" w:color="auto" w:fill="auto"/>
              <w:spacing w:before="0" w:line="240" w:lineRule="auto"/>
              <w:ind w:firstLine="0"/>
              <w:rPr>
                <w:sz w:val="24"/>
                <w:szCs w:val="24"/>
              </w:rPr>
            </w:pPr>
            <w:r w:rsidRPr="00B25DE1">
              <w:rPr>
                <w:sz w:val="24"/>
                <w:szCs w:val="24"/>
                <w:lang w:val="id-ID" w:eastAsia="id-ID"/>
              </w:rPr>
              <w:t>1</w:t>
            </w:r>
          </w:p>
        </w:tc>
        <w:tc>
          <w:tcPr>
            <w:tcW w:w="2105" w:type="dxa"/>
            <w:vAlign w:val="center"/>
          </w:tcPr>
          <w:p w14:paraId="147DA80D" w14:textId="251D6098" w:rsidR="00A86D58" w:rsidRPr="00CC65FB" w:rsidRDefault="00CC65FB" w:rsidP="00C34AFF">
            <w:pPr>
              <w:pStyle w:val="Bodytext20"/>
              <w:shd w:val="clear" w:color="auto" w:fill="auto"/>
              <w:spacing w:before="0" w:line="240" w:lineRule="auto"/>
              <w:ind w:firstLine="0"/>
            </w:pPr>
            <w:r>
              <w:rPr>
                <w:rStyle w:val="rynqvb"/>
                <w:rFonts w:eastAsiaTheme="majorEastAsia"/>
                <w:lang w:val="en"/>
              </w:rPr>
              <w:t>Revenue</w:t>
            </w:r>
          </w:p>
        </w:tc>
        <w:tc>
          <w:tcPr>
            <w:tcW w:w="1716" w:type="dxa"/>
            <w:vAlign w:val="center"/>
          </w:tcPr>
          <w:p w14:paraId="33A4C893"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rPr>
              <w:t>165.640.209,10</w:t>
            </w:r>
          </w:p>
        </w:tc>
        <w:tc>
          <w:tcPr>
            <w:tcW w:w="1596" w:type="dxa"/>
            <w:vAlign w:val="center"/>
          </w:tcPr>
          <w:p w14:paraId="53AF7EAD"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rPr>
              <w:t>13.803.350,76</w:t>
            </w:r>
          </w:p>
        </w:tc>
        <w:tc>
          <w:tcPr>
            <w:tcW w:w="1596" w:type="dxa"/>
            <w:vAlign w:val="center"/>
          </w:tcPr>
          <w:p w14:paraId="0E9B936F"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rPr>
              <w:t>47.895.964,08</w:t>
            </w:r>
          </w:p>
        </w:tc>
        <w:tc>
          <w:tcPr>
            <w:tcW w:w="1543" w:type="dxa"/>
            <w:vAlign w:val="center"/>
          </w:tcPr>
          <w:p w14:paraId="0173C1F9"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rPr>
              <w:t>3.991.330,34</w:t>
            </w:r>
          </w:p>
        </w:tc>
      </w:tr>
      <w:tr w:rsidR="00A86D58" w14:paraId="4012A2CC" w14:textId="77777777" w:rsidTr="00C34AFF">
        <w:tc>
          <w:tcPr>
            <w:tcW w:w="794" w:type="dxa"/>
            <w:vAlign w:val="center"/>
          </w:tcPr>
          <w:p w14:paraId="0304AD4B" w14:textId="77777777" w:rsidR="00A86D58" w:rsidRPr="00B25DE1" w:rsidRDefault="00A86D58" w:rsidP="00C34AFF">
            <w:pPr>
              <w:pStyle w:val="Bodytext20"/>
              <w:shd w:val="clear" w:color="auto" w:fill="auto"/>
              <w:spacing w:before="0" w:line="240" w:lineRule="auto"/>
              <w:ind w:firstLine="0"/>
              <w:rPr>
                <w:sz w:val="24"/>
                <w:szCs w:val="24"/>
              </w:rPr>
            </w:pPr>
            <w:r w:rsidRPr="00B25DE1">
              <w:rPr>
                <w:sz w:val="24"/>
                <w:szCs w:val="24"/>
                <w:lang w:val="id-ID" w:eastAsia="id-ID"/>
              </w:rPr>
              <w:t>2</w:t>
            </w:r>
          </w:p>
        </w:tc>
        <w:tc>
          <w:tcPr>
            <w:tcW w:w="2105" w:type="dxa"/>
            <w:vAlign w:val="center"/>
          </w:tcPr>
          <w:p w14:paraId="6578BD0F" w14:textId="76473281" w:rsidR="00A86D58" w:rsidRPr="00B25DE1" w:rsidRDefault="00CC65FB" w:rsidP="00C34AFF">
            <w:pPr>
              <w:pStyle w:val="Bodytext20"/>
              <w:shd w:val="clear" w:color="auto" w:fill="auto"/>
              <w:spacing w:before="0" w:line="240" w:lineRule="auto"/>
              <w:ind w:firstLine="0"/>
              <w:rPr>
                <w:sz w:val="24"/>
                <w:szCs w:val="24"/>
              </w:rPr>
            </w:pPr>
            <w:r w:rsidRPr="00A86D58">
              <w:rPr>
                <w:sz w:val="24"/>
                <w:szCs w:val="24"/>
                <w:lang w:val="en"/>
              </w:rPr>
              <w:t>Production Costs</w:t>
            </w:r>
          </w:p>
        </w:tc>
        <w:tc>
          <w:tcPr>
            <w:tcW w:w="1716" w:type="dxa"/>
            <w:vAlign w:val="center"/>
          </w:tcPr>
          <w:p w14:paraId="63F9C5BC"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lang w:val="id-ID" w:eastAsia="id-ID"/>
              </w:rPr>
              <w:t>51.926.007,60</w:t>
            </w:r>
          </w:p>
        </w:tc>
        <w:tc>
          <w:tcPr>
            <w:tcW w:w="1596" w:type="dxa"/>
            <w:vAlign w:val="center"/>
          </w:tcPr>
          <w:p w14:paraId="0023B39D"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lang w:val="id-ID" w:eastAsia="id-ID"/>
              </w:rPr>
              <w:t>4.327.167,30</w:t>
            </w:r>
          </w:p>
        </w:tc>
        <w:tc>
          <w:tcPr>
            <w:tcW w:w="1596" w:type="dxa"/>
            <w:vAlign w:val="center"/>
          </w:tcPr>
          <w:p w14:paraId="74AE3A3D"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lang w:val="id-ID" w:eastAsia="id-ID"/>
              </w:rPr>
              <w:t>15.014.749,18</w:t>
            </w:r>
          </w:p>
        </w:tc>
        <w:tc>
          <w:tcPr>
            <w:tcW w:w="1543" w:type="dxa"/>
            <w:vAlign w:val="center"/>
          </w:tcPr>
          <w:p w14:paraId="5AFD3CCE"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sz w:val="24"/>
                <w:szCs w:val="24"/>
                <w:lang w:val="id-ID" w:eastAsia="id-ID"/>
              </w:rPr>
              <w:t>1.251.229,10</w:t>
            </w:r>
          </w:p>
        </w:tc>
      </w:tr>
      <w:tr w:rsidR="00A86D58" w14:paraId="09E54B3C" w14:textId="77777777" w:rsidTr="00C34AFF">
        <w:tc>
          <w:tcPr>
            <w:tcW w:w="2899" w:type="dxa"/>
            <w:gridSpan w:val="2"/>
          </w:tcPr>
          <w:p w14:paraId="25FC3E88" w14:textId="196F8BD5" w:rsidR="00A86D58" w:rsidRPr="00B25DE1" w:rsidRDefault="00CC65FB" w:rsidP="00C34AFF">
            <w:pPr>
              <w:pStyle w:val="Bodytext20"/>
              <w:shd w:val="clear" w:color="auto" w:fill="auto"/>
              <w:spacing w:before="0" w:line="240" w:lineRule="auto"/>
              <w:ind w:firstLine="0"/>
              <w:jc w:val="center"/>
              <w:rPr>
                <w:sz w:val="24"/>
                <w:szCs w:val="24"/>
              </w:rPr>
            </w:pPr>
            <w:r>
              <w:rPr>
                <w:sz w:val="24"/>
                <w:szCs w:val="24"/>
              </w:rPr>
              <w:t>Income Total</w:t>
            </w:r>
          </w:p>
        </w:tc>
        <w:tc>
          <w:tcPr>
            <w:tcW w:w="1716" w:type="dxa"/>
            <w:vAlign w:val="center"/>
          </w:tcPr>
          <w:p w14:paraId="58F7B9C0"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b/>
                <w:bCs/>
                <w:sz w:val="24"/>
                <w:szCs w:val="24"/>
                <w:lang w:val="id-ID" w:eastAsia="id-ID"/>
              </w:rPr>
              <w:t>113.714.201,50</w:t>
            </w:r>
          </w:p>
        </w:tc>
        <w:tc>
          <w:tcPr>
            <w:tcW w:w="1596" w:type="dxa"/>
            <w:vAlign w:val="center"/>
          </w:tcPr>
          <w:p w14:paraId="329DEC7E"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b/>
                <w:bCs/>
                <w:sz w:val="24"/>
                <w:szCs w:val="24"/>
                <w:lang w:val="id-ID" w:eastAsia="id-ID"/>
              </w:rPr>
              <w:t>9.476.183,46</w:t>
            </w:r>
          </w:p>
        </w:tc>
        <w:tc>
          <w:tcPr>
            <w:tcW w:w="1596" w:type="dxa"/>
            <w:vAlign w:val="center"/>
          </w:tcPr>
          <w:p w14:paraId="6F866D45"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b/>
                <w:bCs/>
                <w:sz w:val="24"/>
                <w:szCs w:val="24"/>
                <w:lang w:val="id-ID" w:eastAsia="id-ID"/>
              </w:rPr>
              <w:t>32.881.214,89</w:t>
            </w:r>
          </w:p>
        </w:tc>
        <w:tc>
          <w:tcPr>
            <w:tcW w:w="1543" w:type="dxa"/>
            <w:vAlign w:val="center"/>
          </w:tcPr>
          <w:p w14:paraId="131AE58F" w14:textId="77777777" w:rsidR="00A86D58" w:rsidRPr="00B25DE1" w:rsidRDefault="00A86D58" w:rsidP="00C34AFF">
            <w:pPr>
              <w:pStyle w:val="Bodytext20"/>
              <w:shd w:val="clear" w:color="auto" w:fill="auto"/>
              <w:spacing w:before="0" w:line="240" w:lineRule="auto"/>
              <w:ind w:firstLine="0"/>
              <w:jc w:val="center"/>
              <w:rPr>
                <w:sz w:val="24"/>
                <w:szCs w:val="24"/>
              </w:rPr>
            </w:pPr>
            <w:r w:rsidRPr="00B25DE1">
              <w:rPr>
                <w:b/>
                <w:bCs/>
                <w:sz w:val="24"/>
                <w:szCs w:val="24"/>
                <w:lang w:val="id-ID" w:eastAsia="id-ID"/>
              </w:rPr>
              <w:t>2.740.101,24</w:t>
            </w:r>
          </w:p>
        </w:tc>
      </w:tr>
    </w:tbl>
    <w:p w14:paraId="51ADAB15" w14:textId="77777777" w:rsidR="00A86D58" w:rsidRDefault="00A86D58" w:rsidP="00A86D58">
      <w:pPr>
        <w:spacing w:after="0" w:line="240" w:lineRule="auto"/>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Source: Primary Data Processed in 2025 </w:t>
      </w:r>
    </w:p>
    <w:p w14:paraId="0FE7C1BE" w14:textId="72E5E473"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results of the study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w:t>
      </w:r>
      <w:proofErr w:type="spellStart"/>
      <w:r w:rsidRPr="00A86D58">
        <w:rPr>
          <w:rFonts w:ascii="Times New Roman" w:eastAsia="Times New Roman" w:hAnsi="Times New Roman" w:cs="Times New Roman"/>
          <w:sz w:val="24"/>
          <w:szCs w:val="24"/>
          <w:lang w:val="en"/>
        </w:rPr>
        <w:t>Marga</w:t>
      </w:r>
      <w:proofErr w:type="spellEnd"/>
      <w:r w:rsidRPr="00A86D58">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Mulia</w:t>
      </w:r>
      <w:proofErr w:type="spellEnd"/>
      <w:r w:rsidRPr="00A86D58">
        <w:rPr>
          <w:rFonts w:ascii="Times New Roman" w:eastAsia="Times New Roman" w:hAnsi="Times New Roman" w:cs="Times New Roman"/>
          <w:sz w:val="24"/>
          <w:szCs w:val="24"/>
          <w:lang w:val="en"/>
        </w:rPr>
        <w:t xml:space="preserve"> Village, as shown in Table 3, show that smallholder oil palm plantation income reached IDR 113,714,201.50 per respondent per year, or IDR 32,881,214.89 per hectare per year. This income represents the difference between </w:t>
      </w:r>
      <w:r w:rsidR="0006348B">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 xml:space="preserve">total </w:t>
      </w:r>
      <w:r w:rsidRPr="00A86D58">
        <w:rPr>
          <w:rFonts w:ascii="Times New Roman" w:eastAsia="Times New Roman" w:hAnsi="Times New Roman" w:cs="Times New Roman"/>
          <w:sz w:val="24"/>
          <w:szCs w:val="24"/>
          <w:lang w:val="en"/>
        </w:rPr>
        <w:lastRenderedPageBreak/>
        <w:t xml:space="preserve">revenue of IDR 165,640,209.10 per respondent (IDR 47,895,964.08/ha) and </w:t>
      </w:r>
      <w:r w:rsidR="00BC5709">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total costs of IDR 51,926,007.60 per respondent (IDR 15,014,749.18/ha). This value indicates that smallholder oil palm plantations are profitable and economically efficient. However, there are still opportunities to increase income through optimizing plant maintenance, using appropriate inputs, and strengthening institutions such as cooperatives for cost efficiency and market access. Other efforts</w:t>
      </w:r>
      <w:r w:rsidR="0006348B">
        <w:rPr>
          <w:rFonts w:ascii="Times New Roman" w:eastAsia="Times New Roman" w:hAnsi="Times New Roman" w:cs="Times New Roman"/>
          <w:sz w:val="24"/>
          <w:szCs w:val="24"/>
          <w:lang w:val="en"/>
        </w:rPr>
        <w:t>,</w:t>
      </w:r>
      <w:r w:rsidRPr="00A86D58">
        <w:rPr>
          <w:rFonts w:ascii="Times New Roman" w:eastAsia="Times New Roman" w:hAnsi="Times New Roman" w:cs="Times New Roman"/>
          <w:sz w:val="24"/>
          <w:szCs w:val="24"/>
          <w:lang w:val="en"/>
        </w:rPr>
        <w:t xml:space="preserve"> such as income diversification, orderly financial record keeping, and production management training</w:t>
      </w:r>
      <w:r w:rsidR="0006348B">
        <w:rPr>
          <w:rFonts w:ascii="Times New Roman" w:eastAsia="Times New Roman" w:hAnsi="Times New Roman" w:cs="Times New Roman"/>
          <w:sz w:val="24"/>
          <w:szCs w:val="24"/>
          <w:lang w:val="en"/>
        </w:rPr>
        <w:t>,</w:t>
      </w:r>
      <w:r w:rsidRPr="00A86D58">
        <w:rPr>
          <w:rFonts w:ascii="Times New Roman" w:eastAsia="Times New Roman" w:hAnsi="Times New Roman" w:cs="Times New Roman"/>
          <w:sz w:val="24"/>
          <w:szCs w:val="24"/>
          <w:lang w:val="en"/>
        </w:rPr>
        <w:t xml:space="preserve"> are also crucial to support sustainability and improve farmers' long-term welfare. </w:t>
      </w:r>
    </w:p>
    <w:p w14:paraId="29AC1536" w14:textId="77777777" w:rsidR="00A86D58" w:rsidRPr="00A86D58" w:rsidRDefault="00A86D58" w:rsidP="00A86D58">
      <w:pPr>
        <w:spacing w:after="0" w:line="240" w:lineRule="auto"/>
        <w:jc w:val="both"/>
        <w:rPr>
          <w:rFonts w:ascii="Times New Roman" w:eastAsia="Times New Roman" w:hAnsi="Times New Roman" w:cs="Times New Roman"/>
          <w:b/>
          <w:bCs/>
          <w:sz w:val="24"/>
          <w:szCs w:val="24"/>
          <w:lang w:val="en"/>
        </w:rPr>
      </w:pPr>
      <w:r w:rsidRPr="00A86D58">
        <w:rPr>
          <w:rFonts w:ascii="Times New Roman" w:eastAsia="Times New Roman" w:hAnsi="Times New Roman" w:cs="Times New Roman"/>
          <w:b/>
          <w:bCs/>
          <w:sz w:val="24"/>
          <w:szCs w:val="24"/>
          <w:lang w:val="en"/>
        </w:rPr>
        <w:t xml:space="preserve">3.5. Revenue/Cost Ratio </w:t>
      </w:r>
    </w:p>
    <w:p w14:paraId="7823D1F4" w14:textId="5F32BF9A" w:rsidR="00A86D58" w:rsidRDefault="00A86D58" w:rsidP="00A86D58">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The Revenue/Cost (R/C) ratio is the comparison between total revenue and total costs. Research results show that the Revenue/Cost (R/C) ratio for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reached 3.19 (&gt;1), indicating that the business is feasible and profitable because revenue exceeds costs. This value is obtained by comparing </w:t>
      </w:r>
      <w:r w:rsidR="0006348B">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 xml:space="preserve">total revenue of IDR 165,640,209.10 per respondent per year with </w:t>
      </w:r>
      <w:r w:rsidR="0006348B">
        <w:rPr>
          <w:rFonts w:ascii="Times New Roman" w:eastAsia="Times New Roman" w:hAnsi="Times New Roman" w:cs="Times New Roman"/>
          <w:sz w:val="24"/>
          <w:szCs w:val="24"/>
          <w:lang w:val="en"/>
        </w:rPr>
        <w:t xml:space="preserve">the </w:t>
      </w:r>
      <w:r w:rsidRPr="00A86D58">
        <w:rPr>
          <w:rFonts w:ascii="Times New Roman" w:eastAsia="Times New Roman" w:hAnsi="Times New Roman" w:cs="Times New Roman"/>
          <w:sz w:val="24"/>
          <w:szCs w:val="24"/>
          <w:lang w:val="en"/>
        </w:rPr>
        <w:t xml:space="preserve">total costs of IDR 51,926,007.60 per respondent per year. Therefore, every IDR 1.00 spent generates IDR 3.19 in revenue. This finding aligns with Noor's (2007) opinion that an R/C ratio &gt;1 indicates a business is economically viable because revenue exceeds costs. </w:t>
      </w:r>
    </w:p>
    <w:p w14:paraId="13B7584C" w14:textId="4987C3C5" w:rsidR="00A86D58" w:rsidRDefault="00A86D58" w:rsidP="005C7F9C">
      <w:pPr>
        <w:spacing w:after="0" w:line="240" w:lineRule="auto"/>
        <w:ind w:firstLine="567"/>
        <w:jc w:val="both"/>
        <w:rPr>
          <w:rFonts w:ascii="Times New Roman" w:eastAsia="Times New Roman" w:hAnsi="Times New Roman" w:cs="Times New Roman"/>
          <w:sz w:val="24"/>
          <w:szCs w:val="24"/>
          <w:lang w:val="en"/>
        </w:rPr>
      </w:pPr>
      <w:r w:rsidRPr="00A86D58">
        <w:rPr>
          <w:rFonts w:ascii="Times New Roman" w:eastAsia="Times New Roman" w:hAnsi="Times New Roman" w:cs="Times New Roman"/>
          <w:sz w:val="24"/>
          <w:szCs w:val="24"/>
          <w:lang w:val="en"/>
        </w:rPr>
        <w:t xml:space="preserve">Similar research results reported by </w:t>
      </w:r>
      <w:proofErr w:type="spellStart"/>
      <w:r w:rsidRPr="00A86D58">
        <w:rPr>
          <w:rFonts w:ascii="Times New Roman" w:eastAsia="Times New Roman" w:hAnsi="Times New Roman" w:cs="Times New Roman"/>
          <w:sz w:val="24"/>
          <w:szCs w:val="24"/>
          <w:lang w:val="en"/>
        </w:rPr>
        <w:t>Masita</w:t>
      </w:r>
      <w:proofErr w:type="spellEnd"/>
      <w:r w:rsidRPr="00A86D58">
        <w:rPr>
          <w:rFonts w:ascii="Times New Roman" w:eastAsia="Times New Roman" w:hAnsi="Times New Roman" w:cs="Times New Roman"/>
          <w:sz w:val="24"/>
          <w:szCs w:val="24"/>
          <w:lang w:val="en"/>
        </w:rPr>
        <w:t xml:space="preserve"> et al. (2023) that the average income received by oil palm farmers in </w:t>
      </w:r>
      <w:proofErr w:type="spellStart"/>
      <w:r w:rsidRPr="00A86D58">
        <w:rPr>
          <w:rFonts w:ascii="Times New Roman" w:eastAsia="Times New Roman" w:hAnsi="Times New Roman" w:cs="Times New Roman"/>
          <w:sz w:val="24"/>
          <w:szCs w:val="24"/>
          <w:lang w:val="en"/>
        </w:rPr>
        <w:t>Puudongi</w:t>
      </w:r>
      <w:proofErr w:type="spellEnd"/>
      <w:r w:rsidRPr="00A86D58">
        <w:rPr>
          <w:rFonts w:ascii="Times New Roman" w:eastAsia="Times New Roman" w:hAnsi="Times New Roman" w:cs="Times New Roman"/>
          <w:sz w:val="24"/>
          <w:szCs w:val="24"/>
          <w:lang w:val="en"/>
        </w:rPr>
        <w:t xml:space="preserve"> Village is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3,062,952/farmer/one harvest. With an average total production cost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5,053,043/farmer/one harvest and an average total income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7,695,100/farmer/one harvest. </w:t>
      </w:r>
      <w:r w:rsidR="0006348B">
        <w:rPr>
          <w:rFonts w:ascii="Times New Roman" w:eastAsia="Times New Roman" w:hAnsi="Times New Roman" w:cs="Times New Roman"/>
          <w:sz w:val="24"/>
          <w:szCs w:val="24"/>
          <w:lang w:val="en"/>
        </w:rPr>
        <w:t>T</w:t>
      </w:r>
      <w:r w:rsidRPr="00A86D58">
        <w:rPr>
          <w:rFonts w:ascii="Times New Roman" w:eastAsia="Times New Roman" w:hAnsi="Times New Roman" w:cs="Times New Roman"/>
          <w:sz w:val="24"/>
          <w:szCs w:val="24"/>
          <w:lang w:val="en"/>
        </w:rPr>
        <w:t xml:space="preserve">he feasibility analysis of oil palm farming shows that the R/C Ratio value is 1.66. Furthermore, it was reported by Nur et al. (2023) that the average income of smallholder oil palm farming in </w:t>
      </w:r>
      <w:proofErr w:type="spellStart"/>
      <w:r w:rsidRPr="00A86D58">
        <w:rPr>
          <w:rFonts w:ascii="Times New Roman" w:eastAsia="Times New Roman" w:hAnsi="Times New Roman" w:cs="Times New Roman"/>
          <w:sz w:val="24"/>
          <w:szCs w:val="24"/>
          <w:lang w:val="en"/>
        </w:rPr>
        <w:t>Bojo</w:t>
      </w:r>
      <w:proofErr w:type="spellEnd"/>
      <w:r w:rsidRPr="00A86D58">
        <w:rPr>
          <w:rFonts w:ascii="Times New Roman" w:eastAsia="Times New Roman" w:hAnsi="Times New Roman" w:cs="Times New Roman"/>
          <w:sz w:val="24"/>
          <w:szCs w:val="24"/>
          <w:lang w:val="en"/>
        </w:rPr>
        <w:t xml:space="preserve"> Village is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26,061,025/ha/year, while the average cost incurred is 7,424,620/ha/year, and the income value obtained is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18,636,404/ha/year for an average land area of ​​​​1.83 ha; The R/C Ratio value obtained was 3.51, thus it can be stated that the smallholder oil palm plantation business is feasible to be cultivated. Then, </w:t>
      </w:r>
      <w:r w:rsidR="005C7F9C" w:rsidRPr="005C7F9C">
        <w:rPr>
          <w:rFonts w:ascii="Times New Roman" w:eastAsia="Times New Roman" w:hAnsi="Times New Roman" w:cs="Times New Roman"/>
          <w:sz w:val="24"/>
          <w:szCs w:val="24"/>
          <w:highlight w:val="yellow"/>
          <w:lang w:val="en"/>
        </w:rPr>
        <w:t>reported by Siswati et al (2023) the income analysis of oil palm and food crop farming in units of ha/year is IDR 24,373,057 + IDR 62,327,713 = IDR 86,700,770 /ha/year, and the income of oil palm and food crop farmers in ha/month are IDR 2,031,088 + IDR 5,193,976 = IDR7,225,064 ha/month. Based on the R/C ratio analysis of the two feasible commodities to be cultivated, the R/C values are 3.82 for oil palm farming and 1.92 for food crop farming, respectively. The contribution of food crops to the total income of farmers at the time was 71.89%, and palm oil was 28.17%</w:t>
      </w:r>
      <w:r w:rsidR="005C7F9C">
        <w:rPr>
          <w:rFonts w:ascii="Times New Roman" w:eastAsia="Times New Roman" w:hAnsi="Times New Roman" w:cs="Times New Roman"/>
          <w:sz w:val="24"/>
          <w:szCs w:val="24"/>
          <w:lang w:val="en"/>
        </w:rPr>
        <w:t xml:space="preserve">; </w:t>
      </w:r>
      <w:proofErr w:type="spellStart"/>
      <w:r w:rsidRPr="00A86D58">
        <w:rPr>
          <w:rFonts w:ascii="Times New Roman" w:eastAsia="Times New Roman" w:hAnsi="Times New Roman" w:cs="Times New Roman"/>
          <w:sz w:val="24"/>
          <w:szCs w:val="24"/>
          <w:lang w:val="en"/>
        </w:rPr>
        <w:t>Waris</w:t>
      </w:r>
      <w:proofErr w:type="spellEnd"/>
      <w:r w:rsidRPr="00A86D58">
        <w:rPr>
          <w:rFonts w:ascii="Times New Roman" w:eastAsia="Times New Roman" w:hAnsi="Times New Roman" w:cs="Times New Roman"/>
          <w:sz w:val="24"/>
          <w:szCs w:val="24"/>
          <w:lang w:val="en"/>
        </w:rPr>
        <w:t xml:space="preserve"> (2024) reported that the smallholder oil palm plantation business in the </w:t>
      </w:r>
      <w:proofErr w:type="spellStart"/>
      <w:r w:rsidRPr="00A86D58">
        <w:rPr>
          <w:rFonts w:ascii="Times New Roman" w:eastAsia="Times New Roman" w:hAnsi="Times New Roman" w:cs="Times New Roman"/>
          <w:sz w:val="24"/>
          <w:szCs w:val="24"/>
          <w:lang w:val="en"/>
        </w:rPr>
        <w:t>Malimpung</w:t>
      </w:r>
      <w:proofErr w:type="spellEnd"/>
      <w:r w:rsidRPr="00A86D58">
        <w:rPr>
          <w:rFonts w:ascii="Times New Roman" w:eastAsia="Times New Roman" w:hAnsi="Times New Roman" w:cs="Times New Roman"/>
          <w:sz w:val="24"/>
          <w:szCs w:val="24"/>
          <w:lang w:val="en"/>
        </w:rPr>
        <w:t xml:space="preserve"> area generated an average income (TR)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1,949,650/ha/month and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23,395,800/ha/year and had varying expenses for each farmer. The smallholder oil palm business is said to be feasible to be cultivated with an NPV value of </w:t>
      </w:r>
      <w:proofErr w:type="spellStart"/>
      <w:r w:rsidRPr="00A86D58">
        <w:rPr>
          <w:rFonts w:ascii="Times New Roman" w:eastAsia="Times New Roman" w:hAnsi="Times New Roman" w:cs="Times New Roman"/>
          <w:sz w:val="24"/>
          <w:szCs w:val="24"/>
          <w:lang w:val="en"/>
        </w:rPr>
        <w:t>Rp</w:t>
      </w:r>
      <w:proofErr w:type="spellEnd"/>
      <w:r w:rsidRPr="00A86D58">
        <w:rPr>
          <w:rFonts w:ascii="Times New Roman" w:eastAsia="Times New Roman" w:hAnsi="Times New Roman" w:cs="Times New Roman"/>
          <w:sz w:val="24"/>
          <w:szCs w:val="24"/>
          <w:lang w:val="en"/>
        </w:rPr>
        <w:t xml:space="preserve">. 946,019,483, and an IRR of 16.70% and a B/C of 8.58. </w:t>
      </w:r>
      <w:proofErr w:type="spellStart"/>
      <w:r w:rsidRPr="00A86D58">
        <w:rPr>
          <w:rFonts w:ascii="Times New Roman" w:eastAsia="Times New Roman" w:hAnsi="Times New Roman" w:cs="Times New Roman"/>
          <w:sz w:val="24"/>
          <w:szCs w:val="24"/>
          <w:lang w:val="en"/>
        </w:rPr>
        <w:t>Prasetiyo</w:t>
      </w:r>
      <w:proofErr w:type="spellEnd"/>
      <w:r w:rsidRPr="00A86D58">
        <w:rPr>
          <w:rFonts w:ascii="Times New Roman" w:eastAsia="Times New Roman" w:hAnsi="Times New Roman" w:cs="Times New Roman"/>
          <w:sz w:val="24"/>
          <w:szCs w:val="24"/>
          <w:lang w:val="en"/>
        </w:rPr>
        <w:t xml:space="preserve"> (2025) reported that the income of smallholder oil palm farming in Bukit </w:t>
      </w:r>
      <w:proofErr w:type="spellStart"/>
      <w:r w:rsidRPr="00A86D58">
        <w:rPr>
          <w:rFonts w:ascii="Times New Roman" w:eastAsia="Times New Roman" w:hAnsi="Times New Roman" w:cs="Times New Roman"/>
          <w:sz w:val="24"/>
          <w:szCs w:val="24"/>
          <w:lang w:val="en"/>
        </w:rPr>
        <w:t>Harapan</w:t>
      </w:r>
      <w:proofErr w:type="spellEnd"/>
      <w:r w:rsidRPr="00A86D58">
        <w:rPr>
          <w:rFonts w:ascii="Times New Roman" w:eastAsia="Times New Roman" w:hAnsi="Times New Roman" w:cs="Times New Roman"/>
          <w:sz w:val="24"/>
          <w:szCs w:val="24"/>
          <w:lang w:val="en"/>
        </w:rPr>
        <w:t xml:space="preserve"> Village was IDR 1,856,016/ha/month, with a R/C Ratio of 4.67 and a B/C Ratio of 3.67. This situation indicates that smallholder oil palm farming is feasible. </w:t>
      </w:r>
    </w:p>
    <w:p w14:paraId="7E6E248F" w14:textId="5357BEBB" w:rsidR="00A86D58" w:rsidRPr="00A86D58" w:rsidRDefault="00A86D58" w:rsidP="00A86D58">
      <w:pPr>
        <w:spacing w:after="0" w:line="240" w:lineRule="auto"/>
        <w:ind w:firstLine="567"/>
        <w:jc w:val="both"/>
        <w:rPr>
          <w:rFonts w:ascii="Times New Roman" w:eastAsia="Times New Roman" w:hAnsi="Times New Roman" w:cs="Times New Roman"/>
          <w:sz w:val="24"/>
          <w:szCs w:val="24"/>
        </w:rPr>
      </w:pPr>
      <w:r w:rsidRPr="00A86D58">
        <w:rPr>
          <w:rFonts w:ascii="Times New Roman" w:eastAsia="Times New Roman" w:hAnsi="Times New Roman" w:cs="Times New Roman"/>
          <w:sz w:val="24"/>
          <w:szCs w:val="24"/>
          <w:lang w:val="en"/>
        </w:rPr>
        <w:t xml:space="preserve">Although smallholder oil palm plantations in </w:t>
      </w:r>
      <w:r>
        <w:rPr>
          <w:rFonts w:ascii="Times New Roman" w:eastAsia="Times New Roman" w:hAnsi="Times New Roman" w:cs="Times New Roman"/>
          <w:sz w:val="24"/>
          <w:szCs w:val="24"/>
          <w:lang w:val="en"/>
        </w:rPr>
        <w:t>Dusun</w:t>
      </w:r>
      <w:r w:rsidRPr="00A86D58">
        <w:rPr>
          <w:rFonts w:ascii="Times New Roman" w:eastAsia="Times New Roman" w:hAnsi="Times New Roman" w:cs="Times New Roman"/>
          <w:sz w:val="24"/>
          <w:szCs w:val="24"/>
          <w:lang w:val="en"/>
        </w:rPr>
        <w:t xml:space="preserve"> 3 are economically viable and profitable, farmers are advised to improve production efficiency by reducing pesticide use to reduce costs and supporting sustainable FFB production by controlling pests and diseases using mechanical weeding or natural vegetative techniques, reducing dependence on outside family labor, evaluating the labor wage system in accordance with efficiency standards, and actively seeking and studying information that helps improve production efficiency and increase income from the smallholder oil palm plantations they manage.</w:t>
      </w:r>
    </w:p>
    <w:p w14:paraId="3678A3C7" w14:textId="77777777" w:rsidR="00A86D58" w:rsidRDefault="00A86D58" w:rsidP="00A86D58">
      <w:pPr>
        <w:spacing w:after="0" w:line="240" w:lineRule="auto"/>
        <w:jc w:val="both"/>
        <w:rPr>
          <w:rFonts w:ascii="Times New Roman" w:eastAsia="Times New Roman" w:hAnsi="Times New Roman" w:cs="Times New Roman"/>
          <w:sz w:val="24"/>
          <w:szCs w:val="24"/>
        </w:rPr>
      </w:pPr>
    </w:p>
    <w:p w14:paraId="141CAA31" w14:textId="7D6588A7" w:rsidR="00DB2720" w:rsidRPr="00DB2720" w:rsidRDefault="00DB2720" w:rsidP="00DB2720">
      <w:pPr>
        <w:spacing w:after="0" w:line="240" w:lineRule="auto"/>
        <w:rPr>
          <w:rFonts w:ascii="Times New Roman" w:eastAsia="Times New Roman" w:hAnsi="Times New Roman" w:cs="Times New Roman"/>
          <w:b/>
          <w:bCs/>
          <w:sz w:val="24"/>
          <w:szCs w:val="24"/>
          <w:lang w:val="en"/>
        </w:rPr>
      </w:pPr>
      <w:r w:rsidRPr="00DB2720">
        <w:rPr>
          <w:rFonts w:ascii="Times New Roman" w:eastAsia="Times New Roman" w:hAnsi="Times New Roman" w:cs="Times New Roman"/>
          <w:b/>
          <w:bCs/>
          <w:sz w:val="24"/>
          <w:szCs w:val="24"/>
          <w:lang w:val="en"/>
        </w:rPr>
        <w:lastRenderedPageBreak/>
        <w:t xml:space="preserve">4. CONCLUSION </w:t>
      </w:r>
    </w:p>
    <w:p w14:paraId="7FB74AAF" w14:textId="5AC1CAFB" w:rsidR="00DB2720" w:rsidRDefault="00DB2720" w:rsidP="00DB2720">
      <w:pPr>
        <w:spacing w:after="0" w:line="240" w:lineRule="auto"/>
        <w:ind w:firstLine="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Based on the </w:t>
      </w:r>
      <w:r w:rsidR="000704E0">
        <w:rPr>
          <w:rFonts w:ascii="Times New Roman" w:eastAsia="Times New Roman" w:hAnsi="Times New Roman" w:cs="Times New Roman"/>
          <w:sz w:val="24"/>
          <w:szCs w:val="24"/>
          <w:lang w:val="en"/>
        </w:rPr>
        <w:t>study</w:t>
      </w:r>
      <w:r w:rsidRPr="00DB2720">
        <w:rPr>
          <w:rFonts w:ascii="Times New Roman" w:eastAsia="Times New Roman" w:hAnsi="Times New Roman" w:cs="Times New Roman"/>
          <w:sz w:val="24"/>
          <w:szCs w:val="24"/>
          <w:lang w:val="en"/>
        </w:rPr>
        <w:t xml:space="preserve"> results and discussion, the following conclusions are drawn: </w:t>
      </w:r>
    </w:p>
    <w:p w14:paraId="22A44112" w14:textId="0070B783" w:rsidR="00DB2720" w:rsidRDefault="00DB2720" w:rsidP="00DB2720">
      <w:pPr>
        <w:spacing w:after="0" w:line="240" w:lineRule="auto"/>
        <w:ind w:left="426" w:hanging="426"/>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1. </w:t>
      </w:r>
      <w:r>
        <w:rPr>
          <w:rFonts w:ascii="Times New Roman" w:eastAsia="Times New Roman" w:hAnsi="Times New Roman" w:cs="Times New Roman"/>
          <w:sz w:val="24"/>
          <w:szCs w:val="24"/>
          <w:lang w:val="en"/>
        </w:rPr>
        <w:t xml:space="preserve">   </w:t>
      </w:r>
      <w:r w:rsidRPr="00DB2720">
        <w:rPr>
          <w:rFonts w:ascii="Times New Roman" w:eastAsia="Times New Roman" w:hAnsi="Times New Roman" w:cs="Times New Roman"/>
          <w:sz w:val="24"/>
          <w:szCs w:val="24"/>
          <w:lang w:val="en"/>
        </w:rPr>
        <w:t xml:space="preserve">The average cost of smallholder oil palm plantations in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3,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Village, is IDR 51,926,007.60</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respondent</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or IDR 15,014,749.18</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hectare</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The average revenue is IDR 165,640,209.10</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respondent</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or IDR 47,895,964.08</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hectare</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The average income is IDR 113,714,201.50</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respondent</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year, or IDR 32,881,214.89</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hectare</w:t>
      </w:r>
      <w:r w:rsidR="0006348B">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year. </w:t>
      </w:r>
    </w:p>
    <w:p w14:paraId="32DC72AA" w14:textId="3C955B32" w:rsidR="00DB2720" w:rsidRDefault="00DB2720" w:rsidP="00DB2720">
      <w:pPr>
        <w:spacing w:after="0" w:line="240" w:lineRule="auto"/>
        <w:ind w:left="426" w:hanging="426"/>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2. </w:t>
      </w:r>
      <w:r>
        <w:rPr>
          <w:rFonts w:ascii="Times New Roman" w:eastAsia="Times New Roman" w:hAnsi="Times New Roman" w:cs="Times New Roman"/>
          <w:sz w:val="24"/>
          <w:szCs w:val="24"/>
          <w:lang w:val="en"/>
        </w:rPr>
        <w:t xml:space="preserve">  </w:t>
      </w:r>
      <w:r w:rsidRPr="00DB2720">
        <w:rPr>
          <w:rFonts w:ascii="Times New Roman" w:eastAsia="Times New Roman" w:hAnsi="Times New Roman" w:cs="Times New Roman"/>
          <w:sz w:val="24"/>
          <w:szCs w:val="24"/>
          <w:lang w:val="en"/>
        </w:rPr>
        <w:t xml:space="preserve">The Revenue/Cost (R/C) ratio of smallholder oil palm plantations in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3,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Village, is 3.19 &gt; 1, indicating that smallholder oil palm plantations in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3 are considered feasible and profitable because revenues exceed costs. This figure indicates that every </w:t>
      </w:r>
      <w:r w:rsidR="0006348B">
        <w:rPr>
          <w:rFonts w:ascii="Times New Roman" w:eastAsia="Times New Roman" w:hAnsi="Times New Roman" w:cs="Times New Roman"/>
          <w:sz w:val="24"/>
          <w:szCs w:val="24"/>
          <w:lang w:val="en"/>
        </w:rPr>
        <w:t>IDR</w:t>
      </w:r>
      <w:r w:rsidRPr="00DB2720">
        <w:rPr>
          <w:rFonts w:ascii="Times New Roman" w:eastAsia="Times New Roman" w:hAnsi="Times New Roman" w:cs="Times New Roman"/>
          <w:sz w:val="24"/>
          <w:szCs w:val="24"/>
          <w:lang w:val="en"/>
        </w:rPr>
        <w:t xml:space="preserve">.00 spent generates </w:t>
      </w:r>
      <w:r w:rsidR="0006348B">
        <w:rPr>
          <w:rFonts w:ascii="Times New Roman" w:eastAsia="Times New Roman" w:hAnsi="Times New Roman" w:cs="Times New Roman"/>
          <w:sz w:val="24"/>
          <w:szCs w:val="24"/>
          <w:lang w:val="en"/>
        </w:rPr>
        <w:t>IDR</w:t>
      </w:r>
      <w:r w:rsidRPr="00DB2720">
        <w:rPr>
          <w:rFonts w:ascii="Times New Roman" w:eastAsia="Times New Roman" w:hAnsi="Times New Roman" w:cs="Times New Roman"/>
          <w:sz w:val="24"/>
          <w:szCs w:val="24"/>
          <w:lang w:val="en"/>
        </w:rPr>
        <w:t xml:space="preserve">.19 in revenue. </w:t>
      </w:r>
    </w:p>
    <w:p w14:paraId="48D869C6" w14:textId="315EBE40" w:rsidR="006862F8" w:rsidRDefault="006862F8" w:rsidP="00DB2720">
      <w:pPr>
        <w:spacing w:after="0" w:line="240" w:lineRule="auto"/>
        <w:ind w:left="426" w:hanging="426"/>
        <w:jc w:val="both"/>
        <w:rPr>
          <w:rFonts w:ascii="Times New Roman" w:eastAsia="Times New Roman" w:hAnsi="Times New Roman" w:cs="Times New Roman"/>
          <w:sz w:val="24"/>
          <w:szCs w:val="24"/>
          <w:lang w:val="en"/>
        </w:rPr>
      </w:pPr>
    </w:p>
    <w:p w14:paraId="1AB5779E" w14:textId="3EBA9E1F" w:rsidR="006862F8" w:rsidRDefault="006862F8" w:rsidP="00DB2720">
      <w:pPr>
        <w:spacing w:after="0" w:line="240" w:lineRule="auto"/>
        <w:ind w:left="426" w:hanging="426"/>
        <w:jc w:val="both"/>
        <w:rPr>
          <w:rFonts w:ascii="Times New Roman" w:eastAsia="Times New Roman" w:hAnsi="Times New Roman" w:cs="Times New Roman"/>
          <w:sz w:val="24"/>
          <w:szCs w:val="24"/>
          <w:lang w:val="en"/>
        </w:rPr>
      </w:pPr>
    </w:p>
    <w:p w14:paraId="1850EE2B" w14:textId="73CDB877" w:rsidR="006862F8" w:rsidRDefault="006862F8" w:rsidP="00DB2720">
      <w:pPr>
        <w:spacing w:after="0" w:line="240" w:lineRule="auto"/>
        <w:ind w:left="426" w:hanging="426"/>
        <w:jc w:val="both"/>
        <w:rPr>
          <w:rFonts w:ascii="Times New Roman" w:eastAsia="Times New Roman" w:hAnsi="Times New Roman" w:cs="Times New Roman"/>
          <w:sz w:val="24"/>
          <w:szCs w:val="24"/>
          <w:lang w:val="en"/>
        </w:rPr>
      </w:pPr>
    </w:p>
    <w:p w14:paraId="1E3DEDCC" w14:textId="77777777" w:rsidR="006862F8" w:rsidRPr="008B29DF" w:rsidRDefault="006862F8" w:rsidP="006862F8">
      <w:pPr>
        <w:rPr>
          <w:b/>
          <w:highlight w:val="yellow"/>
        </w:rPr>
      </w:pPr>
      <w:bookmarkStart w:id="0" w:name="_Hlk190852809"/>
      <w:r w:rsidRPr="008B29DF">
        <w:rPr>
          <w:b/>
          <w:highlight w:val="yellow"/>
        </w:rPr>
        <w:t>Disclaimer (Artificial intelligence)</w:t>
      </w:r>
    </w:p>
    <w:p w14:paraId="48D85A50" w14:textId="77777777" w:rsidR="006862F8" w:rsidRPr="000A6323" w:rsidRDefault="006862F8" w:rsidP="006862F8">
      <w:pPr>
        <w:rPr>
          <w:highlight w:val="yellow"/>
        </w:rPr>
      </w:pPr>
      <w:r w:rsidRPr="000A6323">
        <w:rPr>
          <w:highlight w:val="yellow"/>
        </w:rPr>
        <w:t xml:space="preserve">Option 1: </w:t>
      </w:r>
    </w:p>
    <w:p w14:paraId="2F0D9989" w14:textId="77777777" w:rsidR="006862F8" w:rsidRPr="000A6323" w:rsidRDefault="006862F8" w:rsidP="006862F8">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0"/>
    <w:p w14:paraId="362AAD0F" w14:textId="77777777" w:rsidR="006862F8" w:rsidRDefault="006862F8" w:rsidP="00DB2720">
      <w:pPr>
        <w:spacing w:after="0" w:line="240" w:lineRule="auto"/>
        <w:ind w:left="426" w:hanging="426"/>
        <w:jc w:val="both"/>
        <w:rPr>
          <w:rFonts w:ascii="Times New Roman" w:eastAsia="Times New Roman" w:hAnsi="Times New Roman" w:cs="Times New Roman"/>
          <w:sz w:val="24"/>
          <w:szCs w:val="24"/>
          <w:lang w:val="en"/>
        </w:rPr>
      </w:pPr>
    </w:p>
    <w:p w14:paraId="32B928A6" w14:textId="77777777" w:rsidR="00DB2720" w:rsidRDefault="00DB2720" w:rsidP="00DB2720">
      <w:pPr>
        <w:spacing w:after="0" w:line="240" w:lineRule="auto"/>
        <w:jc w:val="both"/>
        <w:rPr>
          <w:rFonts w:ascii="Times New Roman" w:eastAsia="Times New Roman" w:hAnsi="Times New Roman" w:cs="Times New Roman"/>
          <w:sz w:val="24"/>
          <w:szCs w:val="24"/>
          <w:lang w:val="en"/>
        </w:rPr>
      </w:pPr>
    </w:p>
    <w:p w14:paraId="63206517" w14:textId="22D45E29" w:rsidR="00DB2720" w:rsidRDefault="00A91292" w:rsidP="00DB2720">
      <w:pPr>
        <w:spacing w:after="0" w:line="240" w:lineRule="auto"/>
        <w:jc w:val="both"/>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References</w:t>
      </w:r>
    </w:p>
    <w:p w14:paraId="482D087C" w14:textId="77777777" w:rsidR="00A91292" w:rsidRPr="00DB2720" w:rsidRDefault="00A91292" w:rsidP="00DB2720">
      <w:pPr>
        <w:spacing w:after="0" w:line="240" w:lineRule="auto"/>
        <w:jc w:val="both"/>
        <w:rPr>
          <w:rFonts w:ascii="Times New Roman" w:eastAsia="Times New Roman" w:hAnsi="Times New Roman" w:cs="Times New Roman"/>
          <w:b/>
          <w:bCs/>
          <w:sz w:val="24"/>
          <w:szCs w:val="24"/>
          <w:lang w:val="en"/>
        </w:rPr>
      </w:pPr>
    </w:p>
    <w:p w14:paraId="7AB49A5E" w14:textId="787A051D"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Astuti</w:t>
      </w:r>
      <w:proofErr w:type="spellEnd"/>
      <w:r w:rsidRPr="00DB2720">
        <w:rPr>
          <w:rFonts w:ascii="Times New Roman" w:eastAsia="Times New Roman" w:hAnsi="Times New Roman" w:cs="Times New Roman"/>
          <w:sz w:val="24"/>
          <w:szCs w:val="24"/>
          <w:lang w:val="en"/>
        </w:rPr>
        <w:t xml:space="preserve">, Y. K.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BPDPKS Supports </w:t>
      </w:r>
      <w:r w:rsidR="00BC5709">
        <w:rPr>
          <w:rFonts w:ascii="Times New Roman" w:eastAsia="Times New Roman" w:hAnsi="Times New Roman" w:cs="Times New Roman"/>
          <w:sz w:val="24"/>
          <w:szCs w:val="24"/>
          <w:lang w:val="en"/>
        </w:rPr>
        <w:t xml:space="preserve">the </w:t>
      </w:r>
      <w:r w:rsidRPr="00DB2720">
        <w:rPr>
          <w:rFonts w:ascii="Times New Roman" w:eastAsia="Times New Roman" w:hAnsi="Times New Roman" w:cs="Times New Roman"/>
          <w:sz w:val="24"/>
          <w:szCs w:val="24"/>
          <w:lang w:val="en"/>
        </w:rPr>
        <w:t xml:space="preserve">Downstream Palm Oil Industry to Improve the People's Economy. Financial Media, Ministry of Finance, Republic of Indonesia, Jakarta. </w:t>
      </w:r>
    </w:p>
    <w:p w14:paraId="0D4F6F76" w14:textId="3F13404F"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Central Statistics Agency (BPS). 2024. Agricultural Indicators 2023. Central Statistics Agency, Jakarta. </w:t>
      </w:r>
    </w:p>
    <w:p w14:paraId="6322EA11" w14:textId="03D69383"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Central Statistics Agency of East Kalimantan Province.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East Kalimantan Province in Figures 2024. Central Statistics Agency of East Kalimantan Province, </w:t>
      </w:r>
      <w:proofErr w:type="spellStart"/>
      <w:r w:rsidRPr="00DB2720">
        <w:rPr>
          <w:rFonts w:ascii="Times New Roman" w:eastAsia="Times New Roman" w:hAnsi="Times New Roman" w:cs="Times New Roman"/>
          <w:sz w:val="24"/>
          <w:szCs w:val="24"/>
          <w:lang w:val="en"/>
        </w:rPr>
        <w:t>Samarinda</w:t>
      </w:r>
      <w:proofErr w:type="spellEnd"/>
      <w:r w:rsidRPr="00DB2720">
        <w:rPr>
          <w:rFonts w:ascii="Times New Roman" w:eastAsia="Times New Roman" w:hAnsi="Times New Roman" w:cs="Times New Roman"/>
          <w:sz w:val="24"/>
          <w:szCs w:val="24"/>
          <w:lang w:val="en"/>
        </w:rPr>
        <w:t xml:space="preserve">. </w:t>
      </w:r>
    </w:p>
    <w:p w14:paraId="6F480CD8" w14:textId="5E60FEDA"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Central Statistics Agency of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Regency.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Regency in Figures 2024. Central Statistics Agency of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w:t>
      </w:r>
    </w:p>
    <w:p w14:paraId="230B4E8F" w14:textId="7C2314C1" w:rsidR="00F5412C"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Masitah</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Ahdianti</w:t>
      </w:r>
      <w:proofErr w:type="spellEnd"/>
      <w:r w:rsidRPr="00DB2720">
        <w:rPr>
          <w:rFonts w:ascii="Times New Roman" w:eastAsia="Times New Roman" w:hAnsi="Times New Roman" w:cs="Times New Roman"/>
          <w:sz w:val="24"/>
          <w:szCs w:val="24"/>
          <w:lang w:val="en"/>
        </w:rPr>
        <w:t xml:space="preserve">, A, </w:t>
      </w:r>
      <w:r w:rsidR="00F5412C">
        <w:rPr>
          <w:rFonts w:ascii="Times New Roman" w:eastAsia="Times New Roman" w:hAnsi="Times New Roman" w:cs="Times New Roman"/>
          <w:sz w:val="24"/>
          <w:szCs w:val="24"/>
          <w:lang w:val="en"/>
        </w:rPr>
        <w:t xml:space="preserve">and </w:t>
      </w:r>
      <w:proofErr w:type="spellStart"/>
      <w:r w:rsidRPr="00DB2720">
        <w:rPr>
          <w:rFonts w:ascii="Times New Roman" w:eastAsia="Times New Roman" w:hAnsi="Times New Roman" w:cs="Times New Roman"/>
          <w:sz w:val="24"/>
          <w:szCs w:val="24"/>
          <w:lang w:val="en"/>
        </w:rPr>
        <w:t>Nursalam</w:t>
      </w:r>
      <w:proofErr w:type="spellEnd"/>
      <w:r w:rsidRPr="00DB2720">
        <w:rPr>
          <w:rFonts w:ascii="Times New Roman" w:eastAsia="Times New Roman" w:hAnsi="Times New Roman" w:cs="Times New Roman"/>
          <w:sz w:val="24"/>
          <w:szCs w:val="24"/>
          <w:lang w:val="en"/>
        </w:rPr>
        <w:t xml:space="preserve">. (2023). Feasibility of Self-Help Palm Oil Farming in </w:t>
      </w:r>
      <w:proofErr w:type="spellStart"/>
      <w:r w:rsidRPr="00DB2720">
        <w:rPr>
          <w:rFonts w:ascii="Times New Roman" w:eastAsia="Times New Roman" w:hAnsi="Times New Roman" w:cs="Times New Roman"/>
          <w:sz w:val="24"/>
          <w:szCs w:val="24"/>
          <w:lang w:val="en"/>
        </w:rPr>
        <w:t>Puudongi</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Polinggona</w:t>
      </w:r>
      <w:proofErr w:type="spellEnd"/>
      <w:r w:rsidRPr="00DB2720">
        <w:rPr>
          <w:rFonts w:ascii="Times New Roman" w:eastAsia="Times New Roman" w:hAnsi="Times New Roman" w:cs="Times New Roman"/>
          <w:sz w:val="24"/>
          <w:szCs w:val="24"/>
          <w:lang w:val="en"/>
        </w:rPr>
        <w:t xml:space="preserve"> District, </w:t>
      </w:r>
      <w:proofErr w:type="spellStart"/>
      <w:r w:rsidRPr="00DB2720">
        <w:rPr>
          <w:rFonts w:ascii="Times New Roman" w:eastAsia="Times New Roman" w:hAnsi="Times New Roman" w:cs="Times New Roman"/>
          <w:sz w:val="24"/>
          <w:szCs w:val="24"/>
          <w:lang w:val="en"/>
        </w:rPr>
        <w:t>Kolaka</w:t>
      </w:r>
      <w:proofErr w:type="spellEnd"/>
      <w:r w:rsidRPr="00DB2720">
        <w:rPr>
          <w:rFonts w:ascii="Times New Roman" w:eastAsia="Times New Roman" w:hAnsi="Times New Roman" w:cs="Times New Roman"/>
          <w:sz w:val="24"/>
          <w:szCs w:val="24"/>
          <w:lang w:val="en"/>
        </w:rPr>
        <w:t xml:space="preserve"> Regency. Journal of Agribusiness Science, 3(2), 86-91. </w:t>
      </w:r>
    </w:p>
    <w:p w14:paraId="191B3D07" w14:textId="78F0D12A" w:rsidR="00F5412C"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Maxionaris</w:t>
      </w:r>
      <w:proofErr w:type="spellEnd"/>
      <w:r w:rsidRPr="00DB2720">
        <w:rPr>
          <w:rFonts w:ascii="Times New Roman" w:eastAsia="Times New Roman" w:hAnsi="Times New Roman" w:cs="Times New Roman"/>
          <w:sz w:val="24"/>
          <w:szCs w:val="24"/>
          <w:lang w:val="en"/>
        </w:rPr>
        <w:t xml:space="preserv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2021</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Potential Profile of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III Village in 2021. </w:t>
      </w:r>
      <w:proofErr w:type="spellStart"/>
      <w:r w:rsidRPr="00DB2720">
        <w:rPr>
          <w:rFonts w:ascii="Times New Roman" w:eastAsia="Times New Roman" w:hAnsi="Times New Roman" w:cs="Times New Roman"/>
          <w:sz w:val="24"/>
          <w:szCs w:val="24"/>
          <w:lang w:val="en"/>
        </w:rPr>
        <w:t>Marga</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Mulia</w:t>
      </w:r>
      <w:proofErr w:type="spellEnd"/>
      <w:r w:rsidRPr="00DB2720">
        <w:rPr>
          <w:rFonts w:ascii="Times New Roman" w:eastAsia="Times New Roman" w:hAnsi="Times New Roman" w:cs="Times New Roman"/>
          <w:sz w:val="24"/>
          <w:szCs w:val="24"/>
          <w:lang w:val="en"/>
        </w:rPr>
        <w:t xml:space="preserve"> Village Government, East </w:t>
      </w:r>
      <w:proofErr w:type="spellStart"/>
      <w:r w:rsidRPr="00DB2720">
        <w:rPr>
          <w:rFonts w:ascii="Times New Roman" w:eastAsia="Times New Roman" w:hAnsi="Times New Roman" w:cs="Times New Roman"/>
          <w:sz w:val="24"/>
          <w:szCs w:val="24"/>
          <w:lang w:val="en"/>
        </w:rPr>
        <w:t>Kutai</w:t>
      </w:r>
      <w:proofErr w:type="spellEnd"/>
      <w:r w:rsidRPr="00DB2720">
        <w:rPr>
          <w:rFonts w:ascii="Times New Roman" w:eastAsia="Times New Roman" w:hAnsi="Times New Roman" w:cs="Times New Roman"/>
          <w:sz w:val="24"/>
          <w:szCs w:val="24"/>
          <w:lang w:val="en"/>
        </w:rPr>
        <w:t xml:space="preserve">. Noor, H. F. 2007. Managerial Economics. </w:t>
      </w:r>
      <w:proofErr w:type="spellStart"/>
      <w:r w:rsidRPr="00DB2720">
        <w:rPr>
          <w:rFonts w:ascii="Times New Roman" w:eastAsia="Times New Roman" w:hAnsi="Times New Roman" w:cs="Times New Roman"/>
          <w:sz w:val="24"/>
          <w:szCs w:val="24"/>
          <w:lang w:val="en"/>
        </w:rPr>
        <w:t>RajaGrafindo</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Persada</w:t>
      </w:r>
      <w:proofErr w:type="spellEnd"/>
      <w:r w:rsidRPr="00DB2720">
        <w:rPr>
          <w:rFonts w:ascii="Times New Roman" w:eastAsia="Times New Roman" w:hAnsi="Times New Roman" w:cs="Times New Roman"/>
          <w:sz w:val="24"/>
          <w:szCs w:val="24"/>
          <w:lang w:val="en"/>
        </w:rPr>
        <w:t xml:space="preserve">, Jakarta. </w:t>
      </w:r>
    </w:p>
    <w:p w14:paraId="365D1FC6" w14:textId="3AC90309"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t xml:space="preserve">Nur, A., I. </w:t>
      </w:r>
      <w:proofErr w:type="spellStart"/>
      <w:r w:rsidRPr="00DB2720">
        <w:rPr>
          <w:rFonts w:ascii="Times New Roman" w:eastAsia="Times New Roman" w:hAnsi="Times New Roman" w:cs="Times New Roman"/>
          <w:sz w:val="24"/>
          <w:szCs w:val="24"/>
          <w:lang w:val="en"/>
        </w:rPr>
        <w:t>Maggabarani</w:t>
      </w:r>
      <w:proofErr w:type="spellEnd"/>
      <w:r w:rsidRPr="00DB2720">
        <w:rPr>
          <w:rFonts w:ascii="Times New Roman" w:eastAsia="Times New Roman" w:hAnsi="Times New Roman" w:cs="Times New Roman"/>
          <w:sz w:val="24"/>
          <w:szCs w:val="24"/>
          <w:lang w:val="en"/>
        </w:rPr>
        <w:t xml:space="preserve">, and A. </w:t>
      </w:r>
      <w:proofErr w:type="spellStart"/>
      <w:r w:rsidRPr="00DB2720">
        <w:rPr>
          <w:rFonts w:ascii="Times New Roman" w:eastAsia="Times New Roman" w:hAnsi="Times New Roman" w:cs="Times New Roman"/>
          <w:sz w:val="24"/>
          <w:szCs w:val="24"/>
          <w:lang w:val="en"/>
        </w:rPr>
        <w:t>Baso</w:t>
      </w:r>
      <w:proofErr w:type="spellEnd"/>
      <w:r w:rsidRPr="00DB2720">
        <w:rPr>
          <w:rFonts w:ascii="Times New Roman" w:eastAsia="Times New Roman" w:hAnsi="Times New Roman" w:cs="Times New Roman"/>
          <w:sz w:val="24"/>
          <w:szCs w:val="24"/>
          <w:lang w:val="en"/>
        </w:rPr>
        <w:t xml:space="preserv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2023</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Feasibility Analysis of Oil Palm Farming (Case Study of </w:t>
      </w:r>
      <w:proofErr w:type="spellStart"/>
      <w:r w:rsidRPr="00DB2720">
        <w:rPr>
          <w:rFonts w:ascii="Times New Roman" w:eastAsia="Times New Roman" w:hAnsi="Times New Roman" w:cs="Times New Roman"/>
          <w:sz w:val="24"/>
          <w:szCs w:val="24"/>
          <w:lang w:val="en"/>
        </w:rPr>
        <w:t>Bojo</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Budong-Budong</w:t>
      </w:r>
      <w:proofErr w:type="spellEnd"/>
      <w:r w:rsidRPr="00DB2720">
        <w:rPr>
          <w:rFonts w:ascii="Times New Roman" w:eastAsia="Times New Roman" w:hAnsi="Times New Roman" w:cs="Times New Roman"/>
          <w:sz w:val="24"/>
          <w:szCs w:val="24"/>
          <w:lang w:val="en"/>
        </w:rPr>
        <w:t xml:space="preserve"> District, Central </w:t>
      </w:r>
      <w:proofErr w:type="spellStart"/>
      <w:r w:rsidRPr="00DB2720">
        <w:rPr>
          <w:rFonts w:ascii="Times New Roman" w:eastAsia="Times New Roman" w:hAnsi="Times New Roman" w:cs="Times New Roman"/>
          <w:sz w:val="24"/>
          <w:szCs w:val="24"/>
          <w:lang w:val="en"/>
        </w:rPr>
        <w:t>Mamuju</w:t>
      </w:r>
      <w:proofErr w:type="spellEnd"/>
      <w:r w:rsidRPr="00DB2720">
        <w:rPr>
          <w:rFonts w:ascii="Times New Roman" w:eastAsia="Times New Roman" w:hAnsi="Times New Roman" w:cs="Times New Roman"/>
          <w:sz w:val="24"/>
          <w:szCs w:val="24"/>
          <w:lang w:val="en"/>
        </w:rPr>
        <w:t xml:space="preserve"> Regency). </w:t>
      </w:r>
      <w:proofErr w:type="spellStart"/>
      <w:r w:rsidRPr="00DB2720">
        <w:rPr>
          <w:rFonts w:ascii="Times New Roman" w:eastAsia="Times New Roman" w:hAnsi="Times New Roman" w:cs="Times New Roman"/>
          <w:sz w:val="24"/>
          <w:szCs w:val="24"/>
          <w:lang w:val="en"/>
        </w:rPr>
        <w:t>Agroterpadu</w:t>
      </w:r>
      <w:proofErr w:type="spellEnd"/>
      <w:r w:rsidRPr="00DB2720">
        <w:rPr>
          <w:rFonts w:ascii="Times New Roman" w:eastAsia="Times New Roman" w:hAnsi="Times New Roman" w:cs="Times New Roman"/>
          <w:sz w:val="24"/>
          <w:szCs w:val="24"/>
          <w:lang w:val="en"/>
        </w:rPr>
        <w:t xml:space="preserve"> Journal, Volume 2, Number 3, December 2023, 307-311 </w:t>
      </w:r>
    </w:p>
    <w:p w14:paraId="574CF6E7" w14:textId="55FB6FAC"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Pracoyo</w:t>
      </w:r>
      <w:proofErr w:type="spellEnd"/>
      <w:r w:rsidRPr="00DB2720">
        <w:rPr>
          <w:rFonts w:ascii="Times New Roman" w:eastAsia="Times New Roman" w:hAnsi="Times New Roman" w:cs="Times New Roman"/>
          <w:sz w:val="24"/>
          <w:szCs w:val="24"/>
          <w:lang w:val="en"/>
        </w:rPr>
        <w:t xml:space="preserve">, T. K., &amp; </w:t>
      </w:r>
      <w:proofErr w:type="spellStart"/>
      <w:r w:rsidRPr="00DB2720">
        <w:rPr>
          <w:rFonts w:ascii="Times New Roman" w:eastAsia="Times New Roman" w:hAnsi="Times New Roman" w:cs="Times New Roman"/>
          <w:sz w:val="24"/>
          <w:szCs w:val="24"/>
          <w:lang w:val="en"/>
        </w:rPr>
        <w:t>Pracoyo</w:t>
      </w:r>
      <w:proofErr w:type="spellEnd"/>
      <w:r w:rsidRPr="00DB2720">
        <w:rPr>
          <w:rFonts w:ascii="Times New Roman" w:eastAsia="Times New Roman" w:hAnsi="Times New Roman" w:cs="Times New Roman"/>
          <w:sz w:val="24"/>
          <w:szCs w:val="24"/>
          <w:lang w:val="en"/>
        </w:rPr>
        <w:t xml:space="preserve">, A.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2006</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Basic Aspects of Microeconomics. </w:t>
      </w:r>
      <w:proofErr w:type="spellStart"/>
      <w:r w:rsidRPr="00DB2720">
        <w:rPr>
          <w:rFonts w:ascii="Times New Roman" w:eastAsia="Times New Roman" w:hAnsi="Times New Roman" w:cs="Times New Roman"/>
          <w:sz w:val="24"/>
          <w:szCs w:val="24"/>
          <w:lang w:val="en"/>
        </w:rPr>
        <w:t>Grasindo</w:t>
      </w:r>
      <w:proofErr w:type="spellEnd"/>
      <w:r w:rsidRPr="00DB2720">
        <w:rPr>
          <w:rFonts w:ascii="Times New Roman" w:eastAsia="Times New Roman" w:hAnsi="Times New Roman" w:cs="Times New Roman"/>
          <w:sz w:val="24"/>
          <w:szCs w:val="24"/>
          <w:lang w:val="en"/>
        </w:rPr>
        <w:t xml:space="preserve">, Jakarta. </w:t>
      </w:r>
      <w:proofErr w:type="spellStart"/>
      <w:r w:rsidRPr="00DB2720">
        <w:rPr>
          <w:rFonts w:ascii="Times New Roman" w:eastAsia="Times New Roman" w:hAnsi="Times New Roman" w:cs="Times New Roman"/>
          <w:sz w:val="24"/>
          <w:szCs w:val="24"/>
          <w:lang w:val="en"/>
        </w:rPr>
        <w:t>Prasetyo</w:t>
      </w:r>
      <w:proofErr w:type="spellEnd"/>
      <w:r w:rsidRPr="00DB2720">
        <w:rPr>
          <w:rFonts w:ascii="Times New Roman" w:eastAsia="Times New Roman" w:hAnsi="Times New Roman" w:cs="Times New Roman"/>
          <w:sz w:val="24"/>
          <w:szCs w:val="24"/>
          <w:lang w:val="en"/>
        </w:rPr>
        <w:t xml:space="preserve">, F. 2025. Feasibility Analysis of Smallholder Oil Palm Farming (Case Study: Bukit </w:t>
      </w:r>
      <w:proofErr w:type="spellStart"/>
      <w:r w:rsidRPr="00DB2720">
        <w:rPr>
          <w:rFonts w:ascii="Times New Roman" w:eastAsia="Times New Roman" w:hAnsi="Times New Roman" w:cs="Times New Roman"/>
          <w:sz w:val="24"/>
          <w:szCs w:val="24"/>
          <w:lang w:val="en"/>
        </w:rPr>
        <w:t>Harapan</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Gunung</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Meriah</w:t>
      </w:r>
      <w:proofErr w:type="spellEnd"/>
      <w:r w:rsidRPr="00DB2720">
        <w:rPr>
          <w:rFonts w:ascii="Times New Roman" w:eastAsia="Times New Roman" w:hAnsi="Times New Roman" w:cs="Times New Roman"/>
          <w:sz w:val="24"/>
          <w:szCs w:val="24"/>
          <w:lang w:val="en"/>
        </w:rPr>
        <w:t xml:space="preserve"> District, Aceh </w:t>
      </w:r>
      <w:proofErr w:type="spellStart"/>
      <w:r w:rsidRPr="00DB2720">
        <w:rPr>
          <w:rFonts w:ascii="Times New Roman" w:eastAsia="Times New Roman" w:hAnsi="Times New Roman" w:cs="Times New Roman"/>
          <w:sz w:val="24"/>
          <w:szCs w:val="24"/>
          <w:lang w:val="en"/>
        </w:rPr>
        <w:t>Singkil</w:t>
      </w:r>
      <w:proofErr w:type="spellEnd"/>
      <w:r w:rsidRPr="00DB2720">
        <w:rPr>
          <w:rFonts w:ascii="Times New Roman" w:eastAsia="Times New Roman" w:hAnsi="Times New Roman" w:cs="Times New Roman"/>
          <w:sz w:val="24"/>
          <w:szCs w:val="24"/>
          <w:lang w:val="en"/>
        </w:rPr>
        <w:t xml:space="preserve"> Regency). Thesis, Agribusiness Study Program, Faculty of Agriculture, University of Medan Area, Medan. </w:t>
      </w:r>
    </w:p>
    <w:p w14:paraId="71D4BA57" w14:textId="291EBEBD" w:rsidR="00DB2720" w:rsidRDefault="00DB2720" w:rsidP="00DB2720">
      <w:pPr>
        <w:spacing w:after="0" w:line="240" w:lineRule="auto"/>
        <w:ind w:left="567" w:hanging="567"/>
        <w:jc w:val="both"/>
        <w:rPr>
          <w:rFonts w:ascii="Times New Roman" w:eastAsia="Times New Roman" w:hAnsi="Times New Roman" w:cs="Times New Roman"/>
          <w:sz w:val="24"/>
          <w:szCs w:val="24"/>
          <w:lang w:val="en"/>
        </w:rPr>
      </w:pPr>
      <w:r w:rsidRPr="00DB2720">
        <w:rPr>
          <w:rFonts w:ascii="Times New Roman" w:eastAsia="Times New Roman" w:hAnsi="Times New Roman" w:cs="Times New Roman"/>
          <w:sz w:val="24"/>
          <w:szCs w:val="24"/>
          <w:lang w:val="en"/>
        </w:rPr>
        <w:lastRenderedPageBreak/>
        <w:t xml:space="preserve">Secretariat General, Ministry of Agriculture.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Analysis of Palm Oil Commodity Trade Performance. Center for Agricultural Data and Information Systems, Secretariat General, Ministry of Agriculture, Jakarta. </w:t>
      </w:r>
    </w:p>
    <w:p w14:paraId="436949A2" w14:textId="786E3BCC" w:rsidR="005C7F9C" w:rsidRPr="005C7F9C" w:rsidRDefault="005C7F9C" w:rsidP="005C7F9C">
      <w:pPr>
        <w:spacing w:after="0" w:line="240" w:lineRule="auto"/>
        <w:ind w:left="567" w:hanging="567"/>
        <w:jc w:val="both"/>
        <w:rPr>
          <w:rFonts w:ascii="Times New Roman" w:hAnsi="Times New Roman" w:cs="Times New Roman"/>
        </w:rPr>
      </w:pPr>
      <w:r w:rsidRPr="005C7F9C">
        <w:rPr>
          <w:rFonts w:ascii="Times New Roman" w:hAnsi="Times New Roman" w:cs="Times New Roman"/>
          <w:highlight w:val="yellow"/>
        </w:rPr>
        <w:t xml:space="preserve">Siswati, L, E. </w:t>
      </w:r>
      <w:proofErr w:type="spellStart"/>
      <w:r w:rsidRPr="005C7F9C">
        <w:rPr>
          <w:rFonts w:ascii="Times New Roman" w:hAnsi="Times New Roman" w:cs="Times New Roman"/>
          <w:highlight w:val="yellow"/>
        </w:rPr>
        <w:t>Insusanty</w:t>
      </w:r>
      <w:proofErr w:type="spellEnd"/>
      <w:r w:rsidRPr="005C7F9C">
        <w:rPr>
          <w:rFonts w:ascii="Times New Roman" w:hAnsi="Times New Roman" w:cs="Times New Roman"/>
          <w:highlight w:val="yellow"/>
        </w:rPr>
        <w:t xml:space="preserve">, N Susi, R Nizar, and A </w:t>
      </w:r>
      <w:proofErr w:type="spellStart"/>
      <w:r w:rsidRPr="005C7F9C">
        <w:rPr>
          <w:rFonts w:ascii="Times New Roman" w:hAnsi="Times New Roman" w:cs="Times New Roman"/>
          <w:highlight w:val="yellow"/>
        </w:rPr>
        <w:t>Wahyudiono</w:t>
      </w:r>
      <w:proofErr w:type="spellEnd"/>
      <w:r w:rsidRPr="005C7F9C">
        <w:rPr>
          <w:rFonts w:ascii="Times New Roman" w:hAnsi="Times New Roman" w:cs="Times New Roman"/>
          <w:highlight w:val="yellow"/>
        </w:rPr>
        <w:t xml:space="preserve">.  (2023).  Analysis of oil palm smallholder income during replanting in </w:t>
      </w:r>
      <w:proofErr w:type="spellStart"/>
      <w:r w:rsidRPr="005C7F9C">
        <w:rPr>
          <w:rFonts w:ascii="Times New Roman" w:hAnsi="Times New Roman" w:cs="Times New Roman"/>
          <w:highlight w:val="yellow"/>
        </w:rPr>
        <w:t>Siak</w:t>
      </w:r>
      <w:proofErr w:type="spellEnd"/>
      <w:r w:rsidRPr="005C7F9C">
        <w:rPr>
          <w:rFonts w:ascii="Times New Roman" w:hAnsi="Times New Roman" w:cs="Times New Roman"/>
          <w:highlight w:val="yellow"/>
        </w:rPr>
        <w:t xml:space="preserve"> Regency,</w:t>
      </w:r>
      <w:r w:rsidR="00E54015">
        <w:rPr>
          <w:rFonts w:ascii="Times New Roman" w:hAnsi="Times New Roman" w:cs="Times New Roman"/>
          <w:highlight w:val="yellow"/>
        </w:rPr>
        <w:t xml:space="preserve"> </w:t>
      </w:r>
      <w:r w:rsidRPr="005C7F9C">
        <w:rPr>
          <w:rFonts w:ascii="Times New Roman" w:hAnsi="Times New Roman" w:cs="Times New Roman"/>
          <w:highlight w:val="yellow"/>
        </w:rPr>
        <w:t xml:space="preserve">Riau.  2nd </w:t>
      </w:r>
      <w:proofErr w:type="spellStart"/>
      <w:r w:rsidRPr="005C7F9C">
        <w:rPr>
          <w:rFonts w:ascii="Times New Roman" w:hAnsi="Times New Roman" w:cs="Times New Roman"/>
          <w:highlight w:val="yellow"/>
        </w:rPr>
        <w:t>Agrifood</w:t>
      </w:r>
      <w:proofErr w:type="spellEnd"/>
      <w:r w:rsidRPr="005C7F9C">
        <w:rPr>
          <w:rFonts w:ascii="Times New Roman" w:hAnsi="Times New Roman" w:cs="Times New Roman"/>
          <w:highlight w:val="yellow"/>
        </w:rPr>
        <w:t xml:space="preserve"> System International Conference (ASIC-2022) IOP Conf. Series: Earth and Environmental Science 1160 (2023) 012067. doi:10.1088/1755-1315/1160/1/012067.</w:t>
      </w:r>
    </w:p>
    <w:p w14:paraId="010AAB82" w14:textId="5EC19476" w:rsidR="00DB2720" w:rsidRDefault="00DB2720" w:rsidP="005C7F9C">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Soekarwati</w:t>
      </w:r>
      <w:proofErr w:type="spellEnd"/>
      <w:r w:rsidRPr="00DB2720">
        <w:rPr>
          <w:rFonts w:ascii="Times New Roman" w:eastAsia="Times New Roman" w:hAnsi="Times New Roman" w:cs="Times New Roman"/>
          <w:sz w:val="24"/>
          <w:szCs w:val="24"/>
          <w:lang w:val="en"/>
        </w:rPr>
        <w:t xml:space="preserve">. (2003). Production Economic Theory: With the Topic of Cobb-Douglas Function Analysis. </w:t>
      </w:r>
      <w:proofErr w:type="spellStart"/>
      <w:r w:rsidRPr="00DB2720">
        <w:rPr>
          <w:rFonts w:ascii="Times New Roman" w:eastAsia="Times New Roman" w:hAnsi="Times New Roman" w:cs="Times New Roman"/>
          <w:sz w:val="24"/>
          <w:szCs w:val="24"/>
          <w:lang w:val="en"/>
        </w:rPr>
        <w:t>RajaGrafindo</w:t>
      </w:r>
      <w:proofErr w:type="spellEnd"/>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Persada</w:t>
      </w:r>
      <w:proofErr w:type="spellEnd"/>
      <w:r w:rsidRPr="00DB2720">
        <w:rPr>
          <w:rFonts w:ascii="Times New Roman" w:eastAsia="Times New Roman" w:hAnsi="Times New Roman" w:cs="Times New Roman"/>
          <w:sz w:val="24"/>
          <w:szCs w:val="24"/>
          <w:lang w:val="en"/>
        </w:rPr>
        <w:t xml:space="preserve">, Jakarta. </w:t>
      </w:r>
    </w:p>
    <w:p w14:paraId="684E577D" w14:textId="50C74409" w:rsidR="00DB2720" w:rsidRDefault="00DB2720" w:rsidP="005C7F9C">
      <w:pPr>
        <w:spacing w:after="0" w:line="240" w:lineRule="auto"/>
        <w:ind w:left="567" w:hanging="567"/>
        <w:jc w:val="both"/>
        <w:rPr>
          <w:rFonts w:ascii="Times New Roman" w:eastAsia="Times New Roman" w:hAnsi="Times New Roman" w:cs="Times New Roman"/>
          <w:sz w:val="24"/>
          <w:szCs w:val="24"/>
          <w:lang w:val="en"/>
        </w:rPr>
      </w:pPr>
      <w:proofErr w:type="spellStart"/>
      <w:r w:rsidRPr="00DB2720">
        <w:rPr>
          <w:rFonts w:ascii="Times New Roman" w:eastAsia="Times New Roman" w:hAnsi="Times New Roman" w:cs="Times New Roman"/>
          <w:sz w:val="24"/>
          <w:szCs w:val="24"/>
          <w:lang w:val="en"/>
        </w:rPr>
        <w:t>Sugiyono</w:t>
      </w:r>
      <w:proofErr w:type="spellEnd"/>
      <w:r w:rsidRPr="00DB2720">
        <w:rPr>
          <w:rFonts w:ascii="Times New Roman" w:eastAsia="Times New Roman" w:hAnsi="Times New Roman" w:cs="Times New Roman"/>
          <w:sz w:val="24"/>
          <w:szCs w:val="24"/>
          <w:lang w:val="en"/>
        </w:rPr>
        <w:t xml:space="preserve">.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2013</w:t>
      </w:r>
      <w:bookmarkStart w:id="1" w:name="_GoBack"/>
      <w:bookmarkEnd w:id="1"/>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Quantitative, Qualitative Research Methods, and R&amp;D. </w:t>
      </w:r>
      <w:proofErr w:type="spellStart"/>
      <w:r w:rsidRPr="00DB2720">
        <w:rPr>
          <w:rFonts w:ascii="Times New Roman" w:eastAsia="Times New Roman" w:hAnsi="Times New Roman" w:cs="Times New Roman"/>
          <w:sz w:val="24"/>
          <w:szCs w:val="24"/>
          <w:lang w:val="en"/>
        </w:rPr>
        <w:t>Alfabeta</w:t>
      </w:r>
      <w:proofErr w:type="spellEnd"/>
      <w:r w:rsidRPr="00DB2720">
        <w:rPr>
          <w:rFonts w:ascii="Times New Roman" w:eastAsia="Times New Roman" w:hAnsi="Times New Roman" w:cs="Times New Roman"/>
          <w:sz w:val="24"/>
          <w:szCs w:val="24"/>
          <w:lang w:val="en"/>
        </w:rPr>
        <w:t>, Bandung.</w:t>
      </w:r>
    </w:p>
    <w:p w14:paraId="39CD9CB0" w14:textId="532B8F8C" w:rsidR="00DB2720" w:rsidRPr="00DB2720" w:rsidRDefault="00DB2720" w:rsidP="005C7F9C">
      <w:pPr>
        <w:spacing w:after="0" w:line="240" w:lineRule="auto"/>
        <w:ind w:left="567" w:hanging="567"/>
        <w:jc w:val="both"/>
        <w:rPr>
          <w:rFonts w:ascii="Times New Roman" w:eastAsia="Times New Roman" w:hAnsi="Times New Roman" w:cs="Times New Roman"/>
          <w:sz w:val="24"/>
          <w:szCs w:val="24"/>
        </w:rPr>
      </w:pPr>
      <w:proofErr w:type="spellStart"/>
      <w:r w:rsidRPr="00DB2720">
        <w:rPr>
          <w:rFonts w:ascii="Times New Roman" w:eastAsia="Times New Roman" w:hAnsi="Times New Roman" w:cs="Times New Roman"/>
          <w:sz w:val="24"/>
          <w:szCs w:val="24"/>
          <w:lang w:val="en"/>
        </w:rPr>
        <w:t>Waris</w:t>
      </w:r>
      <w:proofErr w:type="spellEnd"/>
      <w:r w:rsidRPr="00DB2720">
        <w:rPr>
          <w:rFonts w:ascii="Times New Roman" w:eastAsia="Times New Roman" w:hAnsi="Times New Roman" w:cs="Times New Roman"/>
          <w:sz w:val="24"/>
          <w:szCs w:val="24"/>
          <w:lang w:val="en"/>
        </w:rPr>
        <w:t xml:space="preserve">, J. </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2024</w:t>
      </w:r>
      <w:r w:rsidR="00D75FF8">
        <w:rPr>
          <w:rFonts w:ascii="Times New Roman" w:eastAsia="Times New Roman" w:hAnsi="Times New Roman" w:cs="Times New Roman"/>
          <w:sz w:val="24"/>
          <w:szCs w:val="24"/>
          <w:lang w:val="en"/>
        </w:rPr>
        <w:t>)</w:t>
      </w:r>
      <w:r w:rsidRPr="00DB2720">
        <w:rPr>
          <w:rFonts w:ascii="Times New Roman" w:eastAsia="Times New Roman" w:hAnsi="Times New Roman" w:cs="Times New Roman"/>
          <w:sz w:val="24"/>
          <w:szCs w:val="24"/>
          <w:lang w:val="en"/>
        </w:rPr>
        <w:t xml:space="preserve">. Feasibility Analysis of Oil Palm Farming (Case Study: </w:t>
      </w:r>
      <w:proofErr w:type="spellStart"/>
      <w:r w:rsidRPr="00DB2720">
        <w:rPr>
          <w:rFonts w:ascii="Times New Roman" w:eastAsia="Times New Roman" w:hAnsi="Times New Roman" w:cs="Times New Roman"/>
          <w:sz w:val="24"/>
          <w:szCs w:val="24"/>
          <w:lang w:val="en"/>
        </w:rPr>
        <w:t>Malimpung</w:t>
      </w:r>
      <w:proofErr w:type="spellEnd"/>
      <w:r w:rsidRPr="00DB2720">
        <w:rPr>
          <w:rFonts w:ascii="Times New Roman" w:eastAsia="Times New Roman" w:hAnsi="Times New Roman" w:cs="Times New Roman"/>
          <w:sz w:val="24"/>
          <w:szCs w:val="24"/>
          <w:lang w:val="en"/>
        </w:rPr>
        <w:t xml:space="preserve"> Village, </w:t>
      </w:r>
      <w:proofErr w:type="spellStart"/>
      <w:r w:rsidRPr="00DB2720">
        <w:rPr>
          <w:rFonts w:ascii="Times New Roman" w:eastAsia="Times New Roman" w:hAnsi="Times New Roman" w:cs="Times New Roman"/>
          <w:sz w:val="24"/>
          <w:szCs w:val="24"/>
          <w:lang w:val="en"/>
        </w:rPr>
        <w:t>Pajalele</w:t>
      </w:r>
      <w:proofErr w:type="spellEnd"/>
      <w:r w:rsidRPr="00DB2720">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Dusun</w:t>
      </w:r>
      <w:r w:rsidRPr="00DB2720">
        <w:rPr>
          <w:rFonts w:ascii="Times New Roman" w:eastAsia="Times New Roman" w:hAnsi="Times New Roman" w:cs="Times New Roman"/>
          <w:sz w:val="24"/>
          <w:szCs w:val="24"/>
          <w:lang w:val="en"/>
        </w:rPr>
        <w:t xml:space="preserve">, </w:t>
      </w:r>
      <w:proofErr w:type="spellStart"/>
      <w:r w:rsidRPr="00DB2720">
        <w:rPr>
          <w:rFonts w:ascii="Times New Roman" w:eastAsia="Times New Roman" w:hAnsi="Times New Roman" w:cs="Times New Roman"/>
          <w:sz w:val="24"/>
          <w:szCs w:val="24"/>
          <w:lang w:val="en"/>
        </w:rPr>
        <w:t>Patampanua</w:t>
      </w:r>
      <w:proofErr w:type="spellEnd"/>
      <w:r w:rsidRPr="00DB2720">
        <w:rPr>
          <w:rFonts w:ascii="Times New Roman" w:eastAsia="Times New Roman" w:hAnsi="Times New Roman" w:cs="Times New Roman"/>
          <w:sz w:val="24"/>
          <w:szCs w:val="24"/>
          <w:lang w:val="en"/>
        </w:rPr>
        <w:t xml:space="preserve"> District, </w:t>
      </w:r>
      <w:proofErr w:type="spellStart"/>
      <w:r w:rsidRPr="00DB2720">
        <w:rPr>
          <w:rFonts w:ascii="Times New Roman" w:eastAsia="Times New Roman" w:hAnsi="Times New Roman" w:cs="Times New Roman"/>
          <w:sz w:val="24"/>
          <w:szCs w:val="24"/>
          <w:lang w:val="en"/>
        </w:rPr>
        <w:t>Pinrang</w:t>
      </w:r>
      <w:proofErr w:type="spellEnd"/>
      <w:r w:rsidRPr="00DB2720">
        <w:rPr>
          <w:rFonts w:ascii="Times New Roman" w:eastAsia="Times New Roman" w:hAnsi="Times New Roman" w:cs="Times New Roman"/>
          <w:sz w:val="24"/>
          <w:szCs w:val="24"/>
          <w:lang w:val="en"/>
        </w:rPr>
        <w:t xml:space="preserve"> Regency, South Sulawesi). Agribusiness Study Program, Faculty of Agriculture, </w:t>
      </w:r>
      <w:proofErr w:type="spellStart"/>
      <w:r w:rsidRPr="00DB2720">
        <w:rPr>
          <w:rFonts w:ascii="Times New Roman" w:eastAsia="Times New Roman" w:hAnsi="Times New Roman" w:cs="Times New Roman"/>
          <w:sz w:val="24"/>
          <w:szCs w:val="24"/>
          <w:lang w:val="en"/>
        </w:rPr>
        <w:t>Hasanuddin</w:t>
      </w:r>
      <w:proofErr w:type="spellEnd"/>
      <w:r w:rsidRPr="00DB2720">
        <w:rPr>
          <w:rFonts w:ascii="Times New Roman" w:eastAsia="Times New Roman" w:hAnsi="Times New Roman" w:cs="Times New Roman"/>
          <w:sz w:val="24"/>
          <w:szCs w:val="24"/>
          <w:lang w:val="en"/>
        </w:rPr>
        <w:t xml:space="preserve"> University, Makassar.</w:t>
      </w:r>
    </w:p>
    <w:p w14:paraId="64A6B581" w14:textId="77777777" w:rsidR="00DB2720" w:rsidRPr="00A86D58" w:rsidRDefault="00DB2720" w:rsidP="005C7F9C">
      <w:pPr>
        <w:spacing w:after="0" w:line="240" w:lineRule="auto"/>
        <w:ind w:left="567" w:hanging="567"/>
        <w:jc w:val="both"/>
        <w:rPr>
          <w:rFonts w:ascii="Times New Roman" w:eastAsia="Times New Roman" w:hAnsi="Times New Roman" w:cs="Times New Roman"/>
          <w:sz w:val="24"/>
          <w:szCs w:val="24"/>
        </w:rPr>
      </w:pPr>
    </w:p>
    <w:p w14:paraId="79084338" w14:textId="28A3CDD5" w:rsidR="00BE4036" w:rsidRPr="00577F0E" w:rsidRDefault="00BE4036" w:rsidP="005C7F9C">
      <w:pPr>
        <w:ind w:left="567" w:hanging="567"/>
        <w:jc w:val="both"/>
        <w:rPr>
          <w:rFonts w:ascii="Times New Roman" w:hAnsi="Times New Roman" w:cs="Times New Roman"/>
        </w:rPr>
      </w:pPr>
    </w:p>
    <w:sectPr w:rsidR="00BE4036" w:rsidRPr="00577F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85F24" w14:textId="77777777" w:rsidR="00B03AB8" w:rsidRDefault="00B03AB8" w:rsidP="000D179C">
      <w:pPr>
        <w:spacing w:after="0" w:line="240" w:lineRule="auto"/>
      </w:pPr>
      <w:r>
        <w:separator/>
      </w:r>
    </w:p>
  </w:endnote>
  <w:endnote w:type="continuationSeparator" w:id="0">
    <w:p w14:paraId="4F7CFB83" w14:textId="77777777" w:rsidR="00B03AB8" w:rsidRDefault="00B03AB8" w:rsidP="000D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5688" w14:textId="77777777" w:rsidR="000D179C" w:rsidRDefault="000D1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3B813" w14:textId="77777777" w:rsidR="000D179C" w:rsidRDefault="000D1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B677" w14:textId="77777777" w:rsidR="000D179C" w:rsidRDefault="000D1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3F8AE" w14:textId="77777777" w:rsidR="00B03AB8" w:rsidRDefault="00B03AB8" w:rsidP="000D179C">
      <w:pPr>
        <w:spacing w:after="0" w:line="240" w:lineRule="auto"/>
      </w:pPr>
      <w:r>
        <w:separator/>
      </w:r>
    </w:p>
  </w:footnote>
  <w:footnote w:type="continuationSeparator" w:id="0">
    <w:p w14:paraId="2695FE10" w14:textId="77777777" w:rsidR="00B03AB8" w:rsidRDefault="00B03AB8" w:rsidP="000D1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90F8" w14:textId="1F6941A7" w:rsidR="000D179C" w:rsidRDefault="00B03AB8">
    <w:pPr>
      <w:pStyle w:val="Header"/>
    </w:pPr>
    <w:r>
      <w:rPr>
        <w:noProof/>
      </w:rPr>
      <w:pict w14:anchorId="4603E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4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4A125" w14:textId="3F89D043" w:rsidR="000D179C" w:rsidRDefault="00B03AB8">
    <w:pPr>
      <w:pStyle w:val="Header"/>
    </w:pPr>
    <w:r>
      <w:rPr>
        <w:noProof/>
      </w:rPr>
      <w:pict w14:anchorId="46261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4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9119" w14:textId="76452414" w:rsidR="000D179C" w:rsidRDefault="00B03AB8">
    <w:pPr>
      <w:pStyle w:val="Header"/>
    </w:pPr>
    <w:r>
      <w:rPr>
        <w:noProof/>
      </w:rPr>
      <w:pict w14:anchorId="5BD78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04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DBF"/>
    <w:multiLevelType w:val="hybridMultilevel"/>
    <w:tmpl w:val="04F6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3MLY0Njc2MjMwt7RQ0lEKTi0uzszPAykwrQUAV2B1GiwAAAA="/>
  </w:docVars>
  <w:rsids>
    <w:rsidRoot w:val="0036263B"/>
    <w:rsid w:val="0006348B"/>
    <w:rsid w:val="000704E0"/>
    <w:rsid w:val="00092E4C"/>
    <w:rsid w:val="000D179C"/>
    <w:rsid w:val="00181718"/>
    <w:rsid w:val="001C01DF"/>
    <w:rsid w:val="002D749D"/>
    <w:rsid w:val="002E519C"/>
    <w:rsid w:val="0036263B"/>
    <w:rsid w:val="004A3156"/>
    <w:rsid w:val="004B6C89"/>
    <w:rsid w:val="00577F0E"/>
    <w:rsid w:val="005C7F9C"/>
    <w:rsid w:val="005E2E40"/>
    <w:rsid w:val="00604E88"/>
    <w:rsid w:val="00671733"/>
    <w:rsid w:val="006862F8"/>
    <w:rsid w:val="00784925"/>
    <w:rsid w:val="0089555F"/>
    <w:rsid w:val="008B29DF"/>
    <w:rsid w:val="008C1683"/>
    <w:rsid w:val="008F68BB"/>
    <w:rsid w:val="00945701"/>
    <w:rsid w:val="00A469F7"/>
    <w:rsid w:val="00A86D58"/>
    <w:rsid w:val="00A91292"/>
    <w:rsid w:val="00B03AB8"/>
    <w:rsid w:val="00BC5709"/>
    <w:rsid w:val="00BE4036"/>
    <w:rsid w:val="00C34AFF"/>
    <w:rsid w:val="00C62594"/>
    <w:rsid w:val="00C84ED3"/>
    <w:rsid w:val="00CA7D7B"/>
    <w:rsid w:val="00CB2723"/>
    <w:rsid w:val="00CB4DCD"/>
    <w:rsid w:val="00CC65FB"/>
    <w:rsid w:val="00D0439A"/>
    <w:rsid w:val="00D75FF8"/>
    <w:rsid w:val="00D93808"/>
    <w:rsid w:val="00DB2720"/>
    <w:rsid w:val="00DB7D54"/>
    <w:rsid w:val="00E54015"/>
    <w:rsid w:val="00EC6D04"/>
    <w:rsid w:val="00EC7E89"/>
    <w:rsid w:val="00F5412C"/>
    <w:rsid w:val="00FC5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246E26"/>
  <w15:chartTrackingRefBased/>
  <w15:docId w15:val="{D39E5E62-443F-48F1-86FC-5BA99C81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6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626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626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626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626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62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6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626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626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626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626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62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63B"/>
    <w:rPr>
      <w:rFonts w:eastAsiaTheme="majorEastAsia" w:cstheme="majorBidi"/>
      <w:color w:val="272727" w:themeColor="text1" w:themeTint="D8"/>
    </w:rPr>
  </w:style>
  <w:style w:type="paragraph" w:styleId="Title">
    <w:name w:val="Title"/>
    <w:basedOn w:val="Normal"/>
    <w:next w:val="Normal"/>
    <w:link w:val="TitleChar"/>
    <w:uiPriority w:val="10"/>
    <w:qFormat/>
    <w:rsid w:val="00362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6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6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263B"/>
    <w:rPr>
      <w:i/>
      <w:iCs/>
      <w:color w:val="404040" w:themeColor="text1" w:themeTint="BF"/>
    </w:rPr>
  </w:style>
  <w:style w:type="paragraph" w:styleId="ListParagraph">
    <w:name w:val="List Paragraph"/>
    <w:basedOn w:val="Normal"/>
    <w:uiPriority w:val="34"/>
    <w:qFormat/>
    <w:rsid w:val="0036263B"/>
    <w:pPr>
      <w:ind w:left="720"/>
      <w:contextualSpacing/>
    </w:pPr>
  </w:style>
  <w:style w:type="character" w:styleId="IntenseEmphasis">
    <w:name w:val="Intense Emphasis"/>
    <w:basedOn w:val="DefaultParagraphFont"/>
    <w:uiPriority w:val="21"/>
    <w:qFormat/>
    <w:rsid w:val="0036263B"/>
    <w:rPr>
      <w:i/>
      <w:iCs/>
      <w:color w:val="365F91" w:themeColor="accent1" w:themeShade="BF"/>
    </w:rPr>
  </w:style>
  <w:style w:type="paragraph" w:styleId="IntenseQuote">
    <w:name w:val="Intense Quote"/>
    <w:basedOn w:val="Normal"/>
    <w:next w:val="Normal"/>
    <w:link w:val="IntenseQuoteChar"/>
    <w:uiPriority w:val="30"/>
    <w:qFormat/>
    <w:rsid w:val="003626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6263B"/>
    <w:rPr>
      <w:i/>
      <w:iCs/>
      <w:color w:val="365F91" w:themeColor="accent1" w:themeShade="BF"/>
    </w:rPr>
  </w:style>
  <w:style w:type="character" w:styleId="IntenseReference">
    <w:name w:val="Intense Reference"/>
    <w:basedOn w:val="DefaultParagraphFont"/>
    <w:uiPriority w:val="32"/>
    <w:qFormat/>
    <w:rsid w:val="0036263B"/>
    <w:rPr>
      <w:b/>
      <w:bCs/>
      <w:smallCaps/>
      <w:color w:val="365F91" w:themeColor="accent1" w:themeShade="BF"/>
      <w:spacing w:val="5"/>
    </w:rPr>
  </w:style>
  <w:style w:type="character" w:customStyle="1" w:styleId="hwtze">
    <w:name w:val="hwtze"/>
    <w:basedOn w:val="DefaultParagraphFont"/>
    <w:rsid w:val="0036263B"/>
  </w:style>
  <w:style w:type="character" w:customStyle="1" w:styleId="rynqvb">
    <w:name w:val="rynqvb"/>
    <w:basedOn w:val="DefaultParagraphFont"/>
    <w:rsid w:val="0036263B"/>
  </w:style>
  <w:style w:type="character" w:styleId="Hyperlink">
    <w:name w:val="Hyperlink"/>
    <w:basedOn w:val="DefaultParagraphFont"/>
    <w:rsid w:val="0036263B"/>
    <w:rPr>
      <w:color w:val="0066CC"/>
      <w:u w:val="single"/>
    </w:rPr>
  </w:style>
  <w:style w:type="character" w:customStyle="1" w:styleId="Heading10">
    <w:name w:val="Heading #1_"/>
    <w:basedOn w:val="DefaultParagraphFont"/>
    <w:link w:val="Heading11"/>
    <w:rsid w:val="0036263B"/>
    <w:rPr>
      <w:rFonts w:ascii="Times New Roman" w:eastAsia="Times New Roman" w:hAnsi="Times New Roman" w:cs="Times New Roman"/>
      <w:b/>
      <w:bCs/>
      <w:spacing w:val="-10"/>
      <w:sz w:val="26"/>
      <w:szCs w:val="26"/>
      <w:shd w:val="clear" w:color="auto" w:fill="FFFFFF"/>
    </w:rPr>
  </w:style>
  <w:style w:type="character" w:customStyle="1" w:styleId="Bodytext3">
    <w:name w:val="Body text (3)_"/>
    <w:basedOn w:val="DefaultParagraphFont"/>
    <w:link w:val="Bodytext30"/>
    <w:rsid w:val="0036263B"/>
    <w:rPr>
      <w:rFonts w:ascii="Times New Roman" w:eastAsia="Times New Roman" w:hAnsi="Times New Roman" w:cs="Times New Roman"/>
      <w:b/>
      <w:bCs/>
      <w:i/>
      <w:iCs/>
      <w:shd w:val="clear" w:color="auto" w:fill="FFFFFF"/>
    </w:rPr>
  </w:style>
  <w:style w:type="character" w:customStyle="1" w:styleId="Heading20">
    <w:name w:val="Heading #2_"/>
    <w:basedOn w:val="DefaultParagraphFont"/>
    <w:link w:val="Heading21"/>
    <w:rsid w:val="0036263B"/>
    <w:rPr>
      <w:rFonts w:ascii="Times New Roman" w:eastAsia="Times New Roman" w:hAnsi="Times New Roman" w:cs="Times New Roman"/>
      <w:b/>
      <w:bCs/>
      <w:shd w:val="clear" w:color="auto" w:fill="FFFFFF"/>
    </w:rPr>
  </w:style>
  <w:style w:type="character" w:customStyle="1" w:styleId="Bodytext4">
    <w:name w:val="Body text (4)_"/>
    <w:basedOn w:val="DefaultParagraphFont"/>
    <w:link w:val="Bodytext40"/>
    <w:rsid w:val="0036263B"/>
    <w:rPr>
      <w:rFonts w:ascii="Times New Roman" w:eastAsia="Times New Roman" w:hAnsi="Times New Roman" w:cs="Times New Roman"/>
      <w:sz w:val="20"/>
      <w:szCs w:val="20"/>
      <w:shd w:val="clear" w:color="auto" w:fill="FFFFFF"/>
    </w:rPr>
  </w:style>
  <w:style w:type="paragraph" w:customStyle="1" w:styleId="Heading11">
    <w:name w:val="Heading #1"/>
    <w:basedOn w:val="Normal"/>
    <w:link w:val="Heading10"/>
    <w:rsid w:val="0036263B"/>
    <w:pPr>
      <w:widowControl w:val="0"/>
      <w:shd w:val="clear" w:color="auto" w:fill="FFFFFF"/>
      <w:spacing w:after="0" w:line="322" w:lineRule="exact"/>
      <w:jc w:val="center"/>
      <w:outlineLvl w:val="0"/>
    </w:pPr>
    <w:rPr>
      <w:rFonts w:ascii="Times New Roman" w:eastAsia="Times New Roman" w:hAnsi="Times New Roman" w:cs="Times New Roman"/>
      <w:b/>
      <w:bCs/>
      <w:spacing w:val="-10"/>
      <w:sz w:val="26"/>
      <w:szCs w:val="26"/>
    </w:rPr>
  </w:style>
  <w:style w:type="paragraph" w:customStyle="1" w:styleId="Bodytext30">
    <w:name w:val="Body text (3)"/>
    <w:basedOn w:val="Normal"/>
    <w:link w:val="Bodytext3"/>
    <w:rsid w:val="0036263B"/>
    <w:pPr>
      <w:widowControl w:val="0"/>
      <w:shd w:val="clear" w:color="auto" w:fill="FFFFFF"/>
      <w:spacing w:before="180" w:after="180" w:line="278" w:lineRule="exact"/>
      <w:jc w:val="center"/>
    </w:pPr>
    <w:rPr>
      <w:rFonts w:ascii="Times New Roman" w:eastAsia="Times New Roman" w:hAnsi="Times New Roman" w:cs="Times New Roman"/>
      <w:b/>
      <w:bCs/>
      <w:i/>
      <w:iCs/>
    </w:rPr>
  </w:style>
  <w:style w:type="paragraph" w:customStyle="1" w:styleId="Heading21">
    <w:name w:val="Heading #2"/>
    <w:basedOn w:val="Normal"/>
    <w:link w:val="Heading20"/>
    <w:rsid w:val="0036263B"/>
    <w:pPr>
      <w:widowControl w:val="0"/>
      <w:shd w:val="clear" w:color="auto" w:fill="FFFFFF"/>
      <w:spacing w:before="180" w:after="300" w:line="0" w:lineRule="atLeast"/>
      <w:jc w:val="center"/>
      <w:outlineLvl w:val="1"/>
    </w:pPr>
    <w:rPr>
      <w:rFonts w:ascii="Times New Roman" w:eastAsia="Times New Roman" w:hAnsi="Times New Roman" w:cs="Times New Roman"/>
      <w:b/>
      <w:bCs/>
    </w:rPr>
  </w:style>
  <w:style w:type="paragraph" w:customStyle="1" w:styleId="Bodytext40">
    <w:name w:val="Body text (4)"/>
    <w:basedOn w:val="Normal"/>
    <w:link w:val="Bodytext4"/>
    <w:rsid w:val="0036263B"/>
    <w:pPr>
      <w:widowControl w:val="0"/>
      <w:shd w:val="clear" w:color="auto" w:fill="FFFFFF"/>
      <w:spacing w:before="300" w:after="0" w:line="226" w:lineRule="exact"/>
      <w:jc w:val="center"/>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6263B"/>
    <w:rPr>
      <w:color w:val="605E5C"/>
      <w:shd w:val="clear" w:color="auto" w:fill="E1DFDD"/>
    </w:rPr>
  </w:style>
  <w:style w:type="character" w:customStyle="1" w:styleId="Bodytext5">
    <w:name w:val="Body text (5)_"/>
    <w:basedOn w:val="DefaultParagraphFont"/>
    <w:link w:val="Bodytext50"/>
    <w:rsid w:val="00A86D58"/>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A86D58"/>
    <w:pPr>
      <w:widowControl w:val="0"/>
      <w:shd w:val="clear" w:color="auto" w:fill="FFFFFF"/>
      <w:spacing w:before="180" w:after="300" w:line="0" w:lineRule="atLeast"/>
      <w:ind w:hanging="600"/>
      <w:jc w:val="center"/>
    </w:pPr>
    <w:rPr>
      <w:rFonts w:ascii="Times New Roman" w:eastAsia="Times New Roman" w:hAnsi="Times New Roman" w:cs="Times New Roman"/>
      <w:b/>
      <w:bCs/>
    </w:rPr>
  </w:style>
  <w:style w:type="character" w:customStyle="1" w:styleId="Bodytext2">
    <w:name w:val="Body text (2)_"/>
    <w:basedOn w:val="DefaultParagraphFont"/>
    <w:link w:val="Bodytext20"/>
    <w:rsid w:val="00A86D5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86D58"/>
    <w:pPr>
      <w:widowControl w:val="0"/>
      <w:shd w:val="clear" w:color="auto" w:fill="FFFFFF"/>
      <w:spacing w:before="300" w:after="0" w:line="274" w:lineRule="exact"/>
      <w:ind w:hanging="600"/>
      <w:jc w:val="both"/>
    </w:pPr>
    <w:rPr>
      <w:rFonts w:ascii="Times New Roman" w:eastAsia="Times New Roman" w:hAnsi="Times New Roman" w:cs="Times New Roman"/>
    </w:rPr>
  </w:style>
  <w:style w:type="table" w:styleId="TableGrid">
    <w:name w:val="Table Grid"/>
    <w:basedOn w:val="TableNormal"/>
    <w:uiPriority w:val="59"/>
    <w:rsid w:val="00A86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6D58"/>
    <w:pPr>
      <w:spacing w:line="240" w:lineRule="auto"/>
      <w:jc w:val="both"/>
    </w:pPr>
    <w:rPr>
      <w:rFonts w:ascii="Times New Roman" w:hAnsi="Times New Roman"/>
      <w:i/>
      <w:iCs/>
      <w:color w:val="1F497D" w:themeColor="text2"/>
      <w:kern w:val="2"/>
      <w:sz w:val="18"/>
      <w:szCs w:val="18"/>
      <w14:ligatures w14:val="standardContextual"/>
    </w:rPr>
  </w:style>
  <w:style w:type="paragraph" w:styleId="HTMLPreformatted">
    <w:name w:val="HTML Preformatted"/>
    <w:basedOn w:val="Normal"/>
    <w:link w:val="HTMLPreformattedChar"/>
    <w:uiPriority w:val="99"/>
    <w:semiHidden/>
    <w:unhideWhenUsed/>
    <w:rsid w:val="00D9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3808"/>
    <w:rPr>
      <w:rFonts w:ascii="Courier New" w:eastAsia="Times New Roman" w:hAnsi="Courier New" w:cs="Courier New"/>
      <w:sz w:val="20"/>
      <w:szCs w:val="20"/>
    </w:rPr>
  </w:style>
  <w:style w:type="character" w:customStyle="1" w:styleId="y2iqfc">
    <w:name w:val="y2iqfc"/>
    <w:basedOn w:val="DefaultParagraphFont"/>
    <w:rsid w:val="00D93808"/>
  </w:style>
  <w:style w:type="paragraph" w:styleId="Header">
    <w:name w:val="header"/>
    <w:basedOn w:val="Normal"/>
    <w:link w:val="HeaderChar"/>
    <w:uiPriority w:val="99"/>
    <w:unhideWhenUsed/>
    <w:rsid w:val="000D1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9C"/>
  </w:style>
  <w:style w:type="paragraph" w:styleId="Footer">
    <w:name w:val="footer"/>
    <w:basedOn w:val="Normal"/>
    <w:link w:val="FooterChar"/>
    <w:uiPriority w:val="99"/>
    <w:unhideWhenUsed/>
    <w:rsid w:val="000D1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88004">
      <w:bodyDiv w:val="1"/>
      <w:marLeft w:val="0"/>
      <w:marRight w:val="0"/>
      <w:marTop w:val="0"/>
      <w:marBottom w:val="0"/>
      <w:divBdr>
        <w:top w:val="none" w:sz="0" w:space="0" w:color="auto"/>
        <w:left w:val="none" w:sz="0" w:space="0" w:color="auto"/>
        <w:bottom w:val="none" w:sz="0" w:space="0" w:color="auto"/>
        <w:right w:val="none" w:sz="0" w:space="0" w:color="auto"/>
      </w:divBdr>
      <w:divsChild>
        <w:div w:id="438306319">
          <w:marLeft w:val="0"/>
          <w:marRight w:val="0"/>
          <w:marTop w:val="0"/>
          <w:marBottom w:val="0"/>
          <w:divBdr>
            <w:top w:val="none" w:sz="0" w:space="0" w:color="auto"/>
            <w:left w:val="none" w:sz="0" w:space="0" w:color="auto"/>
            <w:bottom w:val="none" w:sz="0" w:space="0" w:color="auto"/>
            <w:right w:val="none" w:sz="0" w:space="0" w:color="auto"/>
          </w:divBdr>
          <w:divsChild>
            <w:div w:id="1973361329">
              <w:marLeft w:val="0"/>
              <w:marRight w:val="0"/>
              <w:marTop w:val="0"/>
              <w:marBottom w:val="0"/>
              <w:divBdr>
                <w:top w:val="none" w:sz="0" w:space="0" w:color="auto"/>
                <w:left w:val="none" w:sz="0" w:space="0" w:color="auto"/>
                <w:bottom w:val="none" w:sz="0" w:space="0" w:color="auto"/>
                <w:right w:val="none" w:sz="0" w:space="0" w:color="auto"/>
              </w:divBdr>
            </w:div>
          </w:divsChild>
        </w:div>
        <w:div w:id="985932815">
          <w:marLeft w:val="0"/>
          <w:marRight w:val="0"/>
          <w:marTop w:val="0"/>
          <w:marBottom w:val="0"/>
          <w:divBdr>
            <w:top w:val="none" w:sz="0" w:space="0" w:color="auto"/>
            <w:left w:val="none" w:sz="0" w:space="0" w:color="auto"/>
            <w:bottom w:val="none" w:sz="0" w:space="0" w:color="auto"/>
            <w:right w:val="none" w:sz="0" w:space="0" w:color="auto"/>
          </w:divBdr>
          <w:divsChild>
            <w:div w:id="8771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7213">
      <w:bodyDiv w:val="1"/>
      <w:marLeft w:val="0"/>
      <w:marRight w:val="0"/>
      <w:marTop w:val="0"/>
      <w:marBottom w:val="0"/>
      <w:divBdr>
        <w:top w:val="none" w:sz="0" w:space="0" w:color="auto"/>
        <w:left w:val="none" w:sz="0" w:space="0" w:color="auto"/>
        <w:bottom w:val="none" w:sz="0" w:space="0" w:color="auto"/>
        <w:right w:val="none" w:sz="0" w:space="0" w:color="auto"/>
      </w:divBdr>
      <w:divsChild>
        <w:div w:id="899511684">
          <w:marLeft w:val="0"/>
          <w:marRight w:val="0"/>
          <w:marTop w:val="0"/>
          <w:marBottom w:val="0"/>
          <w:divBdr>
            <w:top w:val="none" w:sz="0" w:space="0" w:color="auto"/>
            <w:left w:val="none" w:sz="0" w:space="0" w:color="auto"/>
            <w:bottom w:val="none" w:sz="0" w:space="0" w:color="auto"/>
            <w:right w:val="none" w:sz="0" w:space="0" w:color="auto"/>
          </w:divBdr>
          <w:divsChild>
            <w:div w:id="40324513">
              <w:marLeft w:val="0"/>
              <w:marRight w:val="0"/>
              <w:marTop w:val="0"/>
              <w:marBottom w:val="0"/>
              <w:divBdr>
                <w:top w:val="none" w:sz="0" w:space="0" w:color="auto"/>
                <w:left w:val="none" w:sz="0" w:space="0" w:color="auto"/>
                <w:bottom w:val="none" w:sz="0" w:space="0" w:color="auto"/>
                <w:right w:val="none" w:sz="0" w:space="0" w:color="auto"/>
              </w:divBdr>
            </w:div>
          </w:divsChild>
        </w:div>
        <w:div w:id="1009990315">
          <w:marLeft w:val="0"/>
          <w:marRight w:val="0"/>
          <w:marTop w:val="0"/>
          <w:marBottom w:val="0"/>
          <w:divBdr>
            <w:top w:val="none" w:sz="0" w:space="0" w:color="auto"/>
            <w:left w:val="none" w:sz="0" w:space="0" w:color="auto"/>
            <w:bottom w:val="none" w:sz="0" w:space="0" w:color="auto"/>
            <w:right w:val="none" w:sz="0" w:space="0" w:color="auto"/>
          </w:divBdr>
          <w:divsChild>
            <w:div w:id="349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SDI 1183</cp:lastModifiedBy>
  <cp:revision>2</cp:revision>
  <dcterms:created xsi:type="dcterms:W3CDTF">2025-10-11T22:09:00Z</dcterms:created>
  <dcterms:modified xsi:type="dcterms:W3CDTF">2025-10-28T11:05:00Z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b1dd4090-29bb-4766-b4d7-d9a18c078e07</vt:lpwstr>
  </property>
</Properties>
</file>