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645B" w14:textId="77777777" w:rsidR="00754C9A" w:rsidRDefault="00754C9A" w:rsidP="00441B6F">
      <w:pPr>
        <w:pStyle w:val="Title"/>
        <w:spacing w:after="0"/>
        <w:jc w:val="both"/>
        <w:rPr>
          <w:rFonts w:ascii="Arial" w:hAnsi="Arial" w:cs="Arial"/>
        </w:rPr>
      </w:pPr>
    </w:p>
    <w:p w14:paraId="48EAAFDB" w14:textId="5231BF2D" w:rsidR="00163BC4" w:rsidRPr="00163BC4" w:rsidRDefault="000C5E26" w:rsidP="00441B6F">
      <w:pPr>
        <w:pStyle w:val="Author"/>
        <w:spacing w:line="240" w:lineRule="auto"/>
        <w:rPr>
          <w:rFonts w:ascii="Arial" w:hAnsi="Arial" w:cs="Arial"/>
          <w:bCs/>
          <w:iCs/>
          <w:kern w:val="28"/>
          <w:sz w:val="36"/>
        </w:rPr>
      </w:pPr>
      <w:bookmarkStart w:id="0" w:name="_Hlk205287439"/>
      <w:r w:rsidRPr="000C5E26">
        <w:rPr>
          <w:rFonts w:ascii="Arial" w:hAnsi="Arial" w:cs="Arial"/>
          <w:bCs/>
          <w:iCs/>
          <w:sz w:val="36"/>
          <w:szCs w:val="36"/>
        </w:rPr>
        <w:t xml:space="preserve">Beyond The Bed </w:t>
      </w:r>
      <w:r>
        <w:rPr>
          <w:rFonts w:ascii="Arial" w:hAnsi="Arial" w:cs="Arial"/>
          <w:bCs/>
          <w:iCs/>
          <w:sz w:val="36"/>
          <w:szCs w:val="36"/>
        </w:rPr>
        <w:t>a</w:t>
      </w:r>
      <w:r w:rsidRPr="000C5E26">
        <w:rPr>
          <w:rFonts w:ascii="Arial" w:hAnsi="Arial" w:cs="Arial"/>
          <w:bCs/>
          <w:iCs/>
          <w:sz w:val="36"/>
          <w:szCs w:val="36"/>
        </w:rPr>
        <w:t xml:space="preserve">nd Walls: Boarding Houses Living Conditions </w:t>
      </w:r>
      <w:r>
        <w:rPr>
          <w:rFonts w:ascii="Arial" w:hAnsi="Arial" w:cs="Arial"/>
          <w:bCs/>
          <w:iCs/>
          <w:sz w:val="36"/>
          <w:szCs w:val="36"/>
        </w:rPr>
        <w:t>o</w:t>
      </w:r>
      <w:r w:rsidRPr="000C5E26">
        <w:rPr>
          <w:rFonts w:ascii="Arial" w:hAnsi="Arial" w:cs="Arial"/>
          <w:bCs/>
          <w:iCs/>
          <w:sz w:val="36"/>
          <w:szCs w:val="36"/>
        </w:rPr>
        <w:t>f Apayao State College- Conner Campus</w:t>
      </w:r>
      <w:bookmarkEnd w:id="0"/>
      <w:r>
        <w:rPr>
          <w:rFonts w:ascii="Arial" w:hAnsi="Arial" w:cs="Arial"/>
          <w:bCs/>
          <w:iCs/>
          <w:kern w:val="28"/>
          <w:sz w:val="36"/>
        </w:rPr>
        <w:t xml:space="preserve"> </w:t>
      </w:r>
    </w:p>
    <w:p w14:paraId="6E693242" w14:textId="77777777" w:rsidR="00A258C3" w:rsidRPr="00790ADA" w:rsidRDefault="00A258C3" w:rsidP="00441B6F">
      <w:pPr>
        <w:pStyle w:val="Author"/>
        <w:spacing w:line="240" w:lineRule="auto"/>
        <w:jc w:val="both"/>
        <w:rPr>
          <w:rFonts w:ascii="Arial" w:hAnsi="Arial" w:cs="Arial"/>
          <w:sz w:val="36"/>
        </w:rPr>
      </w:pPr>
    </w:p>
    <w:p w14:paraId="7286B860" w14:textId="77777777" w:rsidR="002C57D2" w:rsidRPr="00FB3A86" w:rsidRDefault="002C57D2" w:rsidP="00441B6F">
      <w:pPr>
        <w:pStyle w:val="Affiliation"/>
        <w:spacing w:after="0" w:line="240" w:lineRule="auto"/>
        <w:jc w:val="both"/>
        <w:rPr>
          <w:rFonts w:ascii="Arial" w:hAnsi="Arial" w:cs="Arial"/>
        </w:rPr>
      </w:pPr>
    </w:p>
    <w:p w14:paraId="355C29D8" w14:textId="77777777" w:rsidR="00B01FCD" w:rsidRPr="00FB3A86" w:rsidRDefault="00000000" w:rsidP="00441B6F">
      <w:pPr>
        <w:pStyle w:val="Copyright"/>
        <w:spacing w:after="0" w:line="240" w:lineRule="auto"/>
        <w:jc w:val="both"/>
        <w:rPr>
          <w:rFonts w:ascii="Arial" w:hAnsi="Arial" w:cs="Arial"/>
        </w:rPr>
        <w:sectPr w:rsidR="00B01FCD" w:rsidRPr="00FB3A86" w:rsidSect="001823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1EBC62B">
          <v:shapetype id="_x0000_t32" coordsize="21600,21600" o:spt="32" o:oned="t" path="m,l21600,21600e" filled="f">
            <v:path arrowok="t" fillok="f" o:connecttype="none"/>
            <o:lock v:ext="edit" shapetype="t"/>
          </v:shapetype>
          <v:shape id="_x0000_s205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BE1DC2" w14:textId="433DE67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78870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89AD7E2" w14:textId="77777777" w:rsidTr="001E44FE">
        <w:tc>
          <w:tcPr>
            <w:tcW w:w="9576" w:type="dxa"/>
            <w:shd w:val="clear" w:color="auto" w:fill="F2F2F2"/>
          </w:tcPr>
          <w:p w14:paraId="760FBC1E" w14:textId="49340C57" w:rsidR="00D03295" w:rsidRDefault="00D03295" w:rsidP="000C5E26">
            <w:pPr>
              <w:jc w:val="both"/>
              <w:rPr>
                <w:rFonts w:ascii="Arial" w:hAnsi="Arial" w:cs="Arial"/>
                <w:bCs/>
              </w:rPr>
            </w:pPr>
            <w:r w:rsidRPr="00D03295">
              <w:rPr>
                <w:rFonts w:ascii="Arial" w:hAnsi="Arial" w:cs="Arial"/>
                <w:bCs/>
              </w:rPr>
              <w:t xml:space="preserve">Student housing plays a vital role in shaping the academic success and personal well-being of college students, especially in rural and semi-urban settings. At Apayao State College – Conner Campus, boarding houses serve as long-term residences for many students, making their living conditions a key factor in their educational journey. Despite the growing number of students relying on off-campus housing, limited research has been conducted on the specific living conditions and challenges faced by students in rural college settings like Conner, Apayao. This study addresses that gap by exploring the living conditions of students residing in boarding houses near Apayao State College – Conner Campus. A </w:t>
            </w:r>
            <w:r w:rsidR="004A42C7">
              <w:rPr>
                <w:rFonts w:ascii="Arial" w:hAnsi="Arial" w:cs="Arial"/>
              </w:rPr>
              <w:t>quantitative-descriptive</w:t>
            </w:r>
            <w:r w:rsidR="004A42C7" w:rsidRPr="000C5E26">
              <w:rPr>
                <w:rFonts w:ascii="Arial" w:hAnsi="Arial" w:cs="Arial"/>
              </w:rPr>
              <w:t xml:space="preserve"> </w:t>
            </w:r>
            <w:r w:rsidRPr="00D03295">
              <w:rPr>
                <w:rFonts w:ascii="Arial" w:hAnsi="Arial" w:cs="Arial"/>
                <w:bCs/>
              </w:rPr>
              <w:t>approach using an adapted survey questionnaire was employed to gather data from 160 respondents. Frequency and percentage, weighted mean, and thematic analysis were used to interpret the data. Findings show that students are generally satisfied with their boarding environments, particularly in terms of hygiene, proximity to campus, and basic utilities. However, areas such as surveillance, emergency water access, and weather-related infrastructure require improvement. Based on student feedback, the study proposes practical recommendations to enhance boarding house conditions, including improved safety measures, better transport coordination, and access to essential services. These findings underscore the critical role of student housing in supporting academic performance, health, and overall well-being.</w:t>
            </w:r>
          </w:p>
          <w:p w14:paraId="702C252B" w14:textId="50C93C3D" w:rsidR="00505F06" w:rsidRPr="00BA1B01" w:rsidRDefault="00505F06" w:rsidP="00441B6F">
            <w:pPr>
              <w:pStyle w:val="Body"/>
              <w:spacing w:after="0"/>
              <w:rPr>
                <w:rFonts w:ascii="Arial" w:eastAsia="Calibri" w:hAnsi="Arial" w:cs="Arial"/>
                <w:szCs w:val="22"/>
              </w:rPr>
            </w:pPr>
          </w:p>
        </w:tc>
      </w:tr>
    </w:tbl>
    <w:p w14:paraId="1758DD49" w14:textId="77777777" w:rsidR="00636EB2" w:rsidRDefault="00636EB2" w:rsidP="00441B6F">
      <w:pPr>
        <w:pStyle w:val="Body"/>
        <w:spacing w:after="0"/>
        <w:rPr>
          <w:rFonts w:ascii="Arial" w:hAnsi="Arial" w:cs="Arial"/>
          <w:i/>
        </w:rPr>
      </w:pPr>
    </w:p>
    <w:p w14:paraId="472DE760" w14:textId="7AD1B33D" w:rsidR="00A24E7E" w:rsidRDefault="00A24E7E" w:rsidP="00441B6F">
      <w:pPr>
        <w:pStyle w:val="Body"/>
        <w:spacing w:after="0"/>
        <w:rPr>
          <w:rFonts w:ascii="Arial" w:hAnsi="Arial" w:cs="Arial"/>
          <w:i/>
        </w:rPr>
      </w:pPr>
      <w:r>
        <w:rPr>
          <w:rFonts w:ascii="Arial" w:hAnsi="Arial" w:cs="Arial"/>
          <w:i/>
        </w:rPr>
        <w:t xml:space="preserve">Keywords: </w:t>
      </w:r>
      <w:r w:rsidR="000C5E26">
        <w:rPr>
          <w:rFonts w:ascii="Arial" w:hAnsi="Arial" w:cs="Arial"/>
          <w:bCs/>
          <w:i/>
          <w:iCs/>
        </w:rPr>
        <w:t>Boarding house, living condition, students</w:t>
      </w:r>
      <w:r w:rsidR="00A86954">
        <w:rPr>
          <w:rFonts w:ascii="Arial" w:hAnsi="Arial" w:cs="Arial"/>
          <w:bCs/>
          <w:i/>
          <w:iCs/>
        </w:rPr>
        <w:t xml:space="preserve">, </w:t>
      </w:r>
      <w:r w:rsidR="00A86954" w:rsidRPr="00A86954">
        <w:rPr>
          <w:rFonts w:ascii="Arial" w:hAnsi="Arial" w:cs="Arial"/>
          <w:bCs/>
          <w:i/>
          <w:iCs/>
        </w:rPr>
        <w:t>academic success</w:t>
      </w:r>
      <w:r w:rsidR="00A86954">
        <w:rPr>
          <w:rFonts w:ascii="Arial" w:hAnsi="Arial" w:cs="Arial"/>
          <w:bCs/>
          <w:i/>
          <w:iCs/>
        </w:rPr>
        <w:t xml:space="preserve">, </w:t>
      </w:r>
      <w:r w:rsidR="00A86954" w:rsidRPr="00A86954">
        <w:rPr>
          <w:rFonts w:ascii="Arial" w:hAnsi="Arial" w:cs="Arial"/>
          <w:bCs/>
          <w:i/>
          <w:iCs/>
        </w:rPr>
        <w:t>personal well-being</w:t>
      </w:r>
    </w:p>
    <w:p w14:paraId="47122E02" w14:textId="77777777" w:rsidR="00790ADA" w:rsidRDefault="00790ADA" w:rsidP="00441B6F">
      <w:pPr>
        <w:pStyle w:val="Body"/>
        <w:spacing w:after="0"/>
        <w:rPr>
          <w:rFonts w:ascii="Arial" w:hAnsi="Arial" w:cs="Arial"/>
          <w:i/>
        </w:rPr>
      </w:pPr>
    </w:p>
    <w:p w14:paraId="35451191" w14:textId="77777777" w:rsidR="00505F06" w:rsidRPr="00A24E7E" w:rsidRDefault="00505F06" w:rsidP="00441B6F">
      <w:pPr>
        <w:pStyle w:val="Body"/>
        <w:spacing w:after="0"/>
        <w:rPr>
          <w:rFonts w:ascii="Arial" w:hAnsi="Arial" w:cs="Arial"/>
          <w:i/>
        </w:rPr>
      </w:pPr>
    </w:p>
    <w:p w14:paraId="35BFA618" w14:textId="3AF02AB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53A5F6" w14:textId="77777777" w:rsidR="00790ADA" w:rsidRPr="00FB3A86" w:rsidRDefault="00790ADA" w:rsidP="00441B6F">
      <w:pPr>
        <w:pStyle w:val="AbstHead"/>
        <w:spacing w:after="0"/>
        <w:jc w:val="both"/>
        <w:rPr>
          <w:rFonts w:ascii="Arial" w:hAnsi="Arial" w:cs="Arial"/>
        </w:rPr>
      </w:pPr>
    </w:p>
    <w:p w14:paraId="7F9B1AC7" w14:textId="77777777" w:rsidR="000C5E26" w:rsidRDefault="000C5E26" w:rsidP="000C5E26">
      <w:pPr>
        <w:ind w:firstLine="720"/>
        <w:jc w:val="both"/>
        <w:rPr>
          <w:rFonts w:ascii="Arial" w:hAnsi="Arial" w:cs="Arial"/>
          <w:bCs/>
          <w:lang w:val="en-ID"/>
        </w:rPr>
      </w:pPr>
      <w:r w:rsidRPr="00C31D28">
        <w:rPr>
          <w:rFonts w:ascii="Arial" w:hAnsi="Arial" w:cs="Arial"/>
          <w:bCs/>
          <w:lang w:val="en-ID"/>
        </w:rPr>
        <w:t>The increasing number of students residing in boarding houses near Apayao State College – Conner Campus highlights the critical need to examine the quality of these living environments and their impact on student well-being. As many students come from remote areas, boarding houses become their primary residence during the academic year. These accommodations vary widely in terms of safety, sanitation, space, and access to basic amenities, which can significantly influence students’ physical and mental health, academic performance, and overall college experience. According to Reyes II (2016), the kind of boarding house a student lives in can either support or hinder their academic success, depending on the comfort, safety, and conduciveness of the environment.</w:t>
      </w:r>
    </w:p>
    <w:p w14:paraId="7C5F4B03" w14:textId="77777777" w:rsidR="000C5E26" w:rsidRPr="00C31D28" w:rsidRDefault="000C5E26" w:rsidP="000C5E26">
      <w:pPr>
        <w:ind w:firstLine="720"/>
        <w:jc w:val="both"/>
        <w:rPr>
          <w:rFonts w:ascii="Arial" w:hAnsi="Arial" w:cs="Arial"/>
          <w:bCs/>
          <w:lang w:val="en-ID"/>
        </w:rPr>
      </w:pPr>
    </w:p>
    <w:p w14:paraId="6ECDA2B4" w14:textId="77777777" w:rsidR="000C5E26" w:rsidRDefault="000C5E26" w:rsidP="000C5E26">
      <w:pPr>
        <w:ind w:firstLine="720"/>
        <w:jc w:val="both"/>
        <w:rPr>
          <w:rFonts w:ascii="Arial" w:hAnsi="Arial" w:cs="Arial"/>
          <w:bCs/>
          <w:lang w:val="en-ID"/>
        </w:rPr>
      </w:pPr>
      <w:r w:rsidRPr="00C31D28">
        <w:rPr>
          <w:rFonts w:ascii="Arial" w:hAnsi="Arial" w:cs="Arial"/>
          <w:bCs/>
          <w:lang w:val="en-ID"/>
        </w:rPr>
        <w:t xml:space="preserve">Living away from family and familiar support systems can lead to feelings of isolation, stress, and anxiety among students. Boarding houses that lack proper facilities, privacy, or security may exacerbate these challenges. A study by </w:t>
      </w:r>
      <w:r w:rsidRPr="00ED16AF">
        <w:rPr>
          <w:rFonts w:ascii="Arial" w:hAnsi="Arial" w:cs="Arial"/>
        </w:rPr>
        <w:t>Gbadegesin</w:t>
      </w:r>
      <w:r w:rsidRPr="00C31D28">
        <w:rPr>
          <w:rFonts w:ascii="Arial" w:hAnsi="Arial" w:cs="Arial"/>
          <w:bCs/>
          <w:lang w:val="en-ID"/>
        </w:rPr>
        <w:t xml:space="preserve"> (202</w:t>
      </w:r>
      <w:r>
        <w:rPr>
          <w:rFonts w:ascii="Arial" w:hAnsi="Arial" w:cs="Arial"/>
          <w:bCs/>
          <w:lang w:val="en-ID"/>
        </w:rPr>
        <w:t>1</w:t>
      </w:r>
      <w:r w:rsidRPr="00C31D28">
        <w:rPr>
          <w:rFonts w:ascii="Arial" w:hAnsi="Arial" w:cs="Arial"/>
          <w:bCs/>
          <w:lang w:val="en-ID"/>
        </w:rPr>
        <w:t xml:space="preserve">) emphasized that improvements in boarding house regulations and living conditions are </w:t>
      </w:r>
      <w:r w:rsidRPr="00C31D28">
        <w:rPr>
          <w:rFonts w:ascii="Arial" w:hAnsi="Arial" w:cs="Arial"/>
          <w:bCs/>
          <w:lang w:val="en-ID"/>
        </w:rPr>
        <w:lastRenderedPageBreak/>
        <w:t xml:space="preserve">essential to support students’ well-being and academic success. Furthermore, </w:t>
      </w:r>
      <w:r>
        <w:rPr>
          <w:rFonts w:ascii="Arial" w:hAnsi="Arial" w:cs="Arial"/>
          <w:bCs/>
          <w:lang w:val="en-ID"/>
        </w:rPr>
        <w:t xml:space="preserve">Cubero et. al, (2024) emphasized that </w:t>
      </w:r>
      <w:r w:rsidRPr="00C31D28">
        <w:rPr>
          <w:rFonts w:ascii="Arial" w:hAnsi="Arial" w:cs="Arial"/>
          <w:bCs/>
          <w:lang w:val="en-ID"/>
        </w:rPr>
        <w:t>the absence of standardized policies and contracts between landlords and boarders, as observed in similar studies, can lead to misunderstandings and neglect of student welfare. This research seeks to investigate how these environmental factors affect students’ emotional, social, and academic dimensions of well-being.</w:t>
      </w:r>
    </w:p>
    <w:p w14:paraId="61E7D3E4" w14:textId="77777777" w:rsidR="000C5E26" w:rsidRPr="00C31D28" w:rsidRDefault="000C5E26" w:rsidP="000C5E26">
      <w:pPr>
        <w:ind w:firstLine="720"/>
        <w:jc w:val="both"/>
        <w:rPr>
          <w:rFonts w:ascii="Arial" w:hAnsi="Arial" w:cs="Arial"/>
          <w:bCs/>
          <w:lang w:val="en-ID"/>
        </w:rPr>
      </w:pPr>
    </w:p>
    <w:p w14:paraId="15B8BF73" w14:textId="77777777" w:rsidR="000C5E26" w:rsidRDefault="000C5E26" w:rsidP="000C5E26">
      <w:pPr>
        <w:ind w:firstLine="720"/>
        <w:jc w:val="both"/>
        <w:rPr>
          <w:rFonts w:ascii="Arial" w:hAnsi="Arial" w:cs="Arial"/>
          <w:bCs/>
          <w:lang w:val="en-ID"/>
        </w:rPr>
      </w:pPr>
      <w:r w:rsidRPr="00C31D28">
        <w:rPr>
          <w:rFonts w:ascii="Arial" w:hAnsi="Arial" w:cs="Arial"/>
          <w:bCs/>
          <w:lang w:val="en-ID"/>
        </w:rPr>
        <w:t>The rationale for this study is also grounded in Maslow’s Hierarchy of Needs, which posits that individuals must satisfy basic physiological and safety needs before achieving higher levels of motivation and self-actualization</w:t>
      </w:r>
      <w:r w:rsidRPr="00236EF8">
        <w:rPr>
          <w:rFonts w:ascii="Arial" w:hAnsi="Arial" w:cs="Arial"/>
          <w:bCs/>
          <w:lang w:val="en-ID"/>
        </w:rPr>
        <w:t xml:space="preserve"> (</w:t>
      </w:r>
      <w:r w:rsidRPr="00236EF8">
        <w:rPr>
          <w:rFonts w:ascii="Arial" w:hAnsi="Arial" w:cs="Arial"/>
        </w:rPr>
        <w:t>Sowmya, &amp; Anokha, 2025)</w:t>
      </w:r>
      <w:r w:rsidRPr="00C31D28">
        <w:rPr>
          <w:rFonts w:ascii="Arial" w:hAnsi="Arial" w:cs="Arial"/>
          <w:bCs/>
          <w:lang w:val="en-ID"/>
        </w:rPr>
        <w:t>. Boarding houses that fail to meet these foundational needs</w:t>
      </w:r>
      <w:r w:rsidRPr="00236EF8">
        <w:rPr>
          <w:rFonts w:ascii="Arial" w:hAnsi="Arial" w:cs="Arial"/>
          <w:bCs/>
          <w:lang w:val="en-ID"/>
        </w:rPr>
        <w:t xml:space="preserve"> </w:t>
      </w:r>
      <w:r w:rsidRPr="00C31D28">
        <w:rPr>
          <w:rFonts w:ascii="Arial" w:hAnsi="Arial" w:cs="Arial"/>
          <w:bCs/>
          <w:lang w:val="en-ID"/>
        </w:rPr>
        <w:t>such as clean water, secure premises, and adequate space</w:t>
      </w:r>
      <w:r w:rsidRPr="00236EF8">
        <w:rPr>
          <w:rFonts w:ascii="Arial" w:hAnsi="Arial" w:cs="Arial"/>
          <w:bCs/>
          <w:lang w:val="en-ID"/>
        </w:rPr>
        <w:t xml:space="preserve"> </w:t>
      </w:r>
      <w:r w:rsidRPr="00C31D28">
        <w:rPr>
          <w:rFonts w:ascii="Arial" w:hAnsi="Arial" w:cs="Arial"/>
          <w:bCs/>
          <w:lang w:val="en-ID"/>
        </w:rPr>
        <w:t>can hinder students’ ability to focus, engage, and thrive academically</w:t>
      </w:r>
      <w:r w:rsidRPr="00236EF8">
        <w:rPr>
          <w:rFonts w:ascii="Arial" w:hAnsi="Arial" w:cs="Arial"/>
          <w:bCs/>
          <w:lang w:val="en-ID"/>
        </w:rPr>
        <w:t xml:space="preserve"> (</w:t>
      </w:r>
      <w:r w:rsidRPr="00236EF8">
        <w:rPr>
          <w:rFonts w:ascii="Arial" w:hAnsi="Arial" w:cs="Arial"/>
        </w:rPr>
        <w:t>Brilliantes et. al, 2012)</w:t>
      </w:r>
      <w:r w:rsidRPr="00C31D28">
        <w:rPr>
          <w:rFonts w:ascii="Arial" w:hAnsi="Arial" w:cs="Arial"/>
          <w:bCs/>
          <w:lang w:val="en-ID"/>
        </w:rPr>
        <w:t>. Studies conducted in other Philippine universities have shown that students living in poorly maintained boarding houses often experience stress, poor sleep quality, and reduced academic performance4. By applying this theoretical framework, the study aims to highlight the importance of holistic support systems in student housing.</w:t>
      </w:r>
    </w:p>
    <w:p w14:paraId="6B956EA6" w14:textId="77777777" w:rsidR="000C5E26" w:rsidRPr="00C31D28" w:rsidRDefault="000C5E26" w:rsidP="000C5E26">
      <w:pPr>
        <w:ind w:firstLine="720"/>
        <w:jc w:val="both"/>
        <w:rPr>
          <w:rFonts w:ascii="Arial" w:hAnsi="Arial" w:cs="Arial"/>
          <w:bCs/>
          <w:lang w:val="en-ID"/>
        </w:rPr>
      </w:pPr>
    </w:p>
    <w:p w14:paraId="5EC2C845" w14:textId="77777777" w:rsidR="000C5E26" w:rsidRDefault="000C5E26" w:rsidP="000C5E26">
      <w:pPr>
        <w:ind w:firstLine="720"/>
        <w:jc w:val="both"/>
        <w:rPr>
          <w:rFonts w:ascii="Arial" w:hAnsi="Arial" w:cs="Arial"/>
          <w:bCs/>
          <w:lang w:val="en-ID"/>
        </w:rPr>
      </w:pPr>
      <w:r w:rsidRPr="00C31D28">
        <w:rPr>
          <w:rFonts w:ascii="Arial" w:hAnsi="Arial" w:cs="Arial"/>
          <w:bCs/>
          <w:lang w:val="en-ID"/>
        </w:rPr>
        <w:t>Moreover, this research addresses a gap in localized data specific to Apayao State College – Conner Campus. While national and regional studies have explored boarding house conditions, few have focused on the unique challenges faced by students in this institution. The findings will provide evidence-based insights that can inform policy development, institutional interventions, and community partnerships aimed at improving student accommodations. As highlighted by Arroyo (2023), understanding the relationship between housing conditions and academic outcomes is vital for educational planning and support services.</w:t>
      </w:r>
    </w:p>
    <w:p w14:paraId="7189E38B" w14:textId="77777777" w:rsidR="000C5E26" w:rsidRDefault="000C5E26" w:rsidP="000C5E26">
      <w:pPr>
        <w:ind w:firstLine="720"/>
        <w:jc w:val="both"/>
        <w:rPr>
          <w:rFonts w:ascii="Arial" w:hAnsi="Arial" w:cs="Arial"/>
          <w:bCs/>
          <w:lang w:val="en-ID"/>
        </w:rPr>
      </w:pPr>
    </w:p>
    <w:p w14:paraId="51EB3B97" w14:textId="77777777" w:rsidR="000C5E26" w:rsidRPr="00A570EA" w:rsidRDefault="000C5E26" w:rsidP="000C5E26">
      <w:pPr>
        <w:ind w:firstLine="720"/>
        <w:jc w:val="both"/>
        <w:rPr>
          <w:rFonts w:ascii="Arial" w:hAnsi="Arial" w:cs="Arial"/>
          <w:bCs/>
          <w:lang w:val="en-ID"/>
        </w:rPr>
      </w:pPr>
      <w:r w:rsidRPr="00A570EA">
        <w:rPr>
          <w:rFonts w:ascii="Arial" w:hAnsi="Arial" w:cs="Arial"/>
          <w:bCs/>
        </w:rPr>
        <w:t>Aligned with global development efforts, this study contributes to the realization of several Sustainable Development Goals (SDGs). Specifically, it responds to SDG 3 (Good Health and Well-being) by promoting healthier living environments; SDG 4 (Quality Education) through improved housing that supports academic success; and SDG 11 (Sustainable Cities and Communities) by advocating safe and inclusive student accommodations</w:t>
      </w:r>
      <w:r>
        <w:rPr>
          <w:rFonts w:ascii="Arial" w:hAnsi="Arial" w:cs="Arial"/>
          <w:bCs/>
        </w:rPr>
        <w:t>.</w:t>
      </w:r>
    </w:p>
    <w:p w14:paraId="4859DF81" w14:textId="77777777" w:rsidR="000C5E26" w:rsidRPr="00C31D28" w:rsidRDefault="000C5E26" w:rsidP="000C5E26">
      <w:pPr>
        <w:ind w:firstLine="720"/>
        <w:jc w:val="both"/>
        <w:rPr>
          <w:rFonts w:ascii="Arial" w:hAnsi="Arial" w:cs="Arial"/>
          <w:bCs/>
          <w:lang w:val="en-ID"/>
        </w:rPr>
      </w:pPr>
    </w:p>
    <w:p w14:paraId="3AE034ED" w14:textId="77777777" w:rsidR="000C5E26" w:rsidRDefault="000C5E26" w:rsidP="000C5E26">
      <w:pPr>
        <w:ind w:firstLine="720"/>
        <w:jc w:val="both"/>
        <w:rPr>
          <w:rFonts w:ascii="Arial" w:hAnsi="Arial" w:cs="Arial"/>
          <w:bCs/>
          <w:lang w:val="en-ID"/>
        </w:rPr>
      </w:pPr>
      <w:r w:rsidRPr="00C31D28">
        <w:rPr>
          <w:rFonts w:ascii="Arial" w:hAnsi="Arial" w:cs="Arial"/>
          <w:bCs/>
          <w:lang w:val="en-ID"/>
        </w:rPr>
        <w:t>Ultimately, this study aspires to go “beyond the bed and walls” by recognizing that student well-being is shaped not only by academic instruction but also by the environments in which students live and grow. By examining both student and boarding house owner perspectives, the research will offer a comprehensive view of current conditions and propose actionable recommendations to enhance the quality of student life. The results will be valuable to school administrators, local government units, and boarding house operators committed to fostering safe, supportive, and student-cantered living spaces.</w:t>
      </w:r>
    </w:p>
    <w:p w14:paraId="7B836472" w14:textId="77777777" w:rsidR="00790ADA" w:rsidRPr="00FB3A86" w:rsidRDefault="00790ADA" w:rsidP="00441B6F">
      <w:pPr>
        <w:pStyle w:val="Body"/>
        <w:spacing w:after="0"/>
        <w:rPr>
          <w:rFonts w:ascii="Arial" w:hAnsi="Arial" w:cs="Arial"/>
        </w:rPr>
      </w:pPr>
    </w:p>
    <w:p w14:paraId="7AB1759A" w14:textId="6E828C38"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4F99AFF" w14:textId="77777777" w:rsidR="00790ADA" w:rsidRPr="000C5E26" w:rsidRDefault="00790ADA" w:rsidP="00441B6F">
      <w:pPr>
        <w:pStyle w:val="AbstHead"/>
        <w:spacing w:after="0"/>
        <w:jc w:val="both"/>
        <w:rPr>
          <w:rFonts w:ascii="Arial" w:hAnsi="Arial" w:cs="Arial"/>
          <w:sz w:val="20"/>
        </w:rPr>
      </w:pPr>
    </w:p>
    <w:p w14:paraId="15F72EB2" w14:textId="6A309CA2" w:rsidR="000C5E26" w:rsidRPr="000C5E26" w:rsidRDefault="00612873" w:rsidP="000C5E26">
      <w:pPr>
        <w:pStyle w:val="NoSpacing"/>
        <w:jc w:val="both"/>
        <w:rPr>
          <w:rFonts w:ascii="Arial" w:hAnsi="Arial" w:cs="Arial"/>
          <w:b/>
          <w:bCs/>
          <w:sz w:val="20"/>
          <w:szCs w:val="20"/>
        </w:rPr>
      </w:pPr>
      <w:r>
        <w:rPr>
          <w:rFonts w:ascii="Arial" w:hAnsi="Arial" w:cs="Arial"/>
          <w:b/>
          <w:bCs/>
          <w:sz w:val="20"/>
          <w:szCs w:val="20"/>
        </w:rPr>
        <w:t xml:space="preserve">2.1. </w:t>
      </w:r>
      <w:r w:rsidR="000C5E26" w:rsidRPr="000C5E26">
        <w:rPr>
          <w:rFonts w:ascii="Arial" w:hAnsi="Arial" w:cs="Arial"/>
          <w:b/>
          <w:bCs/>
          <w:sz w:val="20"/>
          <w:szCs w:val="20"/>
        </w:rPr>
        <w:t xml:space="preserve">Research Design </w:t>
      </w:r>
    </w:p>
    <w:p w14:paraId="46C72A12" w14:textId="5695EC4F" w:rsidR="000C5E26" w:rsidRPr="000C5E26" w:rsidRDefault="000C5E26" w:rsidP="000C5E26">
      <w:pPr>
        <w:jc w:val="both"/>
        <w:rPr>
          <w:rFonts w:ascii="Arial" w:hAnsi="Arial" w:cs="Arial"/>
          <w:color w:val="222222"/>
          <w:shd w:val="clear" w:color="auto" w:fill="FFFFFF"/>
        </w:rPr>
      </w:pPr>
      <w:r w:rsidRPr="000C5E26">
        <w:rPr>
          <w:rFonts w:ascii="Arial" w:hAnsi="Arial" w:cs="Arial"/>
          <w:bCs/>
        </w:rPr>
        <w:tab/>
      </w:r>
      <w:r w:rsidRPr="000C5E26">
        <w:rPr>
          <w:rFonts w:ascii="Arial" w:hAnsi="Arial" w:cs="Arial"/>
        </w:rPr>
        <w:t xml:space="preserve">This study was utilized through </w:t>
      </w:r>
      <w:r w:rsidR="004A42C7">
        <w:rPr>
          <w:rFonts w:ascii="Arial" w:hAnsi="Arial" w:cs="Arial"/>
        </w:rPr>
        <w:t>quantitative-descriptive</w:t>
      </w:r>
      <w:r w:rsidRPr="000C5E26">
        <w:rPr>
          <w:rFonts w:ascii="Arial" w:hAnsi="Arial" w:cs="Arial"/>
        </w:rPr>
        <w:t xml:space="preserve"> approach using an adapted survey questionnaire (Reyes, 2016) to gather the research data.</w:t>
      </w:r>
    </w:p>
    <w:p w14:paraId="61A5D259" w14:textId="77777777" w:rsidR="000C5E26" w:rsidRPr="000C5E26" w:rsidRDefault="000C5E26" w:rsidP="000C5E26">
      <w:pPr>
        <w:jc w:val="both"/>
        <w:rPr>
          <w:rFonts w:ascii="Arial" w:hAnsi="Arial" w:cs="Arial"/>
        </w:rPr>
      </w:pPr>
    </w:p>
    <w:p w14:paraId="31838A0F" w14:textId="471A0A61" w:rsidR="000C5E26" w:rsidRPr="000C5E26" w:rsidRDefault="00612873" w:rsidP="000C5E26">
      <w:pPr>
        <w:pStyle w:val="NoSpacing"/>
        <w:jc w:val="both"/>
        <w:rPr>
          <w:rFonts w:ascii="Arial" w:hAnsi="Arial" w:cs="Arial"/>
          <w:b/>
          <w:bCs/>
          <w:sz w:val="20"/>
          <w:szCs w:val="20"/>
        </w:rPr>
      </w:pPr>
      <w:r>
        <w:rPr>
          <w:rFonts w:ascii="Arial" w:hAnsi="Arial" w:cs="Arial"/>
          <w:b/>
          <w:bCs/>
          <w:sz w:val="20"/>
          <w:szCs w:val="20"/>
        </w:rPr>
        <w:t xml:space="preserve">2.2. </w:t>
      </w:r>
      <w:r w:rsidR="000C5E26" w:rsidRPr="000C5E26">
        <w:rPr>
          <w:rFonts w:ascii="Arial" w:hAnsi="Arial" w:cs="Arial"/>
          <w:b/>
          <w:bCs/>
          <w:sz w:val="20"/>
          <w:szCs w:val="20"/>
        </w:rPr>
        <w:t>Locale of the Study</w:t>
      </w:r>
    </w:p>
    <w:p w14:paraId="1E54203E" w14:textId="77777777" w:rsidR="000C5E26" w:rsidRPr="000C5E26" w:rsidRDefault="000C5E26" w:rsidP="000C5E26">
      <w:pPr>
        <w:pStyle w:val="NoSpacing"/>
        <w:jc w:val="both"/>
        <w:rPr>
          <w:rFonts w:ascii="Arial" w:eastAsia="Times New Roman" w:hAnsi="Arial" w:cs="Arial"/>
          <w:sz w:val="20"/>
          <w:szCs w:val="20"/>
        </w:rPr>
      </w:pPr>
      <w:r w:rsidRPr="000C5E26">
        <w:rPr>
          <w:rFonts w:ascii="Arial" w:eastAsia="Times New Roman" w:hAnsi="Arial" w:cs="Arial"/>
          <w:sz w:val="20"/>
          <w:szCs w:val="20"/>
        </w:rPr>
        <w:tab/>
        <w:t>This study was conducted at Apayao State College - Conner Campus and the nearby barangays with boarding houses.</w:t>
      </w:r>
    </w:p>
    <w:p w14:paraId="1C65A63E" w14:textId="77777777" w:rsidR="000C5E26" w:rsidRPr="000C5E26" w:rsidRDefault="000C5E26" w:rsidP="000C5E26">
      <w:pPr>
        <w:pStyle w:val="NoSpacing"/>
        <w:jc w:val="both"/>
        <w:rPr>
          <w:rFonts w:ascii="Arial" w:eastAsia="Times New Roman" w:hAnsi="Arial" w:cs="Arial"/>
          <w:sz w:val="20"/>
          <w:szCs w:val="20"/>
        </w:rPr>
      </w:pPr>
    </w:p>
    <w:p w14:paraId="02A76973" w14:textId="20C80DE0" w:rsidR="000C5E26" w:rsidRPr="000C5E26" w:rsidRDefault="00612873" w:rsidP="000C5E26">
      <w:pPr>
        <w:pStyle w:val="NoSpacing"/>
        <w:jc w:val="both"/>
        <w:rPr>
          <w:rFonts w:ascii="Arial" w:hAnsi="Arial" w:cs="Arial"/>
          <w:b/>
          <w:bCs/>
          <w:sz w:val="20"/>
          <w:szCs w:val="20"/>
        </w:rPr>
      </w:pPr>
      <w:r>
        <w:rPr>
          <w:rFonts w:ascii="Arial" w:hAnsi="Arial" w:cs="Arial"/>
          <w:b/>
          <w:bCs/>
          <w:sz w:val="20"/>
          <w:szCs w:val="20"/>
        </w:rPr>
        <w:t xml:space="preserve">2.3. </w:t>
      </w:r>
      <w:r w:rsidR="000C5E26" w:rsidRPr="000C5E26">
        <w:rPr>
          <w:rFonts w:ascii="Arial" w:hAnsi="Arial" w:cs="Arial"/>
          <w:b/>
          <w:bCs/>
          <w:sz w:val="20"/>
          <w:szCs w:val="20"/>
        </w:rPr>
        <w:t xml:space="preserve">Respondents of the Study </w:t>
      </w:r>
    </w:p>
    <w:p w14:paraId="6B851AD8" w14:textId="77777777" w:rsidR="000C5E26" w:rsidRPr="000C5E26" w:rsidRDefault="000C5E26" w:rsidP="000C5E26">
      <w:pPr>
        <w:pStyle w:val="NoSpacing"/>
        <w:ind w:firstLine="720"/>
        <w:jc w:val="both"/>
        <w:rPr>
          <w:rFonts w:ascii="Arial" w:hAnsi="Arial" w:cs="Arial"/>
          <w:sz w:val="20"/>
          <w:szCs w:val="20"/>
        </w:rPr>
      </w:pPr>
      <w:r w:rsidRPr="000C5E26">
        <w:rPr>
          <w:rFonts w:ascii="Arial" w:hAnsi="Arial" w:cs="Arial"/>
          <w:sz w:val="20"/>
          <w:szCs w:val="20"/>
        </w:rPr>
        <w:t xml:space="preserve">The respondents of this study are the students who were residing in boarding houses near </w:t>
      </w:r>
      <w:r w:rsidRPr="000C5E26">
        <w:rPr>
          <w:rFonts w:ascii="Arial" w:eastAsia="Times New Roman" w:hAnsi="Arial" w:cs="Arial"/>
          <w:sz w:val="20"/>
          <w:szCs w:val="20"/>
        </w:rPr>
        <w:t>Apayao State College-Conner Campus</w:t>
      </w:r>
      <w:r w:rsidRPr="000C5E26">
        <w:rPr>
          <w:rFonts w:ascii="Arial" w:hAnsi="Arial" w:cs="Arial"/>
          <w:sz w:val="20"/>
          <w:szCs w:val="20"/>
        </w:rPr>
        <w:t>. Stratified random sampling was used.</w:t>
      </w:r>
    </w:p>
    <w:p w14:paraId="4AF8EE5D" w14:textId="77777777" w:rsidR="000C5E26" w:rsidRPr="000C5E26" w:rsidRDefault="000C5E26" w:rsidP="000C5E26">
      <w:pPr>
        <w:pStyle w:val="NoSpacing"/>
        <w:jc w:val="both"/>
        <w:rPr>
          <w:rFonts w:ascii="Arial" w:hAnsi="Arial" w:cs="Arial"/>
          <w:b/>
          <w:bCs/>
          <w:sz w:val="20"/>
          <w:szCs w:val="20"/>
        </w:rPr>
      </w:pPr>
    </w:p>
    <w:p w14:paraId="4ADD52F5" w14:textId="4F2DA244" w:rsidR="000C5E26" w:rsidRPr="000C5E26" w:rsidRDefault="00612873" w:rsidP="000C5E26">
      <w:pPr>
        <w:pStyle w:val="NoSpacing"/>
        <w:jc w:val="both"/>
        <w:rPr>
          <w:rFonts w:ascii="Arial" w:hAnsi="Arial" w:cs="Arial"/>
          <w:b/>
          <w:bCs/>
          <w:sz w:val="20"/>
          <w:szCs w:val="20"/>
        </w:rPr>
      </w:pPr>
      <w:r>
        <w:rPr>
          <w:rFonts w:ascii="Arial" w:hAnsi="Arial" w:cs="Arial"/>
          <w:b/>
          <w:bCs/>
          <w:sz w:val="20"/>
          <w:szCs w:val="20"/>
        </w:rPr>
        <w:t xml:space="preserve">2.4. </w:t>
      </w:r>
      <w:r w:rsidR="000C5E26" w:rsidRPr="000C5E26">
        <w:rPr>
          <w:rFonts w:ascii="Arial" w:hAnsi="Arial" w:cs="Arial"/>
          <w:b/>
          <w:bCs/>
          <w:sz w:val="20"/>
          <w:szCs w:val="20"/>
        </w:rPr>
        <w:t>Research Instrumentation</w:t>
      </w:r>
    </w:p>
    <w:p w14:paraId="27C44D6F" w14:textId="77777777" w:rsidR="000C5E26" w:rsidRPr="000C5E26" w:rsidRDefault="000C5E26" w:rsidP="000C5E26">
      <w:pPr>
        <w:jc w:val="both"/>
        <w:rPr>
          <w:rFonts w:ascii="Arial" w:hAnsi="Arial" w:cs="Arial"/>
          <w:color w:val="222222"/>
          <w:shd w:val="clear" w:color="auto" w:fill="FFFFFF"/>
        </w:rPr>
      </w:pPr>
      <w:r w:rsidRPr="000C5E26">
        <w:rPr>
          <w:rFonts w:ascii="Arial" w:hAnsi="Arial" w:cs="Arial"/>
        </w:rPr>
        <w:tab/>
        <w:t xml:space="preserve">An adapted survey questionnaire (Reyes, 2016) was used to gather the research data. It was composed of 3 parts: Part I elicited the profile of the respondents; Part II measured the </w:t>
      </w:r>
      <w:r w:rsidRPr="000C5E26">
        <w:rPr>
          <w:rFonts w:ascii="Arial" w:hAnsi="Arial" w:cs="Arial"/>
          <w:lang w:val="en-ID"/>
        </w:rPr>
        <w:t>condition of the boarding houses based on students’ assessment</w:t>
      </w:r>
      <w:r w:rsidRPr="000C5E26">
        <w:rPr>
          <w:rFonts w:ascii="Arial" w:hAnsi="Arial" w:cs="Arial"/>
        </w:rPr>
        <w:t>, and Part III was for the recommendations.</w:t>
      </w:r>
    </w:p>
    <w:p w14:paraId="30DB594B" w14:textId="77777777" w:rsidR="000C5E26" w:rsidRPr="000C5E26" w:rsidRDefault="000C5E26" w:rsidP="000C5E26">
      <w:pPr>
        <w:pStyle w:val="NoSpacing"/>
        <w:jc w:val="both"/>
        <w:rPr>
          <w:rFonts w:ascii="Arial" w:hAnsi="Arial" w:cs="Arial"/>
          <w:sz w:val="20"/>
          <w:szCs w:val="20"/>
          <w:lang w:val="en-US"/>
        </w:rPr>
      </w:pPr>
    </w:p>
    <w:p w14:paraId="69FD4E09" w14:textId="7EDAD2FC" w:rsidR="000C5E26" w:rsidRPr="000C5E26" w:rsidRDefault="00612873" w:rsidP="000C5E26">
      <w:pPr>
        <w:pStyle w:val="NoSpacing"/>
        <w:jc w:val="both"/>
        <w:rPr>
          <w:rFonts w:ascii="Arial" w:hAnsi="Arial" w:cs="Arial"/>
          <w:b/>
          <w:bCs/>
          <w:sz w:val="20"/>
          <w:szCs w:val="20"/>
        </w:rPr>
      </w:pPr>
      <w:r>
        <w:rPr>
          <w:rFonts w:ascii="Arial" w:hAnsi="Arial" w:cs="Arial"/>
          <w:b/>
          <w:bCs/>
          <w:sz w:val="20"/>
          <w:szCs w:val="20"/>
        </w:rPr>
        <w:t xml:space="preserve">2.5. </w:t>
      </w:r>
      <w:r w:rsidR="000C5E26" w:rsidRPr="000C5E26">
        <w:rPr>
          <w:rFonts w:ascii="Arial" w:hAnsi="Arial" w:cs="Arial"/>
          <w:b/>
          <w:bCs/>
          <w:sz w:val="20"/>
          <w:szCs w:val="20"/>
        </w:rPr>
        <w:t xml:space="preserve">Data Gathering Procedures </w:t>
      </w:r>
    </w:p>
    <w:p w14:paraId="35A7AD86" w14:textId="77777777" w:rsidR="000C5E26" w:rsidRPr="000C5E26" w:rsidRDefault="000C5E26" w:rsidP="000C5E26">
      <w:pPr>
        <w:pStyle w:val="NoSpacing"/>
        <w:jc w:val="both"/>
        <w:rPr>
          <w:rFonts w:ascii="Arial" w:hAnsi="Arial" w:cs="Arial"/>
          <w:sz w:val="20"/>
          <w:szCs w:val="20"/>
        </w:rPr>
      </w:pPr>
      <w:r w:rsidRPr="000C5E26">
        <w:rPr>
          <w:rFonts w:ascii="Arial" w:hAnsi="Arial" w:cs="Arial"/>
          <w:sz w:val="20"/>
          <w:szCs w:val="20"/>
        </w:rPr>
        <w:tab/>
      </w:r>
      <w:r w:rsidRPr="000C5E26">
        <w:rPr>
          <w:rFonts w:ascii="Arial" w:hAnsi="Arial" w:cs="Arial"/>
          <w:sz w:val="20"/>
          <w:szCs w:val="20"/>
          <w:lang w:val="en-US"/>
        </w:rPr>
        <w:t>Survey questionnaires were distributed in person and, where necessary, via digital platforms (e.g., email or Google Forms) to accommodate students with limited physical access. Respondents were given clear instructions and assured of confidentiality and voluntary participation. Data were tallied, tabulated and interpreted.</w:t>
      </w:r>
    </w:p>
    <w:p w14:paraId="7CB8C9FD" w14:textId="77777777" w:rsidR="000C5E26" w:rsidRPr="000C5E26" w:rsidRDefault="000C5E26" w:rsidP="000C5E26">
      <w:pPr>
        <w:pStyle w:val="NoSpacing"/>
        <w:jc w:val="both"/>
        <w:rPr>
          <w:rFonts w:ascii="Arial" w:hAnsi="Arial" w:cs="Arial"/>
          <w:sz w:val="20"/>
          <w:szCs w:val="20"/>
        </w:rPr>
      </w:pPr>
    </w:p>
    <w:p w14:paraId="5829E6B8" w14:textId="1469B6F0" w:rsidR="000C5E26" w:rsidRPr="000C5E26" w:rsidRDefault="00612873" w:rsidP="000C5E26">
      <w:pPr>
        <w:pStyle w:val="NoSpacing"/>
        <w:jc w:val="both"/>
        <w:rPr>
          <w:rFonts w:ascii="Arial" w:hAnsi="Arial" w:cs="Arial"/>
          <w:b/>
          <w:bCs/>
          <w:sz w:val="20"/>
          <w:szCs w:val="20"/>
        </w:rPr>
      </w:pPr>
      <w:r>
        <w:rPr>
          <w:rFonts w:ascii="Arial" w:hAnsi="Arial" w:cs="Arial"/>
          <w:b/>
          <w:bCs/>
          <w:sz w:val="20"/>
          <w:szCs w:val="20"/>
        </w:rPr>
        <w:t xml:space="preserve">2.6. </w:t>
      </w:r>
      <w:r w:rsidR="000C5E26" w:rsidRPr="000C5E26">
        <w:rPr>
          <w:rFonts w:ascii="Arial" w:hAnsi="Arial" w:cs="Arial"/>
          <w:b/>
          <w:bCs/>
          <w:sz w:val="20"/>
          <w:szCs w:val="20"/>
        </w:rPr>
        <w:t>Statistical Analysis</w:t>
      </w:r>
    </w:p>
    <w:p w14:paraId="5A850BC4" w14:textId="77777777" w:rsidR="000C5E26" w:rsidRPr="000C5E26" w:rsidRDefault="000C5E26" w:rsidP="000C5E26">
      <w:pPr>
        <w:pStyle w:val="NoSpacing"/>
        <w:jc w:val="both"/>
        <w:rPr>
          <w:rFonts w:ascii="Arial" w:hAnsi="Arial" w:cs="Arial"/>
          <w:b/>
          <w:bCs/>
          <w:sz w:val="20"/>
          <w:szCs w:val="20"/>
        </w:rPr>
      </w:pPr>
    </w:p>
    <w:p w14:paraId="3D213FC3" w14:textId="77777777" w:rsidR="000C5E26" w:rsidRPr="000C5E26" w:rsidRDefault="000C5E26" w:rsidP="000C5E26">
      <w:pPr>
        <w:pStyle w:val="NoSpacing"/>
        <w:jc w:val="both"/>
        <w:rPr>
          <w:rFonts w:ascii="Arial" w:hAnsi="Arial" w:cs="Arial"/>
          <w:sz w:val="20"/>
          <w:szCs w:val="20"/>
        </w:rPr>
      </w:pPr>
      <w:r w:rsidRPr="000C5E26">
        <w:rPr>
          <w:rFonts w:ascii="Arial" w:hAnsi="Arial" w:cs="Arial"/>
          <w:b/>
          <w:bCs/>
          <w:sz w:val="20"/>
          <w:szCs w:val="20"/>
        </w:rPr>
        <w:tab/>
      </w:r>
      <w:r w:rsidRPr="000C5E26">
        <w:rPr>
          <w:rFonts w:ascii="Arial" w:hAnsi="Arial" w:cs="Arial"/>
          <w:b/>
          <w:sz w:val="20"/>
          <w:szCs w:val="20"/>
        </w:rPr>
        <w:t>Frequency and percentage</w:t>
      </w:r>
      <w:r w:rsidRPr="000C5E26">
        <w:rPr>
          <w:rFonts w:ascii="Arial" w:hAnsi="Arial" w:cs="Arial"/>
          <w:sz w:val="20"/>
          <w:szCs w:val="20"/>
        </w:rPr>
        <w:t xml:space="preserve"> were used to compute for the demographic profile of the respondents. </w:t>
      </w:r>
    </w:p>
    <w:p w14:paraId="3F97E259" w14:textId="77777777" w:rsidR="000C5E26" w:rsidRPr="000C5E26" w:rsidRDefault="000C5E26" w:rsidP="000C5E26">
      <w:pPr>
        <w:pStyle w:val="NoSpacing"/>
        <w:jc w:val="both"/>
        <w:rPr>
          <w:rFonts w:ascii="Arial" w:hAnsi="Arial" w:cs="Arial"/>
          <w:sz w:val="20"/>
          <w:szCs w:val="20"/>
        </w:rPr>
      </w:pPr>
    </w:p>
    <w:p w14:paraId="40D34740" w14:textId="77777777" w:rsidR="000C5E26" w:rsidRPr="000C5E26" w:rsidRDefault="000C5E26" w:rsidP="000C5E26">
      <w:pPr>
        <w:pStyle w:val="NoSpacing"/>
        <w:jc w:val="both"/>
        <w:rPr>
          <w:rFonts w:ascii="Arial" w:hAnsi="Arial" w:cs="Arial"/>
          <w:sz w:val="20"/>
          <w:szCs w:val="20"/>
        </w:rPr>
      </w:pPr>
      <w:r w:rsidRPr="000C5E26">
        <w:rPr>
          <w:rFonts w:ascii="Arial" w:hAnsi="Arial" w:cs="Arial"/>
          <w:sz w:val="20"/>
          <w:szCs w:val="20"/>
        </w:rPr>
        <w:tab/>
      </w:r>
      <w:r w:rsidRPr="000C5E26">
        <w:rPr>
          <w:rFonts w:ascii="Arial" w:hAnsi="Arial" w:cs="Arial"/>
          <w:b/>
          <w:sz w:val="20"/>
          <w:szCs w:val="20"/>
        </w:rPr>
        <w:t>Weighted mean</w:t>
      </w:r>
      <w:r w:rsidRPr="000C5E26">
        <w:rPr>
          <w:rFonts w:ascii="Arial" w:hAnsi="Arial" w:cs="Arial"/>
          <w:sz w:val="20"/>
          <w:szCs w:val="20"/>
        </w:rPr>
        <w:t xml:space="preserve"> was used to measure the level </w:t>
      </w:r>
      <w:r w:rsidRPr="000C5E26">
        <w:rPr>
          <w:rFonts w:ascii="Arial" w:hAnsi="Arial" w:cs="Arial"/>
          <w:sz w:val="20"/>
          <w:szCs w:val="20"/>
          <w:lang w:val="en-ID"/>
        </w:rPr>
        <w:t>condition of the boarding houses based on students’ assessment</w:t>
      </w:r>
      <w:r w:rsidRPr="000C5E26">
        <w:rPr>
          <w:rFonts w:ascii="Arial" w:hAnsi="Arial" w:cs="Arial"/>
          <w:sz w:val="20"/>
          <w:szCs w:val="20"/>
        </w:rPr>
        <w:t xml:space="preserve"> using 5 Point-Likert scale:</w:t>
      </w:r>
    </w:p>
    <w:p w14:paraId="046130B4" w14:textId="77777777" w:rsidR="000C5E26" w:rsidRPr="000C5E26" w:rsidRDefault="000C5E26" w:rsidP="000C5E26">
      <w:pPr>
        <w:pStyle w:val="NoSpacing"/>
        <w:jc w:val="both"/>
        <w:rPr>
          <w:rFonts w:ascii="Arial" w:hAnsi="Arial" w:cs="Arial"/>
          <w:sz w:val="20"/>
          <w:szCs w:val="20"/>
        </w:rPr>
      </w:pPr>
    </w:p>
    <w:p w14:paraId="1F9623B0" w14:textId="77777777" w:rsidR="000C5E26" w:rsidRPr="00612873" w:rsidRDefault="000C5E26" w:rsidP="000C5E26">
      <w:pPr>
        <w:pStyle w:val="NoSpacing"/>
        <w:jc w:val="both"/>
        <w:rPr>
          <w:rFonts w:ascii="Arial" w:hAnsi="Arial" w:cs="Arial"/>
          <w:b/>
          <w:bCs/>
          <w:sz w:val="20"/>
          <w:szCs w:val="20"/>
        </w:rPr>
      </w:pPr>
      <w:r w:rsidRPr="00612873">
        <w:rPr>
          <w:rFonts w:ascii="Arial" w:hAnsi="Arial" w:cs="Arial"/>
          <w:b/>
          <w:bCs/>
          <w:sz w:val="20"/>
          <w:szCs w:val="20"/>
        </w:rPr>
        <w:t>Table 1. 5 Point-Likert scale</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940"/>
        <w:gridCol w:w="4050"/>
      </w:tblGrid>
      <w:tr w:rsidR="000C5E26" w:rsidRPr="000C5E26" w14:paraId="056BC086" w14:textId="77777777" w:rsidTr="00C57E30">
        <w:trPr>
          <w:jc w:val="center"/>
        </w:trPr>
        <w:tc>
          <w:tcPr>
            <w:tcW w:w="1920" w:type="dxa"/>
            <w:tcBorders>
              <w:top w:val="single" w:sz="4" w:space="0" w:color="auto"/>
              <w:left w:val="single" w:sz="4" w:space="0" w:color="auto"/>
              <w:bottom w:val="single" w:sz="4" w:space="0" w:color="auto"/>
              <w:right w:val="single" w:sz="4" w:space="0" w:color="auto"/>
            </w:tcBorders>
            <w:hideMark/>
          </w:tcPr>
          <w:p w14:paraId="5DE3D68D" w14:textId="77777777" w:rsidR="000C5E26" w:rsidRPr="000C5E26" w:rsidRDefault="000C5E26" w:rsidP="00C57E30">
            <w:pPr>
              <w:pStyle w:val="NoSpacing"/>
              <w:jc w:val="center"/>
              <w:rPr>
                <w:rFonts w:ascii="Arial" w:hAnsi="Arial" w:cs="Arial"/>
                <w:b/>
                <w:sz w:val="20"/>
                <w:szCs w:val="20"/>
              </w:rPr>
            </w:pPr>
            <w:r w:rsidRPr="000C5E26">
              <w:rPr>
                <w:rFonts w:ascii="Arial" w:hAnsi="Arial" w:cs="Arial"/>
                <w:b/>
                <w:sz w:val="20"/>
                <w:szCs w:val="20"/>
              </w:rPr>
              <w:t>SCALE</w:t>
            </w:r>
          </w:p>
        </w:tc>
        <w:tc>
          <w:tcPr>
            <w:tcW w:w="2940" w:type="dxa"/>
            <w:tcBorders>
              <w:top w:val="single" w:sz="4" w:space="0" w:color="auto"/>
              <w:left w:val="single" w:sz="4" w:space="0" w:color="auto"/>
              <w:bottom w:val="single" w:sz="4" w:space="0" w:color="auto"/>
              <w:right w:val="single" w:sz="4" w:space="0" w:color="auto"/>
            </w:tcBorders>
            <w:hideMark/>
          </w:tcPr>
          <w:p w14:paraId="08AAC13C" w14:textId="77777777" w:rsidR="000C5E26" w:rsidRPr="000C5E26" w:rsidRDefault="000C5E26" w:rsidP="00C57E30">
            <w:pPr>
              <w:pStyle w:val="NoSpacing"/>
              <w:jc w:val="center"/>
              <w:rPr>
                <w:rFonts w:ascii="Arial" w:hAnsi="Arial" w:cs="Arial"/>
                <w:b/>
                <w:sz w:val="20"/>
                <w:szCs w:val="20"/>
              </w:rPr>
            </w:pPr>
            <w:r w:rsidRPr="000C5E26">
              <w:rPr>
                <w:rFonts w:ascii="Arial" w:hAnsi="Arial" w:cs="Arial"/>
                <w:b/>
                <w:sz w:val="20"/>
                <w:szCs w:val="20"/>
              </w:rPr>
              <w:t>MEAN RANGE</w:t>
            </w:r>
          </w:p>
        </w:tc>
        <w:tc>
          <w:tcPr>
            <w:tcW w:w="4050" w:type="dxa"/>
            <w:tcBorders>
              <w:top w:val="single" w:sz="4" w:space="0" w:color="auto"/>
              <w:left w:val="single" w:sz="4" w:space="0" w:color="auto"/>
              <w:bottom w:val="single" w:sz="4" w:space="0" w:color="auto"/>
              <w:right w:val="single" w:sz="4" w:space="0" w:color="auto"/>
            </w:tcBorders>
            <w:hideMark/>
          </w:tcPr>
          <w:p w14:paraId="19C3BE64" w14:textId="77777777" w:rsidR="000C5E26" w:rsidRPr="000C5E26" w:rsidRDefault="000C5E26" w:rsidP="00C57E30">
            <w:pPr>
              <w:pStyle w:val="NoSpacing"/>
              <w:jc w:val="center"/>
              <w:rPr>
                <w:rFonts w:ascii="Arial" w:hAnsi="Arial" w:cs="Arial"/>
                <w:b/>
                <w:sz w:val="20"/>
                <w:szCs w:val="20"/>
              </w:rPr>
            </w:pPr>
            <w:r w:rsidRPr="000C5E26">
              <w:rPr>
                <w:rFonts w:ascii="Arial" w:hAnsi="Arial" w:cs="Arial"/>
                <w:b/>
                <w:sz w:val="20"/>
                <w:szCs w:val="20"/>
              </w:rPr>
              <w:t>DESCRIPTIVE INTERPRETATION</w:t>
            </w:r>
          </w:p>
        </w:tc>
      </w:tr>
      <w:tr w:rsidR="000C5E26" w:rsidRPr="000C5E26" w14:paraId="0801EBA6" w14:textId="77777777" w:rsidTr="00C57E30">
        <w:trPr>
          <w:jc w:val="center"/>
        </w:trPr>
        <w:tc>
          <w:tcPr>
            <w:tcW w:w="1920" w:type="dxa"/>
            <w:tcBorders>
              <w:top w:val="single" w:sz="4" w:space="0" w:color="auto"/>
              <w:left w:val="single" w:sz="4" w:space="0" w:color="auto"/>
              <w:bottom w:val="single" w:sz="4" w:space="0" w:color="auto"/>
              <w:right w:val="single" w:sz="4" w:space="0" w:color="auto"/>
            </w:tcBorders>
          </w:tcPr>
          <w:p w14:paraId="11C57F04"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5</w:t>
            </w:r>
          </w:p>
        </w:tc>
        <w:tc>
          <w:tcPr>
            <w:tcW w:w="2940" w:type="dxa"/>
            <w:tcBorders>
              <w:top w:val="single" w:sz="4" w:space="0" w:color="auto"/>
              <w:left w:val="single" w:sz="4" w:space="0" w:color="auto"/>
              <w:bottom w:val="single" w:sz="4" w:space="0" w:color="auto"/>
              <w:right w:val="single" w:sz="4" w:space="0" w:color="auto"/>
            </w:tcBorders>
          </w:tcPr>
          <w:p w14:paraId="60A687FB"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 xml:space="preserve">4.20 – 5.00 </w:t>
            </w:r>
          </w:p>
        </w:tc>
        <w:tc>
          <w:tcPr>
            <w:tcW w:w="4050" w:type="dxa"/>
            <w:tcBorders>
              <w:top w:val="single" w:sz="4" w:space="0" w:color="auto"/>
              <w:left w:val="single" w:sz="4" w:space="0" w:color="auto"/>
              <w:bottom w:val="single" w:sz="4" w:space="0" w:color="auto"/>
              <w:right w:val="single" w:sz="4" w:space="0" w:color="auto"/>
            </w:tcBorders>
          </w:tcPr>
          <w:p w14:paraId="6FBB859E" w14:textId="77777777" w:rsidR="000C5E26" w:rsidRPr="000C5E26" w:rsidRDefault="000C5E26" w:rsidP="00C57E30">
            <w:pPr>
              <w:pStyle w:val="NoSpacing"/>
              <w:tabs>
                <w:tab w:val="left" w:pos="8640"/>
              </w:tabs>
              <w:jc w:val="center"/>
              <w:rPr>
                <w:rFonts w:ascii="Arial" w:hAnsi="Arial" w:cs="Arial"/>
                <w:sz w:val="20"/>
                <w:szCs w:val="20"/>
              </w:rPr>
            </w:pPr>
            <w:r w:rsidRPr="000C5E26">
              <w:rPr>
                <w:rFonts w:ascii="Arial" w:hAnsi="Arial" w:cs="Arial"/>
                <w:sz w:val="20"/>
                <w:szCs w:val="20"/>
              </w:rPr>
              <w:t>Very Satisfied</w:t>
            </w:r>
          </w:p>
        </w:tc>
      </w:tr>
      <w:tr w:rsidR="000C5E26" w:rsidRPr="000C5E26" w14:paraId="0148E87A" w14:textId="77777777" w:rsidTr="00C57E30">
        <w:trPr>
          <w:jc w:val="center"/>
        </w:trPr>
        <w:tc>
          <w:tcPr>
            <w:tcW w:w="1920" w:type="dxa"/>
            <w:tcBorders>
              <w:top w:val="single" w:sz="4" w:space="0" w:color="auto"/>
              <w:left w:val="single" w:sz="4" w:space="0" w:color="auto"/>
              <w:bottom w:val="single" w:sz="4" w:space="0" w:color="auto"/>
              <w:right w:val="single" w:sz="4" w:space="0" w:color="auto"/>
            </w:tcBorders>
          </w:tcPr>
          <w:p w14:paraId="4CB9EC7C"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4</w:t>
            </w:r>
          </w:p>
        </w:tc>
        <w:tc>
          <w:tcPr>
            <w:tcW w:w="2940" w:type="dxa"/>
            <w:tcBorders>
              <w:top w:val="single" w:sz="4" w:space="0" w:color="auto"/>
              <w:left w:val="single" w:sz="4" w:space="0" w:color="auto"/>
              <w:bottom w:val="single" w:sz="4" w:space="0" w:color="auto"/>
              <w:right w:val="single" w:sz="4" w:space="0" w:color="auto"/>
            </w:tcBorders>
            <w:hideMark/>
          </w:tcPr>
          <w:p w14:paraId="13B23F32"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 xml:space="preserve">3.40 – 4.19 </w:t>
            </w:r>
          </w:p>
        </w:tc>
        <w:tc>
          <w:tcPr>
            <w:tcW w:w="4050" w:type="dxa"/>
            <w:tcBorders>
              <w:top w:val="single" w:sz="4" w:space="0" w:color="auto"/>
              <w:left w:val="single" w:sz="4" w:space="0" w:color="auto"/>
              <w:bottom w:val="single" w:sz="4" w:space="0" w:color="auto"/>
              <w:right w:val="single" w:sz="4" w:space="0" w:color="auto"/>
            </w:tcBorders>
          </w:tcPr>
          <w:p w14:paraId="382F1517" w14:textId="77777777" w:rsidR="000C5E26" w:rsidRPr="000C5E26" w:rsidRDefault="000C5E26" w:rsidP="00C57E30">
            <w:pPr>
              <w:pStyle w:val="NoSpacing"/>
              <w:tabs>
                <w:tab w:val="left" w:pos="8640"/>
              </w:tabs>
              <w:jc w:val="center"/>
              <w:rPr>
                <w:rFonts w:ascii="Arial" w:hAnsi="Arial" w:cs="Arial"/>
                <w:sz w:val="20"/>
                <w:szCs w:val="20"/>
              </w:rPr>
            </w:pPr>
            <w:r w:rsidRPr="000C5E26">
              <w:rPr>
                <w:rFonts w:ascii="Arial" w:hAnsi="Arial" w:cs="Arial"/>
                <w:sz w:val="20"/>
                <w:szCs w:val="20"/>
              </w:rPr>
              <w:t>Satisfied</w:t>
            </w:r>
          </w:p>
        </w:tc>
      </w:tr>
      <w:tr w:rsidR="000C5E26" w:rsidRPr="000C5E26" w14:paraId="53AFDEA2" w14:textId="77777777" w:rsidTr="00C57E30">
        <w:trPr>
          <w:jc w:val="center"/>
        </w:trPr>
        <w:tc>
          <w:tcPr>
            <w:tcW w:w="1920" w:type="dxa"/>
            <w:tcBorders>
              <w:top w:val="single" w:sz="4" w:space="0" w:color="auto"/>
              <w:left w:val="single" w:sz="4" w:space="0" w:color="auto"/>
              <w:bottom w:val="single" w:sz="4" w:space="0" w:color="auto"/>
              <w:right w:val="single" w:sz="4" w:space="0" w:color="auto"/>
            </w:tcBorders>
          </w:tcPr>
          <w:p w14:paraId="650B50FB"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3</w:t>
            </w:r>
          </w:p>
        </w:tc>
        <w:tc>
          <w:tcPr>
            <w:tcW w:w="2940" w:type="dxa"/>
            <w:tcBorders>
              <w:top w:val="single" w:sz="4" w:space="0" w:color="auto"/>
              <w:left w:val="single" w:sz="4" w:space="0" w:color="auto"/>
              <w:bottom w:val="single" w:sz="4" w:space="0" w:color="auto"/>
              <w:right w:val="single" w:sz="4" w:space="0" w:color="auto"/>
            </w:tcBorders>
            <w:hideMark/>
          </w:tcPr>
          <w:p w14:paraId="7E2EA404"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 xml:space="preserve">2.80 – 3.39 </w:t>
            </w:r>
          </w:p>
        </w:tc>
        <w:tc>
          <w:tcPr>
            <w:tcW w:w="4050" w:type="dxa"/>
            <w:tcBorders>
              <w:top w:val="single" w:sz="4" w:space="0" w:color="auto"/>
              <w:left w:val="single" w:sz="4" w:space="0" w:color="auto"/>
              <w:bottom w:val="single" w:sz="4" w:space="0" w:color="auto"/>
              <w:right w:val="single" w:sz="4" w:space="0" w:color="auto"/>
            </w:tcBorders>
          </w:tcPr>
          <w:p w14:paraId="5E573C44" w14:textId="77777777" w:rsidR="000C5E26" w:rsidRPr="000C5E26" w:rsidRDefault="000C5E26" w:rsidP="00C57E30">
            <w:pPr>
              <w:pStyle w:val="NoSpacing"/>
              <w:tabs>
                <w:tab w:val="left" w:pos="8640"/>
              </w:tabs>
              <w:jc w:val="center"/>
              <w:rPr>
                <w:rFonts w:ascii="Arial" w:hAnsi="Arial" w:cs="Arial"/>
                <w:sz w:val="20"/>
                <w:szCs w:val="20"/>
              </w:rPr>
            </w:pPr>
            <w:r w:rsidRPr="000C5E26">
              <w:rPr>
                <w:rFonts w:ascii="Arial" w:hAnsi="Arial" w:cs="Arial"/>
                <w:sz w:val="20"/>
                <w:szCs w:val="20"/>
              </w:rPr>
              <w:t>Neutral</w:t>
            </w:r>
          </w:p>
        </w:tc>
      </w:tr>
      <w:tr w:rsidR="000C5E26" w:rsidRPr="000C5E26" w14:paraId="1CEF3F08" w14:textId="77777777" w:rsidTr="00C57E30">
        <w:trPr>
          <w:jc w:val="center"/>
        </w:trPr>
        <w:tc>
          <w:tcPr>
            <w:tcW w:w="1920" w:type="dxa"/>
            <w:tcBorders>
              <w:top w:val="single" w:sz="4" w:space="0" w:color="auto"/>
              <w:left w:val="single" w:sz="4" w:space="0" w:color="auto"/>
              <w:bottom w:val="single" w:sz="4" w:space="0" w:color="auto"/>
              <w:right w:val="single" w:sz="4" w:space="0" w:color="auto"/>
            </w:tcBorders>
          </w:tcPr>
          <w:p w14:paraId="1CFCD634"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2</w:t>
            </w:r>
          </w:p>
        </w:tc>
        <w:tc>
          <w:tcPr>
            <w:tcW w:w="2940" w:type="dxa"/>
            <w:tcBorders>
              <w:top w:val="single" w:sz="4" w:space="0" w:color="auto"/>
              <w:left w:val="single" w:sz="4" w:space="0" w:color="auto"/>
              <w:bottom w:val="single" w:sz="4" w:space="0" w:color="auto"/>
              <w:right w:val="single" w:sz="4" w:space="0" w:color="auto"/>
            </w:tcBorders>
            <w:hideMark/>
          </w:tcPr>
          <w:p w14:paraId="2AB24B34"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 xml:space="preserve">1.80 - 2.79 </w:t>
            </w:r>
          </w:p>
        </w:tc>
        <w:tc>
          <w:tcPr>
            <w:tcW w:w="4050" w:type="dxa"/>
            <w:tcBorders>
              <w:top w:val="single" w:sz="4" w:space="0" w:color="auto"/>
              <w:left w:val="single" w:sz="4" w:space="0" w:color="auto"/>
              <w:bottom w:val="single" w:sz="4" w:space="0" w:color="auto"/>
              <w:right w:val="single" w:sz="4" w:space="0" w:color="auto"/>
            </w:tcBorders>
          </w:tcPr>
          <w:p w14:paraId="14FBDA37" w14:textId="77777777" w:rsidR="000C5E26" w:rsidRPr="000C5E26" w:rsidRDefault="000C5E26" w:rsidP="00C57E30">
            <w:pPr>
              <w:pStyle w:val="NoSpacing"/>
              <w:tabs>
                <w:tab w:val="left" w:pos="8640"/>
              </w:tabs>
              <w:jc w:val="center"/>
              <w:rPr>
                <w:rFonts w:ascii="Arial" w:hAnsi="Arial" w:cs="Arial"/>
                <w:sz w:val="20"/>
                <w:szCs w:val="20"/>
              </w:rPr>
            </w:pPr>
            <w:r w:rsidRPr="000C5E26">
              <w:rPr>
                <w:rFonts w:ascii="Arial" w:hAnsi="Arial" w:cs="Arial"/>
                <w:sz w:val="20"/>
                <w:szCs w:val="20"/>
              </w:rPr>
              <w:t>Dissatisfied</w:t>
            </w:r>
          </w:p>
        </w:tc>
      </w:tr>
      <w:tr w:rsidR="000C5E26" w:rsidRPr="000C5E26" w14:paraId="1F29EC03" w14:textId="77777777" w:rsidTr="00C57E30">
        <w:trPr>
          <w:jc w:val="center"/>
        </w:trPr>
        <w:tc>
          <w:tcPr>
            <w:tcW w:w="1920" w:type="dxa"/>
            <w:tcBorders>
              <w:top w:val="single" w:sz="4" w:space="0" w:color="auto"/>
              <w:left w:val="single" w:sz="4" w:space="0" w:color="auto"/>
              <w:bottom w:val="single" w:sz="4" w:space="0" w:color="auto"/>
              <w:right w:val="single" w:sz="4" w:space="0" w:color="auto"/>
            </w:tcBorders>
          </w:tcPr>
          <w:p w14:paraId="2151E196"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1</w:t>
            </w:r>
          </w:p>
        </w:tc>
        <w:tc>
          <w:tcPr>
            <w:tcW w:w="2940" w:type="dxa"/>
            <w:tcBorders>
              <w:top w:val="single" w:sz="4" w:space="0" w:color="auto"/>
              <w:left w:val="single" w:sz="4" w:space="0" w:color="auto"/>
              <w:bottom w:val="single" w:sz="4" w:space="0" w:color="auto"/>
              <w:right w:val="single" w:sz="4" w:space="0" w:color="auto"/>
            </w:tcBorders>
          </w:tcPr>
          <w:p w14:paraId="5D47FC80" w14:textId="77777777" w:rsidR="000C5E26" w:rsidRPr="000C5E26" w:rsidRDefault="000C5E26" w:rsidP="00C57E30">
            <w:pPr>
              <w:pStyle w:val="NoSpacing"/>
              <w:jc w:val="center"/>
              <w:rPr>
                <w:rFonts w:ascii="Arial" w:hAnsi="Arial" w:cs="Arial"/>
                <w:sz w:val="20"/>
                <w:szCs w:val="20"/>
              </w:rPr>
            </w:pPr>
            <w:r w:rsidRPr="000C5E26">
              <w:rPr>
                <w:rFonts w:ascii="Arial" w:hAnsi="Arial" w:cs="Arial"/>
                <w:sz w:val="20"/>
                <w:szCs w:val="20"/>
              </w:rPr>
              <w:t>1.00 – 1.79</w:t>
            </w:r>
          </w:p>
        </w:tc>
        <w:tc>
          <w:tcPr>
            <w:tcW w:w="4050" w:type="dxa"/>
            <w:tcBorders>
              <w:top w:val="single" w:sz="4" w:space="0" w:color="auto"/>
              <w:left w:val="single" w:sz="4" w:space="0" w:color="auto"/>
              <w:bottom w:val="single" w:sz="4" w:space="0" w:color="auto"/>
              <w:right w:val="single" w:sz="4" w:space="0" w:color="auto"/>
            </w:tcBorders>
          </w:tcPr>
          <w:p w14:paraId="2DAE9F81" w14:textId="77777777" w:rsidR="000C5E26" w:rsidRPr="000C5E26" w:rsidRDefault="000C5E26" w:rsidP="00C57E30">
            <w:pPr>
              <w:pStyle w:val="NoSpacing"/>
              <w:tabs>
                <w:tab w:val="left" w:pos="8640"/>
              </w:tabs>
              <w:jc w:val="center"/>
              <w:rPr>
                <w:rFonts w:ascii="Arial" w:hAnsi="Arial" w:cs="Arial"/>
                <w:sz w:val="20"/>
                <w:szCs w:val="20"/>
              </w:rPr>
            </w:pPr>
            <w:r w:rsidRPr="000C5E26">
              <w:rPr>
                <w:rFonts w:ascii="Arial" w:hAnsi="Arial" w:cs="Arial"/>
                <w:sz w:val="20"/>
                <w:szCs w:val="20"/>
              </w:rPr>
              <w:t>Very Dissatisfied</w:t>
            </w:r>
          </w:p>
        </w:tc>
      </w:tr>
    </w:tbl>
    <w:p w14:paraId="264FE1E5" w14:textId="77777777" w:rsidR="000C5E26" w:rsidRPr="000C5E26" w:rsidRDefault="000C5E26" w:rsidP="000C5E26">
      <w:pPr>
        <w:pStyle w:val="ListParagraph"/>
        <w:widowControl w:val="0"/>
        <w:autoSpaceDE w:val="0"/>
        <w:autoSpaceDN w:val="0"/>
        <w:ind w:left="0"/>
        <w:jc w:val="both"/>
        <w:rPr>
          <w:rFonts w:ascii="Arial" w:hAnsi="Arial" w:cs="Arial"/>
          <w:sz w:val="20"/>
          <w:szCs w:val="20"/>
        </w:rPr>
      </w:pPr>
      <w:r w:rsidRPr="000C5E26">
        <w:rPr>
          <w:rFonts w:ascii="Arial" w:hAnsi="Arial" w:cs="Arial"/>
          <w:bCs/>
          <w:sz w:val="20"/>
          <w:szCs w:val="20"/>
        </w:rPr>
        <w:tab/>
      </w:r>
    </w:p>
    <w:p w14:paraId="6199C783" w14:textId="77777777" w:rsidR="000C5E26" w:rsidRPr="000C5E26" w:rsidRDefault="000C5E26" w:rsidP="000C5E26">
      <w:pPr>
        <w:ind w:firstLine="720"/>
        <w:rPr>
          <w:rFonts w:ascii="Arial" w:hAnsi="Arial" w:cs="Arial"/>
        </w:rPr>
      </w:pPr>
      <w:r w:rsidRPr="000C5E26">
        <w:rPr>
          <w:rFonts w:ascii="Arial" w:hAnsi="Arial" w:cs="Arial"/>
          <w:b/>
        </w:rPr>
        <w:t xml:space="preserve">Thematic analysis </w:t>
      </w:r>
      <w:r w:rsidRPr="000C5E26">
        <w:rPr>
          <w:rFonts w:ascii="Arial" w:hAnsi="Arial" w:cs="Arial"/>
        </w:rPr>
        <w:t>was used for the recommendations of the respondents.</w:t>
      </w:r>
    </w:p>
    <w:p w14:paraId="1C8ABEFB" w14:textId="77777777" w:rsidR="00790ADA" w:rsidRPr="00FB3A86" w:rsidRDefault="00790ADA" w:rsidP="00441B6F">
      <w:pPr>
        <w:pStyle w:val="Body"/>
        <w:spacing w:after="0"/>
        <w:rPr>
          <w:rFonts w:ascii="Arial" w:hAnsi="Arial" w:cs="Arial"/>
        </w:rPr>
      </w:pPr>
    </w:p>
    <w:p w14:paraId="11CD60A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F00B1DF" w14:textId="77777777" w:rsidR="00790ADA" w:rsidRPr="00612873" w:rsidRDefault="00790ADA" w:rsidP="00441B6F">
      <w:pPr>
        <w:pStyle w:val="Head1"/>
        <w:spacing w:after="0"/>
        <w:jc w:val="both"/>
        <w:rPr>
          <w:rFonts w:ascii="Arial" w:hAnsi="Arial" w:cs="Arial"/>
          <w:sz w:val="20"/>
        </w:rPr>
      </w:pPr>
    </w:p>
    <w:p w14:paraId="7B7EA432" w14:textId="431C8B34" w:rsidR="00612873" w:rsidRPr="00612873" w:rsidRDefault="00612873" w:rsidP="00612873">
      <w:pPr>
        <w:pStyle w:val="ListParagraph"/>
        <w:numPr>
          <w:ilvl w:val="1"/>
          <w:numId w:val="36"/>
        </w:numPr>
        <w:jc w:val="both"/>
        <w:rPr>
          <w:rFonts w:ascii="Arial" w:hAnsi="Arial" w:cs="Arial"/>
          <w:b/>
          <w:bCs/>
          <w:sz w:val="20"/>
          <w:szCs w:val="20"/>
        </w:rPr>
      </w:pPr>
      <w:r w:rsidRPr="00612873">
        <w:rPr>
          <w:rFonts w:ascii="Arial" w:hAnsi="Arial"/>
          <w:b/>
          <w:sz w:val="20"/>
          <w:szCs w:val="20"/>
        </w:rPr>
        <w:t>Profile of the respondents</w:t>
      </w:r>
    </w:p>
    <w:p w14:paraId="446E1969" w14:textId="77777777" w:rsidR="00612873" w:rsidRPr="00612873" w:rsidRDefault="00612873" w:rsidP="00612873">
      <w:pPr>
        <w:pStyle w:val="ListParagraph"/>
        <w:ind w:left="1080"/>
        <w:jc w:val="both"/>
        <w:rPr>
          <w:rFonts w:ascii="Arial" w:hAnsi="Arial" w:cs="Arial"/>
          <w:b/>
          <w:bCs/>
          <w:sz w:val="20"/>
          <w:szCs w:val="20"/>
        </w:rPr>
      </w:pPr>
    </w:p>
    <w:p w14:paraId="4ED1A5BD" w14:textId="77777777" w:rsidR="00612873" w:rsidRPr="00612873" w:rsidRDefault="00612873" w:rsidP="00612873">
      <w:pPr>
        <w:jc w:val="both"/>
        <w:rPr>
          <w:rFonts w:ascii="Arial" w:hAnsi="Arial" w:cs="Arial"/>
          <w:b/>
          <w:bCs/>
        </w:rPr>
      </w:pPr>
      <w:r w:rsidRPr="00612873">
        <w:rPr>
          <w:rFonts w:ascii="Arial" w:hAnsi="Arial" w:cs="Arial"/>
          <w:b/>
          <w:bCs/>
        </w:rPr>
        <w:t>Table 2. Profile of the respondents</w:t>
      </w:r>
    </w:p>
    <w:tbl>
      <w:tblPr>
        <w:tblStyle w:val="TableGrid"/>
        <w:tblW w:w="0" w:type="auto"/>
        <w:tblLook w:val="04A0" w:firstRow="1" w:lastRow="0" w:firstColumn="1" w:lastColumn="0" w:noHBand="0" w:noVBand="1"/>
      </w:tblPr>
      <w:tblGrid>
        <w:gridCol w:w="2813"/>
        <w:gridCol w:w="2801"/>
        <w:gridCol w:w="2810"/>
      </w:tblGrid>
      <w:tr w:rsidR="00612873" w:rsidRPr="00612873" w14:paraId="02D1669B" w14:textId="77777777" w:rsidTr="00C57E30">
        <w:tc>
          <w:tcPr>
            <w:tcW w:w="3005" w:type="dxa"/>
          </w:tcPr>
          <w:p w14:paraId="5BD02045" w14:textId="77777777" w:rsidR="00612873" w:rsidRPr="00612873" w:rsidRDefault="00612873" w:rsidP="00C57E30">
            <w:pPr>
              <w:jc w:val="both"/>
              <w:rPr>
                <w:rFonts w:ascii="Arial" w:hAnsi="Arial" w:cs="Arial"/>
                <w:b/>
                <w:bCs/>
                <w:sz w:val="20"/>
                <w:szCs w:val="20"/>
              </w:rPr>
            </w:pPr>
          </w:p>
        </w:tc>
        <w:tc>
          <w:tcPr>
            <w:tcW w:w="3005" w:type="dxa"/>
          </w:tcPr>
          <w:p w14:paraId="5A72E463"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Frequency</w:t>
            </w:r>
          </w:p>
        </w:tc>
        <w:tc>
          <w:tcPr>
            <w:tcW w:w="3006" w:type="dxa"/>
          </w:tcPr>
          <w:p w14:paraId="04B08455"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Percentage</w:t>
            </w:r>
          </w:p>
        </w:tc>
      </w:tr>
      <w:tr w:rsidR="00612873" w:rsidRPr="00612873" w14:paraId="37D38F5C" w14:textId="77777777" w:rsidTr="00C57E30">
        <w:tc>
          <w:tcPr>
            <w:tcW w:w="3005" w:type="dxa"/>
          </w:tcPr>
          <w:p w14:paraId="365A04DA" w14:textId="77777777" w:rsidR="00612873" w:rsidRPr="00612873" w:rsidRDefault="00612873" w:rsidP="00C57E30">
            <w:pPr>
              <w:jc w:val="both"/>
              <w:rPr>
                <w:rFonts w:ascii="Arial" w:hAnsi="Arial" w:cs="Arial"/>
                <w:b/>
                <w:bCs/>
                <w:sz w:val="20"/>
                <w:szCs w:val="20"/>
              </w:rPr>
            </w:pPr>
            <w:r w:rsidRPr="00612873">
              <w:rPr>
                <w:rFonts w:ascii="Arial" w:hAnsi="Arial" w:cs="Arial"/>
                <w:b/>
                <w:bCs/>
                <w:sz w:val="20"/>
                <w:szCs w:val="20"/>
              </w:rPr>
              <w:t xml:space="preserve">Sex  </w:t>
            </w:r>
          </w:p>
        </w:tc>
        <w:tc>
          <w:tcPr>
            <w:tcW w:w="3005" w:type="dxa"/>
          </w:tcPr>
          <w:p w14:paraId="3678F00C" w14:textId="77777777" w:rsidR="00612873" w:rsidRPr="00612873" w:rsidRDefault="00612873" w:rsidP="00C57E30">
            <w:pPr>
              <w:jc w:val="center"/>
              <w:rPr>
                <w:rFonts w:ascii="Arial" w:hAnsi="Arial" w:cs="Arial"/>
                <w:b/>
                <w:bCs/>
                <w:sz w:val="20"/>
                <w:szCs w:val="20"/>
              </w:rPr>
            </w:pPr>
          </w:p>
        </w:tc>
        <w:tc>
          <w:tcPr>
            <w:tcW w:w="3006" w:type="dxa"/>
          </w:tcPr>
          <w:p w14:paraId="589DC676" w14:textId="77777777" w:rsidR="00612873" w:rsidRPr="00612873" w:rsidRDefault="00612873" w:rsidP="00C57E30">
            <w:pPr>
              <w:jc w:val="center"/>
              <w:rPr>
                <w:rFonts w:ascii="Arial" w:hAnsi="Arial" w:cs="Arial"/>
                <w:b/>
                <w:bCs/>
                <w:sz w:val="20"/>
                <w:szCs w:val="20"/>
              </w:rPr>
            </w:pPr>
          </w:p>
        </w:tc>
      </w:tr>
      <w:tr w:rsidR="00612873" w:rsidRPr="00612873" w14:paraId="768FD3DD" w14:textId="77777777" w:rsidTr="00C57E30">
        <w:tc>
          <w:tcPr>
            <w:tcW w:w="3005" w:type="dxa"/>
          </w:tcPr>
          <w:p w14:paraId="4A2F84E1"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Male</w:t>
            </w:r>
          </w:p>
        </w:tc>
        <w:tc>
          <w:tcPr>
            <w:tcW w:w="3005" w:type="dxa"/>
            <w:vAlign w:val="center"/>
          </w:tcPr>
          <w:p w14:paraId="1C097805"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91</w:t>
            </w:r>
          </w:p>
        </w:tc>
        <w:tc>
          <w:tcPr>
            <w:tcW w:w="3006" w:type="dxa"/>
            <w:vAlign w:val="center"/>
          </w:tcPr>
          <w:p w14:paraId="324E07D9" w14:textId="77777777" w:rsidR="00612873" w:rsidRPr="00612873" w:rsidRDefault="00612873" w:rsidP="00C57E30">
            <w:pPr>
              <w:jc w:val="center"/>
              <w:rPr>
                <w:rFonts w:ascii="Arial" w:hAnsi="Arial" w:cs="Arial"/>
                <w:sz w:val="20"/>
                <w:szCs w:val="20"/>
              </w:rPr>
            </w:pPr>
            <w:r w:rsidRPr="00612873">
              <w:rPr>
                <w:rStyle w:val="Strong"/>
                <w:rFonts w:ascii="Arial" w:hAnsi="Arial" w:cs="Arial"/>
                <w:sz w:val="20"/>
                <w:szCs w:val="20"/>
              </w:rPr>
              <w:t>55%</w:t>
            </w:r>
          </w:p>
        </w:tc>
      </w:tr>
      <w:tr w:rsidR="00612873" w:rsidRPr="00612873" w14:paraId="63C7E1A1" w14:textId="77777777" w:rsidTr="00C57E30">
        <w:tc>
          <w:tcPr>
            <w:tcW w:w="3005" w:type="dxa"/>
          </w:tcPr>
          <w:p w14:paraId="06BFC2CB"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Female</w:t>
            </w:r>
          </w:p>
        </w:tc>
        <w:tc>
          <w:tcPr>
            <w:tcW w:w="3005" w:type="dxa"/>
            <w:vAlign w:val="center"/>
          </w:tcPr>
          <w:p w14:paraId="05A0A2D1"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74</w:t>
            </w:r>
          </w:p>
        </w:tc>
        <w:tc>
          <w:tcPr>
            <w:tcW w:w="3006" w:type="dxa"/>
            <w:vAlign w:val="center"/>
          </w:tcPr>
          <w:p w14:paraId="7E92E0D2" w14:textId="77777777" w:rsidR="00612873" w:rsidRPr="00612873" w:rsidRDefault="00612873" w:rsidP="00C57E30">
            <w:pPr>
              <w:jc w:val="center"/>
              <w:rPr>
                <w:rFonts w:ascii="Arial" w:hAnsi="Arial" w:cs="Arial"/>
                <w:sz w:val="20"/>
                <w:szCs w:val="20"/>
              </w:rPr>
            </w:pPr>
            <w:r w:rsidRPr="00612873">
              <w:rPr>
                <w:rStyle w:val="Strong"/>
                <w:rFonts w:ascii="Arial" w:hAnsi="Arial" w:cs="Arial"/>
                <w:sz w:val="20"/>
                <w:szCs w:val="20"/>
              </w:rPr>
              <w:t>45%</w:t>
            </w:r>
          </w:p>
        </w:tc>
      </w:tr>
      <w:tr w:rsidR="00612873" w:rsidRPr="00612873" w14:paraId="4949B2C9" w14:textId="77777777" w:rsidTr="00C57E30">
        <w:tc>
          <w:tcPr>
            <w:tcW w:w="3005" w:type="dxa"/>
          </w:tcPr>
          <w:p w14:paraId="0627DBBF" w14:textId="77777777" w:rsidR="00612873" w:rsidRPr="00612873" w:rsidRDefault="00612873" w:rsidP="00C57E30">
            <w:pPr>
              <w:jc w:val="center"/>
              <w:rPr>
                <w:rFonts w:ascii="Arial" w:hAnsi="Arial" w:cs="Arial"/>
                <w:sz w:val="20"/>
                <w:szCs w:val="20"/>
              </w:rPr>
            </w:pPr>
          </w:p>
        </w:tc>
        <w:tc>
          <w:tcPr>
            <w:tcW w:w="3005" w:type="dxa"/>
          </w:tcPr>
          <w:p w14:paraId="4225E456"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165</w:t>
            </w:r>
          </w:p>
        </w:tc>
        <w:tc>
          <w:tcPr>
            <w:tcW w:w="3006" w:type="dxa"/>
          </w:tcPr>
          <w:p w14:paraId="42B588B0"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100</w:t>
            </w:r>
          </w:p>
        </w:tc>
      </w:tr>
      <w:tr w:rsidR="00612873" w:rsidRPr="00612873" w14:paraId="3A876BED" w14:textId="77777777" w:rsidTr="00C57E30">
        <w:tc>
          <w:tcPr>
            <w:tcW w:w="3005" w:type="dxa"/>
          </w:tcPr>
          <w:p w14:paraId="2B5CA39C" w14:textId="77777777" w:rsidR="00612873" w:rsidRPr="00612873" w:rsidRDefault="00612873" w:rsidP="00C57E30">
            <w:pPr>
              <w:jc w:val="both"/>
              <w:rPr>
                <w:rFonts w:ascii="Arial" w:hAnsi="Arial" w:cs="Arial"/>
                <w:sz w:val="20"/>
                <w:szCs w:val="20"/>
              </w:rPr>
            </w:pPr>
            <w:r w:rsidRPr="00612873">
              <w:rPr>
                <w:rFonts w:ascii="Arial" w:hAnsi="Arial" w:cs="Arial"/>
                <w:b/>
                <w:sz w:val="20"/>
                <w:szCs w:val="20"/>
              </w:rPr>
              <w:t>Age</w:t>
            </w:r>
          </w:p>
        </w:tc>
        <w:tc>
          <w:tcPr>
            <w:tcW w:w="3005" w:type="dxa"/>
          </w:tcPr>
          <w:p w14:paraId="1BFD624E" w14:textId="77777777" w:rsidR="00612873" w:rsidRPr="00612873" w:rsidRDefault="00612873" w:rsidP="00C57E30">
            <w:pPr>
              <w:jc w:val="both"/>
              <w:rPr>
                <w:rFonts w:ascii="Arial" w:hAnsi="Arial" w:cs="Arial"/>
                <w:b/>
                <w:bCs/>
                <w:sz w:val="20"/>
                <w:szCs w:val="20"/>
              </w:rPr>
            </w:pPr>
          </w:p>
        </w:tc>
        <w:tc>
          <w:tcPr>
            <w:tcW w:w="3006" w:type="dxa"/>
          </w:tcPr>
          <w:p w14:paraId="62B0FA83" w14:textId="77777777" w:rsidR="00612873" w:rsidRPr="00612873" w:rsidRDefault="00612873" w:rsidP="00C57E30">
            <w:pPr>
              <w:jc w:val="both"/>
              <w:rPr>
                <w:rFonts w:ascii="Arial" w:hAnsi="Arial" w:cs="Arial"/>
                <w:b/>
                <w:bCs/>
                <w:sz w:val="20"/>
                <w:szCs w:val="20"/>
              </w:rPr>
            </w:pPr>
          </w:p>
        </w:tc>
      </w:tr>
      <w:tr w:rsidR="00612873" w:rsidRPr="00612873" w14:paraId="17682EC3" w14:textId="77777777" w:rsidTr="00C57E30">
        <w:tc>
          <w:tcPr>
            <w:tcW w:w="3005" w:type="dxa"/>
          </w:tcPr>
          <w:p w14:paraId="784431F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20 years and below</w:t>
            </w:r>
          </w:p>
        </w:tc>
        <w:tc>
          <w:tcPr>
            <w:tcW w:w="3005" w:type="dxa"/>
          </w:tcPr>
          <w:p w14:paraId="6B3EE7BD"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78</w:t>
            </w:r>
          </w:p>
        </w:tc>
        <w:tc>
          <w:tcPr>
            <w:tcW w:w="3006" w:type="dxa"/>
          </w:tcPr>
          <w:p w14:paraId="674D3146"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47.27%</w:t>
            </w:r>
          </w:p>
        </w:tc>
      </w:tr>
      <w:tr w:rsidR="00612873" w:rsidRPr="00612873" w14:paraId="660775B0" w14:textId="77777777" w:rsidTr="00C57E30">
        <w:tc>
          <w:tcPr>
            <w:tcW w:w="3005" w:type="dxa"/>
          </w:tcPr>
          <w:p w14:paraId="12D6AAA3"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21 years old</w:t>
            </w:r>
          </w:p>
        </w:tc>
        <w:tc>
          <w:tcPr>
            <w:tcW w:w="3005" w:type="dxa"/>
          </w:tcPr>
          <w:p w14:paraId="505CE0B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31</w:t>
            </w:r>
          </w:p>
        </w:tc>
        <w:tc>
          <w:tcPr>
            <w:tcW w:w="3006" w:type="dxa"/>
          </w:tcPr>
          <w:p w14:paraId="1626B557"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18.79%</w:t>
            </w:r>
          </w:p>
        </w:tc>
      </w:tr>
      <w:tr w:rsidR="00612873" w:rsidRPr="00612873" w14:paraId="4EEE7784" w14:textId="77777777" w:rsidTr="00C57E30">
        <w:tc>
          <w:tcPr>
            <w:tcW w:w="3005" w:type="dxa"/>
          </w:tcPr>
          <w:p w14:paraId="473ACBC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22 years old</w:t>
            </w:r>
          </w:p>
        </w:tc>
        <w:tc>
          <w:tcPr>
            <w:tcW w:w="3005" w:type="dxa"/>
          </w:tcPr>
          <w:p w14:paraId="35A8B89C"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31</w:t>
            </w:r>
          </w:p>
        </w:tc>
        <w:tc>
          <w:tcPr>
            <w:tcW w:w="3006" w:type="dxa"/>
          </w:tcPr>
          <w:p w14:paraId="24BF034D"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18.79%</w:t>
            </w:r>
          </w:p>
        </w:tc>
      </w:tr>
      <w:tr w:rsidR="00612873" w:rsidRPr="00612873" w14:paraId="22CB3E47" w14:textId="77777777" w:rsidTr="00C57E30">
        <w:tc>
          <w:tcPr>
            <w:tcW w:w="3005" w:type="dxa"/>
          </w:tcPr>
          <w:p w14:paraId="2D6BD4ED"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23 years old</w:t>
            </w:r>
          </w:p>
        </w:tc>
        <w:tc>
          <w:tcPr>
            <w:tcW w:w="3005" w:type="dxa"/>
          </w:tcPr>
          <w:p w14:paraId="1CD45700"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12</w:t>
            </w:r>
          </w:p>
        </w:tc>
        <w:tc>
          <w:tcPr>
            <w:tcW w:w="3006" w:type="dxa"/>
          </w:tcPr>
          <w:p w14:paraId="191A58BE"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7.27%</w:t>
            </w:r>
          </w:p>
        </w:tc>
      </w:tr>
      <w:tr w:rsidR="00612873" w:rsidRPr="00612873" w14:paraId="7BFE0221" w14:textId="77777777" w:rsidTr="00C57E30">
        <w:tc>
          <w:tcPr>
            <w:tcW w:w="3005" w:type="dxa"/>
          </w:tcPr>
          <w:p w14:paraId="6A20E7A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24 years old</w:t>
            </w:r>
          </w:p>
        </w:tc>
        <w:tc>
          <w:tcPr>
            <w:tcW w:w="3005" w:type="dxa"/>
          </w:tcPr>
          <w:p w14:paraId="0B64FFC4"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8</w:t>
            </w:r>
          </w:p>
        </w:tc>
        <w:tc>
          <w:tcPr>
            <w:tcW w:w="3006" w:type="dxa"/>
          </w:tcPr>
          <w:p w14:paraId="3CB4B7DA"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4.85%</w:t>
            </w:r>
          </w:p>
        </w:tc>
      </w:tr>
      <w:tr w:rsidR="00612873" w:rsidRPr="00612873" w14:paraId="007A5750" w14:textId="77777777" w:rsidTr="00C57E30">
        <w:trPr>
          <w:trHeight w:val="56"/>
        </w:trPr>
        <w:tc>
          <w:tcPr>
            <w:tcW w:w="3005" w:type="dxa"/>
          </w:tcPr>
          <w:p w14:paraId="5AA4A752"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26 years and above</w:t>
            </w:r>
          </w:p>
        </w:tc>
        <w:tc>
          <w:tcPr>
            <w:tcW w:w="3005" w:type="dxa"/>
          </w:tcPr>
          <w:p w14:paraId="79B3CE0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5</w:t>
            </w:r>
          </w:p>
        </w:tc>
        <w:tc>
          <w:tcPr>
            <w:tcW w:w="3006" w:type="dxa"/>
          </w:tcPr>
          <w:p w14:paraId="01F3C933"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3.03%</w:t>
            </w:r>
          </w:p>
        </w:tc>
      </w:tr>
      <w:tr w:rsidR="00612873" w:rsidRPr="00612873" w14:paraId="365CD2F8" w14:textId="77777777" w:rsidTr="00C57E30">
        <w:tc>
          <w:tcPr>
            <w:tcW w:w="3005" w:type="dxa"/>
          </w:tcPr>
          <w:p w14:paraId="70744ADD" w14:textId="77777777" w:rsidR="00612873" w:rsidRPr="00612873" w:rsidRDefault="00612873" w:rsidP="00C57E30">
            <w:pPr>
              <w:jc w:val="center"/>
              <w:rPr>
                <w:rFonts w:ascii="Arial" w:hAnsi="Arial" w:cs="Arial"/>
                <w:sz w:val="20"/>
                <w:szCs w:val="20"/>
              </w:rPr>
            </w:pPr>
          </w:p>
        </w:tc>
        <w:tc>
          <w:tcPr>
            <w:tcW w:w="3005" w:type="dxa"/>
          </w:tcPr>
          <w:p w14:paraId="3868F6F7" w14:textId="77777777" w:rsidR="00612873" w:rsidRPr="00612873" w:rsidRDefault="00612873" w:rsidP="00C57E30">
            <w:pPr>
              <w:jc w:val="center"/>
              <w:rPr>
                <w:rFonts w:ascii="Arial" w:hAnsi="Arial" w:cs="Arial"/>
                <w:sz w:val="20"/>
                <w:szCs w:val="20"/>
              </w:rPr>
            </w:pPr>
            <w:r w:rsidRPr="00612873">
              <w:rPr>
                <w:rFonts w:ascii="Arial" w:hAnsi="Arial" w:cs="Arial"/>
                <w:b/>
                <w:bCs/>
                <w:sz w:val="20"/>
                <w:szCs w:val="20"/>
              </w:rPr>
              <w:t>165</w:t>
            </w:r>
          </w:p>
        </w:tc>
        <w:tc>
          <w:tcPr>
            <w:tcW w:w="3006" w:type="dxa"/>
          </w:tcPr>
          <w:p w14:paraId="2DD7441D"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100</w:t>
            </w:r>
          </w:p>
        </w:tc>
      </w:tr>
      <w:tr w:rsidR="00612873" w:rsidRPr="00612873" w14:paraId="2A231E81" w14:textId="77777777" w:rsidTr="00C57E30">
        <w:tc>
          <w:tcPr>
            <w:tcW w:w="3005" w:type="dxa"/>
          </w:tcPr>
          <w:p w14:paraId="2216440B" w14:textId="77777777" w:rsidR="00612873" w:rsidRPr="00612873" w:rsidRDefault="00612873" w:rsidP="00C57E30">
            <w:pPr>
              <w:jc w:val="both"/>
              <w:rPr>
                <w:rFonts w:ascii="Arial" w:hAnsi="Arial" w:cs="Arial"/>
                <w:sz w:val="20"/>
                <w:szCs w:val="20"/>
              </w:rPr>
            </w:pPr>
            <w:r w:rsidRPr="00612873">
              <w:rPr>
                <w:rFonts w:ascii="Arial" w:hAnsi="Arial" w:cs="Arial"/>
                <w:b/>
                <w:bCs/>
                <w:sz w:val="20"/>
                <w:szCs w:val="20"/>
              </w:rPr>
              <w:t>Year Level</w:t>
            </w:r>
          </w:p>
        </w:tc>
        <w:tc>
          <w:tcPr>
            <w:tcW w:w="3005" w:type="dxa"/>
          </w:tcPr>
          <w:p w14:paraId="4B3D2C91" w14:textId="77777777" w:rsidR="00612873" w:rsidRPr="00612873" w:rsidRDefault="00612873" w:rsidP="00C57E30">
            <w:pPr>
              <w:jc w:val="both"/>
              <w:rPr>
                <w:rFonts w:ascii="Arial" w:hAnsi="Arial" w:cs="Arial"/>
                <w:b/>
                <w:bCs/>
                <w:sz w:val="20"/>
                <w:szCs w:val="20"/>
              </w:rPr>
            </w:pPr>
          </w:p>
        </w:tc>
        <w:tc>
          <w:tcPr>
            <w:tcW w:w="3006" w:type="dxa"/>
          </w:tcPr>
          <w:p w14:paraId="04E396F6" w14:textId="77777777" w:rsidR="00612873" w:rsidRPr="00612873" w:rsidRDefault="00612873" w:rsidP="00C57E30">
            <w:pPr>
              <w:jc w:val="center"/>
              <w:rPr>
                <w:rFonts w:ascii="Arial" w:hAnsi="Arial" w:cs="Arial"/>
                <w:sz w:val="20"/>
                <w:szCs w:val="20"/>
              </w:rPr>
            </w:pPr>
          </w:p>
        </w:tc>
      </w:tr>
      <w:tr w:rsidR="00612873" w:rsidRPr="00612873" w14:paraId="123C292A" w14:textId="77777777" w:rsidTr="00C57E30">
        <w:tc>
          <w:tcPr>
            <w:tcW w:w="3005" w:type="dxa"/>
          </w:tcPr>
          <w:p w14:paraId="20560B1D"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1</w:t>
            </w:r>
            <w:r w:rsidRPr="00612873">
              <w:rPr>
                <w:rFonts w:ascii="Arial" w:hAnsi="Arial" w:cs="Arial"/>
                <w:sz w:val="20"/>
                <w:szCs w:val="20"/>
                <w:vertAlign w:val="superscript"/>
              </w:rPr>
              <w:t xml:space="preserve">st </w:t>
            </w:r>
            <w:r w:rsidRPr="00612873">
              <w:rPr>
                <w:rFonts w:ascii="Arial" w:hAnsi="Arial" w:cs="Arial"/>
                <w:sz w:val="20"/>
                <w:szCs w:val="20"/>
              </w:rPr>
              <w:t>year</w:t>
            </w:r>
          </w:p>
        </w:tc>
        <w:tc>
          <w:tcPr>
            <w:tcW w:w="3005" w:type="dxa"/>
          </w:tcPr>
          <w:p w14:paraId="1FF51F9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20</w:t>
            </w:r>
          </w:p>
        </w:tc>
        <w:tc>
          <w:tcPr>
            <w:tcW w:w="3006" w:type="dxa"/>
          </w:tcPr>
          <w:p w14:paraId="19CAC033"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12.12%</w:t>
            </w:r>
          </w:p>
        </w:tc>
      </w:tr>
      <w:tr w:rsidR="00612873" w:rsidRPr="00612873" w14:paraId="378CF604" w14:textId="77777777" w:rsidTr="00C57E30">
        <w:tc>
          <w:tcPr>
            <w:tcW w:w="3005" w:type="dxa"/>
          </w:tcPr>
          <w:p w14:paraId="2903F26C"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w:t>
            </w:r>
            <w:r w:rsidRPr="00612873">
              <w:rPr>
                <w:rFonts w:ascii="Arial" w:hAnsi="Arial" w:cs="Arial"/>
                <w:sz w:val="20"/>
                <w:szCs w:val="20"/>
                <w:vertAlign w:val="superscript"/>
              </w:rPr>
              <w:t>nd</w:t>
            </w:r>
            <w:r w:rsidRPr="00612873">
              <w:rPr>
                <w:rFonts w:ascii="Arial" w:hAnsi="Arial" w:cs="Arial"/>
                <w:sz w:val="20"/>
                <w:szCs w:val="20"/>
              </w:rPr>
              <w:t xml:space="preserve"> year</w:t>
            </w:r>
          </w:p>
        </w:tc>
        <w:tc>
          <w:tcPr>
            <w:tcW w:w="3005" w:type="dxa"/>
          </w:tcPr>
          <w:p w14:paraId="1777DBA0"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50</w:t>
            </w:r>
          </w:p>
        </w:tc>
        <w:tc>
          <w:tcPr>
            <w:tcW w:w="3006" w:type="dxa"/>
          </w:tcPr>
          <w:p w14:paraId="6C313A0D"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30.30%</w:t>
            </w:r>
          </w:p>
        </w:tc>
      </w:tr>
      <w:tr w:rsidR="00612873" w:rsidRPr="00612873" w14:paraId="5C8944C1" w14:textId="77777777" w:rsidTr="00C57E30">
        <w:tc>
          <w:tcPr>
            <w:tcW w:w="3005" w:type="dxa"/>
          </w:tcPr>
          <w:p w14:paraId="35C6C382"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lastRenderedPageBreak/>
              <w:t>3</w:t>
            </w:r>
            <w:r w:rsidRPr="00612873">
              <w:rPr>
                <w:rFonts w:ascii="Arial" w:hAnsi="Arial" w:cs="Arial"/>
                <w:sz w:val="20"/>
                <w:szCs w:val="20"/>
                <w:vertAlign w:val="superscript"/>
              </w:rPr>
              <w:t>rd</w:t>
            </w:r>
            <w:r w:rsidRPr="00612873">
              <w:rPr>
                <w:rFonts w:ascii="Arial" w:hAnsi="Arial" w:cs="Arial"/>
                <w:sz w:val="20"/>
                <w:szCs w:val="20"/>
              </w:rPr>
              <w:t xml:space="preserve"> year</w:t>
            </w:r>
          </w:p>
        </w:tc>
        <w:tc>
          <w:tcPr>
            <w:tcW w:w="3005" w:type="dxa"/>
          </w:tcPr>
          <w:p w14:paraId="254713B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83</w:t>
            </w:r>
          </w:p>
        </w:tc>
        <w:tc>
          <w:tcPr>
            <w:tcW w:w="3006" w:type="dxa"/>
          </w:tcPr>
          <w:p w14:paraId="32CC23E1"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50.30%</w:t>
            </w:r>
          </w:p>
        </w:tc>
      </w:tr>
      <w:tr w:rsidR="00612873" w:rsidRPr="00612873" w14:paraId="531133B5" w14:textId="77777777" w:rsidTr="00C57E30">
        <w:tc>
          <w:tcPr>
            <w:tcW w:w="3005" w:type="dxa"/>
          </w:tcPr>
          <w:p w14:paraId="191F8E0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w:t>
            </w:r>
            <w:r w:rsidRPr="00612873">
              <w:rPr>
                <w:rFonts w:ascii="Arial" w:hAnsi="Arial" w:cs="Arial"/>
                <w:sz w:val="20"/>
                <w:szCs w:val="20"/>
                <w:vertAlign w:val="superscript"/>
              </w:rPr>
              <w:t>th</w:t>
            </w:r>
            <w:r w:rsidRPr="00612873">
              <w:rPr>
                <w:rFonts w:ascii="Arial" w:hAnsi="Arial" w:cs="Arial"/>
                <w:sz w:val="20"/>
                <w:szCs w:val="20"/>
              </w:rPr>
              <w:t xml:space="preserve"> year</w:t>
            </w:r>
          </w:p>
        </w:tc>
        <w:tc>
          <w:tcPr>
            <w:tcW w:w="3005" w:type="dxa"/>
          </w:tcPr>
          <w:p w14:paraId="6A98B4A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8</w:t>
            </w:r>
          </w:p>
        </w:tc>
        <w:tc>
          <w:tcPr>
            <w:tcW w:w="3006" w:type="dxa"/>
          </w:tcPr>
          <w:p w14:paraId="7F574C25"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4.85%</w:t>
            </w:r>
          </w:p>
        </w:tc>
      </w:tr>
      <w:tr w:rsidR="00612873" w:rsidRPr="00612873" w14:paraId="429081D0" w14:textId="77777777" w:rsidTr="00C57E30">
        <w:tc>
          <w:tcPr>
            <w:tcW w:w="3005" w:type="dxa"/>
          </w:tcPr>
          <w:p w14:paraId="55F981CA"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5</w:t>
            </w:r>
            <w:r w:rsidRPr="00612873">
              <w:rPr>
                <w:rFonts w:ascii="Arial" w:hAnsi="Arial" w:cs="Arial"/>
                <w:sz w:val="20"/>
                <w:szCs w:val="20"/>
                <w:vertAlign w:val="superscript"/>
              </w:rPr>
              <w:t>th</w:t>
            </w:r>
            <w:r w:rsidRPr="00612873">
              <w:rPr>
                <w:rFonts w:ascii="Arial" w:hAnsi="Arial" w:cs="Arial"/>
                <w:sz w:val="20"/>
                <w:szCs w:val="20"/>
              </w:rPr>
              <w:t xml:space="preserve"> year</w:t>
            </w:r>
          </w:p>
        </w:tc>
        <w:tc>
          <w:tcPr>
            <w:tcW w:w="3005" w:type="dxa"/>
          </w:tcPr>
          <w:p w14:paraId="5FF516D2"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w:t>
            </w:r>
          </w:p>
        </w:tc>
        <w:tc>
          <w:tcPr>
            <w:tcW w:w="3006" w:type="dxa"/>
          </w:tcPr>
          <w:p w14:paraId="58795A78" w14:textId="77777777" w:rsidR="00612873" w:rsidRPr="00612873" w:rsidRDefault="00612873" w:rsidP="00C57E30">
            <w:pPr>
              <w:jc w:val="center"/>
              <w:rPr>
                <w:rFonts w:ascii="Arial" w:hAnsi="Arial" w:cs="Arial"/>
                <w:b/>
                <w:bCs/>
                <w:sz w:val="20"/>
                <w:szCs w:val="20"/>
              </w:rPr>
            </w:pPr>
            <w:r w:rsidRPr="00612873">
              <w:rPr>
                <w:rStyle w:val="Strong"/>
                <w:rFonts w:ascii="Arial" w:hAnsi="Arial" w:cs="Arial"/>
                <w:sz w:val="20"/>
                <w:szCs w:val="20"/>
              </w:rPr>
              <w:t>2.42%</w:t>
            </w:r>
          </w:p>
        </w:tc>
      </w:tr>
      <w:tr w:rsidR="00612873" w:rsidRPr="00612873" w14:paraId="3B1170A5" w14:textId="77777777" w:rsidTr="00C57E30">
        <w:tc>
          <w:tcPr>
            <w:tcW w:w="3005" w:type="dxa"/>
          </w:tcPr>
          <w:p w14:paraId="3CD0E8B2" w14:textId="77777777" w:rsidR="00612873" w:rsidRPr="00612873" w:rsidRDefault="00612873" w:rsidP="00C57E30">
            <w:pPr>
              <w:jc w:val="center"/>
              <w:rPr>
                <w:rFonts w:ascii="Arial" w:hAnsi="Arial" w:cs="Arial"/>
                <w:sz w:val="20"/>
                <w:szCs w:val="20"/>
              </w:rPr>
            </w:pPr>
          </w:p>
        </w:tc>
        <w:tc>
          <w:tcPr>
            <w:tcW w:w="3005" w:type="dxa"/>
          </w:tcPr>
          <w:p w14:paraId="357BD03A" w14:textId="77777777" w:rsidR="00612873" w:rsidRPr="00612873" w:rsidRDefault="00612873" w:rsidP="00C57E30">
            <w:pPr>
              <w:jc w:val="center"/>
              <w:rPr>
                <w:rFonts w:ascii="Arial" w:hAnsi="Arial" w:cs="Arial"/>
                <w:sz w:val="20"/>
                <w:szCs w:val="20"/>
              </w:rPr>
            </w:pPr>
            <w:r w:rsidRPr="00612873">
              <w:rPr>
                <w:rFonts w:ascii="Arial" w:hAnsi="Arial" w:cs="Arial"/>
                <w:b/>
                <w:bCs/>
                <w:sz w:val="20"/>
                <w:szCs w:val="20"/>
              </w:rPr>
              <w:t>165</w:t>
            </w:r>
          </w:p>
        </w:tc>
        <w:tc>
          <w:tcPr>
            <w:tcW w:w="3006" w:type="dxa"/>
          </w:tcPr>
          <w:p w14:paraId="69F0198F"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100</w:t>
            </w:r>
          </w:p>
        </w:tc>
      </w:tr>
      <w:tr w:rsidR="00612873" w:rsidRPr="00612873" w14:paraId="20954666" w14:textId="77777777" w:rsidTr="00C57E30">
        <w:tc>
          <w:tcPr>
            <w:tcW w:w="3005" w:type="dxa"/>
          </w:tcPr>
          <w:p w14:paraId="271B40C9" w14:textId="77777777" w:rsidR="00612873" w:rsidRPr="00612873" w:rsidRDefault="00612873" w:rsidP="00C57E30">
            <w:pPr>
              <w:rPr>
                <w:rFonts w:ascii="Arial" w:hAnsi="Arial" w:cs="Arial"/>
                <w:sz w:val="20"/>
                <w:szCs w:val="20"/>
              </w:rPr>
            </w:pPr>
            <w:r w:rsidRPr="00612873">
              <w:rPr>
                <w:rFonts w:ascii="Arial" w:hAnsi="Arial" w:cs="Arial"/>
                <w:b/>
                <w:sz w:val="20"/>
                <w:szCs w:val="20"/>
              </w:rPr>
              <w:t>Department</w:t>
            </w:r>
          </w:p>
        </w:tc>
        <w:tc>
          <w:tcPr>
            <w:tcW w:w="3005" w:type="dxa"/>
          </w:tcPr>
          <w:p w14:paraId="5B912680" w14:textId="77777777" w:rsidR="00612873" w:rsidRPr="00612873" w:rsidRDefault="00612873" w:rsidP="00C57E30">
            <w:pPr>
              <w:jc w:val="both"/>
              <w:rPr>
                <w:rFonts w:ascii="Arial" w:hAnsi="Arial" w:cs="Arial"/>
                <w:b/>
                <w:bCs/>
                <w:sz w:val="20"/>
                <w:szCs w:val="20"/>
              </w:rPr>
            </w:pPr>
          </w:p>
        </w:tc>
        <w:tc>
          <w:tcPr>
            <w:tcW w:w="3006" w:type="dxa"/>
          </w:tcPr>
          <w:p w14:paraId="6A7EE147" w14:textId="77777777" w:rsidR="00612873" w:rsidRPr="00612873" w:rsidRDefault="00612873" w:rsidP="00C57E30">
            <w:pPr>
              <w:jc w:val="both"/>
              <w:rPr>
                <w:rFonts w:ascii="Arial" w:hAnsi="Arial" w:cs="Arial"/>
                <w:b/>
                <w:bCs/>
                <w:sz w:val="20"/>
                <w:szCs w:val="20"/>
              </w:rPr>
            </w:pPr>
          </w:p>
        </w:tc>
      </w:tr>
      <w:tr w:rsidR="00612873" w:rsidRPr="00612873" w14:paraId="2AA46FE4" w14:textId="77777777" w:rsidTr="00C57E30">
        <w:tc>
          <w:tcPr>
            <w:tcW w:w="3005" w:type="dxa"/>
            <w:vAlign w:val="center"/>
          </w:tcPr>
          <w:p w14:paraId="19BA763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BSC</w:t>
            </w:r>
          </w:p>
        </w:tc>
        <w:tc>
          <w:tcPr>
            <w:tcW w:w="3005" w:type="dxa"/>
            <w:vAlign w:val="center"/>
          </w:tcPr>
          <w:p w14:paraId="215620E8"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50</w:t>
            </w:r>
          </w:p>
        </w:tc>
        <w:tc>
          <w:tcPr>
            <w:tcW w:w="3006" w:type="dxa"/>
            <w:vAlign w:val="center"/>
          </w:tcPr>
          <w:p w14:paraId="0039209A"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30.30%</w:t>
            </w:r>
          </w:p>
        </w:tc>
      </w:tr>
      <w:tr w:rsidR="00612873" w:rsidRPr="00612873" w14:paraId="7B77B912" w14:textId="77777777" w:rsidTr="00C57E30">
        <w:tc>
          <w:tcPr>
            <w:tcW w:w="3005" w:type="dxa"/>
            <w:vAlign w:val="center"/>
          </w:tcPr>
          <w:p w14:paraId="01653D4C"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BSE</w:t>
            </w:r>
          </w:p>
        </w:tc>
        <w:tc>
          <w:tcPr>
            <w:tcW w:w="3005" w:type="dxa"/>
            <w:vAlign w:val="center"/>
          </w:tcPr>
          <w:p w14:paraId="23ED48B4"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20</w:t>
            </w:r>
          </w:p>
        </w:tc>
        <w:tc>
          <w:tcPr>
            <w:tcW w:w="3006" w:type="dxa"/>
            <w:vAlign w:val="center"/>
          </w:tcPr>
          <w:p w14:paraId="610AEECB"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12.12%</w:t>
            </w:r>
          </w:p>
        </w:tc>
      </w:tr>
      <w:tr w:rsidR="00612873" w:rsidRPr="00612873" w14:paraId="24284AFB" w14:textId="77777777" w:rsidTr="00C57E30">
        <w:tc>
          <w:tcPr>
            <w:tcW w:w="3005" w:type="dxa"/>
            <w:vAlign w:val="center"/>
          </w:tcPr>
          <w:p w14:paraId="3B03EF76"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BEED</w:t>
            </w:r>
          </w:p>
        </w:tc>
        <w:tc>
          <w:tcPr>
            <w:tcW w:w="3005" w:type="dxa"/>
            <w:vAlign w:val="center"/>
          </w:tcPr>
          <w:p w14:paraId="2106488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15</w:t>
            </w:r>
          </w:p>
        </w:tc>
        <w:tc>
          <w:tcPr>
            <w:tcW w:w="3006" w:type="dxa"/>
            <w:vAlign w:val="center"/>
          </w:tcPr>
          <w:p w14:paraId="0919218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9.09%</w:t>
            </w:r>
          </w:p>
        </w:tc>
      </w:tr>
      <w:tr w:rsidR="00612873" w:rsidRPr="00612873" w14:paraId="5C3DE561" w14:textId="77777777" w:rsidTr="00C57E30">
        <w:tc>
          <w:tcPr>
            <w:tcW w:w="3005" w:type="dxa"/>
            <w:vAlign w:val="center"/>
          </w:tcPr>
          <w:p w14:paraId="38D13A3A"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BSCE</w:t>
            </w:r>
          </w:p>
        </w:tc>
        <w:tc>
          <w:tcPr>
            <w:tcW w:w="3005" w:type="dxa"/>
            <w:vAlign w:val="center"/>
          </w:tcPr>
          <w:p w14:paraId="4DB3A201"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10</w:t>
            </w:r>
          </w:p>
        </w:tc>
        <w:tc>
          <w:tcPr>
            <w:tcW w:w="3006" w:type="dxa"/>
            <w:vAlign w:val="center"/>
          </w:tcPr>
          <w:p w14:paraId="7F5ADF85"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6.06%</w:t>
            </w:r>
          </w:p>
        </w:tc>
      </w:tr>
      <w:tr w:rsidR="00612873" w:rsidRPr="00612873" w14:paraId="17B705B6" w14:textId="77777777" w:rsidTr="00C57E30">
        <w:tc>
          <w:tcPr>
            <w:tcW w:w="3005" w:type="dxa"/>
            <w:vAlign w:val="center"/>
          </w:tcPr>
          <w:p w14:paraId="4D95A203"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BSBA</w:t>
            </w:r>
          </w:p>
        </w:tc>
        <w:tc>
          <w:tcPr>
            <w:tcW w:w="3005" w:type="dxa"/>
            <w:vAlign w:val="center"/>
          </w:tcPr>
          <w:p w14:paraId="00753CE3"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25</w:t>
            </w:r>
          </w:p>
        </w:tc>
        <w:tc>
          <w:tcPr>
            <w:tcW w:w="3006" w:type="dxa"/>
            <w:vAlign w:val="center"/>
          </w:tcPr>
          <w:p w14:paraId="2CAD843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15.15%</w:t>
            </w:r>
          </w:p>
        </w:tc>
      </w:tr>
      <w:tr w:rsidR="00612873" w:rsidRPr="00612873" w14:paraId="618BC9EE" w14:textId="77777777" w:rsidTr="00C57E30">
        <w:tc>
          <w:tcPr>
            <w:tcW w:w="3005" w:type="dxa"/>
            <w:vAlign w:val="center"/>
          </w:tcPr>
          <w:p w14:paraId="6362C52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BSA</w:t>
            </w:r>
          </w:p>
        </w:tc>
        <w:tc>
          <w:tcPr>
            <w:tcW w:w="3005" w:type="dxa"/>
            <w:vAlign w:val="center"/>
          </w:tcPr>
          <w:p w14:paraId="5F329444"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8</w:t>
            </w:r>
          </w:p>
        </w:tc>
        <w:tc>
          <w:tcPr>
            <w:tcW w:w="3006" w:type="dxa"/>
            <w:vAlign w:val="center"/>
          </w:tcPr>
          <w:p w14:paraId="326ED91C"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4.85%</w:t>
            </w:r>
          </w:p>
        </w:tc>
      </w:tr>
      <w:tr w:rsidR="00612873" w:rsidRPr="00612873" w14:paraId="7B6C197E" w14:textId="77777777" w:rsidTr="00C57E30">
        <w:tc>
          <w:tcPr>
            <w:tcW w:w="3005" w:type="dxa"/>
            <w:vAlign w:val="center"/>
          </w:tcPr>
          <w:p w14:paraId="4ACEA998"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BSIT</w:t>
            </w:r>
          </w:p>
        </w:tc>
        <w:tc>
          <w:tcPr>
            <w:tcW w:w="3005" w:type="dxa"/>
            <w:vAlign w:val="center"/>
          </w:tcPr>
          <w:p w14:paraId="754D08E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12</w:t>
            </w:r>
          </w:p>
        </w:tc>
        <w:tc>
          <w:tcPr>
            <w:tcW w:w="3006" w:type="dxa"/>
            <w:vAlign w:val="center"/>
          </w:tcPr>
          <w:p w14:paraId="275B7A35"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7.27%</w:t>
            </w:r>
          </w:p>
        </w:tc>
      </w:tr>
      <w:tr w:rsidR="00612873" w:rsidRPr="00612873" w14:paraId="70B4093B" w14:textId="77777777" w:rsidTr="00C57E30">
        <w:tc>
          <w:tcPr>
            <w:tcW w:w="3005" w:type="dxa"/>
            <w:vAlign w:val="center"/>
          </w:tcPr>
          <w:p w14:paraId="7D1AF998"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BSICT</w:t>
            </w:r>
          </w:p>
        </w:tc>
        <w:tc>
          <w:tcPr>
            <w:tcW w:w="3005" w:type="dxa"/>
            <w:vAlign w:val="center"/>
          </w:tcPr>
          <w:p w14:paraId="0EE6421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5</w:t>
            </w:r>
          </w:p>
        </w:tc>
        <w:tc>
          <w:tcPr>
            <w:tcW w:w="3006" w:type="dxa"/>
            <w:vAlign w:val="center"/>
          </w:tcPr>
          <w:p w14:paraId="3283432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3.03%</w:t>
            </w:r>
          </w:p>
        </w:tc>
      </w:tr>
      <w:tr w:rsidR="00612873" w:rsidRPr="00612873" w14:paraId="66586754" w14:textId="77777777" w:rsidTr="00C57E30">
        <w:tc>
          <w:tcPr>
            <w:tcW w:w="3005" w:type="dxa"/>
            <w:vAlign w:val="center"/>
          </w:tcPr>
          <w:p w14:paraId="45D30303"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BSHM</w:t>
            </w:r>
          </w:p>
        </w:tc>
        <w:tc>
          <w:tcPr>
            <w:tcW w:w="3005" w:type="dxa"/>
            <w:vAlign w:val="center"/>
          </w:tcPr>
          <w:p w14:paraId="4B275731"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10</w:t>
            </w:r>
          </w:p>
        </w:tc>
        <w:tc>
          <w:tcPr>
            <w:tcW w:w="3006" w:type="dxa"/>
            <w:vAlign w:val="center"/>
          </w:tcPr>
          <w:p w14:paraId="3F48C91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6.06%</w:t>
            </w:r>
          </w:p>
        </w:tc>
      </w:tr>
      <w:tr w:rsidR="00612873" w:rsidRPr="00612873" w14:paraId="5ABB903B" w14:textId="77777777" w:rsidTr="00C57E30">
        <w:tc>
          <w:tcPr>
            <w:tcW w:w="3005" w:type="dxa"/>
            <w:vAlign w:val="center"/>
          </w:tcPr>
          <w:p w14:paraId="6880DCC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BSTM</w:t>
            </w:r>
          </w:p>
        </w:tc>
        <w:tc>
          <w:tcPr>
            <w:tcW w:w="3005" w:type="dxa"/>
            <w:vAlign w:val="center"/>
          </w:tcPr>
          <w:p w14:paraId="32A2A146"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10</w:t>
            </w:r>
          </w:p>
        </w:tc>
        <w:tc>
          <w:tcPr>
            <w:tcW w:w="3006" w:type="dxa"/>
            <w:vAlign w:val="center"/>
          </w:tcPr>
          <w:p w14:paraId="2411D23F" w14:textId="77777777" w:rsidR="00612873" w:rsidRPr="00612873" w:rsidRDefault="00612873" w:rsidP="00C57E30">
            <w:pPr>
              <w:jc w:val="center"/>
              <w:rPr>
                <w:rFonts w:ascii="Arial" w:hAnsi="Arial" w:cs="Arial"/>
                <w:sz w:val="20"/>
                <w:szCs w:val="20"/>
              </w:rPr>
            </w:pPr>
            <w:r w:rsidRPr="00612873">
              <w:rPr>
                <w:rFonts w:ascii="Arial" w:hAnsi="Arial" w:cs="Arial"/>
                <w:sz w:val="20"/>
                <w:szCs w:val="20"/>
                <w:lang w:val="en-PH"/>
              </w:rPr>
              <w:t>6.06%</w:t>
            </w:r>
          </w:p>
        </w:tc>
      </w:tr>
      <w:tr w:rsidR="00612873" w:rsidRPr="00612873" w14:paraId="02DD166A" w14:textId="77777777" w:rsidTr="00C57E30">
        <w:tc>
          <w:tcPr>
            <w:tcW w:w="3005" w:type="dxa"/>
          </w:tcPr>
          <w:p w14:paraId="6898FD00" w14:textId="77777777" w:rsidR="00612873" w:rsidRPr="00612873" w:rsidRDefault="00612873" w:rsidP="00C57E30">
            <w:pPr>
              <w:jc w:val="center"/>
              <w:rPr>
                <w:rFonts w:ascii="Arial" w:hAnsi="Arial" w:cs="Arial"/>
                <w:sz w:val="20"/>
                <w:szCs w:val="20"/>
              </w:rPr>
            </w:pPr>
          </w:p>
        </w:tc>
        <w:tc>
          <w:tcPr>
            <w:tcW w:w="3005" w:type="dxa"/>
          </w:tcPr>
          <w:p w14:paraId="502ED379" w14:textId="77777777" w:rsidR="00612873" w:rsidRPr="00612873" w:rsidRDefault="00612873" w:rsidP="00C57E30">
            <w:pPr>
              <w:jc w:val="center"/>
              <w:rPr>
                <w:rFonts w:ascii="Arial" w:hAnsi="Arial" w:cs="Arial"/>
                <w:sz w:val="20"/>
                <w:szCs w:val="20"/>
              </w:rPr>
            </w:pPr>
            <w:r w:rsidRPr="00612873">
              <w:rPr>
                <w:rFonts w:ascii="Arial" w:hAnsi="Arial" w:cs="Arial"/>
                <w:b/>
                <w:bCs/>
                <w:sz w:val="20"/>
                <w:szCs w:val="20"/>
              </w:rPr>
              <w:t>165</w:t>
            </w:r>
          </w:p>
        </w:tc>
        <w:tc>
          <w:tcPr>
            <w:tcW w:w="3006" w:type="dxa"/>
          </w:tcPr>
          <w:p w14:paraId="2F73A711"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100</w:t>
            </w:r>
          </w:p>
        </w:tc>
      </w:tr>
    </w:tbl>
    <w:p w14:paraId="76B18ECF" w14:textId="77777777" w:rsidR="00612873" w:rsidRPr="00612873" w:rsidRDefault="00612873" w:rsidP="00612873">
      <w:pPr>
        <w:jc w:val="both"/>
        <w:rPr>
          <w:rFonts w:ascii="Arial" w:hAnsi="Arial" w:cs="Arial"/>
          <w:b/>
          <w:bCs/>
        </w:rPr>
      </w:pPr>
      <w:r w:rsidRPr="00612873">
        <w:rPr>
          <w:rFonts w:ascii="Arial" w:hAnsi="Arial" w:cs="Arial"/>
          <w:b/>
          <w:bCs/>
        </w:rPr>
        <w:t xml:space="preserve">   </w:t>
      </w:r>
    </w:p>
    <w:p w14:paraId="14C0A526" w14:textId="77777777" w:rsidR="00612873" w:rsidRPr="00612873" w:rsidRDefault="00612873" w:rsidP="00612873">
      <w:pPr>
        <w:ind w:firstLine="720"/>
        <w:jc w:val="both"/>
        <w:rPr>
          <w:rFonts w:ascii="Arial" w:hAnsi="Arial" w:cs="Arial"/>
        </w:rPr>
      </w:pPr>
      <w:r w:rsidRPr="00612873">
        <w:rPr>
          <w:rFonts w:ascii="Arial" w:hAnsi="Arial" w:cs="Arial"/>
        </w:rPr>
        <w:t xml:space="preserve">Table 2 presents a demographic profile of 165 student respondents, revealing that the majority are male (55%), aged 20 and below (47.27%), and predominantly third-year students (50.30%) enrolled in the Bachelor of Science in Criminology program (30.30%). This data provides a foundational understanding of the students’ backgrounds, which is crucial when assessing how boarding house conditions may affect their academic and personal well-being. </w:t>
      </w:r>
    </w:p>
    <w:p w14:paraId="3D8C5648" w14:textId="77777777" w:rsidR="00612873" w:rsidRPr="00612873" w:rsidRDefault="00612873" w:rsidP="00612873">
      <w:pPr>
        <w:ind w:firstLine="720"/>
        <w:jc w:val="both"/>
        <w:rPr>
          <w:rFonts w:ascii="Arial" w:hAnsi="Arial" w:cs="Arial"/>
        </w:rPr>
      </w:pPr>
      <w:r w:rsidRPr="00612873">
        <w:rPr>
          <w:rFonts w:ascii="Arial" w:hAnsi="Arial" w:cs="Arial"/>
        </w:rPr>
        <w:t>A related study by Arroyo (2023) at Central Mindanao University found that students’ academic performance is significantly influenced by the quality of their boarding house environment including factors like sanitation, safety, and accessibility which aligns with the need to evaluate and improve student housing conditions at Apayao State College. These findings suggest that institutional support and regulation of boarding facilities can play a vital role in enhancing student success and well-being.</w:t>
      </w:r>
    </w:p>
    <w:p w14:paraId="4BD6D9D4" w14:textId="77777777" w:rsidR="00612873" w:rsidRPr="00612873" w:rsidRDefault="00612873" w:rsidP="00612873">
      <w:pPr>
        <w:jc w:val="both"/>
        <w:rPr>
          <w:rFonts w:ascii="Arial" w:hAnsi="Arial" w:cs="Arial"/>
          <w:b/>
          <w:bCs/>
        </w:rPr>
      </w:pPr>
    </w:p>
    <w:p w14:paraId="37D623C3" w14:textId="77777777" w:rsidR="00612873" w:rsidRPr="00612873" w:rsidRDefault="00612873" w:rsidP="00612873">
      <w:pPr>
        <w:jc w:val="both"/>
        <w:rPr>
          <w:rFonts w:ascii="Arial" w:hAnsi="Arial" w:cs="Arial"/>
          <w:b/>
          <w:bCs/>
        </w:rPr>
      </w:pPr>
    </w:p>
    <w:p w14:paraId="2D26B19E" w14:textId="77777777" w:rsidR="00612873" w:rsidRPr="00612873" w:rsidRDefault="00612873" w:rsidP="00612873">
      <w:pPr>
        <w:jc w:val="both"/>
        <w:rPr>
          <w:rFonts w:ascii="Arial" w:hAnsi="Arial" w:cs="Arial"/>
          <w:b/>
          <w:bCs/>
        </w:rPr>
      </w:pPr>
      <w:r w:rsidRPr="00612873">
        <w:rPr>
          <w:rFonts w:ascii="Arial" w:hAnsi="Arial" w:cs="Arial"/>
          <w:b/>
          <w:bCs/>
          <w:lang w:val="en-ID"/>
        </w:rPr>
        <w:t>Graph 1. Duration of stay in the boarding house</w:t>
      </w:r>
    </w:p>
    <w:p w14:paraId="4078D762" w14:textId="4E320118" w:rsidR="00612873" w:rsidRPr="00612873" w:rsidRDefault="00000000" w:rsidP="00612873">
      <w:pPr>
        <w:jc w:val="both"/>
        <w:rPr>
          <w:rFonts w:ascii="Arial" w:hAnsi="Arial" w:cs="Arial"/>
          <w:b/>
          <w:bCs/>
        </w:rPr>
      </w:pPr>
      <w:r>
        <w:rPr>
          <w:noProof/>
        </w:rPr>
        <w:pict w14:anchorId="428DC451">
          <v:shapetype id="_x0000_t202" coordsize="21600,21600" o:spt="202" path="m,l,21600r21600,l21600,xe">
            <v:stroke joinstyle="miter"/>
            <v:path gradientshapeok="t" o:connecttype="rect"/>
          </v:shapetype>
          <v:shape id="_x0000_s2052" type="#_x0000_t202" style="position:absolute;left:0;text-align:left;margin-left:144.9pt;margin-top:80.8pt;width:151.8pt;height:21pt;rotation:-540013fd;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E0AQIAANwDAAAOAAAAZHJzL2Uyb0RvYy54bWysU9uO2yAQfa/Uf0C8N740VyvOarvbrSpt&#10;L9K2H0AwjlGBoUBip1/fAVtJ1L5V9QNiPHDmnDPD9m7QipyE8xJMTYtZTokwHBppDjX9/u3pzZoS&#10;H5hpmAIjanoWnt7tXr/a9rYSJXSgGuEIghhf9bamXQi2yjLPO6GZn4EVBpMtOM0Chu6QNY71iK5V&#10;Vub5MuvBNdYBF97j38cxSXcJv20FD1/a1otAVE2RW0irS+s+rtluy6qDY7aTfKLB/oGFZtJg0QvU&#10;IwuMHJ38C0pL7sBDG2YcdAZtK7lIGlBNkf+h5qVjViQtaI63F5v8/4Pln08v9qsjYXgHAzYwifD2&#10;GfgPTww8dMwcxL1z0HeCNVi4iJZlvfXVdDVa7SsfQfb9J2iwyewYIAENrdPEAbpeFkW+WOZv02+U&#10;TbAY9uN86YEYAuGRwaZcrZeY4pgrl8tVnpqUsSqCRYut8+GDAE3ipqYOe5xQ2enZh0jueiQeN/Ak&#10;lUp9Vob0Nd0sykW6cJPRMuAYKqlrus7jNw5G1PzeNOlyYFKNeyygzGRC1D06EIb9gAejGXtozmhH&#10;Eo5K8Hkgzw7cL0p6HLWa+p9H5gQl6qNBSzfFfB5nMwXzxarEwN1m9rcZZjhC1TRQMm4fQprnUes9&#10;Wt/KZMOVycQVRyi5M417nNHbOJ26PsrdbwAAAP//AwBQSwMEFAAGAAgAAAAhAKl69T7gAAAACwEA&#10;AA8AAABkcnMvZG93bnJldi54bWxMj8tOwzAQRfdI/IM1SOyo0wdWG+JUFIRYRVULgq0bT5OIeBzF&#10;Thr+nmEFy9G5uvdMtp1cK0bsQ+NJw3yWgEAqvW2o0vD+9nK3BhGiIWtaT6jhGwNs8+urzKTWX+iA&#10;4zFWgksopEZDHWOXShnKGp0JM98hMTv73pnIZ19J25sLl7tWLpJESWca4oXadPhUY/l1HJyG4VwU&#10;u2LVfD6rD+Veu2I3qv1B69ub6fEBRMQp/oXhV5/VIWenkx/IBtFqWKw3rB4ZqLkCwYn7zXIF4sQo&#10;WSqQeSb//5D/AAAA//8DAFBLAQItABQABgAIAAAAIQC2gziS/gAAAOEBAAATAAAAAAAAAAAAAAAA&#10;AAAAAABbQ29udGVudF9UeXBlc10ueG1sUEsBAi0AFAAGAAgAAAAhADj9If/WAAAAlAEAAAsAAAAA&#10;AAAAAAAAAAAALwEAAF9yZWxzLy5yZWxzUEsBAi0AFAAGAAgAAAAhANt1kTQBAgAA3AMAAA4AAAAA&#10;AAAAAAAAAAAALgIAAGRycy9lMm9Eb2MueG1sUEsBAi0AFAAGAAgAAAAhAKl69T7gAAAACwEAAA8A&#10;AAAAAAAAAAAAAAAAWwQAAGRycy9kb3ducmV2LnhtbFBLBQYAAAAABAAEAPMAAABoBQAAAAA=&#10;" filled="f" stroked="f">
            <v:textbox>
              <w:txbxContent>
                <w:p w14:paraId="18B52C3F" w14:textId="77777777" w:rsidR="00612873" w:rsidRPr="00C83BC4" w:rsidRDefault="00612873" w:rsidP="00612873">
                  <w:pPr>
                    <w:rPr>
                      <w:rFonts w:asciiTheme="minorHAnsi" w:hAnsiTheme="minorHAnsi" w:cstheme="minorHAnsi"/>
                      <w:color w:val="FFFFFF" w:themeColor="background1"/>
                    </w:rPr>
                  </w:pPr>
                  <w:r>
                    <w:rPr>
                      <w:rFonts w:asciiTheme="minorHAnsi" w:hAnsiTheme="minorHAnsi" w:cstheme="minorHAnsi"/>
                      <w:color w:val="FFFFFF" w:themeColor="background1"/>
                    </w:rPr>
                    <w:t>1</w:t>
                  </w:r>
                  <w:r w:rsidRPr="00C83BC4">
                    <w:rPr>
                      <w:rFonts w:asciiTheme="minorHAnsi" w:hAnsiTheme="minorHAnsi" w:cstheme="minorHAnsi"/>
                      <w:color w:val="FFFFFF" w:themeColor="background1"/>
                    </w:rPr>
                    <w:t>.8%</w:t>
                  </w:r>
                </w:p>
              </w:txbxContent>
            </v:textbox>
          </v:shape>
        </w:pict>
      </w:r>
      <w:r w:rsidR="00612873" w:rsidRPr="00612873">
        <w:rPr>
          <w:noProof/>
        </w:rPr>
        <w:drawing>
          <wp:inline distT="0" distB="0" distL="0" distR="0" wp14:anchorId="7E9BE55D" wp14:editId="3DBB2EA0">
            <wp:extent cx="5637561" cy="2449830"/>
            <wp:effectExtent l="19050" t="19050" r="20320" b="26670"/>
            <wp:docPr id="948478046" name="Picture 11" descr="Forms response chart. Question title: Duration of stay in the boarding house. Number of responses: 71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s response chart. Question title: Duration of stay in the boarding house. Number of responses: 71 respons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288" t="18315" r="8531" b="3054"/>
                    <a:stretch>
                      <a:fillRect/>
                    </a:stretch>
                  </pic:blipFill>
                  <pic:spPr bwMode="auto">
                    <a:xfrm>
                      <a:off x="0" y="0"/>
                      <a:ext cx="5658811" cy="245906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6EBB466" w14:textId="77777777" w:rsidR="00612873" w:rsidRPr="00612873" w:rsidRDefault="00612873" w:rsidP="00612873">
      <w:pPr>
        <w:jc w:val="both"/>
        <w:rPr>
          <w:rFonts w:ascii="Arial" w:hAnsi="Arial" w:cs="Arial"/>
          <w:b/>
          <w:bCs/>
        </w:rPr>
      </w:pPr>
    </w:p>
    <w:p w14:paraId="4B74992D" w14:textId="4BBD001F" w:rsidR="00612873" w:rsidRPr="00612873" w:rsidRDefault="00612873" w:rsidP="00612873">
      <w:pPr>
        <w:ind w:firstLine="720"/>
        <w:jc w:val="both"/>
        <w:rPr>
          <w:rFonts w:ascii="Arial" w:hAnsi="Arial" w:cs="Arial"/>
        </w:rPr>
      </w:pPr>
      <w:r w:rsidRPr="00612873">
        <w:rPr>
          <w:rFonts w:ascii="Arial" w:hAnsi="Arial" w:cs="Arial"/>
        </w:rPr>
        <w:t xml:space="preserve">Graph 1 reveals that nearly half of the student respondents (47.9%) have stayed in boarding houses for 2 to 5 years, indicating a long-term reliance on these accommodations throughout their college journey. This suggests that boarding houses are not just transitional </w:t>
      </w:r>
      <w:r w:rsidRPr="00612873">
        <w:rPr>
          <w:rFonts w:ascii="Arial" w:hAnsi="Arial" w:cs="Arial"/>
        </w:rPr>
        <w:lastRenderedPageBreak/>
        <w:t xml:space="preserve">spaces but integral to students’ academic lives. The extended duration of stay may reflect both necessity and comfort, as students adapt to independent living while pursuing their education. </w:t>
      </w:r>
    </w:p>
    <w:p w14:paraId="53253162" w14:textId="77777777" w:rsidR="00612873" w:rsidRPr="00612873" w:rsidRDefault="00612873" w:rsidP="00612873">
      <w:pPr>
        <w:ind w:firstLine="720"/>
        <w:jc w:val="both"/>
        <w:rPr>
          <w:rFonts w:ascii="Arial" w:hAnsi="Arial" w:cs="Arial"/>
        </w:rPr>
      </w:pPr>
      <w:r w:rsidRPr="00612873">
        <w:rPr>
          <w:rFonts w:ascii="Arial" w:hAnsi="Arial" w:cs="Arial"/>
        </w:rPr>
        <w:t xml:space="preserve">According to </w:t>
      </w:r>
      <w:r w:rsidRPr="00612873">
        <w:rPr>
          <w:rFonts w:ascii="Arial" w:hAnsi="Arial" w:cs="Arial"/>
          <w:bCs/>
        </w:rPr>
        <w:t xml:space="preserve">Lovitos, 2019, </w:t>
      </w:r>
      <w:r w:rsidRPr="00612873">
        <w:rPr>
          <w:rFonts w:ascii="Arial" w:hAnsi="Arial" w:cs="Arial"/>
        </w:rPr>
        <w:t>prolonged residence in boarding houses fosters greater self-sufficiency and maturity among students, contributing positively to their college preparedness and personal development. This aligns with the findings from Apayao State College, where long-term boarding appears to be a norm rather than an exception.</w:t>
      </w:r>
    </w:p>
    <w:p w14:paraId="54E454DE" w14:textId="77777777" w:rsidR="00612873" w:rsidRPr="00612873" w:rsidRDefault="00612873" w:rsidP="00612873">
      <w:pPr>
        <w:jc w:val="both"/>
        <w:rPr>
          <w:rFonts w:ascii="Arial" w:hAnsi="Arial" w:cs="Arial"/>
          <w:b/>
          <w:bCs/>
        </w:rPr>
      </w:pPr>
    </w:p>
    <w:p w14:paraId="5698A170" w14:textId="77777777" w:rsidR="00612873" w:rsidRPr="00612873" w:rsidRDefault="00612873" w:rsidP="00612873">
      <w:pPr>
        <w:jc w:val="both"/>
        <w:rPr>
          <w:rFonts w:ascii="Arial" w:hAnsi="Arial" w:cs="Arial"/>
          <w:b/>
          <w:bCs/>
          <w:lang w:val="en-ID"/>
        </w:rPr>
      </w:pPr>
      <w:r w:rsidRPr="00612873">
        <w:rPr>
          <w:rFonts w:ascii="Arial" w:hAnsi="Arial" w:cs="Arial"/>
          <w:b/>
          <w:bCs/>
          <w:lang w:val="en-ID"/>
        </w:rPr>
        <w:t>Graph 2. Type of accommodation</w:t>
      </w:r>
    </w:p>
    <w:p w14:paraId="387628E5" w14:textId="5A95EE7B" w:rsidR="00612873" w:rsidRPr="00612873" w:rsidRDefault="00000000" w:rsidP="00612873">
      <w:pPr>
        <w:jc w:val="both"/>
        <w:rPr>
          <w:rFonts w:ascii="Arial" w:hAnsi="Arial" w:cs="Arial"/>
        </w:rPr>
      </w:pPr>
      <w:r>
        <w:rPr>
          <w:noProof/>
        </w:rPr>
        <w:pict w14:anchorId="76C52E95">
          <v:shape id="Text Box 2" o:spid="_x0000_s2051" type="#_x0000_t202" style="position:absolute;left:0;text-align:left;margin-left:2in;margin-top:64pt;width:151.8pt;height:21pt;rotation:-540013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BI8AwIAAOMDAAAOAAAAZHJzL2Uyb0RvYy54bWysU9uO2yAQfa/Uf0C8N740VyvOarvbrSpt&#10;L9K2H0AwjlGBoUBip1/fAVtJ1L5V9QNiPHBmzjnD9m7QipyE8xJMTYtZTokwHBppDjX9/u3pzZoS&#10;H5hpmAIjanoWnt7tXr/a9rYSJXSgGuEIghhf9bamXQi2yjLPO6GZn4EVBpMtOM0Chu6QNY71iK5V&#10;Vub5MuvBNdYBF97j38cxSXcJv20FD1/a1otAVE2xt5BWl9Z9XLPdllUHx2wn+dQG+4cuNJMGi16g&#10;Hllg5OjkX1Bacgce2jDjoDNoW8lF4oBsivwPNi8dsyJxQXG8vcjk/x8s/3x6sV8dCcM7GNDARMLb&#10;Z+A/PDHw0DFzEPfOQd8J1mDhIkqW9dZX09Uota98BNn3n6BBk9kxQAIaWqeJA1S9LIp8sczfpt9I&#10;m2Ax9ON88UAMgfDYwaZcrZeY4pgrl8tVnkzKWBXBosTW+fBBgCZxU1OHHidUdnr2ITZ3PRKPG3iS&#10;SiWflSF9TTeLcpEu3GS0DDiGSuqarvP4jYMROb83TbocmFTjHgsoM4kQeY8KhGE/ENlMCkVN9tCc&#10;UZXEHwnhK8F2O3C/KOlx4mrqfx6ZE5SojwaV3RTzeRzRFMwXqxIDd5vZ32aY4QhV00DJuH0IaaxH&#10;yvfoQCuTGtdOppZxkpJI09THUb2N06nr29z9BgAA//8DAFBLAwQUAAYACAAAACEANNXS1+AAAAAL&#10;AQAADwAAAGRycy9kb3ducmV2LnhtbEyPwU7DMBBE70j8g7VI3KjdCEwa4lQUhDhFVQsqVzfeJhGx&#10;HcVOGv6e7Qluuzuj2Tf5erYdm3AIrXcKlgsBDF3lTetqBZ8fb3cpsBC1M7rzDhX8YIB1cX2V68z4&#10;s9vhtI81oxAXMq2gibHPOA9Vg1aHhe/RkXbyg9WR1qHmZtBnCrcdT4SQ3OrW0YdG9/jSYPW9H62C&#10;8VSWm/K+/XqVB2nf+3Izye1Oqdub+fkJWMQ5/pnhgk/oUBDT0Y/OBNYpSNKUukQSkstAjofVUgI7&#10;0uVRCOBFzv93KH4BAAD//wMAUEsBAi0AFAAGAAgAAAAhALaDOJL+AAAA4QEAABMAAAAAAAAAAAAA&#10;AAAAAAAAAFtDb250ZW50X1R5cGVzXS54bWxQSwECLQAUAAYACAAAACEAOP0h/9YAAACUAQAACwAA&#10;AAAAAAAAAAAAAAAvAQAAX3JlbHMvLnJlbHNQSwECLQAUAAYACAAAACEAtzgSPAMCAADjAwAADgAA&#10;AAAAAAAAAAAAAAAuAgAAZHJzL2Uyb0RvYy54bWxQSwECLQAUAAYACAAAACEANNXS1+AAAAALAQAA&#10;DwAAAAAAAAAAAAAAAABdBAAAZHJzL2Rvd25yZXYueG1sUEsFBgAAAAAEAAQA8wAAAGoFAAAAAA==&#10;" filled="f" stroked="f">
            <v:textbox>
              <w:txbxContent>
                <w:p w14:paraId="3728223C" w14:textId="77777777" w:rsidR="00612873" w:rsidRPr="00C83BC4" w:rsidRDefault="00612873" w:rsidP="00612873">
                  <w:pPr>
                    <w:rPr>
                      <w:rFonts w:asciiTheme="minorHAnsi" w:hAnsiTheme="minorHAnsi" w:cstheme="minorHAnsi"/>
                      <w:color w:val="FFFFFF" w:themeColor="background1"/>
                    </w:rPr>
                  </w:pPr>
                  <w:r w:rsidRPr="00C83BC4">
                    <w:rPr>
                      <w:rFonts w:asciiTheme="minorHAnsi" w:hAnsiTheme="minorHAnsi" w:cstheme="minorHAnsi"/>
                      <w:color w:val="FFFFFF" w:themeColor="background1"/>
                    </w:rPr>
                    <w:t>2.8%</w:t>
                  </w:r>
                </w:p>
              </w:txbxContent>
            </v:textbox>
          </v:shape>
        </w:pict>
      </w:r>
      <w:r w:rsidR="00612873" w:rsidRPr="00612873">
        <w:rPr>
          <w:noProof/>
        </w:rPr>
        <w:drawing>
          <wp:inline distT="0" distB="0" distL="0" distR="0" wp14:anchorId="0FA8F757" wp14:editId="6025759B">
            <wp:extent cx="5731510" cy="2224405"/>
            <wp:effectExtent l="19050" t="19050" r="21590" b="23495"/>
            <wp:docPr id="341345281" name="Picture 10" descr="Forms response chart. Question title: Type of accommodation. Number of responses: 71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s response chart. Question title: Type of accommodation. Number of responses: 71 response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693" t="23052" r="5472" b="2421"/>
                    <a:stretch>
                      <a:fillRect/>
                    </a:stretch>
                  </pic:blipFill>
                  <pic:spPr bwMode="auto">
                    <a:xfrm>
                      <a:off x="0" y="0"/>
                      <a:ext cx="5731510" cy="222440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80B9F8D" w14:textId="77777777" w:rsidR="00612873" w:rsidRPr="00612873" w:rsidRDefault="00612873" w:rsidP="00612873">
      <w:pPr>
        <w:jc w:val="both"/>
        <w:rPr>
          <w:rFonts w:ascii="Arial" w:hAnsi="Arial" w:cs="Arial"/>
          <w:b/>
          <w:bCs/>
        </w:rPr>
      </w:pPr>
    </w:p>
    <w:p w14:paraId="60F4AD33" w14:textId="27EB93A5" w:rsidR="00612873" w:rsidRPr="00612873" w:rsidRDefault="00612873" w:rsidP="00612873">
      <w:pPr>
        <w:ind w:firstLine="720"/>
        <w:jc w:val="both"/>
        <w:rPr>
          <w:rFonts w:ascii="Arial" w:hAnsi="Arial" w:cs="Arial"/>
        </w:rPr>
      </w:pPr>
      <w:r w:rsidRPr="00612873">
        <w:rPr>
          <w:rFonts w:ascii="Arial" w:hAnsi="Arial" w:cs="Arial"/>
        </w:rPr>
        <w:t xml:space="preserve">Graph 2 indicates that 76.1% of students reside in single houses, making it the most common accommodation type among Apayao State College students. This preference reflects the cultural and economic realities of student life in rural and semi-urban areas, where single-house boarding setups are often family-run and more affordable are more accessible than apartments or commercial lodgings. Duplexes and apartments are less common, likely due to higher rental costs or limited availability. Commercial accommodation, used by only 2.8% of respondents, may offer more amenities but are likely out of reach for most students financially. </w:t>
      </w:r>
    </w:p>
    <w:p w14:paraId="25A57A96" w14:textId="77777777" w:rsidR="00612873" w:rsidRPr="00612873" w:rsidRDefault="00612873" w:rsidP="00612873">
      <w:pPr>
        <w:ind w:firstLine="720"/>
        <w:jc w:val="both"/>
        <w:rPr>
          <w:rFonts w:ascii="Arial" w:hAnsi="Arial" w:cs="Arial"/>
          <w:b/>
          <w:bCs/>
          <w:lang w:val="en-PH"/>
        </w:rPr>
      </w:pPr>
      <w:r w:rsidRPr="00612873">
        <w:rPr>
          <w:rFonts w:ascii="Arial" w:hAnsi="Arial" w:cs="Arial"/>
        </w:rPr>
        <w:t xml:space="preserve">According to </w:t>
      </w:r>
      <w:r w:rsidRPr="00612873">
        <w:rPr>
          <w:rFonts w:ascii="Arial" w:hAnsi="Arial" w:cs="Arial"/>
          <w:bCs/>
        </w:rPr>
        <w:t>Nobis, 2022</w:t>
      </w:r>
      <w:r w:rsidRPr="00612873">
        <w:rPr>
          <w:rFonts w:ascii="Arial" w:hAnsi="Arial" w:cs="Arial"/>
        </w:rPr>
        <w:t xml:space="preserve"> students often prioritize proximity to school, affordability, and basic amenities when choosing housing, making single-house boarding a practical and popular choice for those on a budget.</w:t>
      </w:r>
    </w:p>
    <w:p w14:paraId="585C8609" w14:textId="77777777" w:rsidR="00612873" w:rsidRPr="00612873" w:rsidRDefault="00612873" w:rsidP="00612873">
      <w:pPr>
        <w:ind w:firstLine="720"/>
        <w:jc w:val="both"/>
        <w:rPr>
          <w:rFonts w:ascii="Arial" w:hAnsi="Arial" w:cs="Arial"/>
          <w:b/>
          <w:bCs/>
          <w:lang w:val="en-PH"/>
        </w:rPr>
      </w:pPr>
    </w:p>
    <w:p w14:paraId="708EF44A" w14:textId="77777777" w:rsidR="00612873" w:rsidRPr="00612873" w:rsidRDefault="00612873" w:rsidP="00612873">
      <w:pPr>
        <w:jc w:val="both"/>
        <w:rPr>
          <w:rFonts w:ascii="Arial" w:hAnsi="Arial" w:cs="Arial"/>
          <w:b/>
          <w:bCs/>
          <w:lang w:val="en-PH"/>
        </w:rPr>
      </w:pPr>
    </w:p>
    <w:p w14:paraId="373E9FBD" w14:textId="13D02BD9" w:rsidR="00612873" w:rsidRPr="00612873" w:rsidRDefault="00612873" w:rsidP="00612873">
      <w:pPr>
        <w:pStyle w:val="ListParagraph"/>
        <w:numPr>
          <w:ilvl w:val="1"/>
          <w:numId w:val="36"/>
        </w:numPr>
        <w:rPr>
          <w:rFonts w:ascii="Arial" w:hAnsi="Arial" w:cs="Arial"/>
          <w:b/>
          <w:bCs/>
          <w:sz w:val="20"/>
          <w:szCs w:val="20"/>
          <w:lang w:val="en-ID"/>
        </w:rPr>
      </w:pPr>
      <w:r w:rsidRPr="00612873">
        <w:rPr>
          <w:rFonts w:ascii="Arial" w:hAnsi="Arial" w:cs="Arial"/>
          <w:b/>
          <w:bCs/>
          <w:sz w:val="20"/>
          <w:szCs w:val="20"/>
        </w:rPr>
        <w:t xml:space="preserve">Assessment of the </w:t>
      </w:r>
      <w:r w:rsidRPr="00612873">
        <w:rPr>
          <w:rFonts w:ascii="Arial" w:hAnsi="Arial" w:cs="Arial"/>
          <w:b/>
          <w:bCs/>
          <w:sz w:val="20"/>
          <w:szCs w:val="20"/>
          <w:lang w:val="en-ID"/>
        </w:rPr>
        <w:t>Condition of the Boarding Houses</w:t>
      </w:r>
    </w:p>
    <w:p w14:paraId="7882DC04" w14:textId="77777777" w:rsidR="00612873" w:rsidRPr="00612873" w:rsidRDefault="00612873" w:rsidP="00612873">
      <w:pPr>
        <w:rPr>
          <w:rFonts w:ascii="Arial" w:hAnsi="Arial" w:cs="Arial"/>
          <w:b/>
          <w:bCs/>
          <w:lang w:val="en-ID"/>
        </w:rPr>
      </w:pPr>
    </w:p>
    <w:p w14:paraId="4F3F74CC" w14:textId="77777777" w:rsidR="00612873" w:rsidRPr="00612873" w:rsidRDefault="00612873" w:rsidP="00612873">
      <w:pPr>
        <w:contextualSpacing/>
        <w:jc w:val="both"/>
        <w:rPr>
          <w:rFonts w:ascii="Arial" w:hAnsi="Arial" w:cs="Arial"/>
          <w:b/>
          <w:bCs/>
          <w:lang w:val="en-ID"/>
        </w:rPr>
      </w:pPr>
      <w:r w:rsidRPr="00612873">
        <w:rPr>
          <w:rFonts w:ascii="Arial" w:hAnsi="Arial" w:cs="Arial"/>
          <w:b/>
          <w:bCs/>
          <w:lang w:val="en-ID"/>
        </w:rPr>
        <w:t>Table 3. Cleanliness And Sanitation</w:t>
      </w:r>
    </w:p>
    <w:tbl>
      <w:tblPr>
        <w:tblStyle w:val="TableGrid"/>
        <w:tblW w:w="9067" w:type="dxa"/>
        <w:tblLook w:val="04A0" w:firstRow="1" w:lastRow="0" w:firstColumn="1" w:lastColumn="0" w:noHBand="0" w:noVBand="1"/>
      </w:tblPr>
      <w:tblGrid>
        <w:gridCol w:w="6068"/>
        <w:gridCol w:w="1368"/>
        <w:gridCol w:w="1631"/>
      </w:tblGrid>
      <w:tr w:rsidR="00612873" w:rsidRPr="00612873" w14:paraId="5E325B3C" w14:textId="77777777" w:rsidTr="00C57E30">
        <w:tc>
          <w:tcPr>
            <w:tcW w:w="6068" w:type="dxa"/>
          </w:tcPr>
          <w:p w14:paraId="50708CF3"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Statement</w:t>
            </w:r>
          </w:p>
        </w:tc>
        <w:tc>
          <w:tcPr>
            <w:tcW w:w="1368" w:type="dxa"/>
          </w:tcPr>
          <w:p w14:paraId="08DC3420"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Mean</w:t>
            </w:r>
          </w:p>
        </w:tc>
        <w:tc>
          <w:tcPr>
            <w:tcW w:w="1631" w:type="dxa"/>
          </w:tcPr>
          <w:p w14:paraId="02C86E0B"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Interpretation</w:t>
            </w:r>
          </w:p>
        </w:tc>
      </w:tr>
      <w:tr w:rsidR="00612873" w:rsidRPr="00612873" w14:paraId="1815F0DA" w14:textId="77777777" w:rsidTr="00C57E30">
        <w:tc>
          <w:tcPr>
            <w:tcW w:w="6068" w:type="dxa"/>
          </w:tcPr>
          <w:p w14:paraId="4CE2F254" w14:textId="77777777" w:rsidR="00612873" w:rsidRPr="00612873" w:rsidRDefault="00612873" w:rsidP="00612873">
            <w:pPr>
              <w:pStyle w:val="ListParagraph"/>
              <w:numPr>
                <w:ilvl w:val="0"/>
                <w:numId w:val="35"/>
              </w:numPr>
              <w:contextualSpacing/>
              <w:rPr>
                <w:rFonts w:ascii="Arial" w:hAnsi="Arial" w:cs="Arial"/>
                <w:sz w:val="20"/>
                <w:szCs w:val="20"/>
              </w:rPr>
            </w:pPr>
            <w:r w:rsidRPr="00612873">
              <w:rPr>
                <w:rFonts w:ascii="Arial" w:hAnsi="Arial" w:cs="Arial"/>
                <w:sz w:val="20"/>
                <w:szCs w:val="20"/>
                <w:lang w:val="en-ID"/>
              </w:rPr>
              <w:t>The common areas (e.g., kitchen, hallway, living space) are cleaned regularly and kept tidy.</w:t>
            </w:r>
          </w:p>
        </w:tc>
        <w:tc>
          <w:tcPr>
            <w:tcW w:w="1368" w:type="dxa"/>
          </w:tcPr>
          <w:p w14:paraId="39774FB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4.15</w:t>
            </w:r>
          </w:p>
        </w:tc>
        <w:tc>
          <w:tcPr>
            <w:tcW w:w="1631" w:type="dxa"/>
          </w:tcPr>
          <w:p w14:paraId="3139F919"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71A93532" w14:textId="77777777" w:rsidTr="00C57E30">
        <w:tc>
          <w:tcPr>
            <w:tcW w:w="6068" w:type="dxa"/>
            <w:vAlign w:val="center"/>
          </w:tcPr>
          <w:p w14:paraId="1CC59A96" w14:textId="77777777" w:rsidR="00612873" w:rsidRPr="00612873" w:rsidRDefault="00612873" w:rsidP="00612873">
            <w:pPr>
              <w:pStyle w:val="ListParagraph"/>
              <w:numPr>
                <w:ilvl w:val="0"/>
                <w:numId w:val="35"/>
              </w:numPr>
              <w:contextualSpacing/>
              <w:rPr>
                <w:rFonts w:ascii="Arial" w:hAnsi="Arial" w:cs="Arial"/>
                <w:sz w:val="20"/>
                <w:szCs w:val="20"/>
              </w:rPr>
            </w:pPr>
            <w:r w:rsidRPr="00612873">
              <w:rPr>
                <w:rFonts w:ascii="Arial" w:hAnsi="Arial" w:cs="Arial"/>
                <w:sz w:val="20"/>
                <w:szCs w:val="20"/>
                <w:lang w:val="en-ID"/>
              </w:rPr>
              <w:t>The bathroom and toilet facilities are hygienic and properly maintained.</w:t>
            </w:r>
          </w:p>
        </w:tc>
        <w:tc>
          <w:tcPr>
            <w:tcW w:w="1368" w:type="dxa"/>
          </w:tcPr>
          <w:p w14:paraId="63C8399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3.84</w:t>
            </w:r>
          </w:p>
        </w:tc>
        <w:tc>
          <w:tcPr>
            <w:tcW w:w="1631" w:type="dxa"/>
          </w:tcPr>
          <w:p w14:paraId="1356528A"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0A753013" w14:textId="77777777" w:rsidTr="00C57E30">
        <w:tc>
          <w:tcPr>
            <w:tcW w:w="6068" w:type="dxa"/>
            <w:vAlign w:val="center"/>
          </w:tcPr>
          <w:p w14:paraId="036AC0CB" w14:textId="77777777" w:rsidR="00612873" w:rsidRPr="00612873" w:rsidRDefault="00612873" w:rsidP="00612873">
            <w:pPr>
              <w:pStyle w:val="ListParagraph"/>
              <w:numPr>
                <w:ilvl w:val="0"/>
                <w:numId w:val="35"/>
              </w:numPr>
              <w:contextualSpacing/>
              <w:rPr>
                <w:rFonts w:ascii="Arial" w:hAnsi="Arial" w:cs="Arial"/>
                <w:sz w:val="20"/>
                <w:szCs w:val="20"/>
              </w:rPr>
            </w:pPr>
            <w:r w:rsidRPr="00612873">
              <w:rPr>
                <w:rFonts w:ascii="Arial" w:hAnsi="Arial" w:cs="Arial"/>
                <w:sz w:val="20"/>
                <w:szCs w:val="20"/>
                <w:lang w:val="en-ID"/>
              </w:rPr>
              <w:t>Trash bins are available, emptied regularly, and waste disposal is properly managed.</w:t>
            </w:r>
          </w:p>
        </w:tc>
        <w:tc>
          <w:tcPr>
            <w:tcW w:w="1368" w:type="dxa"/>
          </w:tcPr>
          <w:p w14:paraId="3172E884"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3.94</w:t>
            </w:r>
          </w:p>
        </w:tc>
        <w:tc>
          <w:tcPr>
            <w:tcW w:w="1631" w:type="dxa"/>
          </w:tcPr>
          <w:p w14:paraId="204ECF58"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581337F7" w14:textId="77777777" w:rsidTr="00C57E30">
        <w:trPr>
          <w:trHeight w:val="58"/>
        </w:trPr>
        <w:tc>
          <w:tcPr>
            <w:tcW w:w="6068" w:type="dxa"/>
            <w:vAlign w:val="center"/>
          </w:tcPr>
          <w:p w14:paraId="4CC1F8DB" w14:textId="77777777" w:rsidR="00612873" w:rsidRPr="00612873" w:rsidRDefault="00612873" w:rsidP="00612873">
            <w:pPr>
              <w:pStyle w:val="ListParagraph"/>
              <w:numPr>
                <w:ilvl w:val="0"/>
                <w:numId w:val="35"/>
              </w:numPr>
              <w:contextualSpacing/>
              <w:rPr>
                <w:rFonts w:ascii="Arial" w:hAnsi="Arial" w:cs="Arial"/>
                <w:sz w:val="20"/>
                <w:szCs w:val="20"/>
              </w:rPr>
            </w:pPr>
            <w:r w:rsidRPr="00612873">
              <w:rPr>
                <w:rFonts w:ascii="Arial" w:hAnsi="Arial" w:cs="Arial"/>
                <w:sz w:val="20"/>
                <w:szCs w:val="20"/>
                <w:lang w:val="en-ID"/>
              </w:rPr>
              <w:t>The boarding house has adequate ventilation that helps maintain air cleanliness.</w:t>
            </w:r>
          </w:p>
        </w:tc>
        <w:tc>
          <w:tcPr>
            <w:tcW w:w="1368" w:type="dxa"/>
          </w:tcPr>
          <w:p w14:paraId="4874CCFD"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4.08</w:t>
            </w:r>
          </w:p>
        </w:tc>
        <w:tc>
          <w:tcPr>
            <w:tcW w:w="1631" w:type="dxa"/>
          </w:tcPr>
          <w:p w14:paraId="43E8E12C"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745DF0D8" w14:textId="77777777" w:rsidTr="00C57E30">
        <w:tc>
          <w:tcPr>
            <w:tcW w:w="6068" w:type="dxa"/>
            <w:vAlign w:val="center"/>
          </w:tcPr>
          <w:p w14:paraId="7456D68B" w14:textId="77777777" w:rsidR="00612873" w:rsidRPr="00612873" w:rsidRDefault="00612873" w:rsidP="00612873">
            <w:pPr>
              <w:pStyle w:val="ListParagraph"/>
              <w:numPr>
                <w:ilvl w:val="0"/>
                <w:numId w:val="35"/>
              </w:numPr>
              <w:contextualSpacing/>
              <w:rPr>
                <w:rFonts w:ascii="Arial" w:hAnsi="Arial" w:cs="Arial"/>
                <w:sz w:val="20"/>
                <w:szCs w:val="20"/>
              </w:rPr>
            </w:pPr>
            <w:r w:rsidRPr="00612873">
              <w:rPr>
                <w:rFonts w:ascii="Arial" w:hAnsi="Arial" w:cs="Arial"/>
                <w:sz w:val="20"/>
                <w:szCs w:val="20"/>
                <w:lang w:val="en-ID"/>
              </w:rPr>
              <w:t>Cleaning supplies and disinfectants are accessible for personal and shared use.</w:t>
            </w:r>
          </w:p>
        </w:tc>
        <w:tc>
          <w:tcPr>
            <w:tcW w:w="1368" w:type="dxa"/>
          </w:tcPr>
          <w:p w14:paraId="42718E34"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3.92</w:t>
            </w:r>
          </w:p>
        </w:tc>
        <w:tc>
          <w:tcPr>
            <w:tcW w:w="1631" w:type="dxa"/>
          </w:tcPr>
          <w:p w14:paraId="19693689"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28EA6F42" w14:textId="77777777" w:rsidTr="00C57E30">
        <w:tc>
          <w:tcPr>
            <w:tcW w:w="6068" w:type="dxa"/>
            <w:vAlign w:val="center"/>
          </w:tcPr>
          <w:p w14:paraId="52ED8ED2" w14:textId="77777777" w:rsidR="00612873" w:rsidRPr="00612873" w:rsidRDefault="00612873" w:rsidP="00612873">
            <w:pPr>
              <w:pStyle w:val="ListParagraph"/>
              <w:numPr>
                <w:ilvl w:val="0"/>
                <w:numId w:val="35"/>
              </w:numPr>
              <w:contextualSpacing/>
              <w:rPr>
                <w:rFonts w:ascii="Arial" w:hAnsi="Arial" w:cs="Arial"/>
                <w:sz w:val="20"/>
                <w:szCs w:val="20"/>
              </w:rPr>
            </w:pPr>
            <w:r w:rsidRPr="00612873">
              <w:rPr>
                <w:rFonts w:ascii="Arial" w:hAnsi="Arial" w:cs="Arial"/>
                <w:sz w:val="20"/>
                <w:szCs w:val="20"/>
                <w:lang w:val="en-ID"/>
              </w:rPr>
              <w:lastRenderedPageBreak/>
              <w:t>There are no unpleasant odors in the boarding house due to poor sanitation.</w:t>
            </w:r>
          </w:p>
        </w:tc>
        <w:tc>
          <w:tcPr>
            <w:tcW w:w="1368" w:type="dxa"/>
          </w:tcPr>
          <w:p w14:paraId="7E8CEDF8"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3.91</w:t>
            </w:r>
          </w:p>
        </w:tc>
        <w:tc>
          <w:tcPr>
            <w:tcW w:w="1631" w:type="dxa"/>
          </w:tcPr>
          <w:p w14:paraId="7F924192"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6CF45FB7" w14:textId="77777777" w:rsidTr="00C57E30">
        <w:tc>
          <w:tcPr>
            <w:tcW w:w="6068" w:type="dxa"/>
            <w:vAlign w:val="center"/>
          </w:tcPr>
          <w:p w14:paraId="44BAFC23" w14:textId="77777777" w:rsidR="00612873" w:rsidRPr="00612873" w:rsidRDefault="00612873" w:rsidP="00612873">
            <w:pPr>
              <w:pStyle w:val="ListParagraph"/>
              <w:numPr>
                <w:ilvl w:val="0"/>
                <w:numId w:val="35"/>
              </w:numPr>
              <w:contextualSpacing/>
              <w:rPr>
                <w:rFonts w:ascii="Arial" w:hAnsi="Arial" w:cs="Arial"/>
                <w:sz w:val="20"/>
                <w:szCs w:val="20"/>
              </w:rPr>
            </w:pPr>
            <w:r w:rsidRPr="00612873">
              <w:rPr>
                <w:rFonts w:ascii="Arial" w:hAnsi="Arial" w:cs="Arial"/>
                <w:sz w:val="20"/>
                <w:szCs w:val="20"/>
                <w:lang w:val="en-ID"/>
              </w:rPr>
              <w:t>The boarding house management enforces cleanliness rules among tenants.</w:t>
            </w:r>
          </w:p>
        </w:tc>
        <w:tc>
          <w:tcPr>
            <w:tcW w:w="1368" w:type="dxa"/>
          </w:tcPr>
          <w:p w14:paraId="5467974A"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4.35</w:t>
            </w:r>
          </w:p>
        </w:tc>
        <w:tc>
          <w:tcPr>
            <w:tcW w:w="1631" w:type="dxa"/>
          </w:tcPr>
          <w:p w14:paraId="2523E427"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Very Satisfied</w:t>
            </w:r>
          </w:p>
        </w:tc>
      </w:tr>
      <w:tr w:rsidR="00612873" w:rsidRPr="00612873" w14:paraId="1A5BE88A" w14:textId="77777777" w:rsidTr="00C57E30">
        <w:tc>
          <w:tcPr>
            <w:tcW w:w="6068" w:type="dxa"/>
            <w:vAlign w:val="center"/>
          </w:tcPr>
          <w:p w14:paraId="7608EE7B" w14:textId="77777777" w:rsidR="00612873" w:rsidRPr="00612873" w:rsidRDefault="00612873" w:rsidP="00C57E30">
            <w:pPr>
              <w:pStyle w:val="ListParagraph"/>
              <w:ind w:left="1080"/>
              <w:contextualSpacing/>
              <w:jc w:val="center"/>
              <w:rPr>
                <w:rFonts w:ascii="Arial" w:hAnsi="Arial" w:cs="Arial"/>
                <w:b/>
                <w:bCs/>
                <w:sz w:val="20"/>
                <w:szCs w:val="20"/>
                <w:lang w:val="en-ID"/>
              </w:rPr>
            </w:pPr>
            <w:r w:rsidRPr="00612873">
              <w:rPr>
                <w:rFonts w:ascii="Arial" w:hAnsi="Arial" w:cs="Arial"/>
                <w:b/>
                <w:bCs/>
                <w:sz w:val="20"/>
                <w:szCs w:val="20"/>
                <w:lang w:val="en-ID"/>
              </w:rPr>
              <w:t>Overall Mean</w:t>
            </w:r>
          </w:p>
        </w:tc>
        <w:tc>
          <w:tcPr>
            <w:tcW w:w="1368" w:type="dxa"/>
          </w:tcPr>
          <w:p w14:paraId="4FB1E064"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4.02</w:t>
            </w:r>
          </w:p>
        </w:tc>
        <w:tc>
          <w:tcPr>
            <w:tcW w:w="1631" w:type="dxa"/>
          </w:tcPr>
          <w:p w14:paraId="75FA31F8"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Satisfied</w:t>
            </w:r>
          </w:p>
        </w:tc>
      </w:tr>
    </w:tbl>
    <w:p w14:paraId="52F4A9E8" w14:textId="77777777" w:rsidR="00612873" w:rsidRPr="00612873" w:rsidRDefault="00612873" w:rsidP="00612873">
      <w:pPr>
        <w:rPr>
          <w:rFonts w:ascii="Arial" w:hAnsi="Arial" w:cs="Arial"/>
          <w:b/>
          <w:bCs/>
        </w:rPr>
      </w:pPr>
    </w:p>
    <w:p w14:paraId="0F2716D4" w14:textId="77777777" w:rsidR="00612873" w:rsidRPr="00612873" w:rsidRDefault="00612873" w:rsidP="00612873">
      <w:pPr>
        <w:ind w:firstLine="720"/>
        <w:jc w:val="both"/>
        <w:rPr>
          <w:rFonts w:ascii="Arial" w:hAnsi="Arial" w:cs="Arial"/>
        </w:rPr>
      </w:pPr>
      <w:r w:rsidRPr="00612873">
        <w:rPr>
          <w:rFonts w:ascii="Arial" w:hAnsi="Arial" w:cs="Arial"/>
        </w:rPr>
        <w:t>The data in Table 3 shows that students residing in boarding houses at Apayao State College – Conner Campus are generally satisfied with the cleanliness and sanitation of their living spaces, with an overall mean score of 4.02. The highest-rated aspect was the enforcement of cleanliness rules by management (4.35, “Very Satisfied”), indicating strong institutional efforts to maintain hygiene standards. Other areas such as ventilation, waste disposal, and bathroom maintenance also received favorable ratings, suggesting that the boarding houses provide a clean and health-conscious environment.</w:t>
      </w:r>
    </w:p>
    <w:p w14:paraId="69A38BEB" w14:textId="7AFDE724" w:rsidR="00612873" w:rsidRPr="00612873" w:rsidRDefault="00612873" w:rsidP="00612873">
      <w:pPr>
        <w:ind w:firstLine="720"/>
        <w:jc w:val="both"/>
        <w:rPr>
          <w:rFonts w:ascii="Arial" w:hAnsi="Arial" w:cs="Arial"/>
        </w:rPr>
      </w:pPr>
      <w:r w:rsidRPr="00612873">
        <w:rPr>
          <w:rFonts w:ascii="Arial" w:hAnsi="Arial" w:cs="Arial"/>
        </w:rPr>
        <w:t>This aligns with the findings of Arroyo (2023), which concluded that satisfactory living conditions including sanitation, safety, and cleanliness, positively influence students’ academic performance and well-being. The connection between a clean-living space and academic success underscores the importance of maintaining high standards in student accommodation to foster both comfort and productivity.</w:t>
      </w:r>
    </w:p>
    <w:p w14:paraId="423BAC75" w14:textId="77777777" w:rsidR="00612873" w:rsidRPr="00612873" w:rsidRDefault="00612873" w:rsidP="00612873">
      <w:pPr>
        <w:jc w:val="both"/>
        <w:rPr>
          <w:rFonts w:ascii="Arial" w:hAnsi="Arial" w:cs="Arial"/>
          <w:lang w:val="en-ID"/>
        </w:rPr>
      </w:pPr>
    </w:p>
    <w:p w14:paraId="0653E889" w14:textId="77777777" w:rsidR="00612873" w:rsidRPr="00612873" w:rsidRDefault="00612873" w:rsidP="00612873">
      <w:pPr>
        <w:contextualSpacing/>
        <w:jc w:val="both"/>
        <w:rPr>
          <w:rFonts w:ascii="Arial" w:hAnsi="Arial" w:cs="Arial"/>
          <w:b/>
          <w:bCs/>
          <w:lang w:val="en-ID"/>
        </w:rPr>
      </w:pPr>
      <w:r w:rsidRPr="00612873">
        <w:rPr>
          <w:rFonts w:ascii="Arial" w:hAnsi="Arial" w:cs="Arial"/>
          <w:b/>
          <w:bCs/>
          <w:lang w:val="en-ID"/>
        </w:rPr>
        <w:t>Table 4. Water Supply</w:t>
      </w:r>
    </w:p>
    <w:tbl>
      <w:tblPr>
        <w:tblStyle w:val="TableGrid"/>
        <w:tblW w:w="9067" w:type="dxa"/>
        <w:tblLook w:val="04A0" w:firstRow="1" w:lastRow="0" w:firstColumn="1" w:lastColumn="0" w:noHBand="0" w:noVBand="1"/>
      </w:tblPr>
      <w:tblGrid>
        <w:gridCol w:w="6029"/>
        <w:gridCol w:w="1407"/>
        <w:gridCol w:w="1631"/>
      </w:tblGrid>
      <w:tr w:rsidR="00612873" w:rsidRPr="00612873" w14:paraId="45B4A6BA" w14:textId="77777777" w:rsidTr="00C57E30">
        <w:tc>
          <w:tcPr>
            <w:tcW w:w="6029" w:type="dxa"/>
          </w:tcPr>
          <w:p w14:paraId="5C0C960D"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Statement</w:t>
            </w:r>
          </w:p>
        </w:tc>
        <w:tc>
          <w:tcPr>
            <w:tcW w:w="1407" w:type="dxa"/>
          </w:tcPr>
          <w:p w14:paraId="69E55918"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Mean</w:t>
            </w:r>
          </w:p>
        </w:tc>
        <w:tc>
          <w:tcPr>
            <w:tcW w:w="1631" w:type="dxa"/>
          </w:tcPr>
          <w:p w14:paraId="1E97EEE6"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Interpretation</w:t>
            </w:r>
          </w:p>
        </w:tc>
      </w:tr>
      <w:tr w:rsidR="00612873" w:rsidRPr="00612873" w14:paraId="1255EE47" w14:textId="77777777" w:rsidTr="00C57E30">
        <w:tc>
          <w:tcPr>
            <w:tcW w:w="6029" w:type="dxa"/>
          </w:tcPr>
          <w:p w14:paraId="3E6CF7C0" w14:textId="77777777" w:rsidR="00612873" w:rsidRPr="00612873" w:rsidRDefault="00612873" w:rsidP="00612873">
            <w:pPr>
              <w:pStyle w:val="ListParagraph"/>
              <w:numPr>
                <w:ilvl w:val="0"/>
                <w:numId w:val="32"/>
              </w:numPr>
              <w:contextualSpacing/>
              <w:rPr>
                <w:rFonts w:ascii="Arial" w:hAnsi="Arial" w:cs="Arial"/>
                <w:sz w:val="20"/>
                <w:szCs w:val="20"/>
              </w:rPr>
            </w:pPr>
            <w:r w:rsidRPr="00612873">
              <w:rPr>
                <w:rFonts w:ascii="Arial" w:hAnsi="Arial" w:cs="Arial"/>
                <w:sz w:val="20"/>
                <w:szCs w:val="20"/>
                <w:lang w:val="en-ID"/>
              </w:rPr>
              <w:t>The boarding house provides a consistent and uninterrupted water supply throughout the day.</w:t>
            </w:r>
          </w:p>
        </w:tc>
        <w:tc>
          <w:tcPr>
            <w:tcW w:w="1407" w:type="dxa"/>
          </w:tcPr>
          <w:p w14:paraId="756953D8"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4.12</w:t>
            </w:r>
          </w:p>
        </w:tc>
        <w:tc>
          <w:tcPr>
            <w:tcW w:w="1631" w:type="dxa"/>
          </w:tcPr>
          <w:p w14:paraId="64C2702A"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5BDF0317" w14:textId="77777777" w:rsidTr="00C57E30">
        <w:tc>
          <w:tcPr>
            <w:tcW w:w="6029" w:type="dxa"/>
            <w:vAlign w:val="center"/>
          </w:tcPr>
          <w:p w14:paraId="05A2C64E" w14:textId="77777777" w:rsidR="00612873" w:rsidRPr="00612873" w:rsidRDefault="00612873" w:rsidP="00612873">
            <w:pPr>
              <w:pStyle w:val="ListParagraph"/>
              <w:numPr>
                <w:ilvl w:val="0"/>
                <w:numId w:val="32"/>
              </w:numPr>
              <w:contextualSpacing/>
              <w:rPr>
                <w:rFonts w:ascii="Arial" w:hAnsi="Arial" w:cs="Arial"/>
                <w:sz w:val="20"/>
                <w:szCs w:val="20"/>
              </w:rPr>
            </w:pPr>
            <w:r w:rsidRPr="00612873">
              <w:rPr>
                <w:rFonts w:ascii="Arial" w:hAnsi="Arial" w:cs="Arial"/>
                <w:sz w:val="20"/>
                <w:szCs w:val="20"/>
                <w:lang w:val="en-ID"/>
              </w:rPr>
              <w:t>Water pressure in the bathroom, laundry and kitchen is sufficient for daily use.</w:t>
            </w:r>
          </w:p>
        </w:tc>
        <w:tc>
          <w:tcPr>
            <w:tcW w:w="1407" w:type="dxa"/>
          </w:tcPr>
          <w:p w14:paraId="509E4DC4"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4.00</w:t>
            </w:r>
          </w:p>
        </w:tc>
        <w:tc>
          <w:tcPr>
            <w:tcW w:w="1631" w:type="dxa"/>
          </w:tcPr>
          <w:p w14:paraId="641A3137"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78717D37" w14:textId="77777777" w:rsidTr="00C57E30">
        <w:tc>
          <w:tcPr>
            <w:tcW w:w="6029" w:type="dxa"/>
            <w:vAlign w:val="center"/>
          </w:tcPr>
          <w:p w14:paraId="158669B7" w14:textId="77777777" w:rsidR="00612873" w:rsidRPr="00612873" w:rsidRDefault="00612873" w:rsidP="00612873">
            <w:pPr>
              <w:pStyle w:val="ListParagraph"/>
              <w:numPr>
                <w:ilvl w:val="0"/>
                <w:numId w:val="32"/>
              </w:numPr>
              <w:contextualSpacing/>
              <w:rPr>
                <w:rFonts w:ascii="Arial" w:hAnsi="Arial" w:cs="Arial"/>
                <w:sz w:val="20"/>
                <w:szCs w:val="20"/>
              </w:rPr>
            </w:pPr>
            <w:r w:rsidRPr="00612873">
              <w:rPr>
                <w:rFonts w:ascii="Arial" w:hAnsi="Arial" w:cs="Arial"/>
                <w:sz w:val="20"/>
                <w:szCs w:val="20"/>
                <w:lang w:val="en-ID"/>
              </w:rPr>
              <w:t>Drinking water is clean, safe, and readily available.</w:t>
            </w:r>
          </w:p>
        </w:tc>
        <w:tc>
          <w:tcPr>
            <w:tcW w:w="1407" w:type="dxa"/>
          </w:tcPr>
          <w:p w14:paraId="60925B95"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3.77</w:t>
            </w:r>
          </w:p>
        </w:tc>
        <w:tc>
          <w:tcPr>
            <w:tcW w:w="1631" w:type="dxa"/>
          </w:tcPr>
          <w:p w14:paraId="69D0559E"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1073569A" w14:textId="77777777" w:rsidTr="00C57E30">
        <w:tc>
          <w:tcPr>
            <w:tcW w:w="6029" w:type="dxa"/>
            <w:vAlign w:val="center"/>
          </w:tcPr>
          <w:p w14:paraId="34DD999F" w14:textId="77777777" w:rsidR="00612873" w:rsidRPr="00612873" w:rsidRDefault="00612873" w:rsidP="00612873">
            <w:pPr>
              <w:pStyle w:val="ListParagraph"/>
              <w:numPr>
                <w:ilvl w:val="0"/>
                <w:numId w:val="32"/>
              </w:numPr>
              <w:contextualSpacing/>
              <w:rPr>
                <w:rFonts w:ascii="Arial" w:hAnsi="Arial" w:cs="Arial"/>
                <w:sz w:val="20"/>
                <w:szCs w:val="20"/>
              </w:rPr>
            </w:pPr>
            <w:r w:rsidRPr="00612873">
              <w:rPr>
                <w:rFonts w:ascii="Arial" w:hAnsi="Arial" w:cs="Arial"/>
                <w:sz w:val="20"/>
                <w:szCs w:val="20"/>
                <w:lang w:val="en-ID"/>
              </w:rPr>
              <w:t>The water supply system is well-maintained and free from leaks or damage.</w:t>
            </w:r>
          </w:p>
        </w:tc>
        <w:tc>
          <w:tcPr>
            <w:tcW w:w="1407" w:type="dxa"/>
          </w:tcPr>
          <w:p w14:paraId="345B3F4E"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3.95</w:t>
            </w:r>
          </w:p>
        </w:tc>
        <w:tc>
          <w:tcPr>
            <w:tcW w:w="1631" w:type="dxa"/>
          </w:tcPr>
          <w:p w14:paraId="2B98654F"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194AA27E" w14:textId="77777777" w:rsidTr="00C57E30">
        <w:tc>
          <w:tcPr>
            <w:tcW w:w="6029" w:type="dxa"/>
            <w:vAlign w:val="center"/>
          </w:tcPr>
          <w:p w14:paraId="33CE0FB0" w14:textId="77777777" w:rsidR="00612873" w:rsidRPr="00612873" w:rsidRDefault="00612873" w:rsidP="00612873">
            <w:pPr>
              <w:pStyle w:val="ListParagraph"/>
              <w:numPr>
                <w:ilvl w:val="0"/>
                <w:numId w:val="32"/>
              </w:numPr>
              <w:contextualSpacing/>
              <w:rPr>
                <w:rFonts w:ascii="Arial" w:hAnsi="Arial" w:cs="Arial"/>
                <w:sz w:val="20"/>
                <w:szCs w:val="20"/>
              </w:rPr>
            </w:pPr>
            <w:r w:rsidRPr="00612873">
              <w:rPr>
                <w:rFonts w:ascii="Arial" w:hAnsi="Arial" w:cs="Arial"/>
                <w:sz w:val="20"/>
                <w:szCs w:val="20"/>
                <w:lang w:val="en-ID"/>
              </w:rPr>
              <w:t>Water used for bathing and washing is clean and free from foul odor or discoloration.</w:t>
            </w:r>
          </w:p>
        </w:tc>
        <w:tc>
          <w:tcPr>
            <w:tcW w:w="1407" w:type="dxa"/>
          </w:tcPr>
          <w:p w14:paraId="033CA031"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4.00</w:t>
            </w:r>
          </w:p>
        </w:tc>
        <w:tc>
          <w:tcPr>
            <w:tcW w:w="1631" w:type="dxa"/>
          </w:tcPr>
          <w:p w14:paraId="47DA35B1"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4F6AAC0E" w14:textId="77777777" w:rsidTr="00C57E30">
        <w:tc>
          <w:tcPr>
            <w:tcW w:w="6029" w:type="dxa"/>
            <w:vAlign w:val="center"/>
          </w:tcPr>
          <w:p w14:paraId="5F48886C" w14:textId="77777777" w:rsidR="00612873" w:rsidRPr="00612873" w:rsidRDefault="00612873" w:rsidP="00612873">
            <w:pPr>
              <w:pStyle w:val="ListParagraph"/>
              <w:numPr>
                <w:ilvl w:val="0"/>
                <w:numId w:val="32"/>
              </w:numPr>
              <w:contextualSpacing/>
              <w:rPr>
                <w:rFonts w:ascii="Arial" w:hAnsi="Arial" w:cs="Arial"/>
                <w:sz w:val="20"/>
                <w:szCs w:val="20"/>
              </w:rPr>
            </w:pPr>
            <w:r w:rsidRPr="00612873">
              <w:rPr>
                <w:rFonts w:ascii="Arial" w:hAnsi="Arial" w:cs="Arial"/>
                <w:sz w:val="20"/>
                <w:szCs w:val="20"/>
                <w:lang w:val="en-ID"/>
              </w:rPr>
              <w:t>The boarding house provides alternative water sources (e.g., storage tanks) during supply interruptions.</w:t>
            </w:r>
          </w:p>
        </w:tc>
        <w:tc>
          <w:tcPr>
            <w:tcW w:w="1407" w:type="dxa"/>
          </w:tcPr>
          <w:p w14:paraId="7CA6907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3.70</w:t>
            </w:r>
          </w:p>
        </w:tc>
        <w:tc>
          <w:tcPr>
            <w:tcW w:w="1631" w:type="dxa"/>
          </w:tcPr>
          <w:p w14:paraId="1D012164"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7069DB2F" w14:textId="77777777" w:rsidTr="00C57E30">
        <w:tc>
          <w:tcPr>
            <w:tcW w:w="6029" w:type="dxa"/>
            <w:vAlign w:val="center"/>
          </w:tcPr>
          <w:p w14:paraId="4A576DCD" w14:textId="77777777" w:rsidR="00612873" w:rsidRPr="00612873" w:rsidRDefault="00612873" w:rsidP="00C57E30">
            <w:pPr>
              <w:pStyle w:val="ListParagraph"/>
              <w:contextualSpacing/>
              <w:jc w:val="center"/>
              <w:rPr>
                <w:rFonts w:ascii="Arial" w:hAnsi="Arial" w:cs="Arial"/>
                <w:sz w:val="20"/>
                <w:szCs w:val="20"/>
                <w:lang w:val="en-ID"/>
              </w:rPr>
            </w:pPr>
            <w:r w:rsidRPr="00612873">
              <w:rPr>
                <w:rFonts w:ascii="Arial" w:hAnsi="Arial" w:cs="Arial"/>
                <w:b/>
                <w:bCs/>
                <w:sz w:val="20"/>
                <w:szCs w:val="20"/>
                <w:lang w:val="en-ID"/>
              </w:rPr>
              <w:t>Overall Mean</w:t>
            </w:r>
          </w:p>
        </w:tc>
        <w:tc>
          <w:tcPr>
            <w:tcW w:w="1407" w:type="dxa"/>
          </w:tcPr>
          <w:p w14:paraId="171C2DB6"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3.92</w:t>
            </w:r>
          </w:p>
        </w:tc>
        <w:tc>
          <w:tcPr>
            <w:tcW w:w="1631" w:type="dxa"/>
          </w:tcPr>
          <w:p w14:paraId="2F126999"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Satisfied</w:t>
            </w:r>
          </w:p>
        </w:tc>
      </w:tr>
    </w:tbl>
    <w:p w14:paraId="280A9AA7" w14:textId="77777777" w:rsidR="00612873" w:rsidRPr="00612873" w:rsidRDefault="00612873" w:rsidP="00612873">
      <w:pPr>
        <w:rPr>
          <w:rFonts w:ascii="Arial" w:hAnsi="Arial" w:cs="Arial"/>
          <w:b/>
          <w:bCs/>
        </w:rPr>
      </w:pPr>
    </w:p>
    <w:p w14:paraId="39DBC6D2" w14:textId="77777777" w:rsidR="00612873" w:rsidRPr="00612873" w:rsidRDefault="00612873" w:rsidP="00612873">
      <w:pPr>
        <w:ind w:firstLine="720"/>
        <w:jc w:val="both"/>
        <w:rPr>
          <w:rFonts w:ascii="Arial" w:hAnsi="Arial" w:cs="Arial"/>
        </w:rPr>
      </w:pPr>
      <w:r w:rsidRPr="00612873">
        <w:rPr>
          <w:rFonts w:ascii="Arial" w:hAnsi="Arial" w:cs="Arial"/>
        </w:rPr>
        <w:t xml:space="preserve">Table 4 reveals that students at Apayao State College – Conner Campus are generally satisfied with the water supply conditions in their boarding houses, with an overall mean score of 3.92. The highest-rated item was the consistency of water availability throughout the day (4.12), while the lowest was the provision of alternative water sources during interruptions (3.70), suggesting room for improvement in contingency planning. Clean and safe water for drinking, bathing, and daily use was rated positively, indicating that basic water needs are being met. </w:t>
      </w:r>
    </w:p>
    <w:p w14:paraId="3F672B13" w14:textId="77777777" w:rsidR="00612873" w:rsidRPr="00612873" w:rsidRDefault="00612873" w:rsidP="00612873">
      <w:pPr>
        <w:ind w:firstLine="720"/>
        <w:jc w:val="both"/>
        <w:rPr>
          <w:rFonts w:ascii="Arial" w:hAnsi="Arial" w:cs="Arial"/>
        </w:rPr>
      </w:pPr>
      <w:r w:rsidRPr="00612873">
        <w:rPr>
          <w:rFonts w:ascii="Arial" w:hAnsi="Arial" w:cs="Arial"/>
        </w:rPr>
        <w:t>This aligns with the findings of Nobis (2022) which highlighted that while students were generally satisfied with their boarding conditions, inadequate and unsafe water supply was a recurring issue that negatively impacted their comfort and academic focus. The connection between reliable water access and student well-being underscores the importance of maintaining efficient water systems in boarding houses to support both health and learning outcomes.</w:t>
      </w:r>
    </w:p>
    <w:p w14:paraId="73EC47FF" w14:textId="77777777" w:rsidR="00612873" w:rsidRPr="00612873" w:rsidRDefault="00612873" w:rsidP="00612873">
      <w:pPr>
        <w:rPr>
          <w:rFonts w:ascii="Arial" w:hAnsi="Arial" w:cs="Arial"/>
        </w:rPr>
      </w:pPr>
    </w:p>
    <w:p w14:paraId="4A930882" w14:textId="77777777" w:rsidR="00612873" w:rsidRPr="00612873" w:rsidRDefault="00612873" w:rsidP="00612873">
      <w:pPr>
        <w:contextualSpacing/>
        <w:jc w:val="both"/>
        <w:rPr>
          <w:rFonts w:ascii="Arial" w:hAnsi="Arial" w:cs="Arial"/>
          <w:b/>
          <w:bCs/>
          <w:lang w:val="en-ID"/>
        </w:rPr>
      </w:pPr>
      <w:r w:rsidRPr="00612873">
        <w:rPr>
          <w:rFonts w:ascii="Arial" w:hAnsi="Arial" w:cs="Arial"/>
          <w:b/>
          <w:bCs/>
          <w:lang w:val="en-ID"/>
        </w:rPr>
        <w:t xml:space="preserve">Table 5. Safety And Security </w:t>
      </w:r>
    </w:p>
    <w:tbl>
      <w:tblPr>
        <w:tblStyle w:val="TableGrid"/>
        <w:tblW w:w="9067" w:type="dxa"/>
        <w:tblLook w:val="04A0" w:firstRow="1" w:lastRow="0" w:firstColumn="1" w:lastColumn="0" w:noHBand="0" w:noVBand="1"/>
      </w:tblPr>
      <w:tblGrid>
        <w:gridCol w:w="6030"/>
        <w:gridCol w:w="1406"/>
        <w:gridCol w:w="1631"/>
      </w:tblGrid>
      <w:tr w:rsidR="00612873" w:rsidRPr="00612873" w14:paraId="44613011" w14:textId="77777777" w:rsidTr="00C57E30">
        <w:tc>
          <w:tcPr>
            <w:tcW w:w="6030" w:type="dxa"/>
          </w:tcPr>
          <w:p w14:paraId="05BA3B45"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Statement</w:t>
            </w:r>
          </w:p>
        </w:tc>
        <w:tc>
          <w:tcPr>
            <w:tcW w:w="1406" w:type="dxa"/>
          </w:tcPr>
          <w:p w14:paraId="548089F3"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Mean</w:t>
            </w:r>
          </w:p>
        </w:tc>
        <w:tc>
          <w:tcPr>
            <w:tcW w:w="1631" w:type="dxa"/>
          </w:tcPr>
          <w:p w14:paraId="62391ED8"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Interpretation</w:t>
            </w:r>
          </w:p>
        </w:tc>
      </w:tr>
      <w:tr w:rsidR="00612873" w:rsidRPr="00612873" w14:paraId="031738BA" w14:textId="77777777" w:rsidTr="00C57E30">
        <w:tc>
          <w:tcPr>
            <w:tcW w:w="6030" w:type="dxa"/>
          </w:tcPr>
          <w:p w14:paraId="5F7DCFB8"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The boarding house has secure locks on doors and windows.</w:t>
            </w:r>
          </w:p>
        </w:tc>
        <w:tc>
          <w:tcPr>
            <w:tcW w:w="1406" w:type="dxa"/>
          </w:tcPr>
          <w:p w14:paraId="7896B3FC"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4.28</w:t>
            </w:r>
          </w:p>
        </w:tc>
        <w:tc>
          <w:tcPr>
            <w:tcW w:w="1631" w:type="dxa"/>
          </w:tcPr>
          <w:p w14:paraId="4883CB33"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Very Satisfied</w:t>
            </w:r>
          </w:p>
        </w:tc>
      </w:tr>
      <w:tr w:rsidR="00612873" w:rsidRPr="00612873" w14:paraId="133C89DD" w14:textId="77777777" w:rsidTr="00C57E30">
        <w:tc>
          <w:tcPr>
            <w:tcW w:w="6030" w:type="dxa"/>
            <w:vAlign w:val="center"/>
          </w:tcPr>
          <w:p w14:paraId="2CE7D8D7"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 xml:space="preserve">Emergency exits and safety procedures are clearly </w:t>
            </w:r>
            <w:r w:rsidRPr="00612873">
              <w:rPr>
                <w:rFonts w:ascii="Arial" w:hAnsi="Arial" w:cs="Arial"/>
                <w:sz w:val="20"/>
                <w:szCs w:val="20"/>
              </w:rPr>
              <w:lastRenderedPageBreak/>
              <w:t>communicated and accessible.</w:t>
            </w:r>
          </w:p>
        </w:tc>
        <w:tc>
          <w:tcPr>
            <w:tcW w:w="1406" w:type="dxa"/>
          </w:tcPr>
          <w:p w14:paraId="55767C75"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lastRenderedPageBreak/>
              <w:t>3.85</w:t>
            </w:r>
          </w:p>
        </w:tc>
        <w:tc>
          <w:tcPr>
            <w:tcW w:w="1631" w:type="dxa"/>
          </w:tcPr>
          <w:p w14:paraId="3D9188DE"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1F40415B" w14:textId="77777777" w:rsidTr="00C57E30">
        <w:tc>
          <w:tcPr>
            <w:tcW w:w="6030" w:type="dxa"/>
            <w:vAlign w:val="center"/>
          </w:tcPr>
          <w:p w14:paraId="14819544"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The boarding house is equipped with basic safety features (e.g., fire extinguisher, first aid kit).</w:t>
            </w:r>
          </w:p>
        </w:tc>
        <w:tc>
          <w:tcPr>
            <w:tcW w:w="1406" w:type="dxa"/>
          </w:tcPr>
          <w:p w14:paraId="4A480B1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3.47</w:t>
            </w:r>
          </w:p>
        </w:tc>
        <w:tc>
          <w:tcPr>
            <w:tcW w:w="1631" w:type="dxa"/>
          </w:tcPr>
          <w:p w14:paraId="48DE9D2A"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4563F5AE" w14:textId="77777777" w:rsidTr="00C57E30">
        <w:tc>
          <w:tcPr>
            <w:tcW w:w="6030" w:type="dxa"/>
            <w:vAlign w:val="center"/>
          </w:tcPr>
          <w:p w14:paraId="7F180583"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Visitors and outsiders are properly monitored or restricted by the management.</w:t>
            </w:r>
          </w:p>
        </w:tc>
        <w:tc>
          <w:tcPr>
            <w:tcW w:w="1406" w:type="dxa"/>
          </w:tcPr>
          <w:p w14:paraId="5798816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4.14</w:t>
            </w:r>
          </w:p>
        </w:tc>
        <w:tc>
          <w:tcPr>
            <w:tcW w:w="1631" w:type="dxa"/>
          </w:tcPr>
          <w:p w14:paraId="10A92E5A"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500D1200" w14:textId="77777777" w:rsidTr="00C57E30">
        <w:tc>
          <w:tcPr>
            <w:tcW w:w="6030" w:type="dxa"/>
            <w:vAlign w:val="center"/>
          </w:tcPr>
          <w:p w14:paraId="26D4FCE3"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There are CCTVs, lighting in hallways, entrances, and outdoor</w:t>
            </w:r>
          </w:p>
        </w:tc>
        <w:tc>
          <w:tcPr>
            <w:tcW w:w="1406" w:type="dxa"/>
          </w:tcPr>
          <w:p w14:paraId="53F660C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2.97</w:t>
            </w:r>
          </w:p>
        </w:tc>
        <w:tc>
          <w:tcPr>
            <w:tcW w:w="1631" w:type="dxa"/>
          </w:tcPr>
          <w:p w14:paraId="2DEBF46F"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Neutral</w:t>
            </w:r>
          </w:p>
        </w:tc>
      </w:tr>
      <w:tr w:rsidR="00612873" w:rsidRPr="00612873" w14:paraId="687D763F" w14:textId="77777777" w:rsidTr="00C57E30">
        <w:tc>
          <w:tcPr>
            <w:tcW w:w="6030" w:type="dxa"/>
            <w:vAlign w:val="center"/>
          </w:tcPr>
          <w:p w14:paraId="20787560"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Curfew hours are properly observed</w:t>
            </w:r>
          </w:p>
        </w:tc>
        <w:tc>
          <w:tcPr>
            <w:tcW w:w="1406" w:type="dxa"/>
          </w:tcPr>
          <w:p w14:paraId="483BA284"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3.83</w:t>
            </w:r>
          </w:p>
        </w:tc>
        <w:tc>
          <w:tcPr>
            <w:tcW w:w="1631" w:type="dxa"/>
          </w:tcPr>
          <w:p w14:paraId="32D67619"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2173C720" w14:textId="77777777" w:rsidTr="00C57E30">
        <w:tc>
          <w:tcPr>
            <w:tcW w:w="6030" w:type="dxa"/>
            <w:vAlign w:val="center"/>
          </w:tcPr>
          <w:p w14:paraId="302E2E92"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Liquor and cigarette use are strictly prohibited in the boarding house.</w:t>
            </w:r>
          </w:p>
        </w:tc>
        <w:tc>
          <w:tcPr>
            <w:tcW w:w="1406" w:type="dxa"/>
          </w:tcPr>
          <w:p w14:paraId="76BD6F2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3.84</w:t>
            </w:r>
          </w:p>
        </w:tc>
        <w:tc>
          <w:tcPr>
            <w:tcW w:w="1631" w:type="dxa"/>
          </w:tcPr>
          <w:p w14:paraId="5C5E1C62"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18B551E8" w14:textId="77777777" w:rsidTr="00C57E30">
        <w:tc>
          <w:tcPr>
            <w:tcW w:w="6030" w:type="dxa"/>
            <w:vAlign w:val="center"/>
          </w:tcPr>
          <w:p w14:paraId="71AAE333" w14:textId="77777777" w:rsidR="00612873" w:rsidRPr="00612873" w:rsidRDefault="00612873" w:rsidP="00612873">
            <w:pPr>
              <w:pStyle w:val="ListParagraph"/>
              <w:numPr>
                <w:ilvl w:val="0"/>
                <w:numId w:val="33"/>
              </w:numPr>
              <w:contextualSpacing/>
              <w:rPr>
                <w:rFonts w:ascii="Arial" w:hAnsi="Arial" w:cs="Arial"/>
                <w:sz w:val="20"/>
                <w:szCs w:val="20"/>
              </w:rPr>
            </w:pPr>
            <w:r w:rsidRPr="00612873">
              <w:rPr>
                <w:rFonts w:ascii="Arial" w:hAnsi="Arial" w:cs="Arial"/>
                <w:sz w:val="20"/>
                <w:szCs w:val="20"/>
              </w:rPr>
              <w:t>Presence of landlady/landlord is always assured</w:t>
            </w:r>
          </w:p>
        </w:tc>
        <w:tc>
          <w:tcPr>
            <w:tcW w:w="1406" w:type="dxa"/>
          </w:tcPr>
          <w:p w14:paraId="43DB0DCB"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4.02</w:t>
            </w:r>
          </w:p>
        </w:tc>
        <w:tc>
          <w:tcPr>
            <w:tcW w:w="1631" w:type="dxa"/>
          </w:tcPr>
          <w:p w14:paraId="45ACFEBC"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Satisfied</w:t>
            </w:r>
          </w:p>
        </w:tc>
      </w:tr>
      <w:tr w:rsidR="00612873" w:rsidRPr="00612873" w14:paraId="1A40136E" w14:textId="77777777" w:rsidTr="00C57E30">
        <w:tc>
          <w:tcPr>
            <w:tcW w:w="6030" w:type="dxa"/>
            <w:vAlign w:val="center"/>
          </w:tcPr>
          <w:p w14:paraId="7F14026D" w14:textId="77777777" w:rsidR="00612873" w:rsidRPr="00612873" w:rsidRDefault="00612873" w:rsidP="00C57E30">
            <w:pPr>
              <w:pStyle w:val="ListParagraph"/>
              <w:contextualSpacing/>
              <w:jc w:val="center"/>
              <w:rPr>
                <w:rFonts w:ascii="Arial" w:hAnsi="Arial" w:cs="Arial"/>
                <w:sz w:val="20"/>
                <w:szCs w:val="20"/>
              </w:rPr>
            </w:pPr>
            <w:r w:rsidRPr="00612873">
              <w:rPr>
                <w:rFonts w:ascii="Arial" w:hAnsi="Arial" w:cs="Arial"/>
                <w:b/>
                <w:bCs/>
                <w:sz w:val="20"/>
                <w:szCs w:val="20"/>
                <w:lang w:val="en-ID"/>
              </w:rPr>
              <w:t>Overall Mean</w:t>
            </w:r>
          </w:p>
        </w:tc>
        <w:tc>
          <w:tcPr>
            <w:tcW w:w="1406" w:type="dxa"/>
          </w:tcPr>
          <w:p w14:paraId="3DAE04F0"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3.80</w:t>
            </w:r>
          </w:p>
        </w:tc>
        <w:tc>
          <w:tcPr>
            <w:tcW w:w="1631" w:type="dxa"/>
          </w:tcPr>
          <w:p w14:paraId="5800300C"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Satisfied</w:t>
            </w:r>
          </w:p>
        </w:tc>
      </w:tr>
    </w:tbl>
    <w:p w14:paraId="273618FC" w14:textId="77777777" w:rsidR="00612873" w:rsidRPr="00612873" w:rsidRDefault="00612873" w:rsidP="00612873">
      <w:pPr>
        <w:rPr>
          <w:rFonts w:ascii="Arial" w:hAnsi="Arial" w:cs="Arial"/>
          <w:b/>
          <w:bCs/>
        </w:rPr>
      </w:pPr>
    </w:p>
    <w:p w14:paraId="616953F6" w14:textId="77777777" w:rsidR="00612873" w:rsidRPr="00612873" w:rsidRDefault="00612873" w:rsidP="00612873">
      <w:pPr>
        <w:ind w:firstLine="720"/>
        <w:jc w:val="both"/>
        <w:rPr>
          <w:rFonts w:ascii="Arial" w:hAnsi="Arial" w:cs="Arial"/>
        </w:rPr>
      </w:pPr>
      <w:r w:rsidRPr="00612873">
        <w:rPr>
          <w:rFonts w:ascii="Arial" w:hAnsi="Arial" w:cs="Arial"/>
        </w:rPr>
        <w:t>Table 5 indicates that students at Apayao State College – Conner Campus are satisfied with the safety and security measures in their boarding houses, with an overall mean score of 3.80. The highest-rated item was the presence of secure locks on doors and windows (4.28, “Very Satisfied”), while the lowest was the availability of CCTVs and lighting in key areas (2.97, “Neutral”), suggesting a need for improvement in surveillance and visibility. Other aspects such as curfew enforcement, visitor monitoring, and landlord presence were rated positively, reflecting a generally safe environment.</w:t>
      </w:r>
    </w:p>
    <w:p w14:paraId="20C6EB19" w14:textId="77777777" w:rsidR="00612873" w:rsidRPr="00612873" w:rsidRDefault="00612873" w:rsidP="00612873">
      <w:pPr>
        <w:ind w:firstLine="720"/>
        <w:jc w:val="both"/>
        <w:rPr>
          <w:rFonts w:ascii="Arial" w:hAnsi="Arial" w:cs="Arial"/>
        </w:rPr>
      </w:pPr>
      <w:r w:rsidRPr="00612873">
        <w:rPr>
          <w:rFonts w:ascii="Arial" w:hAnsi="Arial" w:cs="Arial"/>
        </w:rPr>
        <w:t>This supports the findings of Mubita et al. (2022), the study found that while some safety measures were in place, many boarding houses lacked essential features such as proper ventilation, fire safety equipment, and adequate lighting, which posed risks to student health and security. The researchers emphasized that a safe and healthy living environment is crucial for meaningful learning, echoing UNICEF’s assertion that academic attainment is closely tied to the quality of educational spaces.</w:t>
      </w:r>
    </w:p>
    <w:p w14:paraId="0A35D2AF" w14:textId="77777777" w:rsidR="00612873" w:rsidRPr="00612873" w:rsidRDefault="00612873" w:rsidP="00612873">
      <w:pPr>
        <w:rPr>
          <w:rFonts w:ascii="Arial" w:hAnsi="Arial" w:cs="Arial"/>
          <w:b/>
          <w:bCs/>
        </w:rPr>
      </w:pPr>
    </w:p>
    <w:p w14:paraId="4DE04AAE" w14:textId="77777777" w:rsidR="00612873" w:rsidRPr="00612873" w:rsidRDefault="00612873" w:rsidP="00612873">
      <w:pPr>
        <w:contextualSpacing/>
        <w:rPr>
          <w:rFonts w:ascii="Arial" w:hAnsi="Arial" w:cs="Arial"/>
          <w:b/>
          <w:bCs/>
        </w:rPr>
      </w:pPr>
      <w:r w:rsidRPr="00612873">
        <w:rPr>
          <w:rFonts w:ascii="Arial" w:hAnsi="Arial" w:cs="Arial"/>
          <w:b/>
          <w:bCs/>
          <w:lang w:val="en-ID"/>
        </w:rPr>
        <w:t>Table 6. Accessibility</w:t>
      </w:r>
    </w:p>
    <w:tbl>
      <w:tblPr>
        <w:tblStyle w:val="TableGrid"/>
        <w:tblW w:w="9067" w:type="dxa"/>
        <w:tblLook w:val="04A0" w:firstRow="1" w:lastRow="0" w:firstColumn="1" w:lastColumn="0" w:noHBand="0" w:noVBand="1"/>
      </w:tblPr>
      <w:tblGrid>
        <w:gridCol w:w="6029"/>
        <w:gridCol w:w="1407"/>
        <w:gridCol w:w="1631"/>
      </w:tblGrid>
      <w:tr w:rsidR="00612873" w:rsidRPr="00612873" w14:paraId="5343E5FD" w14:textId="77777777" w:rsidTr="00C57E30">
        <w:tc>
          <w:tcPr>
            <w:tcW w:w="6029" w:type="dxa"/>
          </w:tcPr>
          <w:p w14:paraId="309DDD83" w14:textId="77777777" w:rsidR="00612873" w:rsidRPr="00612873" w:rsidRDefault="00612873" w:rsidP="00C57E30">
            <w:pPr>
              <w:jc w:val="center"/>
              <w:rPr>
                <w:rFonts w:ascii="Arial" w:hAnsi="Arial" w:cs="Arial"/>
                <w:b/>
                <w:bCs/>
                <w:sz w:val="20"/>
                <w:szCs w:val="20"/>
              </w:rPr>
            </w:pPr>
            <w:r w:rsidRPr="00612873">
              <w:rPr>
                <w:rFonts w:ascii="Arial" w:hAnsi="Arial" w:cs="Arial"/>
                <w:b/>
                <w:bCs/>
                <w:sz w:val="20"/>
                <w:szCs w:val="20"/>
              </w:rPr>
              <w:t>Statement</w:t>
            </w:r>
          </w:p>
        </w:tc>
        <w:tc>
          <w:tcPr>
            <w:tcW w:w="1407" w:type="dxa"/>
          </w:tcPr>
          <w:p w14:paraId="3347BE70"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Mean</w:t>
            </w:r>
          </w:p>
        </w:tc>
        <w:tc>
          <w:tcPr>
            <w:tcW w:w="1631" w:type="dxa"/>
          </w:tcPr>
          <w:p w14:paraId="62618BFA"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Interpretation</w:t>
            </w:r>
          </w:p>
        </w:tc>
      </w:tr>
      <w:tr w:rsidR="00612873" w:rsidRPr="00612873" w14:paraId="3C1B6A81" w14:textId="77777777" w:rsidTr="00C57E30">
        <w:tc>
          <w:tcPr>
            <w:tcW w:w="6029" w:type="dxa"/>
          </w:tcPr>
          <w:p w14:paraId="6EDAF186" w14:textId="77777777" w:rsidR="00612873" w:rsidRPr="00612873" w:rsidRDefault="00612873" w:rsidP="00612873">
            <w:pPr>
              <w:pStyle w:val="ListParagraph"/>
              <w:numPr>
                <w:ilvl w:val="0"/>
                <w:numId w:val="34"/>
              </w:numPr>
              <w:contextualSpacing/>
              <w:rPr>
                <w:rFonts w:ascii="Arial" w:hAnsi="Arial" w:cs="Arial"/>
                <w:sz w:val="20"/>
                <w:szCs w:val="20"/>
              </w:rPr>
            </w:pPr>
            <w:r w:rsidRPr="00612873">
              <w:rPr>
                <w:rFonts w:ascii="Arial" w:hAnsi="Arial" w:cs="Arial"/>
                <w:sz w:val="20"/>
                <w:szCs w:val="20"/>
              </w:rPr>
              <w:t>The boarding house is within reasonable walking distance from the campus.</w:t>
            </w:r>
          </w:p>
        </w:tc>
        <w:tc>
          <w:tcPr>
            <w:tcW w:w="1407" w:type="dxa"/>
          </w:tcPr>
          <w:p w14:paraId="6070A0FB"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4.09</w:t>
            </w:r>
          </w:p>
        </w:tc>
        <w:tc>
          <w:tcPr>
            <w:tcW w:w="1631" w:type="dxa"/>
          </w:tcPr>
          <w:p w14:paraId="5BDCAE66" w14:textId="77777777" w:rsidR="00612873" w:rsidRPr="00612873" w:rsidRDefault="00612873" w:rsidP="00C57E30">
            <w:pPr>
              <w:rPr>
                <w:rFonts w:ascii="Arial" w:hAnsi="Arial" w:cs="Arial"/>
                <w:b/>
                <w:bCs/>
                <w:sz w:val="20"/>
                <w:szCs w:val="20"/>
              </w:rPr>
            </w:pPr>
            <w:r w:rsidRPr="00612873">
              <w:rPr>
                <w:rFonts w:ascii="Arial" w:hAnsi="Arial" w:cs="Arial"/>
                <w:sz w:val="20"/>
                <w:szCs w:val="20"/>
              </w:rPr>
              <w:t>Satisfied</w:t>
            </w:r>
          </w:p>
        </w:tc>
      </w:tr>
      <w:tr w:rsidR="00612873" w:rsidRPr="00612873" w14:paraId="5031CF5F" w14:textId="77777777" w:rsidTr="00C57E30">
        <w:tc>
          <w:tcPr>
            <w:tcW w:w="6029" w:type="dxa"/>
            <w:vAlign w:val="center"/>
          </w:tcPr>
          <w:p w14:paraId="02D19C7A" w14:textId="77777777" w:rsidR="00612873" w:rsidRPr="00612873" w:rsidRDefault="00612873" w:rsidP="00612873">
            <w:pPr>
              <w:pStyle w:val="ListParagraph"/>
              <w:numPr>
                <w:ilvl w:val="0"/>
                <w:numId w:val="34"/>
              </w:numPr>
              <w:contextualSpacing/>
              <w:rPr>
                <w:rFonts w:ascii="Arial" w:hAnsi="Arial" w:cs="Arial"/>
                <w:sz w:val="20"/>
                <w:szCs w:val="20"/>
              </w:rPr>
            </w:pPr>
            <w:r w:rsidRPr="00612873">
              <w:rPr>
                <w:rFonts w:ascii="Arial" w:hAnsi="Arial" w:cs="Arial"/>
                <w:sz w:val="20"/>
                <w:szCs w:val="20"/>
              </w:rPr>
              <w:t>Public transportation options near the boarding house are convenient and reliable.</w:t>
            </w:r>
          </w:p>
        </w:tc>
        <w:tc>
          <w:tcPr>
            <w:tcW w:w="1407" w:type="dxa"/>
          </w:tcPr>
          <w:p w14:paraId="3E6C9DFB"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3.73</w:t>
            </w:r>
          </w:p>
        </w:tc>
        <w:tc>
          <w:tcPr>
            <w:tcW w:w="1631" w:type="dxa"/>
          </w:tcPr>
          <w:p w14:paraId="67F57FB9" w14:textId="77777777" w:rsidR="00612873" w:rsidRPr="00612873" w:rsidRDefault="00612873" w:rsidP="00C57E30">
            <w:pPr>
              <w:rPr>
                <w:rFonts w:ascii="Arial" w:hAnsi="Arial" w:cs="Arial"/>
                <w:b/>
                <w:bCs/>
                <w:sz w:val="20"/>
                <w:szCs w:val="20"/>
              </w:rPr>
            </w:pPr>
            <w:r w:rsidRPr="00612873">
              <w:rPr>
                <w:rFonts w:ascii="Arial" w:hAnsi="Arial" w:cs="Arial"/>
                <w:sz w:val="20"/>
                <w:szCs w:val="20"/>
              </w:rPr>
              <w:t>Satisfied</w:t>
            </w:r>
          </w:p>
        </w:tc>
      </w:tr>
      <w:tr w:rsidR="00612873" w:rsidRPr="00612873" w14:paraId="41051D37" w14:textId="77777777" w:rsidTr="00C57E30">
        <w:tc>
          <w:tcPr>
            <w:tcW w:w="6029" w:type="dxa"/>
            <w:vAlign w:val="center"/>
          </w:tcPr>
          <w:p w14:paraId="21ED5052" w14:textId="77777777" w:rsidR="00612873" w:rsidRPr="00612873" w:rsidRDefault="00612873" w:rsidP="00612873">
            <w:pPr>
              <w:pStyle w:val="ListParagraph"/>
              <w:numPr>
                <w:ilvl w:val="0"/>
                <w:numId w:val="34"/>
              </w:numPr>
              <w:contextualSpacing/>
              <w:rPr>
                <w:rFonts w:ascii="Arial" w:hAnsi="Arial" w:cs="Arial"/>
                <w:sz w:val="20"/>
                <w:szCs w:val="20"/>
              </w:rPr>
            </w:pPr>
            <w:r w:rsidRPr="00612873">
              <w:rPr>
                <w:rFonts w:ascii="Arial" w:hAnsi="Arial" w:cs="Arial"/>
                <w:sz w:val="20"/>
                <w:szCs w:val="20"/>
              </w:rPr>
              <w:t>Nearby access to essential services (e.g., stores, clinics, eateries) is convenient.</w:t>
            </w:r>
          </w:p>
        </w:tc>
        <w:tc>
          <w:tcPr>
            <w:tcW w:w="1407" w:type="dxa"/>
          </w:tcPr>
          <w:p w14:paraId="282F2757"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4.00</w:t>
            </w:r>
          </w:p>
        </w:tc>
        <w:tc>
          <w:tcPr>
            <w:tcW w:w="1631" w:type="dxa"/>
          </w:tcPr>
          <w:p w14:paraId="34050E5F" w14:textId="77777777" w:rsidR="00612873" w:rsidRPr="00612873" w:rsidRDefault="00612873" w:rsidP="00C57E30">
            <w:pPr>
              <w:rPr>
                <w:rFonts w:ascii="Arial" w:hAnsi="Arial" w:cs="Arial"/>
                <w:b/>
                <w:bCs/>
                <w:sz w:val="20"/>
                <w:szCs w:val="20"/>
              </w:rPr>
            </w:pPr>
            <w:r w:rsidRPr="00612873">
              <w:rPr>
                <w:rFonts w:ascii="Arial" w:hAnsi="Arial" w:cs="Arial"/>
                <w:sz w:val="20"/>
                <w:szCs w:val="20"/>
              </w:rPr>
              <w:t>Satisfied</w:t>
            </w:r>
          </w:p>
        </w:tc>
      </w:tr>
      <w:tr w:rsidR="00612873" w:rsidRPr="00612873" w14:paraId="37BEA982" w14:textId="77777777" w:rsidTr="00C57E30">
        <w:tc>
          <w:tcPr>
            <w:tcW w:w="6029" w:type="dxa"/>
            <w:vAlign w:val="center"/>
          </w:tcPr>
          <w:p w14:paraId="7C3EA47D" w14:textId="77777777" w:rsidR="00612873" w:rsidRPr="00612873" w:rsidRDefault="00612873" w:rsidP="00612873">
            <w:pPr>
              <w:pStyle w:val="ListParagraph"/>
              <w:numPr>
                <w:ilvl w:val="0"/>
                <w:numId w:val="34"/>
              </w:numPr>
              <w:contextualSpacing/>
              <w:rPr>
                <w:rFonts w:ascii="Arial" w:hAnsi="Arial" w:cs="Arial"/>
                <w:sz w:val="20"/>
                <w:szCs w:val="20"/>
              </w:rPr>
            </w:pPr>
            <w:r w:rsidRPr="00612873">
              <w:rPr>
                <w:rFonts w:ascii="Arial" w:hAnsi="Arial" w:cs="Arial"/>
                <w:sz w:val="20"/>
                <w:szCs w:val="20"/>
              </w:rPr>
              <w:t>The entrance and pathways inside the boarding house are easy to move through, even with belongings.</w:t>
            </w:r>
          </w:p>
        </w:tc>
        <w:tc>
          <w:tcPr>
            <w:tcW w:w="1407" w:type="dxa"/>
          </w:tcPr>
          <w:p w14:paraId="0A3943A1"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4.01</w:t>
            </w:r>
          </w:p>
        </w:tc>
        <w:tc>
          <w:tcPr>
            <w:tcW w:w="1631" w:type="dxa"/>
          </w:tcPr>
          <w:p w14:paraId="51E42079" w14:textId="77777777" w:rsidR="00612873" w:rsidRPr="00612873" w:rsidRDefault="00612873" w:rsidP="00C57E30">
            <w:pPr>
              <w:rPr>
                <w:rFonts w:ascii="Arial" w:hAnsi="Arial" w:cs="Arial"/>
                <w:b/>
                <w:bCs/>
                <w:sz w:val="20"/>
                <w:szCs w:val="20"/>
              </w:rPr>
            </w:pPr>
            <w:r w:rsidRPr="00612873">
              <w:rPr>
                <w:rFonts w:ascii="Arial" w:hAnsi="Arial" w:cs="Arial"/>
                <w:sz w:val="20"/>
                <w:szCs w:val="20"/>
              </w:rPr>
              <w:t>Satisfied</w:t>
            </w:r>
          </w:p>
        </w:tc>
      </w:tr>
      <w:tr w:rsidR="00612873" w:rsidRPr="00612873" w14:paraId="101A88C6" w14:textId="77777777" w:rsidTr="00C57E30">
        <w:tc>
          <w:tcPr>
            <w:tcW w:w="6029" w:type="dxa"/>
            <w:vAlign w:val="center"/>
          </w:tcPr>
          <w:p w14:paraId="2879BB1E" w14:textId="77777777" w:rsidR="00612873" w:rsidRPr="00612873" w:rsidRDefault="00612873" w:rsidP="00612873">
            <w:pPr>
              <w:pStyle w:val="ListParagraph"/>
              <w:numPr>
                <w:ilvl w:val="0"/>
                <w:numId w:val="34"/>
              </w:numPr>
              <w:contextualSpacing/>
              <w:rPr>
                <w:rFonts w:ascii="Arial" w:hAnsi="Arial" w:cs="Arial"/>
                <w:sz w:val="20"/>
                <w:szCs w:val="20"/>
              </w:rPr>
            </w:pPr>
            <w:r w:rsidRPr="00612873">
              <w:rPr>
                <w:rFonts w:ascii="Arial" w:hAnsi="Arial" w:cs="Arial"/>
                <w:sz w:val="20"/>
                <w:szCs w:val="20"/>
              </w:rPr>
              <w:t>The boarding house is accessible during all weather conditions (e.g., rain, flooding).</w:t>
            </w:r>
          </w:p>
        </w:tc>
        <w:tc>
          <w:tcPr>
            <w:tcW w:w="1407" w:type="dxa"/>
          </w:tcPr>
          <w:p w14:paraId="610C2E09" w14:textId="77777777" w:rsidR="00612873" w:rsidRPr="00612873" w:rsidRDefault="00612873" w:rsidP="00C57E30">
            <w:pPr>
              <w:jc w:val="center"/>
              <w:rPr>
                <w:rFonts w:ascii="Arial" w:hAnsi="Arial" w:cs="Arial"/>
                <w:sz w:val="20"/>
                <w:szCs w:val="20"/>
              </w:rPr>
            </w:pPr>
            <w:r w:rsidRPr="00612873">
              <w:rPr>
                <w:rFonts w:ascii="Arial" w:hAnsi="Arial" w:cs="Arial"/>
                <w:sz w:val="20"/>
                <w:szCs w:val="20"/>
              </w:rPr>
              <w:t>3.92</w:t>
            </w:r>
          </w:p>
        </w:tc>
        <w:tc>
          <w:tcPr>
            <w:tcW w:w="1631" w:type="dxa"/>
          </w:tcPr>
          <w:p w14:paraId="2B4EFBB1" w14:textId="77777777" w:rsidR="00612873" w:rsidRPr="00612873" w:rsidRDefault="00612873" w:rsidP="00C57E30">
            <w:pPr>
              <w:rPr>
                <w:rFonts w:ascii="Arial" w:hAnsi="Arial" w:cs="Arial"/>
                <w:b/>
                <w:bCs/>
                <w:sz w:val="20"/>
                <w:szCs w:val="20"/>
              </w:rPr>
            </w:pPr>
            <w:r w:rsidRPr="00612873">
              <w:rPr>
                <w:rFonts w:ascii="Arial" w:hAnsi="Arial" w:cs="Arial"/>
                <w:sz w:val="20"/>
                <w:szCs w:val="20"/>
              </w:rPr>
              <w:t>Satisfied</w:t>
            </w:r>
          </w:p>
        </w:tc>
      </w:tr>
      <w:tr w:rsidR="00612873" w:rsidRPr="00612873" w14:paraId="18B324CD" w14:textId="77777777" w:rsidTr="00C57E30">
        <w:tc>
          <w:tcPr>
            <w:tcW w:w="6029" w:type="dxa"/>
            <w:vAlign w:val="center"/>
          </w:tcPr>
          <w:p w14:paraId="64FDD4BE" w14:textId="77777777" w:rsidR="00612873" w:rsidRPr="00612873" w:rsidRDefault="00612873" w:rsidP="00612873">
            <w:pPr>
              <w:pStyle w:val="ListParagraph"/>
              <w:numPr>
                <w:ilvl w:val="0"/>
                <w:numId w:val="34"/>
              </w:numPr>
              <w:contextualSpacing/>
              <w:rPr>
                <w:rFonts w:ascii="Arial" w:hAnsi="Arial" w:cs="Arial"/>
                <w:sz w:val="20"/>
                <w:szCs w:val="20"/>
              </w:rPr>
            </w:pPr>
            <w:r w:rsidRPr="00612873">
              <w:rPr>
                <w:rFonts w:ascii="Arial" w:hAnsi="Arial" w:cs="Arial"/>
                <w:sz w:val="20"/>
                <w:szCs w:val="20"/>
              </w:rPr>
              <w:t>The boarding house has clear signage or directions for first-time visitors.</w:t>
            </w:r>
          </w:p>
        </w:tc>
        <w:tc>
          <w:tcPr>
            <w:tcW w:w="1407" w:type="dxa"/>
          </w:tcPr>
          <w:p w14:paraId="78D75B6E" w14:textId="77777777" w:rsidR="00612873" w:rsidRPr="00612873" w:rsidRDefault="00612873" w:rsidP="00C57E30">
            <w:pPr>
              <w:jc w:val="center"/>
              <w:rPr>
                <w:rFonts w:ascii="Arial" w:hAnsi="Arial" w:cs="Arial"/>
                <w:b/>
                <w:bCs/>
                <w:sz w:val="20"/>
                <w:szCs w:val="20"/>
              </w:rPr>
            </w:pPr>
            <w:r w:rsidRPr="00612873">
              <w:rPr>
                <w:rFonts w:ascii="Arial" w:hAnsi="Arial" w:cs="Arial"/>
                <w:sz w:val="20"/>
                <w:szCs w:val="20"/>
              </w:rPr>
              <w:t>3.92</w:t>
            </w:r>
          </w:p>
        </w:tc>
        <w:tc>
          <w:tcPr>
            <w:tcW w:w="1631" w:type="dxa"/>
          </w:tcPr>
          <w:p w14:paraId="78DB8611" w14:textId="77777777" w:rsidR="00612873" w:rsidRPr="00612873" w:rsidRDefault="00612873" w:rsidP="00C57E30">
            <w:pPr>
              <w:rPr>
                <w:rFonts w:ascii="Arial" w:hAnsi="Arial" w:cs="Arial"/>
                <w:b/>
                <w:bCs/>
                <w:sz w:val="20"/>
                <w:szCs w:val="20"/>
              </w:rPr>
            </w:pPr>
            <w:r w:rsidRPr="00612873">
              <w:rPr>
                <w:rFonts w:ascii="Arial" w:hAnsi="Arial" w:cs="Arial"/>
                <w:sz w:val="20"/>
                <w:szCs w:val="20"/>
              </w:rPr>
              <w:t>Satisfied</w:t>
            </w:r>
          </w:p>
        </w:tc>
      </w:tr>
      <w:tr w:rsidR="00612873" w:rsidRPr="00612873" w14:paraId="0A1E04E6" w14:textId="77777777" w:rsidTr="00C57E30">
        <w:tc>
          <w:tcPr>
            <w:tcW w:w="6029" w:type="dxa"/>
            <w:vAlign w:val="center"/>
          </w:tcPr>
          <w:p w14:paraId="2B97923C" w14:textId="77777777" w:rsidR="00612873" w:rsidRPr="00612873" w:rsidRDefault="00612873" w:rsidP="00C57E30">
            <w:pPr>
              <w:contextualSpacing/>
              <w:jc w:val="center"/>
              <w:rPr>
                <w:rFonts w:ascii="Arial" w:hAnsi="Arial" w:cs="Arial"/>
                <w:sz w:val="20"/>
                <w:szCs w:val="20"/>
              </w:rPr>
            </w:pPr>
            <w:r w:rsidRPr="00612873">
              <w:rPr>
                <w:rFonts w:ascii="Arial" w:hAnsi="Arial" w:cs="Arial"/>
                <w:b/>
                <w:bCs/>
                <w:sz w:val="20"/>
                <w:szCs w:val="20"/>
                <w:lang w:val="en-ID"/>
              </w:rPr>
              <w:t>Overall Mean</w:t>
            </w:r>
          </w:p>
        </w:tc>
        <w:tc>
          <w:tcPr>
            <w:tcW w:w="1407" w:type="dxa"/>
          </w:tcPr>
          <w:p w14:paraId="70D1BF64" w14:textId="77777777" w:rsidR="00612873" w:rsidRPr="00612873" w:rsidRDefault="00612873" w:rsidP="00C57E30">
            <w:pPr>
              <w:jc w:val="center"/>
              <w:rPr>
                <w:rFonts w:ascii="Arial" w:hAnsi="Arial" w:cs="Arial"/>
                <w:sz w:val="20"/>
                <w:szCs w:val="20"/>
              </w:rPr>
            </w:pPr>
            <w:r w:rsidRPr="00612873">
              <w:rPr>
                <w:rFonts w:ascii="Arial" w:hAnsi="Arial" w:cs="Arial"/>
                <w:b/>
                <w:bCs/>
                <w:sz w:val="20"/>
                <w:szCs w:val="20"/>
              </w:rPr>
              <w:t>3.94</w:t>
            </w:r>
          </w:p>
        </w:tc>
        <w:tc>
          <w:tcPr>
            <w:tcW w:w="1631" w:type="dxa"/>
          </w:tcPr>
          <w:p w14:paraId="39A856FD" w14:textId="77777777" w:rsidR="00612873" w:rsidRPr="00612873" w:rsidRDefault="00612873" w:rsidP="00C57E30">
            <w:pPr>
              <w:rPr>
                <w:rFonts w:ascii="Arial" w:hAnsi="Arial" w:cs="Arial"/>
                <w:b/>
                <w:bCs/>
                <w:sz w:val="20"/>
                <w:szCs w:val="20"/>
              </w:rPr>
            </w:pPr>
            <w:r w:rsidRPr="00612873">
              <w:rPr>
                <w:rFonts w:ascii="Arial" w:hAnsi="Arial" w:cs="Arial"/>
                <w:b/>
                <w:bCs/>
                <w:sz w:val="20"/>
                <w:szCs w:val="20"/>
              </w:rPr>
              <w:t>Satisfied</w:t>
            </w:r>
          </w:p>
        </w:tc>
      </w:tr>
    </w:tbl>
    <w:p w14:paraId="3CAEAEFE" w14:textId="77777777" w:rsidR="00612873" w:rsidRPr="00612873" w:rsidRDefault="00612873" w:rsidP="00612873">
      <w:pPr>
        <w:rPr>
          <w:rFonts w:ascii="Arial" w:hAnsi="Arial" w:cs="Arial"/>
          <w:b/>
          <w:bCs/>
        </w:rPr>
      </w:pPr>
    </w:p>
    <w:p w14:paraId="147C0C09" w14:textId="77777777" w:rsidR="00612873" w:rsidRPr="00612873" w:rsidRDefault="00612873" w:rsidP="00612873">
      <w:pPr>
        <w:ind w:firstLine="720"/>
        <w:jc w:val="both"/>
        <w:rPr>
          <w:rFonts w:ascii="Arial" w:hAnsi="Arial" w:cs="Arial"/>
        </w:rPr>
      </w:pPr>
      <w:r w:rsidRPr="00612873">
        <w:rPr>
          <w:rFonts w:ascii="Arial" w:hAnsi="Arial" w:cs="Arial"/>
        </w:rPr>
        <w:t>Table 6 shows that students at Apayao State College – Conner Campus are generally satisfied with the accessibility of their boarding houses, with an overall mean score of 3.94. The highest-rated item was proximity to campus (4.09), indicating that most students live within reasonable walking distance, which likely contributes to reduced transportation costs and improved punctuality. Accessibility to essential services and ease of movement within the boarding house also received favorable ratings, while public transportation and weather-related access scored slightly lower, suggesting areas for improvement.</w:t>
      </w:r>
    </w:p>
    <w:p w14:paraId="75E66CDD" w14:textId="36A7FB2F" w:rsidR="00612873" w:rsidRPr="00612873" w:rsidRDefault="00612873" w:rsidP="00612873">
      <w:pPr>
        <w:ind w:firstLine="720"/>
        <w:jc w:val="both"/>
        <w:rPr>
          <w:rFonts w:ascii="Arial" w:hAnsi="Arial" w:cs="Arial"/>
        </w:rPr>
      </w:pPr>
      <w:r w:rsidRPr="00612873">
        <w:rPr>
          <w:rFonts w:ascii="Arial" w:hAnsi="Arial" w:cs="Arial"/>
        </w:rPr>
        <w:t xml:space="preserve">These findings align with the international study by </w:t>
      </w:r>
      <w:r w:rsidRPr="00612873">
        <w:rPr>
          <w:rFonts w:ascii="Arial" w:hAnsi="Arial" w:cs="Arial"/>
          <w:bCs/>
        </w:rPr>
        <w:t>Ying</w:t>
      </w:r>
      <w:r w:rsidRPr="00612873">
        <w:rPr>
          <w:rFonts w:ascii="Arial" w:hAnsi="Arial" w:cs="Arial"/>
        </w:rPr>
        <w:t xml:space="preserve"> et al. (2023), which found that accessibility, especially to school, food, and health services was a key factor in students’ academic focus and independence. The study emphasized that accessible housing not only </w:t>
      </w:r>
      <w:r w:rsidRPr="00612873">
        <w:rPr>
          <w:rFonts w:ascii="Arial" w:hAnsi="Arial" w:cs="Arial"/>
        </w:rPr>
        <w:lastRenderedPageBreak/>
        <w:t>supports logistical convenience but also enhances students’ motivation and time management. This connection reinforces the importance of strategically located and well-connected boarding houses in promoting academic success and student well-being.</w:t>
      </w:r>
    </w:p>
    <w:p w14:paraId="23EB51F3" w14:textId="77777777" w:rsidR="00612873" w:rsidRPr="00612873" w:rsidRDefault="00612873" w:rsidP="00612873">
      <w:pPr>
        <w:rPr>
          <w:rFonts w:ascii="Arial" w:hAnsi="Arial"/>
          <w:b/>
          <w:lang w:val="en-PH"/>
        </w:rPr>
      </w:pPr>
    </w:p>
    <w:p w14:paraId="15B38DE7" w14:textId="77777777" w:rsidR="00612873" w:rsidRPr="00612873" w:rsidRDefault="00612873" w:rsidP="00612873">
      <w:pPr>
        <w:rPr>
          <w:rFonts w:ascii="Arial" w:hAnsi="Arial"/>
          <w:b/>
          <w:lang w:val="en-PH"/>
        </w:rPr>
      </w:pPr>
      <w:r w:rsidRPr="00612873">
        <w:rPr>
          <w:rFonts w:ascii="Arial" w:hAnsi="Arial"/>
          <w:b/>
          <w:lang w:val="en-PH"/>
        </w:rPr>
        <w:t xml:space="preserve">Table 7. </w:t>
      </w:r>
      <w:r w:rsidRPr="00612873">
        <w:rPr>
          <w:rFonts w:ascii="Arial" w:hAnsi="Arial"/>
          <w:b/>
        </w:rPr>
        <w:t>Recommendations of the students to improve the conditions of boarding houses</w:t>
      </w:r>
    </w:p>
    <w:tbl>
      <w:tblPr>
        <w:tblStyle w:val="TableGrid"/>
        <w:tblW w:w="0" w:type="auto"/>
        <w:tblLook w:val="04A0" w:firstRow="1" w:lastRow="0" w:firstColumn="1" w:lastColumn="0" w:noHBand="0" w:noVBand="1"/>
      </w:tblPr>
      <w:tblGrid>
        <w:gridCol w:w="2814"/>
        <w:gridCol w:w="5610"/>
      </w:tblGrid>
      <w:tr w:rsidR="00612873" w:rsidRPr="00612873" w14:paraId="7AADE1E2" w14:textId="77777777" w:rsidTr="00C57E30">
        <w:tc>
          <w:tcPr>
            <w:tcW w:w="2972" w:type="dxa"/>
          </w:tcPr>
          <w:p w14:paraId="24579A5B" w14:textId="77777777" w:rsidR="00612873" w:rsidRPr="00612873" w:rsidRDefault="00612873" w:rsidP="00C57E30">
            <w:pPr>
              <w:jc w:val="center"/>
              <w:rPr>
                <w:rFonts w:ascii="Arial" w:hAnsi="Arial"/>
                <w:b/>
                <w:sz w:val="20"/>
                <w:szCs w:val="20"/>
              </w:rPr>
            </w:pPr>
            <w:r w:rsidRPr="00612873">
              <w:rPr>
                <w:rFonts w:ascii="Arial" w:hAnsi="Arial"/>
                <w:b/>
                <w:sz w:val="20"/>
                <w:szCs w:val="20"/>
              </w:rPr>
              <w:t>Themes</w:t>
            </w:r>
          </w:p>
        </w:tc>
        <w:tc>
          <w:tcPr>
            <w:tcW w:w="6044" w:type="dxa"/>
          </w:tcPr>
          <w:p w14:paraId="4FC95AD1" w14:textId="77777777" w:rsidR="00612873" w:rsidRPr="00612873" w:rsidRDefault="00612873" w:rsidP="00C57E30">
            <w:pPr>
              <w:jc w:val="center"/>
              <w:rPr>
                <w:rFonts w:ascii="Arial" w:hAnsi="Arial"/>
                <w:b/>
                <w:sz w:val="20"/>
                <w:szCs w:val="20"/>
              </w:rPr>
            </w:pPr>
            <w:r w:rsidRPr="00612873">
              <w:rPr>
                <w:rFonts w:ascii="Arial" w:hAnsi="Arial"/>
                <w:b/>
                <w:bCs/>
                <w:sz w:val="20"/>
                <w:szCs w:val="20"/>
                <w:lang w:val="en-PH"/>
              </w:rPr>
              <w:t>Student Recommendations</w:t>
            </w:r>
          </w:p>
        </w:tc>
      </w:tr>
      <w:tr w:rsidR="00612873" w:rsidRPr="00612873" w14:paraId="3EC7CB87" w14:textId="77777777" w:rsidTr="00C57E30">
        <w:tc>
          <w:tcPr>
            <w:tcW w:w="2972" w:type="dxa"/>
            <w:vAlign w:val="center"/>
          </w:tcPr>
          <w:p w14:paraId="7BBF92C2" w14:textId="77777777" w:rsidR="00612873" w:rsidRPr="00612873" w:rsidRDefault="00612873" w:rsidP="00C57E30">
            <w:pPr>
              <w:rPr>
                <w:rFonts w:ascii="Arial" w:hAnsi="Arial"/>
                <w:sz w:val="20"/>
                <w:szCs w:val="20"/>
              </w:rPr>
            </w:pPr>
            <w:r w:rsidRPr="00612873">
              <w:rPr>
                <w:rFonts w:ascii="Arial" w:hAnsi="Arial"/>
                <w:sz w:val="20"/>
                <w:szCs w:val="20"/>
                <w:lang w:val="en-PH"/>
              </w:rPr>
              <w:t>Proximity &amp; Location</w:t>
            </w:r>
          </w:p>
        </w:tc>
        <w:tc>
          <w:tcPr>
            <w:tcW w:w="6044" w:type="dxa"/>
            <w:vAlign w:val="center"/>
          </w:tcPr>
          <w:p w14:paraId="7F6E1FD3" w14:textId="77777777" w:rsidR="00612873" w:rsidRPr="00612873" w:rsidRDefault="00612873" w:rsidP="00C57E30">
            <w:pPr>
              <w:jc w:val="both"/>
              <w:rPr>
                <w:rFonts w:ascii="Arial" w:hAnsi="Arial"/>
                <w:sz w:val="20"/>
                <w:szCs w:val="20"/>
                <w:lang w:val="en-PH"/>
              </w:rPr>
            </w:pPr>
            <w:r w:rsidRPr="00612873">
              <w:rPr>
                <w:rFonts w:ascii="Arial" w:hAnsi="Arial"/>
                <w:sz w:val="20"/>
                <w:szCs w:val="20"/>
                <w:lang w:val="en-PH"/>
              </w:rPr>
              <w:t>Encourage campus partnerships with nearby landlords to prioritize student housing and develop a map of verified boarding houses within walking distance</w:t>
            </w:r>
          </w:p>
        </w:tc>
      </w:tr>
      <w:tr w:rsidR="00612873" w:rsidRPr="00612873" w14:paraId="3B79CA58" w14:textId="77777777" w:rsidTr="00C57E30">
        <w:tc>
          <w:tcPr>
            <w:tcW w:w="2972" w:type="dxa"/>
            <w:vAlign w:val="center"/>
          </w:tcPr>
          <w:p w14:paraId="11D7C6D9" w14:textId="77777777" w:rsidR="00612873" w:rsidRPr="00612873" w:rsidRDefault="00612873" w:rsidP="00C57E30">
            <w:pPr>
              <w:rPr>
                <w:rFonts w:ascii="Arial" w:hAnsi="Arial"/>
                <w:sz w:val="20"/>
                <w:szCs w:val="20"/>
              </w:rPr>
            </w:pPr>
            <w:r w:rsidRPr="00612873">
              <w:rPr>
                <w:rFonts w:ascii="Arial" w:hAnsi="Arial"/>
                <w:sz w:val="20"/>
                <w:szCs w:val="20"/>
                <w:lang w:val="en-PH"/>
              </w:rPr>
              <w:t>Transportation Access</w:t>
            </w:r>
          </w:p>
        </w:tc>
        <w:tc>
          <w:tcPr>
            <w:tcW w:w="6044" w:type="dxa"/>
            <w:vAlign w:val="center"/>
          </w:tcPr>
          <w:p w14:paraId="1DF42D47" w14:textId="77777777" w:rsidR="00612873" w:rsidRPr="00612873" w:rsidRDefault="00612873" w:rsidP="00C57E30">
            <w:pPr>
              <w:jc w:val="both"/>
              <w:rPr>
                <w:rFonts w:ascii="Arial" w:hAnsi="Arial"/>
                <w:sz w:val="20"/>
                <w:szCs w:val="20"/>
              </w:rPr>
            </w:pPr>
            <w:r w:rsidRPr="00612873">
              <w:rPr>
                <w:rFonts w:ascii="Arial" w:hAnsi="Arial"/>
                <w:sz w:val="20"/>
                <w:szCs w:val="20"/>
                <w:lang w:val="en-PH"/>
              </w:rPr>
              <w:t>Improve coordination with local transport providers for student-friendly schedules and advocate for shuttle services during peak hours</w:t>
            </w:r>
          </w:p>
        </w:tc>
      </w:tr>
      <w:tr w:rsidR="00612873" w:rsidRPr="00612873" w14:paraId="11DF9B83" w14:textId="77777777" w:rsidTr="00C57E30">
        <w:tc>
          <w:tcPr>
            <w:tcW w:w="2972" w:type="dxa"/>
            <w:vAlign w:val="center"/>
          </w:tcPr>
          <w:p w14:paraId="4A546BBC" w14:textId="77777777" w:rsidR="00612873" w:rsidRPr="00612873" w:rsidRDefault="00612873" w:rsidP="00C57E30">
            <w:pPr>
              <w:rPr>
                <w:rFonts w:ascii="Arial" w:hAnsi="Arial"/>
                <w:sz w:val="20"/>
                <w:szCs w:val="20"/>
              </w:rPr>
            </w:pPr>
            <w:r w:rsidRPr="00612873">
              <w:rPr>
                <w:rFonts w:ascii="Arial" w:hAnsi="Arial"/>
                <w:sz w:val="20"/>
                <w:szCs w:val="20"/>
                <w:lang w:val="en-PH"/>
              </w:rPr>
              <w:t>Essential Services</w:t>
            </w:r>
          </w:p>
        </w:tc>
        <w:tc>
          <w:tcPr>
            <w:tcW w:w="6044" w:type="dxa"/>
            <w:vAlign w:val="center"/>
          </w:tcPr>
          <w:p w14:paraId="23B5D601" w14:textId="77777777" w:rsidR="00612873" w:rsidRPr="00612873" w:rsidRDefault="00612873" w:rsidP="00C57E30">
            <w:pPr>
              <w:jc w:val="both"/>
              <w:rPr>
                <w:rFonts w:ascii="Arial" w:hAnsi="Arial"/>
                <w:sz w:val="20"/>
                <w:szCs w:val="20"/>
              </w:rPr>
            </w:pPr>
            <w:r w:rsidRPr="00612873">
              <w:rPr>
                <w:rFonts w:ascii="Arial" w:hAnsi="Arial"/>
                <w:sz w:val="20"/>
                <w:szCs w:val="20"/>
                <w:lang w:val="en-PH"/>
              </w:rPr>
              <w:t>Promote development of mini-marts, clinics, and eateries near boarding zones</w:t>
            </w:r>
          </w:p>
        </w:tc>
      </w:tr>
      <w:tr w:rsidR="00612873" w:rsidRPr="00612873" w14:paraId="39FB84BC" w14:textId="77777777" w:rsidTr="00C57E30">
        <w:tc>
          <w:tcPr>
            <w:tcW w:w="2972" w:type="dxa"/>
            <w:vAlign w:val="center"/>
          </w:tcPr>
          <w:p w14:paraId="4A5DBE71" w14:textId="77777777" w:rsidR="00612873" w:rsidRPr="00612873" w:rsidRDefault="00612873" w:rsidP="00C57E30">
            <w:pPr>
              <w:rPr>
                <w:rFonts w:ascii="Arial" w:hAnsi="Arial"/>
                <w:sz w:val="20"/>
                <w:szCs w:val="20"/>
              </w:rPr>
            </w:pPr>
            <w:r w:rsidRPr="00612873">
              <w:rPr>
                <w:rFonts w:ascii="Arial" w:hAnsi="Arial"/>
                <w:sz w:val="20"/>
                <w:szCs w:val="20"/>
                <w:lang w:val="en-PH"/>
              </w:rPr>
              <w:t>Mobility Inside Boarding House</w:t>
            </w:r>
          </w:p>
        </w:tc>
        <w:tc>
          <w:tcPr>
            <w:tcW w:w="6044" w:type="dxa"/>
            <w:vAlign w:val="center"/>
          </w:tcPr>
          <w:p w14:paraId="095FC454" w14:textId="77777777" w:rsidR="00612873" w:rsidRPr="00612873" w:rsidRDefault="00612873" w:rsidP="00C57E30">
            <w:pPr>
              <w:jc w:val="both"/>
              <w:rPr>
                <w:rFonts w:ascii="Arial" w:hAnsi="Arial"/>
                <w:sz w:val="20"/>
                <w:szCs w:val="20"/>
              </w:rPr>
            </w:pPr>
            <w:r w:rsidRPr="00612873">
              <w:rPr>
                <w:rFonts w:ascii="Arial" w:hAnsi="Arial"/>
                <w:sz w:val="20"/>
                <w:szCs w:val="20"/>
                <w:lang w:val="en-PH"/>
              </w:rPr>
              <w:t>Require landlords to maintain clear, unobstructed pathways</w:t>
            </w:r>
          </w:p>
        </w:tc>
      </w:tr>
      <w:tr w:rsidR="00612873" w:rsidRPr="00612873" w14:paraId="5BB353CF" w14:textId="77777777" w:rsidTr="00C57E30">
        <w:tc>
          <w:tcPr>
            <w:tcW w:w="2972" w:type="dxa"/>
            <w:vAlign w:val="center"/>
          </w:tcPr>
          <w:p w14:paraId="011FFF4F" w14:textId="77777777" w:rsidR="00612873" w:rsidRPr="00612873" w:rsidRDefault="00612873" w:rsidP="00C57E30">
            <w:pPr>
              <w:rPr>
                <w:rFonts w:ascii="Arial" w:hAnsi="Arial"/>
                <w:sz w:val="20"/>
                <w:szCs w:val="20"/>
              </w:rPr>
            </w:pPr>
            <w:r w:rsidRPr="00612873">
              <w:rPr>
                <w:rFonts w:ascii="Arial" w:hAnsi="Arial"/>
                <w:sz w:val="20"/>
                <w:szCs w:val="20"/>
                <w:lang w:val="en-PH"/>
              </w:rPr>
              <w:t>Weather Resilience</w:t>
            </w:r>
          </w:p>
        </w:tc>
        <w:tc>
          <w:tcPr>
            <w:tcW w:w="6044" w:type="dxa"/>
            <w:vAlign w:val="center"/>
          </w:tcPr>
          <w:p w14:paraId="43923977" w14:textId="77777777" w:rsidR="00612873" w:rsidRPr="00612873" w:rsidRDefault="00612873" w:rsidP="00C57E30">
            <w:pPr>
              <w:jc w:val="both"/>
              <w:rPr>
                <w:rFonts w:ascii="Arial" w:hAnsi="Arial"/>
                <w:sz w:val="20"/>
                <w:szCs w:val="20"/>
              </w:rPr>
            </w:pPr>
            <w:r w:rsidRPr="00612873">
              <w:rPr>
                <w:rFonts w:ascii="Arial" w:hAnsi="Arial"/>
                <w:sz w:val="20"/>
                <w:szCs w:val="20"/>
                <w:lang w:val="en-PH"/>
              </w:rPr>
              <w:t>Install elevated walkways or drainage systems to prevent flooding and encourage roofing and pathway improvements for rainy conditions</w:t>
            </w:r>
          </w:p>
        </w:tc>
      </w:tr>
      <w:tr w:rsidR="00612873" w:rsidRPr="00612873" w14:paraId="36178D39" w14:textId="77777777" w:rsidTr="00C57E30">
        <w:tc>
          <w:tcPr>
            <w:tcW w:w="2972" w:type="dxa"/>
            <w:vAlign w:val="center"/>
          </w:tcPr>
          <w:p w14:paraId="09A31FBE" w14:textId="77777777" w:rsidR="00612873" w:rsidRPr="00612873" w:rsidRDefault="00612873" w:rsidP="00C57E30">
            <w:pPr>
              <w:rPr>
                <w:rFonts w:ascii="Arial" w:hAnsi="Arial"/>
                <w:sz w:val="20"/>
                <w:szCs w:val="20"/>
              </w:rPr>
            </w:pPr>
            <w:r w:rsidRPr="00612873">
              <w:rPr>
                <w:rFonts w:ascii="Arial" w:hAnsi="Arial"/>
                <w:sz w:val="20"/>
                <w:szCs w:val="20"/>
                <w:lang w:val="en-PH"/>
              </w:rPr>
              <w:t>Signage &amp; Wayfinding</w:t>
            </w:r>
          </w:p>
        </w:tc>
        <w:tc>
          <w:tcPr>
            <w:tcW w:w="6044" w:type="dxa"/>
            <w:vAlign w:val="center"/>
          </w:tcPr>
          <w:p w14:paraId="520572F2" w14:textId="77777777" w:rsidR="00612873" w:rsidRPr="00612873" w:rsidRDefault="00612873" w:rsidP="00C57E30">
            <w:pPr>
              <w:jc w:val="both"/>
              <w:rPr>
                <w:rFonts w:ascii="Arial" w:hAnsi="Arial"/>
                <w:sz w:val="20"/>
                <w:szCs w:val="20"/>
              </w:rPr>
            </w:pPr>
            <w:r w:rsidRPr="00612873">
              <w:rPr>
                <w:rFonts w:ascii="Arial" w:hAnsi="Arial"/>
                <w:sz w:val="20"/>
                <w:szCs w:val="20"/>
                <w:lang w:val="en-PH"/>
              </w:rPr>
              <w:t>Add visible signage and room labels for easier navigation and include digital maps or QR codes for first-time visitors</w:t>
            </w:r>
          </w:p>
        </w:tc>
      </w:tr>
    </w:tbl>
    <w:p w14:paraId="40919F58" w14:textId="77777777" w:rsidR="00612873" w:rsidRPr="00612873" w:rsidRDefault="00612873" w:rsidP="00612873">
      <w:pPr>
        <w:rPr>
          <w:rFonts w:ascii="Arial" w:hAnsi="Arial"/>
          <w:b/>
        </w:rPr>
      </w:pPr>
    </w:p>
    <w:p w14:paraId="2D9AD26E" w14:textId="243FAE29" w:rsidR="00612873" w:rsidRPr="00612873" w:rsidRDefault="00612873" w:rsidP="00612873">
      <w:pPr>
        <w:ind w:firstLine="720"/>
        <w:jc w:val="both"/>
        <w:rPr>
          <w:rFonts w:ascii="Arial" w:hAnsi="Arial"/>
          <w:bCs/>
        </w:rPr>
      </w:pPr>
      <w:r w:rsidRPr="00612873">
        <w:rPr>
          <w:rFonts w:ascii="Arial" w:hAnsi="Arial"/>
          <w:bCs/>
        </w:rPr>
        <w:t xml:space="preserve">Table 7 proposed several practical recommendations to improve boarding house conditions, focusing on proximity, transportation, essential services, mobility, weather resilience, and signage. These suggestions aim to enhance comfort, safety, and accessibility, which are crucial for academic success. </w:t>
      </w:r>
    </w:p>
    <w:p w14:paraId="2787892C" w14:textId="77777777" w:rsidR="00612873" w:rsidRDefault="00612873" w:rsidP="00612873">
      <w:pPr>
        <w:ind w:firstLine="720"/>
        <w:jc w:val="both"/>
        <w:rPr>
          <w:rFonts w:ascii="Arial" w:hAnsi="Arial"/>
          <w:bCs/>
        </w:rPr>
      </w:pPr>
      <w:r w:rsidRPr="00612873">
        <w:rPr>
          <w:rFonts w:ascii="Arial" w:hAnsi="Arial"/>
          <w:bCs/>
        </w:rPr>
        <w:t>These insights are supported by Arroyo (2023), whose study at Central Mindanao University found that satisfactory living conditions including accessibility, safety, and sanitation significantly influenced students’ academic performance and well-being.</w:t>
      </w:r>
    </w:p>
    <w:p w14:paraId="65042326" w14:textId="77777777" w:rsidR="00C941A9" w:rsidRDefault="00C941A9" w:rsidP="00612873">
      <w:pPr>
        <w:ind w:firstLine="720"/>
        <w:jc w:val="both"/>
        <w:rPr>
          <w:rFonts w:ascii="Arial" w:hAnsi="Arial"/>
          <w:bCs/>
        </w:rPr>
      </w:pPr>
    </w:p>
    <w:p w14:paraId="2F0489CF" w14:textId="012132D3" w:rsidR="00C941A9" w:rsidRPr="00C941A9" w:rsidRDefault="00C941A9" w:rsidP="00612873">
      <w:pPr>
        <w:ind w:firstLine="720"/>
        <w:jc w:val="both"/>
        <w:rPr>
          <w:rFonts w:ascii="Arial" w:hAnsi="Arial"/>
          <w:bCs/>
        </w:rPr>
      </w:pPr>
      <w:r>
        <w:rPr>
          <w:rFonts w:ascii="Arial" w:hAnsi="Arial"/>
          <w:bCs/>
        </w:rPr>
        <w:t xml:space="preserve">Overall, the </w:t>
      </w:r>
      <w:r w:rsidRPr="00C941A9">
        <w:rPr>
          <w:rFonts w:ascii="Arial" w:hAnsi="Arial"/>
          <w:bCs/>
        </w:rPr>
        <w:t>results align with Maslow’s Hierarchy of Needs, demonstrating that when students’ physiological needs (clean water, sanitation, shelter), safety needs (secure locks, surveillance), and belongingness (community proximity) are met, they are better positioned to achieve higher-order goals such as academic performance and self-actualization. Furthermore, the study’s insights resonate with key Sustainable Development Goals (SDGs)</w:t>
      </w:r>
      <w:r>
        <w:rPr>
          <w:rFonts w:ascii="Arial" w:hAnsi="Arial"/>
          <w:bCs/>
        </w:rPr>
        <w:t xml:space="preserve">, </w:t>
      </w:r>
      <w:r w:rsidRPr="00C941A9">
        <w:rPr>
          <w:rFonts w:ascii="Arial" w:hAnsi="Arial"/>
          <w:bCs/>
        </w:rPr>
        <w:t>notably SDG 3 (Good Health and Well-being), SDG 4 (Quality Education), SDG 6 (Clean Water and Sanitation), and SDG 11 (Sustainable Cities and Communities)</w:t>
      </w:r>
      <w:r>
        <w:rPr>
          <w:rFonts w:ascii="Arial" w:hAnsi="Arial"/>
          <w:bCs/>
        </w:rPr>
        <w:t xml:space="preserve">, </w:t>
      </w:r>
      <w:r w:rsidRPr="00C941A9">
        <w:rPr>
          <w:rFonts w:ascii="Arial" w:hAnsi="Arial"/>
          <w:bCs/>
        </w:rPr>
        <w:t>by emphasizing the importance of safe, accessible, and health-conscious housing in fostering equitable and effective learning environments. Together, these frameworks underscore the critical intersection between student housing quality, holistic development, and global sustainability efforts.</w:t>
      </w:r>
    </w:p>
    <w:p w14:paraId="6A135028" w14:textId="77777777" w:rsidR="00E053D0" w:rsidRDefault="00E053D0" w:rsidP="00441B6F">
      <w:pPr>
        <w:pStyle w:val="Body"/>
        <w:spacing w:after="0"/>
        <w:rPr>
          <w:rFonts w:ascii="Arial" w:hAnsi="Arial" w:cs="Arial"/>
        </w:rPr>
      </w:pPr>
    </w:p>
    <w:p w14:paraId="01F6F856" w14:textId="77777777" w:rsidR="00790ADA" w:rsidRPr="00FB3A86" w:rsidRDefault="00790ADA" w:rsidP="00441B6F">
      <w:pPr>
        <w:pStyle w:val="Body"/>
        <w:spacing w:after="0"/>
        <w:rPr>
          <w:rFonts w:ascii="Arial" w:hAnsi="Arial" w:cs="Arial"/>
        </w:rPr>
      </w:pPr>
    </w:p>
    <w:p w14:paraId="7AA19AA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4B63D2E" w14:textId="77777777" w:rsidR="00790ADA" w:rsidRPr="00FB3A86" w:rsidRDefault="00790ADA" w:rsidP="00441B6F">
      <w:pPr>
        <w:pStyle w:val="ConcHead"/>
        <w:spacing w:after="0"/>
        <w:jc w:val="both"/>
        <w:rPr>
          <w:rFonts w:ascii="Arial" w:hAnsi="Arial" w:cs="Arial"/>
        </w:rPr>
      </w:pPr>
    </w:p>
    <w:p w14:paraId="6BCF9239" w14:textId="77777777" w:rsidR="00612873" w:rsidRDefault="00612873" w:rsidP="00612873">
      <w:pPr>
        <w:ind w:firstLine="720"/>
        <w:jc w:val="both"/>
        <w:rPr>
          <w:rFonts w:ascii="Arial" w:hAnsi="Arial"/>
          <w:bCs/>
        </w:rPr>
      </w:pPr>
      <w:r w:rsidRPr="0013164D">
        <w:rPr>
          <w:rFonts w:ascii="Arial" w:hAnsi="Arial"/>
          <w:bCs/>
        </w:rPr>
        <w:t xml:space="preserve">The findings of this study reveal that boarding houses play a vital role in the academic and personal lives of students at Apayao State College – Conner Campus, with most respondents relying on these accommodations for multiple years. Overall, students expressed satisfaction with key aspects of their living conditions, including cleanliness, water supply, safety, and accessibility, though areas such as surveillance, contingency water sources, and weather-related access require improvement. The demographic profile highlights a predominantly young, male, and third-year student population, primarily enrolled </w:t>
      </w:r>
      <w:r w:rsidRPr="0013164D">
        <w:rPr>
          <w:rFonts w:ascii="Arial" w:hAnsi="Arial"/>
          <w:bCs/>
        </w:rPr>
        <w:lastRenderedPageBreak/>
        <w:t>in the Criminology program, residing in single-house setups due to cultural and economic factors. Student recommendations emphasize the need for enhanced infrastructure, better transport coordination, and improved access to essential services, underscoring the importance of responsive and student-centered housing policies. These insights affirm that well-maintained and accessible boarding houses contribute significantly to students’ academic performance, health, and overall well-being.</w:t>
      </w:r>
    </w:p>
    <w:p w14:paraId="73449751" w14:textId="77777777" w:rsidR="00F524F9" w:rsidRDefault="00F524F9" w:rsidP="00612873">
      <w:pPr>
        <w:ind w:firstLine="720"/>
        <w:jc w:val="both"/>
        <w:rPr>
          <w:rFonts w:ascii="Arial" w:hAnsi="Arial"/>
          <w:bCs/>
        </w:rPr>
      </w:pPr>
    </w:p>
    <w:p w14:paraId="1BD71BCB" w14:textId="77777777" w:rsidR="00F524F9" w:rsidRPr="0013164D" w:rsidRDefault="00F524F9" w:rsidP="00612873">
      <w:pPr>
        <w:ind w:firstLine="720"/>
        <w:jc w:val="both"/>
        <w:rPr>
          <w:rFonts w:ascii="Arial" w:hAnsi="Arial"/>
          <w:bCs/>
        </w:rPr>
      </w:pPr>
    </w:p>
    <w:p w14:paraId="3D0EC705" w14:textId="77777777" w:rsidR="00790ADA" w:rsidRPr="00FB3A86" w:rsidRDefault="00790ADA" w:rsidP="00441B6F">
      <w:pPr>
        <w:pStyle w:val="Body"/>
        <w:spacing w:after="0"/>
        <w:rPr>
          <w:rFonts w:ascii="Arial" w:hAnsi="Arial" w:cs="Arial"/>
        </w:rPr>
      </w:pPr>
    </w:p>
    <w:p w14:paraId="2074AAD6" w14:textId="77777777" w:rsidR="00F524F9" w:rsidRPr="002440BF" w:rsidRDefault="00F524F9" w:rsidP="00F524F9">
      <w:pPr>
        <w:rPr>
          <w:b/>
          <w:bCs/>
          <w:sz w:val="22"/>
          <w:szCs w:val="22"/>
        </w:rPr>
      </w:pPr>
      <w:r w:rsidRPr="002440BF">
        <w:rPr>
          <w:b/>
          <w:bCs/>
          <w:sz w:val="22"/>
          <w:szCs w:val="22"/>
        </w:rPr>
        <w:t xml:space="preserve">DISCLAIMER (ARTIFICIAL INTELLIGENCE) </w:t>
      </w:r>
    </w:p>
    <w:p w14:paraId="36CAA860" w14:textId="77777777" w:rsidR="00F524F9" w:rsidRDefault="00F524F9" w:rsidP="00F524F9"/>
    <w:p w14:paraId="17AA37CB" w14:textId="77777777" w:rsidR="00F524F9" w:rsidRDefault="00F524F9" w:rsidP="00F524F9">
      <w:r w:rsidRPr="002440BF">
        <w:t>I acknowledge that I have not used ChatGPT or Copilot for refining some of the sections in the document.</w:t>
      </w:r>
    </w:p>
    <w:p w14:paraId="782B187F" w14:textId="77777777" w:rsidR="00F524F9" w:rsidRPr="008437B7" w:rsidRDefault="00F524F9" w:rsidP="00F524F9">
      <w:pPr>
        <w:rPr>
          <w:lang w:val="en-PH"/>
        </w:rPr>
      </w:pPr>
    </w:p>
    <w:p w14:paraId="2857B15B" w14:textId="77777777" w:rsidR="00F524F9" w:rsidRDefault="00F524F9" w:rsidP="00F524F9">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473BB538" w14:textId="77777777" w:rsidR="00F524F9" w:rsidRPr="002B685A" w:rsidRDefault="00F524F9" w:rsidP="00F524F9">
      <w:pPr>
        <w:pStyle w:val="ReferHead"/>
        <w:spacing w:after="0"/>
        <w:jc w:val="both"/>
        <w:rPr>
          <w:rFonts w:ascii="Arial" w:hAnsi="Arial" w:cs="Arial"/>
          <w:bCs/>
        </w:rPr>
      </w:pPr>
    </w:p>
    <w:p w14:paraId="58A3F1EB" w14:textId="77777777" w:rsidR="00F524F9" w:rsidRPr="00F469F0" w:rsidRDefault="00F524F9" w:rsidP="00F524F9">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2484B6A4" w14:textId="77777777" w:rsidR="00F524F9" w:rsidRDefault="00F524F9" w:rsidP="00F524F9">
      <w:pPr>
        <w:pStyle w:val="ReferHead"/>
        <w:spacing w:after="0"/>
        <w:jc w:val="both"/>
        <w:rPr>
          <w:rFonts w:ascii="Arial" w:hAnsi="Arial" w:cs="Arial"/>
          <w:b w:val="0"/>
          <w:caps w:val="0"/>
          <w:sz w:val="20"/>
        </w:rPr>
      </w:pPr>
    </w:p>
    <w:p w14:paraId="125F6522" w14:textId="77777777" w:rsidR="00F524F9" w:rsidRDefault="00F524F9" w:rsidP="00F524F9">
      <w:pPr>
        <w:pStyle w:val="ReferHead"/>
        <w:spacing w:after="0"/>
        <w:jc w:val="both"/>
        <w:rPr>
          <w:rFonts w:ascii="Arial" w:hAnsi="Arial" w:cs="Arial"/>
          <w:b w:val="0"/>
          <w:caps w:val="0"/>
          <w:sz w:val="20"/>
        </w:rPr>
      </w:pPr>
    </w:p>
    <w:p w14:paraId="70B77BA0" w14:textId="77777777" w:rsidR="00F524F9" w:rsidRDefault="00F524F9" w:rsidP="00F524F9">
      <w:pPr>
        <w:pStyle w:val="ReferHead"/>
        <w:spacing w:after="0"/>
        <w:jc w:val="both"/>
        <w:rPr>
          <w:rFonts w:ascii="Arial" w:hAnsi="Arial" w:cs="Arial"/>
          <w:bCs/>
        </w:rPr>
      </w:pPr>
      <w:r>
        <w:rPr>
          <w:rFonts w:ascii="Arial" w:hAnsi="Arial" w:cs="Arial"/>
          <w:bCs/>
        </w:rPr>
        <w:t>Ethical approval (WHEREVER applicable)</w:t>
      </w:r>
    </w:p>
    <w:p w14:paraId="4A0EA4C2" w14:textId="77777777" w:rsidR="00F524F9" w:rsidRPr="002B685A" w:rsidRDefault="00F524F9" w:rsidP="00F524F9">
      <w:pPr>
        <w:pStyle w:val="ReferHead"/>
        <w:spacing w:after="0"/>
        <w:jc w:val="both"/>
        <w:rPr>
          <w:rFonts w:ascii="Arial" w:hAnsi="Arial" w:cs="Arial"/>
          <w:bCs/>
        </w:rPr>
      </w:pPr>
    </w:p>
    <w:p w14:paraId="2ED3753A" w14:textId="77777777" w:rsidR="00F524F9" w:rsidRDefault="00F524F9" w:rsidP="00F524F9">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r w:rsidRPr="00400AF7">
        <w:rPr>
          <w:b w:val="0"/>
          <w:caps w:val="0"/>
          <w:sz w:val="20"/>
        </w:rPr>
        <w:t xml:space="preserve"> </w:t>
      </w:r>
    </w:p>
    <w:p w14:paraId="0145083E" w14:textId="77777777" w:rsidR="00F524F9" w:rsidRDefault="00F524F9" w:rsidP="00F524F9">
      <w:pPr>
        <w:pStyle w:val="ReferHead"/>
        <w:spacing w:after="0"/>
        <w:jc w:val="both"/>
        <w:rPr>
          <w:rFonts w:ascii="Arial" w:hAnsi="Arial" w:cs="Arial"/>
          <w:b w:val="0"/>
          <w:bCs/>
          <w:caps w:val="0"/>
          <w:sz w:val="20"/>
        </w:rPr>
      </w:pPr>
    </w:p>
    <w:p w14:paraId="5C271F6A" w14:textId="77777777" w:rsidR="004351EB" w:rsidRDefault="004351EB" w:rsidP="004351EB">
      <w:pPr>
        <w:pStyle w:val="ReferHead"/>
        <w:spacing w:after="0"/>
        <w:jc w:val="both"/>
        <w:rPr>
          <w:rFonts w:ascii="Arial" w:hAnsi="Arial" w:cs="Arial"/>
          <w:b w:val="0"/>
          <w:bCs/>
          <w:caps w:val="0"/>
          <w:sz w:val="20"/>
        </w:rPr>
      </w:pPr>
    </w:p>
    <w:p w14:paraId="63ED0CE8" w14:textId="77777777" w:rsidR="004351EB" w:rsidRPr="008333C7" w:rsidRDefault="004351EB" w:rsidP="004351EB">
      <w:pPr>
        <w:pStyle w:val="ReferHead"/>
        <w:jc w:val="both"/>
        <w:rPr>
          <w:rFonts w:ascii="Arial" w:hAnsi="Arial" w:cs="Arial"/>
          <w:caps w:val="0"/>
          <w:szCs w:val="22"/>
        </w:rPr>
      </w:pPr>
      <w:r w:rsidRPr="008333C7">
        <w:rPr>
          <w:rFonts w:ascii="Arial" w:hAnsi="Arial" w:cs="Arial"/>
          <w:caps w:val="0"/>
          <w:szCs w:val="22"/>
        </w:rPr>
        <w:t xml:space="preserve">COMPETING INTERESTS </w:t>
      </w:r>
    </w:p>
    <w:p w14:paraId="18151399" w14:textId="77777777" w:rsidR="004351EB" w:rsidRDefault="004351EB" w:rsidP="004351EB">
      <w:pPr>
        <w:pStyle w:val="ReferHead"/>
        <w:spacing w:after="0"/>
        <w:jc w:val="both"/>
        <w:rPr>
          <w:rFonts w:ascii="Arial" w:hAnsi="Arial" w:cs="Arial"/>
          <w:b w:val="0"/>
          <w:bCs/>
          <w:caps w:val="0"/>
          <w:sz w:val="20"/>
        </w:rPr>
      </w:pPr>
      <w:r w:rsidRPr="00C470CE">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02030692" w14:textId="77777777" w:rsidR="00860000" w:rsidRDefault="00860000" w:rsidP="00441B6F">
      <w:pPr>
        <w:pStyle w:val="ReferHead"/>
        <w:spacing w:after="0"/>
        <w:jc w:val="both"/>
        <w:rPr>
          <w:rFonts w:ascii="Arial" w:hAnsi="Arial" w:cs="Arial"/>
        </w:rPr>
      </w:pPr>
    </w:p>
    <w:p w14:paraId="491FC4F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D4EF5C" w14:textId="77777777" w:rsidR="00790ADA" w:rsidRPr="00FB3A86" w:rsidRDefault="00790ADA" w:rsidP="00441B6F">
      <w:pPr>
        <w:pStyle w:val="ReferHead"/>
        <w:spacing w:after="0"/>
        <w:jc w:val="both"/>
        <w:rPr>
          <w:rFonts w:ascii="Arial" w:hAnsi="Arial" w:cs="Arial"/>
        </w:rPr>
      </w:pPr>
    </w:p>
    <w:p w14:paraId="68F1CB53"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Abagon, B. S. (2022). Teacher Education Students Living in Boarding House/Dormitories. </w:t>
      </w:r>
      <w:r w:rsidRPr="00AE2367">
        <w:rPr>
          <w:rFonts w:ascii="Arial" w:hAnsi="Arial" w:cs="Arial"/>
          <w:bCs/>
          <w:i/>
          <w:iCs/>
          <w:sz w:val="20"/>
          <w:szCs w:val="20"/>
        </w:rPr>
        <w:t>American Journal of Humanities and Social Sciences Research</w:t>
      </w:r>
      <w:r w:rsidRPr="00AE2367">
        <w:rPr>
          <w:rFonts w:ascii="Arial" w:hAnsi="Arial" w:cs="Arial"/>
          <w:bCs/>
          <w:sz w:val="20"/>
          <w:szCs w:val="20"/>
        </w:rPr>
        <w:t>, (5).</w:t>
      </w:r>
    </w:p>
    <w:p w14:paraId="1F123128"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Andren, Z. S., Gabio, O. F. M., Garzon, C. D., Lacbayan, F. V. G., Liboon, D. M., &amp; Pabalinas, G. H. A. (2024). THE COPING SELF-EFFICACY OF STUDENTS LIVING IN BOARDING HOUSES. </w:t>
      </w:r>
      <w:r w:rsidRPr="00AE2367">
        <w:rPr>
          <w:rFonts w:ascii="Arial" w:hAnsi="Arial" w:cs="Arial"/>
          <w:bCs/>
          <w:i/>
          <w:iCs/>
          <w:sz w:val="20"/>
          <w:szCs w:val="20"/>
        </w:rPr>
        <w:t>Ignatian International Journal for Multidisciplinary Research</w:t>
      </w:r>
      <w:r w:rsidRPr="00AE2367">
        <w:rPr>
          <w:rFonts w:ascii="Arial" w:hAnsi="Arial" w:cs="Arial"/>
          <w:bCs/>
          <w:sz w:val="20"/>
          <w:szCs w:val="20"/>
        </w:rPr>
        <w:t>, </w:t>
      </w:r>
      <w:r w:rsidRPr="00AE2367">
        <w:rPr>
          <w:rFonts w:ascii="Arial" w:hAnsi="Arial" w:cs="Arial"/>
          <w:bCs/>
          <w:i/>
          <w:iCs/>
          <w:sz w:val="20"/>
          <w:szCs w:val="20"/>
        </w:rPr>
        <w:t>2</w:t>
      </w:r>
      <w:r w:rsidRPr="00AE2367">
        <w:rPr>
          <w:rFonts w:ascii="Arial" w:hAnsi="Arial" w:cs="Arial"/>
          <w:bCs/>
          <w:sz w:val="20"/>
          <w:szCs w:val="20"/>
        </w:rPr>
        <w:t>(4), 643-654.</w:t>
      </w:r>
    </w:p>
    <w:p w14:paraId="17F484A1"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Araña, R. V. E (2015). Living Conditions of Iligan Capitol College Students in their Boarding Houses.</w:t>
      </w:r>
    </w:p>
    <w:p w14:paraId="1A90D7B4"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Arroyo, R. A. (2023). Living Conditions and Academic Performance of Students Occupying Boarding Houses in Northern Mindanao. CMU Journal of Science, 27(1), 5-14.</w:t>
      </w:r>
    </w:p>
    <w:p w14:paraId="41AFC53E" w14:textId="77777777" w:rsidR="00AE2367" w:rsidRPr="00AE2367" w:rsidRDefault="00AE2367" w:rsidP="00AE2367">
      <w:pPr>
        <w:pStyle w:val="ListParagraph"/>
        <w:spacing w:after="240" w:line="259" w:lineRule="auto"/>
        <w:contextualSpacing/>
        <w:jc w:val="both"/>
        <w:rPr>
          <w:rFonts w:ascii="Arial" w:hAnsi="Arial" w:cs="Arial"/>
          <w:bCs/>
          <w:sz w:val="20"/>
          <w:szCs w:val="20"/>
        </w:rPr>
      </w:pPr>
    </w:p>
    <w:p w14:paraId="0F2EC5DA"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lastRenderedPageBreak/>
        <w:t>Brilliantes, R. A., Aga, N. B., Tipace, F. C., Adegue, C. A., Perez, M. P., Aya-ay, A. M., &amp; Sagarino, E. V. (2012). The living conditions of university students in boarding houses and dormitories in Davao City, Philippines. </w:t>
      </w:r>
      <w:r w:rsidRPr="00AE2367">
        <w:rPr>
          <w:rFonts w:ascii="Arial" w:hAnsi="Arial" w:cs="Arial"/>
          <w:bCs/>
          <w:i/>
          <w:iCs/>
          <w:sz w:val="20"/>
          <w:szCs w:val="20"/>
        </w:rPr>
        <w:t>Int Peer Rev J</w:t>
      </w:r>
      <w:r w:rsidRPr="00AE2367">
        <w:rPr>
          <w:rFonts w:ascii="Arial" w:hAnsi="Arial" w:cs="Arial"/>
          <w:bCs/>
          <w:sz w:val="20"/>
          <w:szCs w:val="20"/>
        </w:rPr>
        <w:t>, </w:t>
      </w:r>
      <w:r w:rsidRPr="00AE2367">
        <w:rPr>
          <w:rFonts w:ascii="Arial" w:hAnsi="Arial" w:cs="Arial"/>
          <w:bCs/>
          <w:i/>
          <w:iCs/>
          <w:sz w:val="20"/>
          <w:szCs w:val="20"/>
        </w:rPr>
        <w:t>1</w:t>
      </w:r>
      <w:r w:rsidRPr="00AE2367">
        <w:rPr>
          <w:rFonts w:ascii="Arial" w:hAnsi="Arial" w:cs="Arial"/>
          <w:bCs/>
          <w:sz w:val="20"/>
          <w:szCs w:val="20"/>
        </w:rPr>
        <w:t>, 66-85</w:t>
      </w:r>
    </w:p>
    <w:p w14:paraId="1068E602" w14:textId="77777777" w:rsidR="00AE2367" w:rsidRPr="00AE2367" w:rsidRDefault="00AE2367" w:rsidP="00AE2367">
      <w:pPr>
        <w:pStyle w:val="ListParagraph"/>
        <w:rPr>
          <w:rFonts w:ascii="Arial" w:hAnsi="Arial" w:cs="Arial"/>
          <w:bCs/>
          <w:sz w:val="20"/>
          <w:szCs w:val="20"/>
        </w:rPr>
      </w:pPr>
    </w:p>
    <w:p w14:paraId="234C9BD7"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 xml:space="preserve">Cubero, G. D., Bayo, R., Wales, W. D., &amp; Ladesma, R. (2024). </w:t>
      </w:r>
      <w:r w:rsidRPr="00AE2367">
        <w:rPr>
          <w:rFonts w:ascii="Arial" w:hAnsi="Arial" w:cs="Arial"/>
          <w:bCs/>
          <w:i/>
          <w:iCs/>
          <w:sz w:val="20"/>
          <w:szCs w:val="20"/>
        </w:rPr>
        <w:t>Living condition of off-campus housing accommodation: Students' qualitative perceptions</w:t>
      </w:r>
      <w:r w:rsidRPr="00AE2367">
        <w:rPr>
          <w:rFonts w:ascii="Arial" w:hAnsi="Arial" w:cs="Arial"/>
          <w:bCs/>
          <w:sz w:val="20"/>
          <w:szCs w:val="20"/>
        </w:rPr>
        <w:t xml:space="preserve">. </w:t>
      </w:r>
      <w:r w:rsidRPr="00AE2367">
        <w:rPr>
          <w:rFonts w:ascii="Arial" w:hAnsi="Arial" w:cs="Arial"/>
          <w:bCs/>
          <w:i/>
          <w:iCs/>
          <w:sz w:val="20"/>
          <w:szCs w:val="20"/>
        </w:rPr>
        <w:t>Psychology and Education: A Multidisciplinary Journal</w:t>
      </w:r>
      <w:r w:rsidRPr="00AE2367">
        <w:rPr>
          <w:rFonts w:ascii="Arial" w:hAnsi="Arial" w:cs="Arial"/>
          <w:bCs/>
          <w:sz w:val="20"/>
          <w:szCs w:val="20"/>
        </w:rPr>
        <w:t xml:space="preserve">, 27(9), 1002–1014. </w:t>
      </w:r>
      <w:hyperlink r:id="rId16" w:history="1">
        <w:r w:rsidRPr="00AE2367">
          <w:rPr>
            <w:rStyle w:val="Hyperlink"/>
            <w:rFonts w:ascii="Arial" w:hAnsi="Arial" w:cs="Arial"/>
            <w:bCs/>
            <w:color w:val="auto"/>
            <w:sz w:val="20"/>
            <w:szCs w:val="20"/>
          </w:rPr>
          <w:t>https://doi.org/10.5281/zenodo.14061470</w:t>
        </w:r>
      </w:hyperlink>
    </w:p>
    <w:p w14:paraId="4D035B06" w14:textId="77777777" w:rsidR="00AE2367" w:rsidRPr="00AE2367" w:rsidRDefault="00AE2367" w:rsidP="00AE2367">
      <w:pPr>
        <w:pStyle w:val="ListParagraph"/>
        <w:spacing w:after="240" w:line="259" w:lineRule="auto"/>
        <w:contextualSpacing/>
        <w:jc w:val="both"/>
        <w:rPr>
          <w:rFonts w:ascii="Arial" w:hAnsi="Arial" w:cs="Arial"/>
          <w:bCs/>
          <w:sz w:val="20"/>
          <w:szCs w:val="20"/>
        </w:rPr>
      </w:pPr>
    </w:p>
    <w:p w14:paraId="14C7DFCE"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Decena, R. J. S. (2015). The influence of living conditions of boarding houses and dormitories on the well-being of the state university students. </w:t>
      </w:r>
      <w:r w:rsidRPr="00AE2367">
        <w:rPr>
          <w:rFonts w:ascii="Arial" w:hAnsi="Arial" w:cs="Arial"/>
          <w:bCs/>
          <w:i/>
          <w:iCs/>
          <w:sz w:val="20"/>
          <w:szCs w:val="20"/>
        </w:rPr>
        <w:t>IAMURE International Journal of Education</w:t>
      </w:r>
      <w:r w:rsidRPr="00AE2367">
        <w:rPr>
          <w:rFonts w:ascii="Arial" w:hAnsi="Arial" w:cs="Arial"/>
          <w:bCs/>
          <w:sz w:val="20"/>
          <w:szCs w:val="20"/>
        </w:rPr>
        <w:t>, </w:t>
      </w:r>
      <w:r w:rsidRPr="00AE2367">
        <w:rPr>
          <w:rFonts w:ascii="Arial" w:hAnsi="Arial" w:cs="Arial"/>
          <w:bCs/>
          <w:i/>
          <w:iCs/>
          <w:sz w:val="20"/>
          <w:szCs w:val="20"/>
        </w:rPr>
        <w:t>15</w:t>
      </w:r>
      <w:r w:rsidRPr="00AE2367">
        <w:rPr>
          <w:rFonts w:ascii="Arial" w:hAnsi="Arial" w:cs="Arial"/>
          <w:bCs/>
          <w:sz w:val="20"/>
          <w:szCs w:val="20"/>
        </w:rPr>
        <w:t xml:space="preserve">(1), 1-1. </w:t>
      </w:r>
    </w:p>
    <w:p w14:paraId="52E1A785" w14:textId="77777777" w:rsidR="00AE2367" w:rsidRPr="00AE2367" w:rsidRDefault="00AE2367" w:rsidP="00AE2367">
      <w:pPr>
        <w:pStyle w:val="ListParagraph"/>
        <w:rPr>
          <w:rFonts w:ascii="Arial" w:hAnsi="Arial" w:cs="Arial"/>
          <w:bCs/>
          <w:sz w:val="20"/>
          <w:szCs w:val="20"/>
        </w:rPr>
      </w:pPr>
    </w:p>
    <w:p w14:paraId="35E4704F"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Gbadegesin, J. T., Komolafe, M. O., Gbadegesin, T. F., &amp; Omotoso, K. O. (2021). Off-campus student housing satisfaction indicators and the drivers: From student perspectives to policy re-awakening in governance. </w:t>
      </w:r>
      <w:r w:rsidRPr="00AE2367">
        <w:rPr>
          <w:rFonts w:ascii="Arial" w:hAnsi="Arial" w:cs="Arial"/>
          <w:bCs/>
          <w:i/>
          <w:iCs/>
          <w:sz w:val="20"/>
          <w:szCs w:val="20"/>
        </w:rPr>
        <w:t>Journal of Human Behavior in the Social Environment</w:t>
      </w:r>
      <w:r w:rsidRPr="00AE2367">
        <w:rPr>
          <w:rFonts w:ascii="Arial" w:hAnsi="Arial" w:cs="Arial"/>
          <w:bCs/>
          <w:sz w:val="20"/>
          <w:szCs w:val="20"/>
        </w:rPr>
        <w:t>, </w:t>
      </w:r>
      <w:r w:rsidRPr="00AE2367">
        <w:rPr>
          <w:rFonts w:ascii="Arial" w:hAnsi="Arial" w:cs="Arial"/>
          <w:bCs/>
          <w:i/>
          <w:iCs/>
          <w:sz w:val="20"/>
          <w:szCs w:val="20"/>
        </w:rPr>
        <w:t>31</w:t>
      </w:r>
      <w:r w:rsidRPr="00AE2367">
        <w:rPr>
          <w:rFonts w:ascii="Arial" w:hAnsi="Arial" w:cs="Arial"/>
          <w:bCs/>
          <w:sz w:val="20"/>
          <w:szCs w:val="20"/>
        </w:rPr>
        <w:t>(7), 889-915.</w:t>
      </w:r>
    </w:p>
    <w:p w14:paraId="17B55C1F" w14:textId="77777777" w:rsidR="00AE2367" w:rsidRPr="00AE2367" w:rsidRDefault="00AE2367" w:rsidP="00AE2367">
      <w:pPr>
        <w:pStyle w:val="ListParagraph"/>
        <w:spacing w:after="240" w:line="259" w:lineRule="auto"/>
        <w:contextualSpacing/>
        <w:jc w:val="both"/>
        <w:rPr>
          <w:rFonts w:ascii="Arial" w:hAnsi="Arial" w:cs="Arial"/>
          <w:bCs/>
          <w:sz w:val="20"/>
          <w:szCs w:val="20"/>
        </w:rPr>
      </w:pPr>
    </w:p>
    <w:p w14:paraId="239BC770" w14:textId="77777777" w:rsidR="00AE2367" w:rsidRPr="00AE2367" w:rsidRDefault="00AE2367" w:rsidP="00AE2367">
      <w:pPr>
        <w:pStyle w:val="ListParagraph"/>
        <w:numPr>
          <w:ilvl w:val="0"/>
          <w:numId w:val="37"/>
        </w:numPr>
        <w:spacing w:after="240"/>
        <w:jc w:val="both"/>
        <w:rPr>
          <w:rFonts w:ascii="Arial" w:hAnsi="Arial" w:cs="Arial"/>
          <w:bCs/>
          <w:sz w:val="20"/>
          <w:szCs w:val="20"/>
        </w:rPr>
      </w:pPr>
      <w:r w:rsidRPr="00AE2367">
        <w:rPr>
          <w:rFonts w:ascii="Arial" w:hAnsi="Arial" w:cs="Arial"/>
          <w:bCs/>
          <w:sz w:val="20"/>
          <w:szCs w:val="20"/>
        </w:rPr>
        <w:t>Lovitos, A. H. R. (2019). Quality living conditions and the boarding preferences of UM college students. </w:t>
      </w:r>
      <w:r w:rsidRPr="00AE2367">
        <w:rPr>
          <w:rFonts w:ascii="Arial" w:hAnsi="Arial" w:cs="Arial"/>
          <w:bCs/>
          <w:i/>
          <w:iCs/>
          <w:sz w:val="20"/>
          <w:szCs w:val="20"/>
        </w:rPr>
        <w:t>International Journal of Humanities, Arts and Social Sciences</w:t>
      </w:r>
      <w:r w:rsidRPr="00AE2367">
        <w:rPr>
          <w:rFonts w:ascii="Arial" w:hAnsi="Arial" w:cs="Arial"/>
          <w:bCs/>
          <w:sz w:val="20"/>
          <w:szCs w:val="20"/>
        </w:rPr>
        <w:t>, </w:t>
      </w:r>
      <w:r w:rsidRPr="00AE2367">
        <w:rPr>
          <w:rFonts w:ascii="Arial" w:hAnsi="Arial" w:cs="Arial"/>
          <w:bCs/>
          <w:i/>
          <w:iCs/>
          <w:sz w:val="20"/>
          <w:szCs w:val="20"/>
        </w:rPr>
        <w:t>5</w:t>
      </w:r>
      <w:r w:rsidRPr="00AE2367">
        <w:rPr>
          <w:rFonts w:ascii="Arial" w:hAnsi="Arial" w:cs="Arial"/>
          <w:bCs/>
          <w:sz w:val="20"/>
          <w:szCs w:val="20"/>
        </w:rPr>
        <w:t>(2), 54.</w:t>
      </w:r>
    </w:p>
    <w:p w14:paraId="2A3ED3AE" w14:textId="77777777" w:rsidR="00AE2367" w:rsidRPr="00AE2367" w:rsidRDefault="00AE2367" w:rsidP="00AE2367">
      <w:pPr>
        <w:pStyle w:val="ListParagraph"/>
        <w:numPr>
          <w:ilvl w:val="0"/>
          <w:numId w:val="37"/>
        </w:numPr>
        <w:spacing w:after="240"/>
        <w:jc w:val="both"/>
        <w:rPr>
          <w:rFonts w:ascii="Arial" w:hAnsi="Arial" w:cs="Arial"/>
          <w:bCs/>
          <w:sz w:val="20"/>
          <w:szCs w:val="20"/>
        </w:rPr>
      </w:pPr>
      <w:r w:rsidRPr="00AE2367">
        <w:rPr>
          <w:rFonts w:ascii="Arial" w:hAnsi="Arial" w:cs="Arial"/>
          <w:bCs/>
          <w:sz w:val="20"/>
          <w:szCs w:val="20"/>
        </w:rPr>
        <w:t>Mubita, K., Milupi, I., Daka, I., Nalwamba, M., Lungu, V., Luwi, P., ... &amp; Mundende, K. (2022). An Assessment of Safety and Health Issues in Selected Students’ Boarding Houses of Lusaka City. </w:t>
      </w:r>
      <w:r w:rsidRPr="00AE2367">
        <w:rPr>
          <w:rFonts w:ascii="Arial" w:hAnsi="Arial" w:cs="Arial"/>
          <w:bCs/>
          <w:i/>
          <w:iCs/>
          <w:sz w:val="20"/>
          <w:szCs w:val="20"/>
        </w:rPr>
        <w:t>International Journal of Social Science and Education</w:t>
      </w:r>
      <w:r w:rsidRPr="00AE2367">
        <w:rPr>
          <w:rFonts w:ascii="Arial" w:hAnsi="Arial" w:cs="Arial"/>
          <w:bCs/>
          <w:sz w:val="20"/>
          <w:szCs w:val="20"/>
        </w:rPr>
        <w:t>, </w:t>
      </w:r>
      <w:r w:rsidRPr="00AE2367">
        <w:rPr>
          <w:rFonts w:ascii="Arial" w:hAnsi="Arial" w:cs="Arial"/>
          <w:bCs/>
          <w:i/>
          <w:iCs/>
          <w:sz w:val="20"/>
          <w:szCs w:val="20"/>
        </w:rPr>
        <w:t>2</w:t>
      </w:r>
      <w:r w:rsidRPr="00AE2367">
        <w:rPr>
          <w:rFonts w:ascii="Arial" w:hAnsi="Arial" w:cs="Arial"/>
          <w:bCs/>
          <w:sz w:val="20"/>
          <w:szCs w:val="20"/>
        </w:rPr>
        <w:t>(8), 323-329.</w:t>
      </w:r>
    </w:p>
    <w:p w14:paraId="474B7255" w14:textId="77777777" w:rsidR="00AE2367" w:rsidRPr="00AE2367" w:rsidRDefault="00AE2367" w:rsidP="00AE2367">
      <w:pPr>
        <w:pStyle w:val="ListParagraph"/>
        <w:numPr>
          <w:ilvl w:val="0"/>
          <w:numId w:val="37"/>
        </w:numPr>
        <w:spacing w:after="240"/>
        <w:jc w:val="both"/>
        <w:rPr>
          <w:rFonts w:ascii="Arial" w:hAnsi="Arial" w:cs="Arial"/>
          <w:bCs/>
          <w:sz w:val="20"/>
          <w:szCs w:val="20"/>
        </w:rPr>
      </w:pPr>
      <w:r w:rsidRPr="00AE2367">
        <w:rPr>
          <w:rFonts w:ascii="Arial" w:hAnsi="Arial" w:cs="Arial"/>
          <w:bCs/>
          <w:sz w:val="20"/>
          <w:szCs w:val="20"/>
        </w:rPr>
        <w:t>Nobis Jr, M. L. (2022). Status of Students’ Boarding Houses in the University of Eastern Philippines, Laoang Campus. </w:t>
      </w:r>
      <w:r w:rsidRPr="00AE2367">
        <w:rPr>
          <w:rFonts w:ascii="Arial" w:hAnsi="Arial" w:cs="Arial"/>
          <w:bCs/>
          <w:i/>
          <w:iCs/>
          <w:sz w:val="20"/>
          <w:szCs w:val="20"/>
        </w:rPr>
        <w:t>Asian Journal of Research in Education and Social Sciences</w:t>
      </w:r>
      <w:r w:rsidRPr="00AE2367">
        <w:rPr>
          <w:rFonts w:ascii="Arial" w:hAnsi="Arial" w:cs="Arial"/>
          <w:bCs/>
          <w:sz w:val="20"/>
          <w:szCs w:val="20"/>
        </w:rPr>
        <w:t>, </w:t>
      </w:r>
      <w:r w:rsidRPr="00AE2367">
        <w:rPr>
          <w:rFonts w:ascii="Arial" w:hAnsi="Arial" w:cs="Arial"/>
          <w:bCs/>
          <w:i/>
          <w:iCs/>
          <w:sz w:val="20"/>
          <w:szCs w:val="20"/>
        </w:rPr>
        <w:t>4</w:t>
      </w:r>
      <w:r w:rsidRPr="00AE2367">
        <w:rPr>
          <w:rFonts w:ascii="Arial" w:hAnsi="Arial" w:cs="Arial"/>
          <w:bCs/>
          <w:sz w:val="20"/>
          <w:szCs w:val="20"/>
        </w:rPr>
        <w:t>(1), 113-126.</w:t>
      </w:r>
    </w:p>
    <w:p w14:paraId="346E0298" w14:textId="77777777" w:rsidR="00AE2367" w:rsidRPr="00AE2367" w:rsidRDefault="00AE2367" w:rsidP="00AE2367">
      <w:pPr>
        <w:pStyle w:val="ListParagraph"/>
        <w:numPr>
          <w:ilvl w:val="0"/>
          <w:numId w:val="37"/>
        </w:numPr>
        <w:spacing w:after="240"/>
        <w:jc w:val="both"/>
        <w:rPr>
          <w:rFonts w:ascii="Arial" w:hAnsi="Arial" w:cs="Arial"/>
          <w:bCs/>
          <w:sz w:val="20"/>
          <w:szCs w:val="20"/>
        </w:rPr>
      </w:pPr>
      <w:r w:rsidRPr="00AE2367">
        <w:rPr>
          <w:rFonts w:ascii="Arial" w:hAnsi="Arial" w:cs="Arial"/>
          <w:bCs/>
          <w:sz w:val="20"/>
          <w:szCs w:val="20"/>
        </w:rPr>
        <w:t>Reyes, P. P. (2016). Profile of boarding houses of students of the Kalinga-Apayao state college. </w:t>
      </w:r>
      <w:r w:rsidRPr="00AE2367">
        <w:rPr>
          <w:rFonts w:ascii="Arial" w:hAnsi="Arial" w:cs="Arial"/>
          <w:bCs/>
          <w:i/>
          <w:iCs/>
          <w:sz w:val="20"/>
          <w:szCs w:val="20"/>
        </w:rPr>
        <w:t>International Journal of Advanced Research in Management and Social Sciences</w:t>
      </w:r>
      <w:r w:rsidRPr="00AE2367">
        <w:rPr>
          <w:rFonts w:ascii="Arial" w:hAnsi="Arial" w:cs="Arial"/>
          <w:bCs/>
          <w:sz w:val="20"/>
          <w:szCs w:val="20"/>
        </w:rPr>
        <w:t>, </w:t>
      </w:r>
      <w:r w:rsidRPr="00AE2367">
        <w:rPr>
          <w:rFonts w:ascii="Arial" w:hAnsi="Arial" w:cs="Arial"/>
          <w:bCs/>
          <w:i/>
          <w:iCs/>
          <w:sz w:val="20"/>
          <w:szCs w:val="20"/>
        </w:rPr>
        <w:t>5</w:t>
      </w:r>
      <w:r w:rsidRPr="00AE2367">
        <w:rPr>
          <w:rFonts w:ascii="Arial" w:hAnsi="Arial" w:cs="Arial"/>
          <w:bCs/>
          <w:sz w:val="20"/>
          <w:szCs w:val="20"/>
        </w:rPr>
        <w:t>(6), 1-14.</w:t>
      </w:r>
    </w:p>
    <w:p w14:paraId="7B664147"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Sowmya, D. S., &amp; Anokha, V. (2025). Maslow's Hierarchy of Needs. In </w:t>
      </w:r>
      <w:r w:rsidRPr="00AE2367">
        <w:rPr>
          <w:rFonts w:ascii="Arial" w:hAnsi="Arial" w:cs="Arial"/>
          <w:bCs/>
          <w:i/>
          <w:iCs/>
          <w:sz w:val="20"/>
          <w:szCs w:val="20"/>
        </w:rPr>
        <w:t>Coaching in Communication Research</w:t>
      </w:r>
      <w:r w:rsidRPr="00AE2367">
        <w:rPr>
          <w:rFonts w:ascii="Arial" w:hAnsi="Arial" w:cs="Arial"/>
          <w:bCs/>
          <w:sz w:val="20"/>
          <w:szCs w:val="20"/>
        </w:rPr>
        <w:t> (pp. 117-140). IGI Global Scientific Publishing.</w:t>
      </w:r>
    </w:p>
    <w:p w14:paraId="1CE34C9D" w14:textId="77777777" w:rsidR="00AE2367" w:rsidRPr="00AE2367" w:rsidRDefault="00AE2367" w:rsidP="00AE2367">
      <w:pPr>
        <w:pStyle w:val="ListParagraph"/>
        <w:spacing w:after="240" w:line="259" w:lineRule="auto"/>
        <w:contextualSpacing/>
        <w:jc w:val="both"/>
        <w:rPr>
          <w:rFonts w:ascii="Arial" w:hAnsi="Arial" w:cs="Arial"/>
          <w:bCs/>
          <w:sz w:val="20"/>
          <w:szCs w:val="20"/>
        </w:rPr>
      </w:pPr>
    </w:p>
    <w:p w14:paraId="56FED469"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Waheed, S. A., Gilani, N., Raza, M., &amp; Sharif, S. (2022). Understanding Students' Experiences of Lived Space in Schools: A Phenomenological Perspective. </w:t>
      </w:r>
      <w:r w:rsidRPr="00AE2367">
        <w:rPr>
          <w:rFonts w:ascii="Arial" w:hAnsi="Arial" w:cs="Arial"/>
          <w:bCs/>
          <w:i/>
          <w:iCs/>
          <w:sz w:val="20"/>
          <w:szCs w:val="20"/>
        </w:rPr>
        <w:t>Journal of Research and Reviews in Social Sciences Pakistan</w:t>
      </w:r>
      <w:r w:rsidRPr="00AE2367">
        <w:rPr>
          <w:rFonts w:ascii="Arial" w:hAnsi="Arial" w:cs="Arial"/>
          <w:bCs/>
          <w:sz w:val="20"/>
          <w:szCs w:val="20"/>
        </w:rPr>
        <w:t>, </w:t>
      </w:r>
      <w:r w:rsidRPr="00AE2367">
        <w:rPr>
          <w:rFonts w:ascii="Arial" w:hAnsi="Arial" w:cs="Arial"/>
          <w:bCs/>
          <w:i/>
          <w:iCs/>
          <w:sz w:val="20"/>
          <w:szCs w:val="20"/>
        </w:rPr>
        <w:t>5</w:t>
      </w:r>
      <w:r w:rsidRPr="00AE2367">
        <w:rPr>
          <w:rFonts w:ascii="Arial" w:hAnsi="Arial" w:cs="Arial"/>
          <w:bCs/>
          <w:sz w:val="20"/>
          <w:szCs w:val="20"/>
        </w:rPr>
        <w:t>(2), 1764-1776.</w:t>
      </w:r>
    </w:p>
    <w:p w14:paraId="0927B4E3" w14:textId="77777777" w:rsidR="00AE2367" w:rsidRPr="00AE2367" w:rsidRDefault="00AE2367" w:rsidP="00AE2367">
      <w:pPr>
        <w:pStyle w:val="ListParagraph"/>
        <w:spacing w:after="240" w:line="259" w:lineRule="auto"/>
        <w:contextualSpacing/>
        <w:jc w:val="both"/>
        <w:rPr>
          <w:rFonts w:ascii="Arial" w:hAnsi="Arial" w:cs="Arial"/>
          <w:bCs/>
          <w:sz w:val="20"/>
          <w:szCs w:val="20"/>
        </w:rPr>
      </w:pPr>
    </w:p>
    <w:p w14:paraId="53531BCA" w14:textId="77777777" w:rsidR="00AE2367" w:rsidRPr="00AE2367" w:rsidRDefault="00AE2367" w:rsidP="00AE2367">
      <w:pPr>
        <w:pStyle w:val="ListParagraph"/>
        <w:numPr>
          <w:ilvl w:val="0"/>
          <w:numId w:val="37"/>
        </w:numPr>
        <w:spacing w:after="240" w:line="259" w:lineRule="auto"/>
        <w:contextualSpacing/>
        <w:jc w:val="both"/>
        <w:rPr>
          <w:rFonts w:ascii="Arial" w:hAnsi="Arial" w:cs="Arial"/>
          <w:bCs/>
          <w:sz w:val="20"/>
          <w:szCs w:val="20"/>
        </w:rPr>
      </w:pPr>
      <w:r w:rsidRPr="00AE2367">
        <w:rPr>
          <w:rFonts w:ascii="Arial" w:hAnsi="Arial" w:cs="Arial"/>
          <w:bCs/>
          <w:sz w:val="20"/>
          <w:szCs w:val="20"/>
        </w:rPr>
        <w:t>Ying, B. O. N. G., Kamarazaly, M. A., Ibrahim, F. I., &amp; Harun, H. (2023). Living in off-campus student housing: Analysis on the satisfaction level related to environmental and physical aspects. </w:t>
      </w:r>
      <w:r w:rsidRPr="00AE2367">
        <w:rPr>
          <w:rFonts w:ascii="Arial" w:hAnsi="Arial" w:cs="Arial"/>
          <w:bCs/>
          <w:i/>
          <w:iCs/>
          <w:sz w:val="20"/>
          <w:szCs w:val="20"/>
        </w:rPr>
        <w:t>Journal of Engineering Science and Technology S</w:t>
      </w:r>
      <w:r w:rsidRPr="00AE2367">
        <w:rPr>
          <w:rFonts w:ascii="Arial" w:hAnsi="Arial" w:cs="Arial"/>
          <w:bCs/>
          <w:sz w:val="20"/>
          <w:szCs w:val="20"/>
        </w:rPr>
        <w:t>, </w:t>
      </w:r>
      <w:r w:rsidRPr="00AE2367">
        <w:rPr>
          <w:rFonts w:ascii="Arial" w:hAnsi="Arial" w:cs="Arial"/>
          <w:bCs/>
          <w:i/>
          <w:iCs/>
          <w:sz w:val="20"/>
          <w:szCs w:val="20"/>
        </w:rPr>
        <w:t>4</w:t>
      </w:r>
      <w:r w:rsidRPr="00AE2367">
        <w:rPr>
          <w:rFonts w:ascii="Arial" w:hAnsi="Arial" w:cs="Arial"/>
          <w:bCs/>
          <w:sz w:val="20"/>
          <w:szCs w:val="20"/>
        </w:rPr>
        <w:t>, 156-164.</w:t>
      </w:r>
    </w:p>
    <w:p w14:paraId="7DBFF632" w14:textId="77777777" w:rsidR="00790ADA" w:rsidRPr="00FB3A86" w:rsidRDefault="00790ADA" w:rsidP="00441B6F">
      <w:pPr>
        <w:pStyle w:val="Body"/>
        <w:spacing w:after="0"/>
        <w:rPr>
          <w:rFonts w:ascii="Arial" w:hAnsi="Arial" w:cs="Arial"/>
        </w:rPr>
      </w:pPr>
    </w:p>
    <w:p w14:paraId="4854DD6A" w14:textId="5702F357" w:rsidR="004D4277" w:rsidRPr="00FB3A86" w:rsidRDefault="004D4277" w:rsidP="00441B6F">
      <w:pPr>
        <w:pStyle w:val="Appendix"/>
        <w:spacing w:after="0"/>
        <w:jc w:val="both"/>
        <w:rPr>
          <w:rFonts w:ascii="Arial" w:hAnsi="Arial" w:cs="Arial"/>
          <w:b w:val="0"/>
        </w:rPr>
        <w:sectPr w:rsidR="004D4277" w:rsidRPr="00FB3A86" w:rsidSect="0018238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7ABF1215" w14:textId="77777777" w:rsidR="00B01FCD" w:rsidRPr="00FB3A86" w:rsidRDefault="00B01FCD" w:rsidP="00441B6F">
      <w:pPr>
        <w:pStyle w:val="Appendix"/>
        <w:spacing w:after="0"/>
        <w:jc w:val="both"/>
        <w:rPr>
          <w:rFonts w:ascii="Arial" w:hAnsi="Arial" w:cs="Arial"/>
          <w:b w:val="0"/>
        </w:rPr>
      </w:pPr>
    </w:p>
    <w:sectPr w:rsidR="00B01FCD" w:rsidRPr="00FB3A86" w:rsidSect="0018238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CDEB" w14:textId="77777777" w:rsidR="00C15B3C" w:rsidRDefault="00C15B3C" w:rsidP="00C37E61">
      <w:r>
        <w:separator/>
      </w:r>
    </w:p>
  </w:endnote>
  <w:endnote w:type="continuationSeparator" w:id="0">
    <w:p w14:paraId="521B9415" w14:textId="77777777" w:rsidR="00C15B3C" w:rsidRDefault="00C15B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4751" w14:textId="77777777" w:rsidR="00182387" w:rsidRDefault="00182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0C10" w14:textId="77777777" w:rsidR="00182387" w:rsidRDefault="00182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79D9" w14:textId="1EE732D3" w:rsidR="00754C9A" w:rsidRPr="00182387" w:rsidRDefault="00754C9A" w:rsidP="001823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AB7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53C5" w14:textId="77777777" w:rsidR="00C15B3C" w:rsidRDefault="00C15B3C" w:rsidP="00C37E61">
      <w:r>
        <w:separator/>
      </w:r>
    </w:p>
  </w:footnote>
  <w:footnote w:type="continuationSeparator" w:id="0">
    <w:p w14:paraId="4267F561" w14:textId="77777777" w:rsidR="00C15B3C" w:rsidRDefault="00C15B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E82C" w14:textId="288C0334" w:rsidR="00182387" w:rsidRDefault="00000000">
    <w:pPr>
      <w:pStyle w:val="Header"/>
    </w:pPr>
    <w:r>
      <w:rPr>
        <w:noProof/>
      </w:rPr>
      <w:pict w14:anchorId="5C2F9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82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D814" w14:textId="39D37817" w:rsidR="00182387" w:rsidRDefault="00000000">
    <w:pPr>
      <w:pStyle w:val="Header"/>
    </w:pPr>
    <w:r>
      <w:rPr>
        <w:noProof/>
      </w:rPr>
      <w:pict w14:anchorId="24BE7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82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FACA" w14:textId="7127F2F7" w:rsidR="00296529" w:rsidRPr="00296529" w:rsidRDefault="00000000" w:rsidP="00296529">
    <w:pPr>
      <w:ind w:left="2160"/>
      <w:jc w:val="center"/>
      <w:rPr>
        <w:rFonts w:ascii="Times New Roman" w:eastAsia="Calibri" w:hAnsi="Times New Roman"/>
        <w:i/>
        <w:sz w:val="18"/>
        <w:szCs w:val="22"/>
      </w:rPr>
    </w:pPr>
    <w:r>
      <w:rPr>
        <w:noProof/>
      </w:rPr>
      <w:pict w14:anchorId="293F0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82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40ECB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C6712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EF36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FEAD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54B3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6774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7AA5" w14:textId="49808797" w:rsidR="00182387" w:rsidRDefault="00000000">
    <w:pPr>
      <w:pStyle w:val="Header"/>
    </w:pPr>
    <w:r>
      <w:rPr>
        <w:noProof/>
      </w:rPr>
      <w:pict w14:anchorId="1FACF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82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4ABD" w14:textId="6194A768" w:rsidR="00182387" w:rsidRDefault="00000000">
    <w:pPr>
      <w:pStyle w:val="Header"/>
    </w:pPr>
    <w:r>
      <w:rPr>
        <w:noProof/>
      </w:rPr>
      <w:pict w14:anchorId="42A57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82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C89E" w14:textId="333DBB22" w:rsidR="00182387" w:rsidRDefault="00000000">
    <w:pPr>
      <w:pStyle w:val="Header"/>
    </w:pPr>
    <w:r>
      <w:rPr>
        <w:noProof/>
      </w:rPr>
      <w:pict w14:anchorId="72293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7182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273A59"/>
    <w:multiLevelType w:val="multilevel"/>
    <w:tmpl w:val="6128B44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BC69BF"/>
    <w:multiLevelType w:val="hybridMultilevel"/>
    <w:tmpl w:val="ADFAC0B4"/>
    <w:lvl w:ilvl="0" w:tplc="44944482">
      <w:start w:val="1"/>
      <w:numFmt w:val="upperRoman"/>
      <w:lvlText w:val="%1."/>
      <w:lvlJc w:val="left"/>
      <w:pPr>
        <w:ind w:left="1080" w:hanging="720"/>
      </w:pPr>
      <w:rPr>
        <w:rFonts w:cs="Times New Roman"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B90425"/>
    <w:multiLevelType w:val="hybridMultilevel"/>
    <w:tmpl w:val="81EA4B9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44BA6833"/>
    <w:multiLevelType w:val="hybridMultilevel"/>
    <w:tmpl w:val="EA5C7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4909E1"/>
    <w:multiLevelType w:val="hybridMultilevel"/>
    <w:tmpl w:val="EA5C7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6531229"/>
    <w:multiLevelType w:val="hybridMultilevel"/>
    <w:tmpl w:val="EA5C7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655C57"/>
    <w:multiLevelType w:val="hybridMultilevel"/>
    <w:tmpl w:val="5DF024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454192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36443557">
    <w:abstractNumId w:val="19"/>
  </w:num>
  <w:num w:numId="3" w16cid:durableId="854467354">
    <w:abstractNumId w:val="28"/>
  </w:num>
  <w:num w:numId="4" w16cid:durableId="25817559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06372708">
    <w:abstractNumId w:val="8"/>
  </w:num>
  <w:num w:numId="6" w16cid:durableId="641236032">
    <w:abstractNumId w:val="7"/>
  </w:num>
  <w:num w:numId="7" w16cid:durableId="1014765116">
    <w:abstractNumId w:val="1"/>
  </w:num>
  <w:num w:numId="8" w16cid:durableId="1904871298">
    <w:abstractNumId w:val="14"/>
  </w:num>
  <w:num w:numId="9" w16cid:durableId="497620322">
    <w:abstractNumId w:val="32"/>
  </w:num>
  <w:num w:numId="10" w16cid:durableId="1870297250">
    <w:abstractNumId w:val="2"/>
  </w:num>
  <w:num w:numId="11" w16cid:durableId="1651130565">
    <w:abstractNumId w:val="22"/>
  </w:num>
  <w:num w:numId="12" w16cid:durableId="710501013">
    <w:abstractNumId w:val="3"/>
  </w:num>
  <w:num w:numId="13" w16cid:durableId="2101632603">
    <w:abstractNumId w:val="21"/>
  </w:num>
  <w:num w:numId="14" w16cid:durableId="1278677206">
    <w:abstractNumId w:val="9"/>
  </w:num>
  <w:num w:numId="15" w16cid:durableId="176891117">
    <w:abstractNumId w:val="26"/>
  </w:num>
  <w:num w:numId="16" w16cid:durableId="94249288">
    <w:abstractNumId w:val="5"/>
  </w:num>
  <w:num w:numId="17" w16cid:durableId="1967076474">
    <w:abstractNumId w:val="27"/>
  </w:num>
  <w:num w:numId="18" w16cid:durableId="204489852">
    <w:abstractNumId w:val="16"/>
  </w:num>
  <w:num w:numId="19" w16cid:durableId="2083214385">
    <w:abstractNumId w:val="35"/>
  </w:num>
  <w:num w:numId="20" w16cid:durableId="1306885653">
    <w:abstractNumId w:val="12"/>
  </w:num>
  <w:num w:numId="21" w16cid:durableId="1016737600">
    <w:abstractNumId w:val="10"/>
  </w:num>
  <w:num w:numId="22" w16cid:durableId="1479691376">
    <w:abstractNumId w:val="15"/>
  </w:num>
  <w:num w:numId="23" w16cid:durableId="97650334">
    <w:abstractNumId w:val="23"/>
  </w:num>
  <w:num w:numId="24" w16cid:durableId="907496462">
    <w:abstractNumId w:val="33"/>
  </w:num>
  <w:num w:numId="25" w16cid:durableId="481653617">
    <w:abstractNumId w:val="4"/>
  </w:num>
  <w:num w:numId="26" w16cid:durableId="1705472402">
    <w:abstractNumId w:val="20"/>
  </w:num>
  <w:num w:numId="27" w16cid:durableId="2077587648">
    <w:abstractNumId w:val="24"/>
  </w:num>
  <w:num w:numId="28" w16cid:durableId="1632515422">
    <w:abstractNumId w:val="34"/>
  </w:num>
  <w:num w:numId="29" w16cid:durableId="839389693">
    <w:abstractNumId w:val="31"/>
  </w:num>
  <w:num w:numId="30" w16cid:durableId="1818455930">
    <w:abstractNumId w:val="11"/>
  </w:num>
  <w:num w:numId="31" w16cid:durableId="91127079">
    <w:abstractNumId w:val="13"/>
  </w:num>
  <w:num w:numId="32" w16cid:durableId="1409765214">
    <w:abstractNumId w:val="29"/>
  </w:num>
  <w:num w:numId="33" w16cid:durableId="541865446">
    <w:abstractNumId w:val="18"/>
  </w:num>
  <w:num w:numId="34" w16cid:durableId="1037663114">
    <w:abstractNumId w:val="25"/>
  </w:num>
  <w:num w:numId="35" w16cid:durableId="210921089">
    <w:abstractNumId w:val="17"/>
  </w:num>
  <w:num w:numId="36" w16cid:durableId="486173159">
    <w:abstractNumId w:val="6"/>
  </w:num>
  <w:num w:numId="37" w16cid:durableId="19243397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5E26"/>
    <w:rsid w:val="000D689F"/>
    <w:rsid w:val="000E7B7B"/>
    <w:rsid w:val="000E7D62"/>
    <w:rsid w:val="00103357"/>
    <w:rsid w:val="00123C9F"/>
    <w:rsid w:val="00126190"/>
    <w:rsid w:val="00130F17"/>
    <w:rsid w:val="001320BF"/>
    <w:rsid w:val="00163BC4"/>
    <w:rsid w:val="00171222"/>
    <w:rsid w:val="0018238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226A"/>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51EB"/>
    <w:rsid w:val="0043537A"/>
    <w:rsid w:val="00440F43"/>
    <w:rsid w:val="00441B6F"/>
    <w:rsid w:val="00446221"/>
    <w:rsid w:val="00450E62"/>
    <w:rsid w:val="004539DB"/>
    <w:rsid w:val="00471A80"/>
    <w:rsid w:val="004A42C7"/>
    <w:rsid w:val="004B2437"/>
    <w:rsid w:val="004D305E"/>
    <w:rsid w:val="004D4277"/>
    <w:rsid w:val="00502516"/>
    <w:rsid w:val="00505F06"/>
    <w:rsid w:val="00506828"/>
    <w:rsid w:val="0053056E"/>
    <w:rsid w:val="00554FDA"/>
    <w:rsid w:val="005B3D86"/>
    <w:rsid w:val="005C784C"/>
    <w:rsid w:val="005D17F6"/>
    <w:rsid w:val="005E53B2"/>
    <w:rsid w:val="005E5539"/>
    <w:rsid w:val="00602BF5"/>
    <w:rsid w:val="00612873"/>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09E0"/>
    <w:rsid w:val="007D2288"/>
    <w:rsid w:val="007E088F"/>
    <w:rsid w:val="007F7B32"/>
    <w:rsid w:val="00804BC2"/>
    <w:rsid w:val="0081431A"/>
    <w:rsid w:val="00824DD3"/>
    <w:rsid w:val="0083216F"/>
    <w:rsid w:val="0085327A"/>
    <w:rsid w:val="00860000"/>
    <w:rsid w:val="00863BD3"/>
    <w:rsid w:val="008641ED"/>
    <w:rsid w:val="00866D66"/>
    <w:rsid w:val="008671C6"/>
    <w:rsid w:val="00875803"/>
    <w:rsid w:val="008B459E"/>
    <w:rsid w:val="008E13AE"/>
    <w:rsid w:val="008E1506"/>
    <w:rsid w:val="008E710C"/>
    <w:rsid w:val="008F4D77"/>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3B6F"/>
    <w:rsid w:val="00A03B96"/>
    <w:rsid w:val="00A05B19"/>
    <w:rsid w:val="00A1134E"/>
    <w:rsid w:val="00A24E7E"/>
    <w:rsid w:val="00A258C3"/>
    <w:rsid w:val="00A33EDC"/>
    <w:rsid w:val="00A347C0"/>
    <w:rsid w:val="00A51431"/>
    <w:rsid w:val="00A539AD"/>
    <w:rsid w:val="00A86954"/>
    <w:rsid w:val="00A94063"/>
    <w:rsid w:val="00AA6219"/>
    <w:rsid w:val="00AA74E0"/>
    <w:rsid w:val="00AB703F"/>
    <w:rsid w:val="00AC6BB8"/>
    <w:rsid w:val="00AE008F"/>
    <w:rsid w:val="00AE2367"/>
    <w:rsid w:val="00B01FCD"/>
    <w:rsid w:val="00B1776C"/>
    <w:rsid w:val="00B52583"/>
    <w:rsid w:val="00B52896"/>
    <w:rsid w:val="00B95236"/>
    <w:rsid w:val="00B96BD9"/>
    <w:rsid w:val="00BA1B01"/>
    <w:rsid w:val="00BA2641"/>
    <w:rsid w:val="00BB37AA"/>
    <w:rsid w:val="00BC53A0"/>
    <w:rsid w:val="00BE62AD"/>
    <w:rsid w:val="00BF121F"/>
    <w:rsid w:val="00BF1F80"/>
    <w:rsid w:val="00C15B3C"/>
    <w:rsid w:val="00C166EF"/>
    <w:rsid w:val="00C17EB0"/>
    <w:rsid w:val="00C22745"/>
    <w:rsid w:val="00C27F5F"/>
    <w:rsid w:val="00C30A0F"/>
    <w:rsid w:val="00C37E61"/>
    <w:rsid w:val="00C70F1B"/>
    <w:rsid w:val="00C71A47"/>
    <w:rsid w:val="00C7464C"/>
    <w:rsid w:val="00C85588"/>
    <w:rsid w:val="00C941A9"/>
    <w:rsid w:val="00CB068F"/>
    <w:rsid w:val="00CD6755"/>
    <w:rsid w:val="00CD6856"/>
    <w:rsid w:val="00CE0089"/>
    <w:rsid w:val="00CE793C"/>
    <w:rsid w:val="00CF193C"/>
    <w:rsid w:val="00D03295"/>
    <w:rsid w:val="00D173F1"/>
    <w:rsid w:val="00D35EC8"/>
    <w:rsid w:val="00D74CB0"/>
    <w:rsid w:val="00D8295D"/>
    <w:rsid w:val="00DC2A65"/>
    <w:rsid w:val="00DD7FB6"/>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49CE"/>
    <w:rsid w:val="00F469F0"/>
    <w:rsid w:val="00F524F9"/>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1" type="connector" idref="#_x0000_s2053"/>
      </o:rules>
    </o:shapelayout>
  </w:shapeDefaults>
  <w:decimalSymbol w:val="."/>
  <w:listSeparator w:val=","/>
  <w14:docId w14:val="2A91E7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0C5E26"/>
    <w:rPr>
      <w:rFonts w:ascii="Calibri" w:eastAsia="Calibri" w:hAnsi="Calibri"/>
      <w:sz w:val="22"/>
      <w:szCs w:val="22"/>
      <w:lang w:val="en-PH"/>
    </w:rPr>
  </w:style>
  <w:style w:type="character" w:customStyle="1" w:styleId="NoSpacingChar">
    <w:name w:val="No Spacing Char"/>
    <w:link w:val="NoSpacing"/>
    <w:uiPriority w:val="1"/>
    <w:qFormat/>
    <w:rsid w:val="000C5E26"/>
    <w:rPr>
      <w:rFonts w:ascii="Calibri" w:eastAsia="Calibri" w:hAnsi="Calibri"/>
      <w:sz w:val="22"/>
      <w:szCs w:val="22"/>
      <w:lang w:val="en-PH"/>
    </w:rPr>
  </w:style>
  <w:style w:type="paragraph" w:styleId="ListParagraph">
    <w:name w:val="List Paragraph"/>
    <w:basedOn w:val="Normal"/>
    <w:link w:val="ListParagraphChar"/>
    <w:uiPriority w:val="34"/>
    <w:qFormat/>
    <w:rsid w:val="000C5E26"/>
    <w:pPr>
      <w:ind w:left="720"/>
    </w:pPr>
    <w:rPr>
      <w:rFonts w:ascii="Times New Roman" w:hAnsi="Times New Roman"/>
      <w:sz w:val="24"/>
      <w:szCs w:val="24"/>
    </w:rPr>
  </w:style>
  <w:style w:type="character" w:customStyle="1" w:styleId="ListParagraphChar">
    <w:name w:val="List Paragraph Char"/>
    <w:link w:val="ListParagraph"/>
    <w:uiPriority w:val="34"/>
    <w:locked/>
    <w:rsid w:val="000C5E26"/>
    <w:rPr>
      <w:sz w:val="24"/>
      <w:szCs w:val="24"/>
    </w:rPr>
  </w:style>
  <w:style w:type="character" w:styleId="Strong">
    <w:name w:val="Strong"/>
    <w:basedOn w:val="DefaultParagraphFont"/>
    <w:uiPriority w:val="22"/>
    <w:qFormat/>
    <w:rsid w:val="006128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5281/zenodo.1406147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093C-025E-4F43-9A2E-A3BC20AE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123</TotalTime>
  <Pages>10</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20</cp:revision>
  <cp:lastPrinted>1999-07-06T11:00:00Z</cp:lastPrinted>
  <dcterms:created xsi:type="dcterms:W3CDTF">2014-10-25T14:34:00Z</dcterms:created>
  <dcterms:modified xsi:type="dcterms:W3CDTF">2025-10-29T08:06:00Z</dcterms:modified>
</cp:coreProperties>
</file>