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C3F2A" w14:textId="2D26DCDB" w:rsidR="00AF522A" w:rsidRPr="00AF522A" w:rsidRDefault="00AF522A" w:rsidP="00290426">
      <w:pPr>
        <w:widowControl w:val="0"/>
        <w:spacing w:before="120" w:after="120" w:line="24" w:lineRule="atLeast"/>
        <w:rPr>
          <w:rFonts w:asciiTheme="majorHAnsi" w:hAnsiTheme="majorHAnsi" w:cstheme="majorHAnsi"/>
          <w:b/>
          <w:szCs w:val="28"/>
          <w:u w:val="single"/>
          <w:lang w:val="de-DE"/>
        </w:rPr>
      </w:pPr>
      <w:r w:rsidRPr="00AF522A">
        <w:rPr>
          <w:rFonts w:asciiTheme="majorHAnsi" w:hAnsiTheme="majorHAnsi" w:cstheme="majorHAnsi"/>
          <w:b/>
          <w:szCs w:val="28"/>
          <w:u w:val="single"/>
          <w:lang w:val="de-DE"/>
        </w:rPr>
        <w:t>Short Research Article</w:t>
      </w:r>
    </w:p>
    <w:p w14:paraId="3E6D3678" w14:textId="19758000" w:rsidR="00DE19D5" w:rsidRPr="003E57BB" w:rsidRDefault="0000445E" w:rsidP="001E7717">
      <w:pPr>
        <w:widowControl w:val="0"/>
        <w:spacing w:before="120" w:after="120" w:line="24" w:lineRule="atLeast"/>
        <w:jc w:val="left"/>
        <w:rPr>
          <w:rFonts w:asciiTheme="majorHAnsi" w:hAnsiTheme="majorHAnsi" w:cstheme="majorHAnsi"/>
          <w:szCs w:val="28"/>
          <w:lang w:val="de-DE"/>
        </w:rPr>
      </w:pPr>
      <w:r w:rsidRPr="003E57BB">
        <w:rPr>
          <w:rFonts w:asciiTheme="majorHAnsi" w:hAnsiTheme="majorHAnsi" w:cstheme="majorHAnsi"/>
          <w:b/>
          <w:szCs w:val="28"/>
          <w:lang w:val="de-DE"/>
        </w:rPr>
        <w:t>ECONOMIC SECURITY AND INCOME OF ETHNIC MINORITY COMMUNITIES IN A SOUTHEAST ASIAN NATION: A SUSTAINABLE DEVELOPMENT PERSPECTIVE</w:t>
      </w:r>
    </w:p>
    <w:p w14:paraId="1C41B439" w14:textId="7FC32978" w:rsidR="000215AF" w:rsidRDefault="000215AF" w:rsidP="005860CF">
      <w:pPr>
        <w:widowControl w:val="0"/>
        <w:spacing w:before="120" w:after="120" w:line="24" w:lineRule="atLeast"/>
        <w:rPr>
          <w:rFonts w:asciiTheme="majorHAnsi" w:hAnsiTheme="majorHAnsi" w:cstheme="majorHAnsi"/>
          <w:szCs w:val="28"/>
          <w:lang w:val="de-DE"/>
        </w:rPr>
      </w:pPr>
      <w:bookmarkStart w:id="0" w:name="_GoBack"/>
      <w:bookmarkEnd w:id="0"/>
    </w:p>
    <w:p w14:paraId="7D1AD4F4" w14:textId="77777777" w:rsidR="004F62B4" w:rsidRPr="008C0556" w:rsidRDefault="004F62B4" w:rsidP="005860CF">
      <w:pPr>
        <w:widowControl w:val="0"/>
        <w:spacing w:before="120" w:after="120" w:line="24" w:lineRule="atLeast"/>
        <w:rPr>
          <w:rFonts w:asciiTheme="majorHAnsi" w:hAnsiTheme="majorHAnsi" w:cstheme="majorHAnsi"/>
          <w:szCs w:val="28"/>
          <w:lang w:val="de-DE"/>
        </w:rPr>
      </w:pPr>
    </w:p>
    <w:p w14:paraId="4BD4541E" w14:textId="19004034" w:rsidR="00414CBD" w:rsidRPr="008C0556" w:rsidRDefault="0000445E" w:rsidP="00290426">
      <w:pPr>
        <w:widowControl w:val="0"/>
        <w:spacing w:before="120" w:after="120" w:line="24" w:lineRule="atLeast"/>
        <w:rPr>
          <w:rFonts w:asciiTheme="majorHAnsi" w:hAnsiTheme="majorHAnsi" w:cstheme="majorHAnsi"/>
          <w:b/>
          <w:szCs w:val="28"/>
          <w:lang w:val="de-DE"/>
        </w:rPr>
      </w:pPr>
      <w:r w:rsidRPr="008C0556">
        <w:rPr>
          <w:rFonts w:asciiTheme="majorHAnsi" w:hAnsiTheme="majorHAnsi" w:cstheme="majorHAnsi"/>
          <w:b/>
          <w:szCs w:val="28"/>
          <w:lang w:val="de-DE"/>
        </w:rPr>
        <w:t>Abstract</w:t>
      </w:r>
    </w:p>
    <w:p w14:paraId="1D0044CC" w14:textId="403BC915" w:rsidR="00C35864" w:rsidRDefault="00C35864" w:rsidP="001A29C6">
      <w:pPr>
        <w:widowControl w:val="0"/>
        <w:spacing w:before="120" w:after="120" w:line="24" w:lineRule="atLeast"/>
        <w:rPr>
          <w:rFonts w:asciiTheme="majorHAnsi" w:hAnsiTheme="majorHAnsi" w:cstheme="majorHAnsi"/>
          <w:szCs w:val="28"/>
          <w:lang w:val="de-DE"/>
        </w:rPr>
      </w:pPr>
      <w:r w:rsidRPr="00C35864">
        <w:rPr>
          <w:rFonts w:asciiTheme="majorHAnsi" w:hAnsiTheme="majorHAnsi" w:cstheme="majorHAnsi"/>
          <w:szCs w:val="28"/>
          <w:lang w:val="de-DE"/>
        </w:rPr>
        <w:t>This study investigates economic security through the lens of income among ethnic minority communities in the northern highlands of Vietnam, focusing on the Tay and Hmong groups. These groups have historically faced lower income levels, limited access to resources, and structural barriers in the labor market, making them a critical population for assessing economic security and tracking changes over time. Adopting a quantitative approach, the research employs multiple linear regression models (Model 1: overall sample; Model 2: ethnic-specific sub-samples) to examine three key dimensions—capability, efficiency, and sustainability—and identify factors shaping household income. Survey data from 280 respondents were analyzed using t-tests and ordinary least squares (OLS) regression in Stata to estimate the effects of demographic, capability, and sustainability variables on income. Results reveal that language proficiency in both national and foreign languages strongly enhances income, highlighting the role of human capital as a driver of economic security. Cultivated land area contributes positively to income for the Tay, reflecting the importance of natural resource access and productive utilization. Participation in workplace decision-making also correlates with higher income, emphasizing the economic value of participatory governance. Conversely, longer tenure in the same job is associated with lower income, revealing structural constraints and limited opportunities for skill upgrading in rural labor markets. The findings underscore that education level alone does not guarantee higher income, while living standards provide an enabling environment for better economic outcomes. Policy implications focus on developing targeted language programs, promoting inclusive decision-making, supporting continuous skill development, and tailoring agricultural and land-use policies to reduce disparities among ethnic groups. Overall, the study highlights the interplay between individual capabilities and structural factors in securing sustainable livelihoods and offers evidence-based insights for promoting equitable development among Vietnam’s national minorities.</w:t>
      </w:r>
    </w:p>
    <w:p w14:paraId="387A08A8" w14:textId="0895A824" w:rsidR="0000445E" w:rsidRPr="008C0556" w:rsidRDefault="0000445E" w:rsidP="001A29C6">
      <w:pPr>
        <w:widowControl w:val="0"/>
        <w:spacing w:before="120" w:after="120" w:line="24" w:lineRule="atLeast"/>
        <w:rPr>
          <w:rFonts w:asciiTheme="majorHAnsi" w:hAnsiTheme="majorHAnsi" w:cstheme="majorHAnsi"/>
          <w:szCs w:val="28"/>
          <w:lang w:val="de-DE"/>
        </w:rPr>
      </w:pPr>
      <w:r w:rsidRPr="008C0556">
        <w:rPr>
          <w:rFonts w:asciiTheme="majorHAnsi" w:hAnsiTheme="majorHAnsi" w:cstheme="majorHAnsi"/>
          <w:szCs w:val="28"/>
          <w:lang w:val="de-DE"/>
        </w:rPr>
        <w:t>Keywords: Economic security; Income; Ethnic minorities; Sustainable development; Southeast Asia</w:t>
      </w:r>
    </w:p>
    <w:p w14:paraId="0538CB93" w14:textId="77777777" w:rsidR="0000445E" w:rsidRPr="008C0556" w:rsidRDefault="0000445E" w:rsidP="001A29C6">
      <w:pPr>
        <w:widowControl w:val="0"/>
        <w:spacing w:before="120" w:after="120" w:line="24" w:lineRule="atLeast"/>
        <w:rPr>
          <w:rFonts w:asciiTheme="majorHAnsi" w:hAnsiTheme="majorHAnsi" w:cstheme="majorHAnsi"/>
          <w:szCs w:val="28"/>
          <w:lang w:val="de-DE"/>
        </w:rPr>
      </w:pPr>
    </w:p>
    <w:p w14:paraId="2B627102" w14:textId="18D54A79" w:rsidR="00EF7BFD" w:rsidRPr="008C0556" w:rsidRDefault="00341120" w:rsidP="0008539E">
      <w:pPr>
        <w:spacing w:line="480" w:lineRule="auto"/>
        <w:rPr>
          <w:rFonts w:asciiTheme="majorHAnsi" w:hAnsiTheme="majorHAnsi" w:cstheme="majorHAnsi"/>
          <w:b/>
          <w:szCs w:val="28"/>
          <w:lang w:val="de-DE"/>
        </w:rPr>
      </w:pPr>
      <w:r>
        <w:rPr>
          <w:rFonts w:asciiTheme="majorHAnsi" w:hAnsiTheme="majorHAnsi" w:cstheme="majorHAnsi"/>
          <w:b/>
          <w:szCs w:val="28"/>
          <w:lang w:val="de-DE"/>
        </w:rPr>
        <w:t xml:space="preserve">1. </w:t>
      </w:r>
      <w:r w:rsidR="0000445E" w:rsidRPr="008C0556">
        <w:rPr>
          <w:rFonts w:asciiTheme="majorHAnsi" w:hAnsiTheme="majorHAnsi" w:cstheme="majorHAnsi"/>
          <w:b/>
          <w:szCs w:val="28"/>
          <w:lang w:val="de-DE"/>
        </w:rPr>
        <w:t>INTRODUCTION</w:t>
      </w:r>
    </w:p>
    <w:p w14:paraId="551C9602" w14:textId="1CDF2546" w:rsidR="001C0332" w:rsidRPr="008C0556" w:rsidRDefault="001C0332"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lastRenderedPageBreak/>
        <w:t>Economic security is one of the seven dimensions of human security as conceptualized by Mahbub ul Haq in the 1994 Human Development Report. It requires that every individual has access to a basic income, typically derived from paid employment or, at a minimum, from social protection systems. While economic security is a pressing concern in developing countries, it also attracts attention in developed nations in relation to unemployment, labor markets, and livelihood sustainability. However, most existing studies are either theoretical or qualitative, with relatively few quantitative analyses based on fieldwork, particularly in relation to ethnic minority communities living in the northern mountainous regions of Southeast Asia.</w:t>
      </w:r>
    </w:p>
    <w:p w14:paraId="44B3B8A5" w14:textId="18289C45" w:rsidR="001C0332" w:rsidRPr="003E57BB" w:rsidRDefault="0095137B"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Existing literature provides valuable insights into economic disparities between ethnic groups in Southeast Asia. For instance, studies on income inequality in Malaysia reveal how distributional national account methods can illuminate ethnic cleavages in wealth and income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{"citationID":"y74ViRzx","properties":{"formattedCitation":"(Khalid &amp; Yang, 2021)","plainCitation":"(Khalid &amp; Yang, 2021)","noteIndex":0},"citationItems":[{"id":35,"uris":["http://zotero.org/users/local/Gh2w8VaO/items/IDCEU2K9"],"itemData":{"id":35,"type":"article-journal","abstract":"In this paper, by combining information obtained from national accounts, household surveys, and fiscal data, we document the evolution of income inequality in Malaysia, not only at the national level (for the period of 1984–2014) but also by ethnic group (for the period of 2002–2014). To our knowledge this is the first attempt to produce inequality measurements of Malaysia, which are fully consistent with the national accounts. Our research shows that despite Malaysia’s exceptional economic growth rate, its growth has been inclusive. For the period of 2002–2014, the real income growth for the bottom 50 % is the highest (5.2 %), followed by the middle 40 % (4.1 %), the top 10 % (2.7 %) and then the top 1 % (1.6 %). However, while average growth rates are positive across all ethnic groups (Bumiputera 4.9 %, Indians 4.8 %, and Chinese 2.7 %), the highest growth of real income per adult accrued to the Bumiputera in the top 1 % (at 8.3 %), which sharply contrasts the much lower growth rate of the Indians (at 3.4 %) and negative income growth rates of the Chinese (at −0.6 %). Despite the negative growth rate, the Chinese still account for the lion’s share in the top 1 %. In 2014, 60 % of the adults in the top 1 % income group are Chinese, while 33 % Bumiputera, and 6 % Indians. We conclude that in this period, Malaysia’s growth features an inclusive redistribution between income classes, but with a twist between racial groups.","container-title":"Journal of Asian Economics","DOI":"10.1016/j.asieco.2020.101252","ISSN":"1049-0078","journalAbbreviation":"Journal of Asian Economics","page":"101252","source":"ScienceDirect","title":"Income inequality and ethnic cleavages in Malaysia: Evidence from distributional national accounts (1984–2014)","title-short":"Income inequality and ethnic cleavages in Malaysia","volume":"72","author":[{"family":"Khalid","given":"Muhammed Abdul"},{"family":"Yang","given":"Li"}],"issued":{"date-parts":[["2021",2,1]]}}}],"schema":"https://github.com/citation-style-language/schema/raw/master/csl-citation.json"}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(Khalid &amp; Yang, 2021)</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Similarly, recent decomposition analyses of income inequality in the Philippines, Thailand, and Vietnam demonstrate how changes in income sources and household characteristics drive inequality trends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{"citationID":"qJMkjEFi","properties":{"formattedCitation":"(Mercado et al., 2024)","plainCitation":"(Mercado et al., 2024)","noteIndex":0},"citationItems":[{"id":37,"uris":["http://zotero.org/users/local/Gh2w8VaO/items/UP2QN86Y"],"itemData":{"id":37,"type":"article-journal","abstract":"Income inequality has moderated in the Philippines, Thailand, and Viet Nam, three middle income countries in Southeast Asia, over the past two decades, with multiple factors at play. In each country, wage, nonfarm business income, and overseas remittance concentrations declined as less well-off households increasingly engaged in better-paying activities. In Thailand and Viet Nam, transfer incomes became more pro-poor and better targeted. Major contributors to lower income inequality also included a narrowing in regional disparity and a reduction in the urban-rural income gap, and, in the Philippines and Thailand, a fall in the education premium. This recent trend of moderating income inequality might be the combined outcome of rising income opportunities generated by structural transformation and government policies promoting social inclusion. Nonetheless, income inequality remains high, especially in the Philippines and Thailand. More policy efforts are needed to make growth more inclusive.","container-title":"Journal of Asian Economics","DOI":"10.1016/j.asieco.2024.101775","ISSN":"1049-0078","journalAbbreviation":"Journal of Asian Economics","page":"101775","source":"ScienceDirect","title":"Trends and drivers of income inequality in the Philippines, Thailand, and Viet Nam since the early 2000s: A decomposition analysis","title-short":"Trends and drivers of income inequality in the Philippines, Thailand, and Viet Nam since the early 2000s","volume":"94","author":[{"family":"Mercado","given":"Rogelio"},{"family":"Park","given":"Cyn-Young"},{"family":"Zhuang","given":"Juzhong"}],"issued":{"date-parts":[["2024",10,1]]}}}],"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(Mercado et al., 2024)</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Broader perspectives highlight the links between wealth, poverty, and health, further anchoring the concept of economic security within human development discourses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{"citationID":"3zL3vtth","properties":{"formattedCitation":"(Nilan &amp; Maunati, 2025)","plainCitation":"(Nilan &amp; Maunati, 2025)","noteIndex":0},"citationItems":[{"id":39,"uris":["http://zotero.org/users/local/Gh2w8VaO/items/NBBBI4YL"],"itemData":{"id":39,"type":"chapter","abstract":"Economic circumstances shape all aspects of people’s lives. In Southeast Asia, as elsewhere, people need sufficient income for the basics of a healthy life, such as clean water, nutritious food and safe housing. If the income is insufficient, people live with risks of all kinds, including poor health and diminished life expectancy. For example, income inequality greatly affects life expectancy at birth. Not only is the infant mortality rate much higher, but babies born into poverty will rarely live to old age as long as babies are born into wealthier circumstances. Certainly, inequitable distribution of wealth in any nation of Southeast Asia does not benefit the population as a whole. Rather, the massive accumulation of wealth by transnational companies and state elites, combined with tax avoidance, restricts the distribution of state benefits to lower-income levels of society, impacting negatively on job creation, housing provision, schooling, pro-poor interventions, social welfare assistance, health and medical services. Social scientists in the region have documented the struggles of poorer people in the region to improve their livelihoods and their lives. Recent research implies that Western ideas about pro-poor development may not achieve the widespread benefits anticipated by aid donors.","container-title":"Decolonising Social Science Research in Southeast Asia: New Ways of Knowing","event-place":"Singapore","ISBN":"978-981-96-4624-1","language":"en","note":"DOI: 10.1007/978-981-96-4624-1_4","page":"85-110","publisher":"Springer Nature","publisher-place":"Singapore","source":"Springer Link","title":"Wealth, Poverty and Health in Southeast Asia","URL":"https://doi.org/10.1007/978-981-96-4624-1_4","author":[{"family":"Nilan","given":"Pam"},{"family":"Maunati","given":"Yekti"}],"editor":[{"family":"Nilan","given":"Pam"},{"family":"Maunati","given":"Yekti"}],"accessed":{"date-parts":[["2025",8,20]]},"issued":{"date-parts":[["2025"]]}}}],"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(Nilan &amp; Maunati, 2025)</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Urban inequality discussions, spanning income, employment, and housing, enrich the understanding of sustainable livelihoods in rapidly changing socio-economic contexts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{"citationID":"ptm5NtU2","properties":{"formattedCitation":"(Ahmad et al., 2025)","plainCitation":"(Ahmad et al., 2025)","noteIndex":0},"citationItems":[{"id":40,"uris":["http://zotero.org/users/local/Gh2w8VaO/items/EL858QQE"],"itemData":{"id":40,"type":"chapter","abstract":"This chapter analyses the income, employment, and housing conditions of residents covered in the SHLC Household Survey conducted across various neighbourhoods in 14 Asian and African cities. The analysis provides comparative insights into neighbourhood-level inequalities in the Global South. While continental or subcontinental differences are limited, significant variations in inequality are evident at the country and city levels. The findings reveal serious inequality across neighbourhoods, with neighbourhood wealth emerging as a critical catalyst. This intriguing micro-level data underscores the importance of neighbourhoods in understanding the various dynamics of rapidly growing cities in the Global South.","container-title":"New Drivers of Division: Urbanisation and Spatial Inequality in Africa and Asia","event-place":"Singapore","ISBN":"978-981-96-5629-5","language":"en","note":"DOI: 10.1007/978-981-96-5629-5_14","page":"223-238","publisher":"Springer Nature","publisher-place":"Singapore","source":"Springer Link","title":"Income, Employment, and Housing Inequalities in Asian and African Cities","URL":"https://doi.org/10.1007/978-981-96-5629-5_14","author":[{"family":"Ahmad","given":"Sohail"},{"family":"Sowgat","given":"Tanjil"},{"family":"Wang","given":"Ya Ping"}],"editor":[{"family":"Wang","given":"Ya Ping"},{"family":"Kintrea","given":"Keith"},{"family":"Everatt","given":"David"},{"family":"Kundu","given":"Debolina"}],"accessed":{"date-parts":[["2025",8,20]]},"issued":{"date-parts":[["2025"]]}}}],"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(Ahmad et al., 2025)</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Finally, political economy analyses of social security systems in Southeast Asia underscore the importance of state mechanisms in mediating inequality and promoting economic security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{"citationID":"apLjrsAM","properties":{"formattedCitation":"(Bi, 2025)","plainCitation":"(Bi, 2025)","noteIndex":0},"citationItems":[{"id":42,"uris":["http://zotero.org/users/local/Gh2w8VaO/items/IKI4F8DP"],"itemData":{"id":42,"type":"chapter","abstract":"After the Cold War, scholars of modern state development in Southeast Asia highly valued the field of political economy, and the relationship between the government, the economy, and society became an important topic. Authoritarianism, oligarchy, and “rent-seeking” behaviors in Southeast Asian countries have hindered their political transformation and economic and social development. There is much support for the “middle-income trap” argument and the rise of populism. The governments of Southeast Asian countries have tried to improve secondary distribution by improving the social public service system to narrow the poverty gap, but the way to reform is arduous and long. Because the many related studies adopt different theoretical methods, their conclusions are mixture. The support of interdisciplinary theory and methodologies represents a new breakthrough that can further deepen the study of modern state development in Southeast Asia.","container-title":"Risks, Resilience and Interdependency: Developing Countries in the Age of Uncertainties","event-place":"Singapore","ISBN":"978-981-96-7167-0","language":"en","note":"DOI: 10.1007/978-981-96-7167-0_3","page":"59-88","publisher":"Springer Nature","publisher-place":"Singapore","source":"Springer Link","title":"A Political Economy Analysis of Modern State Development in Southeast Asia","URL":"https://doi.org/10.1007/978-981-96-7167-0_3","author":[{"family":"Bi","given":"Shihong"}],"editor":[{"family":"Yang","given":"Guang"},{"family":"Zhang","given":"Jing"},{"family":"Xiong","given":"Xinghan"},{"family":"Liu","given":"Lanyu"}],"accessed":{"date-parts":[["2025",8,20]]},"issued":{"date-parts":[["2025"]]}}}],"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(Bi, 2025)</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w:t>
      </w:r>
    </w:p>
    <w:p w14:paraId="6EBDF96C" w14:textId="702FA0D1" w:rsidR="0040474F" w:rsidRDefault="001C0332"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t>This paper contributes to filling that gap by examining economic security through the lens of income among ethnic minority groups in the northern highlands. Using survey data and a quantitative framework, the study focuses on three dimensions—capability, efficiency, and sustainability—to evaluate how they shape household income. To provide a clearer understanding of these relationships, the paper first reviews existing studies on ethnic minority income, then introduces the research context and factors influencing income, followed by an analysis of findings and discussion of policy implications for sustainable development.</w:t>
      </w:r>
    </w:p>
    <w:p w14:paraId="6E396AA2" w14:textId="1C56B328" w:rsidR="00FD467C" w:rsidRPr="003E57BB" w:rsidRDefault="00FD467C" w:rsidP="003E57BB">
      <w:pPr>
        <w:spacing w:before="120" w:after="120" w:line="288" w:lineRule="auto"/>
        <w:rPr>
          <w:rFonts w:asciiTheme="majorHAnsi" w:hAnsiTheme="majorHAnsi" w:cstheme="majorHAnsi"/>
          <w:szCs w:val="28"/>
          <w:lang w:val="de-DE"/>
        </w:rPr>
      </w:pPr>
      <w:r w:rsidRPr="00FD467C">
        <w:rPr>
          <w:rFonts w:asciiTheme="majorHAnsi" w:hAnsiTheme="majorHAnsi" w:cstheme="majorHAnsi"/>
          <w:szCs w:val="28"/>
          <w:lang w:val="de-DE"/>
        </w:rPr>
        <w:lastRenderedPageBreak/>
        <w:t>The objective of this study is to quantitatively examine the factors that shape household income among Tay and Hmong ethnic minority communities in the northern highlands of Vietnam. By applying a capability–efficiency–sustainability framework, the study aims to identify key determinants of economic security and provide evidence-based policy recommendations for promoting sustainable and equitable livelihoods.</w:t>
      </w:r>
    </w:p>
    <w:p w14:paraId="24321A37" w14:textId="43D03B88" w:rsidR="00A02B9B" w:rsidRPr="003E57BB" w:rsidRDefault="00341120"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eastAsia="Calibri"/>
          <w:b/>
          <w:bCs/>
          <w:sz w:val="28"/>
          <w:szCs w:val="28"/>
          <w:lang w:val="de-DE" w:eastAsia="en-US"/>
        </w:rPr>
        <w:t xml:space="preserve">2. </w:t>
      </w:r>
      <w:r w:rsidR="00A02B9B" w:rsidRPr="003E57BB">
        <w:rPr>
          <w:rFonts w:eastAsia="Calibri"/>
          <w:b/>
          <w:bCs/>
          <w:sz w:val="28"/>
          <w:szCs w:val="28"/>
          <w:lang w:val="de-DE" w:eastAsia="en-US"/>
        </w:rPr>
        <w:t>LITERATURE REVIEW</w:t>
      </w:r>
    </w:p>
    <w:p w14:paraId="312485C6" w14:textId="4F6FDDF0" w:rsidR="00A02B9B" w:rsidRPr="003E57B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In terms of human development and income,</w:t>
      </w:r>
      <w:r w:rsidR="000912A8">
        <w:rPr>
          <w:rFonts w:asciiTheme="majorHAnsi" w:eastAsia="Calibri" w:hAnsiTheme="majorHAnsi" w:cstheme="majorHAnsi"/>
          <w:sz w:val="28"/>
          <w:szCs w:val="28"/>
          <w:lang w:val="de-DE" w:eastAsia="en-US"/>
        </w:rPr>
        <w:t xml:space="preserve"> </w:t>
      </w:r>
      <w:r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{"citationID":"czEXBeba","properties":{"formattedCitation":"(Gustafsson &amp; Sai, 2009)","plainCitation":"(Gustafsson &amp; Sai, 2009)","noteIndex":0},"citationItems":[{"id":46,"uris":["http://zotero.org/users/local/Gh2w8VaO/items/LGKEF7TG"],"itemData":{"id":46,"type":"article-journal","abstract":"This paper investigates how ethnic minorities in rural China are faring compared with the ethnic majority. The village is the unit of analysis and large surveys for 2002 are used. Minority villages in northeast China are found to have a somewhat better economic situation than the average majority village, but minority villages in the southwest are clearly faring worse. Industrialisation, inputs in agricultural production, stock of human capital of the labour force, wage level on the local labour market as well as indicators of path dependency are all found to affect the economic situation of a village. Location is the single most important circumstance working against a favourable economic situation for minority villages in the northwest and particularly the southwest. Low village income results in long-distance migration for many ethnic minorities, but for some minorities their ethnicity hinders migration.","collection-title":"Special Issue: Agriculture in Transition","container-title":"China Economic Review","DOI":"10.1016/j.chieco.2009.02.003","ISSN":"1043-951X","issue":"2","journalAbbreviation":"China Economic Review","page":"193-207","source":"ScienceDirect","title":"Villages where China's ethnic minorities live","volume":"20","author":[{"family":"Gustafsson","given":"Bjorn"},{"family":"Sai","given":"Ding"}],"issued":{"date-parts":[["2009",6,1]]}}}],"schema":"https://github.com/citation-style-language/schema/raw/master/csl-citation.json"}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00646D01">
        <w:rPr>
          <w:rFonts w:asciiTheme="majorHAnsi" w:eastAsia="Calibri" w:hAnsiTheme="majorHAnsi" w:cstheme="majorHAnsi"/>
          <w:sz w:val="28"/>
          <w:szCs w:val="28"/>
          <w:lang w:val="de-DE" w:eastAsia="en-US"/>
        </w:rPr>
        <w:t>(Gustafsson &amp; Sai, 2009)</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highlight that various circumstances shape household income levels and overall wealth in ethnic minority regions. For instance, engagement in manufacturing activities tends to generate higher income for minority households. Moreover, educational attainment of working-age villagers is positively correlated with their income when participating in the local labor market. While geographical location is not the sole determinant, it remains an important factor influencing the income of ethnic minority communities. The study further indicates that in lower-income areas, ethnic minorities often travel farther to seek employment compared to those in communities with average income levels. Similarly, </w:t>
      </w:r>
      <w:r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{"citationID":"j78WXCFy","properties":{"formattedCitation":"(Mobius et al., 2016)","plainCitation":"(Mobius et al., 2016)","noteIndex":0},"citationItems":[{"id":48,"uris":["http://zotero.org/users/local/Gh2w8VaO/items/BUHQKBD4"],"itemData":{"id":48,"type":"article-journal","abstract":"We study the role of ethnicity in experimental labor markets where “employers” determine wages of “workers” who perform a real effort task. This task requires a true skill which we show is not affected by minority status. In some treatments, we provide subtle priming to employers about minority status of workers as commonly depicted on Chinese “Hukou” identification system. We conduct our experiments at two sites located in provinces that differ by their historical shares of ethnic groups in the population. We find that: (1) Han and minority workers are equally productive in both provinces; (2) in the diverse province, there is no difference in the wages between Han and minority workers; (3) in the non-diverse province, minority workers receive 4–7% lower wages than Han workers.","collection-title":"Social identity and discrimination","container-title":"European Economic Review","DOI":"10.1016/j.euroecorev.2016.04.004","ISSN":"0014-2921","journalAbbreviation":"European Economic Review","page":"165-177","source":"ScienceDirect","title":"Ethnic discrimination: Evidence from China","title-short":"Ethnic discrimination","volume":"90","author":[{"family":"Mobius","given":"Markus"},{"family":"Rosenblat","given":"Tanya"},{"family":"Wang","given":"Qiqi"}],"issued":{"date-parts":[["2016",11,1]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00646D01">
        <w:rPr>
          <w:rFonts w:asciiTheme="majorHAnsi" w:eastAsia="Calibri" w:hAnsiTheme="majorHAnsi" w:cstheme="majorHAnsi"/>
          <w:sz w:val="28"/>
          <w:szCs w:val="28"/>
          <w:lang w:val="de-DE" w:eastAsia="en-US"/>
        </w:rPr>
        <w:t>(Mobius et al., 2016)</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examin</w:t>
      </w:r>
      <w:r w:rsidR="0046413B" w:rsidRPr="003E57BB">
        <w:rPr>
          <w:rFonts w:asciiTheme="majorHAnsi" w:eastAsia="Calibri" w:hAnsiTheme="majorHAnsi" w:cstheme="majorHAnsi"/>
          <w:sz w:val="28"/>
          <w:szCs w:val="28"/>
          <w:lang w:val="de-DE" w:eastAsia="en-US"/>
        </w:rPr>
        <w:t>e</w:t>
      </w:r>
      <w:r w:rsidRPr="003E57BB">
        <w:rPr>
          <w:rFonts w:asciiTheme="majorHAnsi" w:eastAsia="Calibri" w:hAnsiTheme="majorHAnsi" w:cstheme="majorHAnsi"/>
          <w:sz w:val="28"/>
          <w:szCs w:val="28"/>
          <w:lang w:val="de-DE" w:eastAsia="en-US"/>
        </w:rPr>
        <w:t xml:space="preserve"> differences between majority and minority workers and managers in labor markets, finding no productivity gap between groups. In ethnically diverse areas, wages between majority and minority workers do not differ significantly; however, in less diverse regions, minority workers earn 4–7% lower wages than their majority counterparts.</w:t>
      </w:r>
    </w:p>
    <w:p w14:paraId="612CD5F1" w14:textId="76FC3F1C" w:rsidR="00A02B9B" w:rsidRPr="003E57B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 xml:space="preserve">Tourism development is also viewed as a potential driver of income growth in ethnic minority areas, where cultural resources remain underutilized. </w:t>
      </w:r>
      <w:r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{"citationID":"cDdLrkOH","properties":{"formattedCitation":"(Yang, 2011)","plainCitation":"(Yang, 2011)","noteIndex":0},"citationItems":[{"id":52,"uris":["http://zotero.org/users/local/Gh2w8VaO/items/2Y2IMLR3"],"itemData":{"id":52,"type":"article-journal","abstract":"The quest for cultural exoticism has inspired mass Han Chinese visits to regions in China, such as Yunnan, where several ‘ethnic theme parks’ have been developed. Employing surveys, informal interviews, observations and secondary sources, this study explores tourists’ views of their experiences, including their perceptions of cultural authenticity at an ethnic theme park in Yunnan, China. Mixed reactions existed to the experience of park patronage, with greater satisfaction with the overall experience than with the specific qualities and authenticity of park offerings. Most tourists had a favorable view of the site and enjoyed their overall experience. Many appreciated a packaged version of minority cultures. However, some visitors were concerned about misrepresentation, insufficient interpretation, poor service, high costs and inauthentic souvenirs. Tourists’ perceptions of authenticity and their satisfaction were significantly influenced by their individual backgrounds. The study raises important issues concerning management and promotion of ethnic attractions, given that modern tourists may have diverse needs and expectations.","container-title":"Journal of Tourism and Cultural Change","DOI":"10.1080/14766825.2011.628026","ISSN":"1476-6825","issue":"4","note":"publisher: Routledge\n_eprint: https://doi.org/10.1080/14766825.2011.628026","page":"320-340","source":"Taylor and Francis+NEJM","title":"Cultural tourism in an ethnic theme park: tourists’ views","title-short":"Cultural tourism in an ethnic theme park","volume":"9","author":[{"family":"Yang","given":"Li"}],"issued":{"date-parts":[["2011",12,1]]}}}],"schema":"https://github.com/citation-style-language/schema/raw/master/csl-citation.json"}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00646D01">
        <w:rPr>
          <w:rFonts w:asciiTheme="majorHAnsi" w:eastAsia="Calibri" w:hAnsiTheme="majorHAnsi" w:cstheme="majorHAnsi"/>
          <w:sz w:val="28"/>
          <w:szCs w:val="28"/>
          <w:lang w:val="de-DE" w:eastAsia="en-US"/>
        </w:rPr>
        <w:t>(Yang, 2011)</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argues that while tourism can increase income, cultural and traditional practices—dynamic rather than static—must be preserved and revitalized to ensure sustainable cultural values. Cultural acceptance also plays a crucial role in shaping livelihoods. For example, </w:t>
      </w:r>
      <w:r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{"citationID":"mhoaSQ1e","properties":{"formattedCitation":"(Kyeyune &amp; Turner, 2016)","plainCitation":"(Kyeyune &amp; Turner, 2016)","noteIndex":0},"citationItems":[{"id":53,"uris":["http://zotero.org/users/local/Gh2w8VaO/items/4N6RVAG4"],"itemData":{"id":53,"type":"article-journal","abstract":"Agricultural intensification is at the core of the current agrarian transition in Southeast Asia. New crop varieties promise higher productive outputs, but depend on significant increases in chemical inputs. In the highlands of northern Vietnam, we find that adopting hybrid maize is inevitably associated with an increasing dependence on cash for direct and indirect inputs and investments. This reliance on the cash economy is a new reality for semi-subsistence ethnic minority Hmong households, and provides evidence of the advancing agrarian transition in Vietnam’s remote northern highlands. While livelihood outcomes of hybrid seed adoption include increased maize yields, local farmers highlight numerous drawbacks, including unstable input prices, limited storage periods, pest concerns, and the increased reliance on cash. Strong preferences for the taste of traditional local maize, as well as concerns over regular harvests, lead many households to resist the full adoption of new hybrid varieties and redirect hybrid maize to livestock feed and household alcohol production instead. Thus while state policies extoll the virtues of high-yielding hybrid maize for poverty reduction, we find that food availability is an overemphasized element of household food security and upland agricultural development policies. Food security interventions must move beyond conceptualizing food security as a result of food availability alone, and also incorporate cultural acceptability of food, better understandings of hybrid maize cultivation challenges, and respect the seed diversity on which local livelihoods and food security rely.","container-title":"Geoforum","DOI":"10.1016/j.geoforum.2016.03.001","ISSN":"0016-7185","journalAbbreviation":"Geoforum","page":"33-43","source":"ScienceDirect","title":"Yielding to high yields? Critiquing food security definitions and policy implications for ethnic minority livelihoods in upland Vietnam","title-short":"Yielding to high yields?","volume":"71","author":[{"family":"Kyeyune","given":"Victoria"},{"family":"Turner","given":"Sarah"}],"issued":{"date-parts":[["2016",5,1]]}}}],"schema":"https://github.com/citation-style-language/schema/raw/master/csl-citation.json"}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Pr="003E57BB">
        <w:rPr>
          <w:rFonts w:asciiTheme="majorHAnsi" w:eastAsia="Calibri" w:hAnsiTheme="majorHAnsi" w:cstheme="majorHAnsi"/>
          <w:sz w:val="28"/>
          <w:szCs w:val="28"/>
          <w:lang w:val="de-DE" w:eastAsia="en-US"/>
        </w:rPr>
        <w:t>(Kyeyune &amp; Turner, 2016)</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in their study on farming practices in Ha Giang, observed that although hybrid maize could increase household income, local communities were reluctant to adopt it due to cultural resistance to innovation, despite state promotion. The authors suggest that livelihood practices contributing to food security should precede the conceptualization of food security, emphasizing the importance of understanding new crops, agricultural diversity, and cultural acceptance to enhance household income.</w:t>
      </w:r>
    </w:p>
    <w:p w14:paraId="101876AA" w14:textId="0E6545E2" w:rsidR="00A02B9B" w:rsidRPr="003E57B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lastRenderedPageBreak/>
        <w:t>From an ethnic perspective, regions with multiple minority groups often exhibit weaker economic performance than those with a single, homogenous minority group.</w:t>
      </w:r>
      <w:r w:rsidR="00EB5AA0" w:rsidRPr="003E57BB">
        <w:rPr>
          <w:rFonts w:asciiTheme="majorHAnsi" w:eastAsia="Calibri" w:hAnsiTheme="majorHAnsi" w:cstheme="majorHAnsi"/>
          <w:sz w:val="28"/>
          <w:szCs w:val="28"/>
          <w:lang w:val="de-DE" w:eastAsia="en-US"/>
        </w:rPr>
        <w:t xml:space="preserve"> </w:t>
      </w:r>
      <w:r w:rsidR="00B907C7" w:rsidRPr="003E57BB">
        <w:rPr>
          <w:rFonts w:asciiTheme="majorHAnsi" w:eastAsia="Calibri" w:hAnsiTheme="majorHAnsi" w:cstheme="majorHAnsi"/>
          <w:sz w:val="28"/>
          <w:szCs w:val="28"/>
          <w:lang w:val="de-DE" w:eastAsia="en-US"/>
        </w:rPr>
        <w:t xml:space="preserve">Moreover, recent econometric evidence from ASEAN-5 economies demonstrates that macroeconomic factors such as trade openness and gross capital formation significantly influence income inequality, with trade openness mitigating inequality while capital formation, inflation, and unemployment tend to increase it in the long term  </w:t>
      </w:r>
      <w:r w:rsidR="00B907C7"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{"citationID":"S01knW2U","properties":{"formattedCitation":"(Ayyash et al., 2025)","plainCitation":"(Ayyash et al., 2025)","noteIndex":0},"citationItems":[{"id":"McZIHyXX/QtVc689O","uris":["http://zotero.org/users/2126705/items/RV7S4PWR"],"itemData":{"id":406,"type":"article-journal","abstract":"Part of the critical goal for achieving sustainable development is to address income inequality, which often poses a barrier to economic growth. The current study aims to explore the dynamics of income inequality in ASEAN-5 economies by analyzing the impact of critical macroeconomic factors. These indicators include economic growth to validate the Kuznets curve hypothesis (KCH), gross capital formation (GCF), inflation, trade openness, and unemployment. Utilizing panel data from 1991 to 2023, the study employs a robust econometric approach, including cross-sectional dependency tests (CSD), slope homogeneity tests, and second-generation unit root tests. The Cross-sectionally Augmented Auto-regressive Distributed Lag (CS-ARDL) econometric methodology is applied to estimate the short-run and long-run parameters while accounting for slope heterogeneity and CSD. This study demonstrates convincing evidence that the KCH holds for the ASEAN-5 nations in the short and long terms. In the long term, macroeconomic factors, including GCF, inflation, unemployment, and population growth, increased income inequality, while trade openness reduced it. However, trade openness consistently mitigated it in the short term while unemployment has a marginal effect. The short-term effects of GCF, inflation, and population growth were insignificant. The originality of this research lies in its provision of new insights into the macroeconomic indicators that contribute to income inequality in the ASEAN-5 economies, utilizing the CS-ARDL technique, which effectively accounts for CSD and slope heterogeneity. The insights gained from this study could inform policymaking to foster inclusive economic growth and reduce income disparities within the ASEAN-5 region.","container-title":"Discover Sustainability","DOI":"10.1007/s43621-025-01068-1","ISSN":"2662-9984","issue":"1","journalAbbreviation":"Discov Sustain","language":"en","page":"465","source":"Springer Link","title":"Income inequality dynamics in ASEAN-5: a panel data approach using CS-ARDL to examine macroeconomic factors","title-short":"Income inequality dynamics in ASEAN-5","volume":"6","author":[{"family":"Ayyash","given":"Mohsen"},{"family":"Sek","given":"Siok Kun"},{"family":"Kole","given":"Ali"}],"issued":{"date-parts":[["2025",5,28]]}}}],"schema":"https://github.com/citation-style-language/schema/raw/master/csl-citation.json"} </w:instrText>
      </w:r>
      <w:r w:rsidR="00B907C7" w:rsidRPr="003E57BB">
        <w:rPr>
          <w:rFonts w:asciiTheme="majorHAnsi" w:eastAsia="Calibri" w:hAnsiTheme="majorHAnsi" w:cstheme="majorHAnsi"/>
          <w:sz w:val="28"/>
          <w:szCs w:val="28"/>
          <w:lang w:val="de-DE" w:eastAsia="en-US"/>
        </w:rPr>
        <w:fldChar w:fldCharType="separate"/>
      </w:r>
      <w:r w:rsidR="00B907C7" w:rsidRPr="003E57BB">
        <w:rPr>
          <w:rFonts w:asciiTheme="majorHAnsi" w:eastAsia="Calibri" w:hAnsiTheme="majorHAnsi" w:cstheme="majorHAnsi"/>
          <w:sz w:val="28"/>
          <w:szCs w:val="28"/>
          <w:lang w:val="de-DE" w:eastAsia="en-US"/>
        </w:rPr>
        <w:t>(Ayyash et al., 2025)</w:t>
      </w:r>
      <w:r w:rsidR="00B907C7" w:rsidRPr="003E57BB">
        <w:rPr>
          <w:rFonts w:asciiTheme="majorHAnsi" w:eastAsia="Calibri" w:hAnsiTheme="majorHAnsi" w:cstheme="majorHAnsi"/>
          <w:sz w:val="28"/>
          <w:szCs w:val="28"/>
          <w:lang w:val="de-DE" w:eastAsia="en-US"/>
        </w:rPr>
        <w:fldChar w:fldCharType="end"/>
      </w:r>
      <w:r w:rsidR="00B907C7" w:rsidRPr="003E57BB">
        <w:rPr>
          <w:rFonts w:asciiTheme="majorHAnsi" w:eastAsia="Calibri" w:hAnsiTheme="majorHAnsi" w:cstheme="majorHAnsi"/>
          <w:sz w:val="28"/>
          <w:szCs w:val="28"/>
          <w:lang w:val="de-DE" w:eastAsia="en-US"/>
        </w:rPr>
        <w:t>.</w:t>
      </w:r>
      <w:r w:rsidRPr="003E57BB">
        <w:rPr>
          <w:rFonts w:asciiTheme="majorHAnsi" w:eastAsia="Calibri" w:hAnsiTheme="majorHAnsi" w:cstheme="majorHAnsi"/>
          <w:sz w:val="28"/>
          <w:szCs w:val="28"/>
          <w:lang w:val="de-DE" w:eastAsia="en-US"/>
        </w:rPr>
        <w:t xml:space="preserve"> </w:t>
      </w:r>
      <w:r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{"citationID":"x7hbiWJf","properties":{"formattedCitation":"(Alesina &amp; Zhuravskaya, 2011)","plainCitation":"(Alesina &amp; Zhuravskaya, 2011)","noteIndex":0},"citationItems":[{"id":55,"uris":["http://zotero.org/users/local/Gh2w8VaO/items/5TCWTESL"],"itemData":{"id":55,"type":"article-journal","abstract":"We provide a new compilation of data on ethnic, linguistic, and religious composition at the subnational level for a large number of countries. Using these data, we measure segregation of groups within the country. To overcome the endogeneity problem that arises\nbecause of mobility and endogenous internal borders, we construct an instrument for segregation. We find that more ethnically and linguistically\nsegregated countries, i.e., those where groups live more spatially separately, have a lower quality of government; there is no relationship between religious segregation and governance. Trust is an important channel of influence; it is lower in more segregated countries. (JEL H11, H77, J15, O17, Z12, Z13)","container-title":"American Economic Review","DOI":"10.1257/aer.101.5.1872","ISSN":"0002-8282","issue":"5","language":"en","page":"1872-1911","source":"www.aeaweb.org","title":"Segregation and the Quality of Government in a Cross Section of Countries","volume":"101","author":[{"family":"Alesina","given":"Alberto"},{"family":"Zhuravskaya","given":"Ekaterina"}],"issued":{"date-parts":[["2011",8]]}}}],"schema":"https://github.com/citation-style-language/schema/raw/master/csl-citation.json"}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00646D01">
        <w:rPr>
          <w:rFonts w:asciiTheme="majorHAnsi" w:eastAsia="Calibri" w:hAnsiTheme="majorHAnsi" w:cstheme="majorHAnsi"/>
          <w:sz w:val="28"/>
          <w:szCs w:val="28"/>
          <w:lang w:val="de-DE" w:eastAsia="en-US"/>
        </w:rPr>
        <w:t>(Alesina &amp; Zhuravskaya, 2011)</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explain that although economic elites may emerge in diverse settings, their inability to cooperate undermines collective policy-making and economic growth. </w:t>
      </w:r>
      <w:r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{"citationID":"8mZjY60D","properties":{"formattedCitation":"(Robinson, 2016)","plainCitation":"(Robinson, 2016)","noteIndex":0},"citationItems":[{"id":57,"uris":["http://zotero.org/users/local/Gh2w8VaO/items/UNT62WZR"],"itemData":{"id":57,"type":"article-journal","abstract":"Ethnic diversity is associated with poorer economic development, but why? I argue that market segmentation is one mechanism linking diversity to economic underdevelopment: when ethnic groups are geographically segregated and trust is concentrated within groups, markets will be tend to be segmented along ethnic lines. I evaluate this argument using maize price data from seventy Malawian markets over 14years and combine it with census data on the spatial distribution of ethnic groups. I find that maize price differences—a key indicator of market segmentation—are indeed larger for ethnically dissimilar markets, even after taking sub-national administrative borders geographic barriers, and climatic differences into account. These statistical findings are complemented by interview data from farmers and traders in three markets across Malawi, which highlight the centrality of trust in small-scale maize trading, as well as a preference for coethnic trading partners. Together, these findings suggest that ethnic diversity, and ethnoregional segregation in particular, can have a negative impact on market integration, an important driver of food security and long-term economic development.","container-title":"World Development","DOI":"10.1016/j.worlddev.2016.07.006","ISSN":"0305-750X","journalAbbreviation":"World Development","page":"371-384","source":"ScienceDirect","title":"Internal Borders: Ethnic-Based Market Segmentation in Malawi","title-short":"Internal Borders","volume":"87","author":[{"family":"Robinson","given":"Amanda Lea"}],"issued":{"date-parts":[["2016",11,1]]}}}],"schema":"https://github.com/citation-style-language/schema/raw/master/csl-citation.json"}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00646D01">
        <w:rPr>
          <w:rFonts w:asciiTheme="majorHAnsi" w:eastAsia="Calibri" w:hAnsiTheme="majorHAnsi" w:cstheme="majorHAnsi"/>
          <w:sz w:val="28"/>
          <w:szCs w:val="28"/>
          <w:lang w:val="de-DE" w:eastAsia="en-US"/>
        </w:rPr>
        <w:t>(Robinson, 2016)</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further argues that economic underperformance in multi-ethnic regions results from fragmented markets and limited trust among minority trading groups.</w:t>
      </w:r>
    </w:p>
    <w:p w14:paraId="158D11C1" w14:textId="017B228D" w:rsidR="00A02B9B" w:rsidRPr="003E57B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Using multidimensional poverty indices,</w:t>
      </w:r>
      <w:r w:rsidR="0082005D">
        <w:rPr>
          <w:rFonts w:asciiTheme="majorHAnsi" w:eastAsia="Calibri" w:hAnsiTheme="majorHAnsi" w:cstheme="majorHAnsi"/>
          <w:sz w:val="28"/>
          <w:szCs w:val="28"/>
          <w:lang w:val="de-DE" w:eastAsia="en-US"/>
        </w:rPr>
        <w:t xml:space="preserve"> </w:t>
      </w:r>
      <w:r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{"citationID":"zFyuPwC9","properties":{"formattedCitation":"(Awaworyi Churchill &amp; Smyth, 2017)","plainCitation":"(Awaworyi Churchill &amp; Smyth, 2017)","noteIndex":0},"citationItems":[{"id":61,"uris":["http://zotero.org/users/local/Gh2w8VaO/items/UDVTPCY3"],"itemData":{"id":61,"type":"article-journal","abstract":"We examine the relationship between ethnic diversity and poverty for a cross-sectional sample of developing countries. We measure diversity using indices of ethnic and linguistic fractionalization, and measure poverty using the multidimensional poverty index (MPI), multidimensional poverty headcount (MPH), intensity of deprivation, poverty gap, and poverty headcount ratio. We find that ethnic and linguistic fractionalization contributes to poverty levels. Specifically, after controlling for endogeneity, we find that a standard deviation increase in ethnic fractionalization is associated with a 0.32-, 0.44- and 0.53-standard deviation increase in the MPI, MPH and the intensity of deprivation, respectively. Moreover, a standard deviation increase in ethnic fractionalization is associated with between a 0.34- and 0.63-standard deviation increase in the population living below $1.90 and $3.10, the poverty gap at $1.90 and $3.10 a day and the headcount ratio at $1.90 and $3.10 a day. Similar results are also observed for linguistic fractionalization with standardized coefficients between 0.53 and 0.93. We find that our results are robust to alternative ways to measure poverty and ethnic diversity including ethnic polarization as well as alternative approaches to address endogeneity.","container-title":"World Development","DOI":"10.1016/j.worlddev.2017.02.032","ISSN":"0305-750X","journalAbbreviation":"World Development","page":"285-302","source":"ScienceDirect","title":"Ethnic Diversity and Poverty","volume":"95","author":[{"family":"Awaworyi Churchill","given":"Sefa"},{"family":"Smyth","given":"Russell"}],"issued":{"date-parts":[["2017",7,1]]}}}],"schema":"https://github.com/citation-style-language/schema/raw/master/csl-citation.json"}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00646D01">
        <w:rPr>
          <w:rFonts w:asciiTheme="majorHAnsi" w:eastAsia="Calibri" w:hAnsiTheme="majorHAnsi" w:cstheme="majorHAnsi"/>
          <w:sz w:val="28"/>
          <w:szCs w:val="28"/>
          <w:lang w:val="de-DE" w:eastAsia="en-US"/>
        </w:rPr>
        <w:t>(Awaworyi Churchill &amp; Smyth, 2017)</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f</w:t>
      </w:r>
      <w:r w:rsidR="0046413B" w:rsidRPr="003E57BB">
        <w:rPr>
          <w:rFonts w:asciiTheme="majorHAnsi" w:eastAsia="Calibri" w:hAnsiTheme="majorHAnsi" w:cstheme="majorHAnsi"/>
          <w:sz w:val="28"/>
          <w:szCs w:val="28"/>
          <w:lang w:val="de-DE" w:eastAsia="en-US"/>
        </w:rPr>
        <w:t>ind</w:t>
      </w:r>
      <w:r w:rsidRPr="003E57BB">
        <w:rPr>
          <w:rFonts w:asciiTheme="majorHAnsi" w:eastAsia="Calibri" w:hAnsiTheme="majorHAnsi" w:cstheme="majorHAnsi"/>
          <w:sz w:val="28"/>
          <w:szCs w:val="28"/>
          <w:lang w:val="de-DE" w:eastAsia="en-US"/>
        </w:rPr>
        <w:t xml:space="preserve"> that language barriers significantly affect income and poverty reduction across 60 developing countries. Specifically, the lack of access to dominant languages for trade and communication hinders income improvement for ethnic minorities. This finding underscores the importance of state policies not only in fostering ethnic diversity but also in enhancing social capital, such as language skills, to reduce disadvantage.</w:t>
      </w:r>
      <w:r w:rsidR="00B907C7" w:rsidRPr="003E57BB">
        <w:rPr>
          <w:rFonts w:asciiTheme="majorHAnsi" w:eastAsia="Calibri" w:hAnsiTheme="majorHAnsi" w:cstheme="majorHAnsi"/>
          <w:sz w:val="28"/>
          <w:szCs w:val="28"/>
          <w:lang w:val="de-DE" w:eastAsia="en-US"/>
        </w:rPr>
        <w:t xml:space="preserve"> Complementing these findings, an empirical assessment of household consumer durables across six Southeast Asian countries shows that welfare and inequality vary significantly by country, with Vietnam, Thailand, and Malaysia exhibiting higher welfare and lower inequality than Cambodia, Indonesia, and the Philippines </w:t>
      </w:r>
      <w:r w:rsidR="00B907C7"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{"citationID":"dZWwQT3O","properties":{"formattedCitation":"(Deutsch et al., 2020)","plainCitation":"(Deutsch et al., 2020)","noteIndex":0},"citationItems":[{"id":"McZIHyXX/ed3bUn5Y","uris":["http://zotero.org/users/2126705/items/3PBBA78Q"],"itemData":{"id":408,"type":"article-journal","abstract":"Using data on household consumer durables from the Asian Barometer Survey, this paper examines the evolution of inequality, poverty and welfare in six countries of South East Asia: Cambodia, Indonesia, Malaysia, the Philippines, Thailand and Vietnam. We start by deriving the most common order of acquisition of these durables, using first an algorithm proposed by Paroush (1965), and then Item Response Theory. We also compute the frequency distribution of the number of durables owned by households. We then use these results to compute inequality, poverty and achievement or welfare indices adapted to the case of ordinal variables. Our empirical results confirm the existence of an order of acquisition. The results show that inequality was higher in Cambodia, Indonesia and the Philippines and lower in Vietnam, Thailand and Malaysia. A similar classification of countries was obtained when computing multidimensional poverty indices. Finally, using the welfare or achievement index recently introduced by Apouey et al. (2019), we found that welfare was generally higher in Vietnam, Thailand and Malaysia and lower in Cambodia, Indonesia and the Philippines.","container-title":"Journal of Asian Economics","DOI":"10.1016/j.asieco.2020.101220","ISSN":"1049-0078","journalAbbreviation":"Journal of Asian Economics","page":"101220","source":"ScienceDirect","title":"Asset indexes and the measurement of poverty, inequality and welfare in Southeast Asia","volume":"70","author":[{"family":"Deutsch","given":"Joseph"},{"family":"Silber","given":"Jacques"},{"family":"Wan","given":"Guanghua"},{"family":"Zhao","given":"Mengxue"}],"issued":{"date-parts":[["2020",10,1]]}}}],"schema":"https://github.com/citation-style-language/schema/raw/master/csl-citation.json"} </w:instrText>
      </w:r>
      <w:r w:rsidR="00B907C7" w:rsidRPr="003E57BB">
        <w:rPr>
          <w:rFonts w:asciiTheme="majorHAnsi" w:eastAsia="Calibri" w:hAnsiTheme="majorHAnsi" w:cstheme="majorHAnsi"/>
          <w:sz w:val="28"/>
          <w:szCs w:val="28"/>
          <w:lang w:val="de-DE" w:eastAsia="en-US"/>
        </w:rPr>
        <w:fldChar w:fldCharType="separate"/>
      </w:r>
      <w:r w:rsidR="00B907C7" w:rsidRPr="003E57BB">
        <w:rPr>
          <w:rFonts w:asciiTheme="majorHAnsi" w:eastAsia="Calibri" w:hAnsiTheme="majorHAnsi" w:cstheme="majorHAnsi"/>
          <w:sz w:val="28"/>
          <w:szCs w:val="28"/>
          <w:lang w:val="de-DE" w:eastAsia="en-US"/>
        </w:rPr>
        <w:t>(Deutsch et al., 2020)</w:t>
      </w:r>
      <w:r w:rsidR="00B907C7" w:rsidRPr="003E57BB">
        <w:rPr>
          <w:rFonts w:asciiTheme="majorHAnsi" w:eastAsia="Calibri" w:hAnsiTheme="majorHAnsi" w:cstheme="majorHAnsi"/>
          <w:sz w:val="28"/>
          <w:szCs w:val="28"/>
          <w:lang w:val="de-DE" w:eastAsia="en-US"/>
        </w:rPr>
        <w:fldChar w:fldCharType="end"/>
      </w:r>
      <w:r w:rsidR="00B907C7" w:rsidRPr="003E57BB">
        <w:rPr>
          <w:rFonts w:asciiTheme="majorHAnsi" w:eastAsia="Calibri" w:hAnsiTheme="majorHAnsi" w:cstheme="majorHAnsi"/>
          <w:sz w:val="28"/>
          <w:szCs w:val="28"/>
          <w:lang w:val="de-DE" w:eastAsia="en-US"/>
        </w:rPr>
        <w:t>.</w:t>
      </w:r>
    </w:p>
    <w:p w14:paraId="5FEEE337" w14:textId="68C9EA1F" w:rsidR="00A02B9B" w:rsidRDefault="00A02B9B"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3E57BB">
        <w:rPr>
          <w:rFonts w:asciiTheme="majorHAnsi" w:eastAsia="Calibri" w:hAnsiTheme="majorHAnsi" w:cstheme="majorHAnsi"/>
          <w:sz w:val="28"/>
          <w:szCs w:val="28"/>
          <w:lang w:val="de-DE" w:eastAsia="en-US"/>
        </w:rPr>
        <w:t xml:space="preserve">Finally, </w:t>
      </w:r>
      <w:r w:rsidRPr="003E57BB">
        <w:rPr>
          <w:rFonts w:asciiTheme="majorHAnsi" w:eastAsia="Calibri" w:hAnsiTheme="majorHAnsi" w:cstheme="majorHAnsi"/>
          <w:sz w:val="28"/>
          <w:szCs w:val="28"/>
          <w:lang w:val="de-DE" w:eastAsia="en-US"/>
        </w:rPr>
        <w:fldChar w:fldCharType="begin"/>
      </w:r>
      <w:r w:rsidR="00646D01">
        <w:rPr>
          <w:rFonts w:asciiTheme="majorHAnsi" w:eastAsia="Calibri" w:hAnsiTheme="majorHAnsi" w:cstheme="majorHAnsi"/>
          <w:sz w:val="28"/>
          <w:szCs w:val="28"/>
          <w:lang w:val="de-DE" w:eastAsia="en-US"/>
        </w:rPr>
        <w:instrText xml:space="preserve"> ADDIN ZOTERO_ITEM CSL_CITATION {"citationID":"XgUkndDy","properties":{"formattedCitation":"(Hasmath &amp; Ho, 2015)","plainCitation":"(Hasmath &amp; Ho, 2015)","noteIndex":0},"citationItems":[{"id":63,"uris":["http://zotero.org/users/local/Gh2w8VaO/items/92NZUSZF"],"itemData":{"id":63,"type":"article-journal","abstract":"This article estimates wage differentials between ethnic minorities and the Han majority in China. While Han-minority wage differentials estimated with regression analysis demonstrate little evidence for ethnic minority disadvantages, evidence looking at the process of ethnic minority job acquisition and retention suggests that minorities perceive they are at a disadvantage in the job search process. The article assesses potential factors for perceived disadvantages in China’s labor market such as discrimination, social network capital, and working culture.","container-title":"Eurasian Geography and Economics","DOI":"10.1080/15387216.2015.1049637","ISSN":"1538-7216","issue":"1","note":"publisher: Routledge\n_eprint: https://doi.org/10.1080/15387216.2015.1049637","page":"24-43","source":"Taylor and Francis+NEJM","title":"Job acquisition, retention, and outcomes for ethnic minorities in urban China","volume":"56","author":[{"family":"Hasmath","given":"Reza"},{"family":"Ho","given":"Benjamin"}],"issued":{"date-parts":[["2015",1,2]]}}}],"schema":"https://github.com/citation-style-language/schema/raw/master/csl-citation.json"} </w:instrText>
      </w:r>
      <w:r w:rsidRPr="003E57BB">
        <w:rPr>
          <w:rFonts w:asciiTheme="majorHAnsi" w:eastAsia="Calibri" w:hAnsiTheme="majorHAnsi" w:cstheme="majorHAnsi"/>
          <w:sz w:val="28"/>
          <w:szCs w:val="28"/>
          <w:lang w:val="de-DE" w:eastAsia="en-US"/>
        </w:rPr>
        <w:fldChar w:fldCharType="separate"/>
      </w:r>
      <w:r w:rsidR="00646D01">
        <w:rPr>
          <w:rFonts w:asciiTheme="majorHAnsi" w:eastAsia="Calibri" w:hAnsiTheme="majorHAnsi" w:cstheme="majorHAnsi"/>
          <w:sz w:val="28"/>
          <w:szCs w:val="28"/>
          <w:lang w:val="de-DE" w:eastAsia="en-US"/>
        </w:rPr>
        <w:t>(Hasmath &amp; Ho, 2015)</w:t>
      </w:r>
      <w:r w:rsidRPr="003E57BB">
        <w:rPr>
          <w:rFonts w:asciiTheme="majorHAnsi" w:eastAsia="Calibri" w:hAnsiTheme="majorHAnsi" w:cstheme="majorHAnsi"/>
          <w:sz w:val="28"/>
          <w:szCs w:val="28"/>
          <w:lang w:val="de-DE" w:eastAsia="en-US"/>
        </w:rPr>
        <w:fldChar w:fldCharType="end"/>
      </w:r>
      <w:r w:rsidRPr="003E57BB">
        <w:rPr>
          <w:rFonts w:asciiTheme="majorHAnsi" w:eastAsia="Calibri" w:hAnsiTheme="majorHAnsi" w:cstheme="majorHAnsi"/>
          <w:sz w:val="28"/>
          <w:szCs w:val="28"/>
          <w:lang w:val="de-DE" w:eastAsia="en-US"/>
        </w:rPr>
        <w:t xml:space="preserve"> examine ethnic discrimination in China, showing that while Han respondents often denied wage disparities, ethnic minority workers reported clear disadvantages in job search and employment experiences. The study concludes that labor market disadvantages in China arise from discrimination, weaker social networks, and cultural barriers faced by ethnic minorities.</w:t>
      </w:r>
    </w:p>
    <w:p w14:paraId="4E1563E3" w14:textId="77777777" w:rsidR="00646D01" w:rsidRPr="00237912" w:rsidRDefault="00646D01" w:rsidP="00646D01">
      <w:pPr>
        <w:pStyle w:val="NormalWeb"/>
        <w:jc w:val="both"/>
        <w:rPr>
          <w:sz w:val="28"/>
          <w:szCs w:val="28"/>
        </w:rPr>
      </w:pPr>
      <w:r w:rsidRPr="00237912">
        <w:rPr>
          <w:sz w:val="28"/>
          <w:szCs w:val="28"/>
        </w:rPr>
        <w:t xml:space="preserve">Recent studies consistently confirm that poverty and income inequality among Vietnam’s ethnic minorities are driven not only by household characteristics but also by </w:t>
      </w:r>
      <w:r w:rsidRPr="00237912">
        <w:rPr>
          <w:rStyle w:val="Strong"/>
          <w:rFonts w:eastAsia="Calibri"/>
          <w:b w:val="0"/>
          <w:bCs w:val="0"/>
          <w:sz w:val="28"/>
          <w:szCs w:val="28"/>
        </w:rPr>
        <w:t>lower returns to those characteristics</w:t>
      </w:r>
      <w:r w:rsidRPr="00237912">
        <w:rPr>
          <w:sz w:val="28"/>
          <w:szCs w:val="28"/>
        </w:rPr>
        <w:t xml:space="preserve">. </w:t>
      </w:r>
      <w:r>
        <w:rPr>
          <w:sz w:val="28"/>
          <w:szCs w:val="28"/>
        </w:rPr>
        <w:fldChar w:fldCharType="begin"/>
      </w:r>
      <w:r>
        <w:rPr>
          <w:sz w:val="28"/>
          <w:szCs w:val="28"/>
        </w:rPr>
        <w:instrText xml:space="preserve"> ADDIN ZOTERO_ITEM CSL_CITATION {"citationID":"VLICtiK4","properties":{"formattedCitation":"(Imai et al., 2011)","plainCitation":"(Imai et al., 2011)","noteIndex":0},"citationItems":[{"id":90,"uris":["http://zotero.org/users/local/Gh2w8VaO/items/VERTZDRW"],"itemData":{"id":90,"type":"article-journal","abstract":"The present study examines how and why ethnic minorities are poorer than ethnic majorities in Vietnam using the Vietnam Household Living Standards Survey data for 2002 and 2004. First, the analysis confirms that households belonging to the ethnic minority groups are not only poorer but also more vulnerable to various shocks than those in the ethnic majority groups, namely the Kinh and the Chinese. Second, household composition (e.g., dependency burden), education, land holding and location are important determinants of expenditure and poverty, whilst there is some diversity among different ethnic groups. Finally, the decomposition analyses reveal that the ethnic minorities are poorer not necessarily because they have more disadvantaged household characteristics (e.g., educational attainment or location), but, more importantly, because the returns to the characteristics are much lower for ethnic minorities than for the majorities. Government policies to reduce structural differences between ethnic majorities and minorities are imperative to address the disparities in returns to endowments between them.","container-title":"International Review of Applied Economics","DOI":"10.1080/02692171.2010.483471","ISSN":"0269-2171","issue":"3","note":"publisher: Routledge\n_eprint: https://doi.org/10.1080/02692171.2010.483471","page":"249-282","source":"Taylor and Francis+NEJM","title":"Poverty, inequality and ethnic minorities in Vietnam","volume":"25","author":[{"family":"Imai","given":"Katsushi S."},{"family":"Gaiha","given":"Raghav"},{"family":"Kang","given":"Woojin"}],"issued":{"date-parts":[["2011",5,1]]}}}],"schema":"https://github.com/citation-style-language/schema/raw/master/csl-citation.json"} </w:instrText>
      </w:r>
      <w:r>
        <w:rPr>
          <w:sz w:val="28"/>
          <w:szCs w:val="28"/>
        </w:rPr>
        <w:fldChar w:fldCharType="separate"/>
      </w:r>
      <w:r>
        <w:rPr>
          <w:noProof/>
          <w:sz w:val="28"/>
          <w:szCs w:val="28"/>
        </w:rPr>
        <w:t>(Imai et al., 2011)</w:t>
      </w:r>
      <w:r>
        <w:rPr>
          <w:sz w:val="28"/>
          <w:szCs w:val="28"/>
        </w:rPr>
        <w:fldChar w:fldCharType="end"/>
      </w:r>
      <w:r w:rsidRPr="00237912">
        <w:rPr>
          <w:sz w:val="28"/>
          <w:szCs w:val="28"/>
        </w:rPr>
        <w:t xml:space="preserve"> and </w:t>
      </w:r>
      <w:r>
        <w:rPr>
          <w:sz w:val="28"/>
          <w:szCs w:val="28"/>
        </w:rPr>
        <w:fldChar w:fldCharType="begin"/>
      </w:r>
      <w:r>
        <w:rPr>
          <w:sz w:val="28"/>
          <w:szCs w:val="28"/>
        </w:rPr>
        <w:instrText xml:space="preserve"> ADDIN ZOTERO_ITEM CSL_CITATION {"citationID":"WhrxTwiL","properties":{"formattedCitation":"(van de Walle &amp; Gunewardena, 2001)","plainCitation":"(van de Walle &amp; Gunewardena, 2001)","noteIndex":0},"citationItems":[{"id":92,"uris":["http://zotero.org/users/local/Gh2w8VaO/items/AZK2WX6S"],"itemData":{"id":92,"type":"article-journal","abstract":"Viet Nam's ethnic minorities tend to be concentrated in remote areas and have lower living standards than the ethnic majority. How much is this due to poor economic characteristics versus low returns to characteristics? Is there a self-reinforcing culture of poverty in the minority group? We find that differences in returns to productive characteristics are an important explanation for ethnic inequality. There is evidence of compensating behavior on the part of the minorities. The results suggest that to redress ethnic inequality, policies need to reach minorities within poor areas and explicitly recognize behavioral patterns that have served them well in the short term, but intensify ethnic differentials in the longer term.","container-title":"Journal of Development Economics","DOI":"10.1016/S0304-3878(01)00133-X","ISSN":"0304-3878","issue":"1","journalAbbreviation":"Journal of Development Economics","page":"177-207","source":"ScienceDirect","title":"Sources of ethnic inequality in Viet Nam","volume":"65","author":[{"family":"Walle","given":"Dominique","non-dropping-particle":"van de"},{"family":"Gunewardena","given":"Dileni"}],"issued":{"date-parts":[["2001",6,1]]}}}],"schema":"https://github.com/citation-style-language/schema/raw/master/csl-citation.json"} </w:instrText>
      </w:r>
      <w:r>
        <w:rPr>
          <w:sz w:val="28"/>
          <w:szCs w:val="28"/>
        </w:rPr>
        <w:fldChar w:fldCharType="separate"/>
      </w:r>
      <w:r>
        <w:rPr>
          <w:noProof/>
          <w:sz w:val="28"/>
          <w:szCs w:val="28"/>
        </w:rPr>
        <w:t>(van de Walle &amp; Gunewardena, 2001)</w:t>
      </w:r>
      <w:r>
        <w:rPr>
          <w:sz w:val="28"/>
          <w:szCs w:val="28"/>
        </w:rPr>
        <w:fldChar w:fldCharType="end"/>
      </w:r>
      <w:r w:rsidRPr="00237912">
        <w:rPr>
          <w:sz w:val="28"/>
          <w:szCs w:val="28"/>
        </w:rPr>
        <w:t xml:space="preserve"> show that ethnic minority households are poorer and more vulnerable to shocks, and that much of the welfare gap results from lower returns to education, land, and other productive assets compared with the Kinh </w:t>
      </w:r>
      <w:r w:rsidRPr="00237912">
        <w:rPr>
          <w:sz w:val="28"/>
          <w:szCs w:val="28"/>
        </w:rPr>
        <w:lastRenderedPageBreak/>
        <w:t>majority. These findings suggest that poverty reduction policies should not merely expand resource endowments but should also enhance the effectiveness and productivity of those resources for minorities.</w:t>
      </w:r>
    </w:p>
    <w:p w14:paraId="25A5D980" w14:textId="77777777" w:rsidR="00646D01" w:rsidRPr="00237912" w:rsidRDefault="00646D01" w:rsidP="00646D01">
      <w:pPr>
        <w:pStyle w:val="NormalWeb"/>
        <w:jc w:val="both"/>
        <w:rPr>
          <w:sz w:val="28"/>
          <w:szCs w:val="28"/>
        </w:rPr>
      </w:pPr>
      <w:r w:rsidRPr="00237912">
        <w:rPr>
          <w:sz w:val="28"/>
          <w:szCs w:val="28"/>
        </w:rPr>
        <w:t>Spatial analyses by</w:t>
      </w:r>
      <w:r>
        <w:rPr>
          <w:sz w:val="28"/>
          <w:szCs w:val="28"/>
        </w:rPr>
        <w:t xml:space="preserve"> </w:t>
      </w:r>
      <w:r>
        <w:rPr>
          <w:sz w:val="28"/>
          <w:szCs w:val="28"/>
        </w:rPr>
        <w:fldChar w:fldCharType="begin"/>
      </w:r>
      <w:r>
        <w:rPr>
          <w:sz w:val="28"/>
          <w:szCs w:val="28"/>
        </w:rPr>
        <w:instrText xml:space="preserve"> ADDIN ZOTERO_ITEM CSL_CITATION {"citationID":"wvrDeIax","properties":{"formattedCitation":"(Epprecht et al., 2011)","plainCitation":"(Epprecht et al., 2011)","noteIndex":0},"citationItems":[{"id":94,"uris":["http://zotero.org/users/local/Gh2w8VaO/items/QIKJ8XTY"],"itemData":{"id":94,"type":"article-journal","abstract":"This paper investigates whether physical accessibility or ethnicity is a stronger determinant of poverty in Vietnam. Spatially disaggregated welfare indexes for population subgroups show that overall inequality is shaped by an urban–rural welfare divide, closely followed in importance by sharp welfare differences between ethnic groups. Accessibility to urban areas is a weaker determinant of poverty. The findings have important implications for the targeting of rural development investments. Addressing the factors isolating ethnic minorities from the mainstream economy is likely to be a more useful strategy in reducing rural poverty and inequality than simple geographic targeting.","container-title":"The Annals of Regional Science","DOI":"10.1007/s00168-009-0330-7","ISSN":"1432-0592","issue":"2","journalAbbreviation":"Ann Reg Sci","language":"en","page":"349-368","source":"Springer Link","title":"How remote are Vietnam’s ethnic minorities? An analysis of spatial patterns of poverty and inequality","title-short":"How remote are Vietnam’s ethnic minorities?","volume":"46","author":[{"family":"Epprecht","given":"Michael"},{"family":"Müller","given":"Daniel"},{"family":"Minot","given":"Nicholas"}],"issued":{"date-parts":[["2011",4,1]]}}}],"schema":"https://github.com/citation-style-language/schema/raw/master/csl-citation.json"} </w:instrText>
      </w:r>
      <w:r>
        <w:rPr>
          <w:sz w:val="28"/>
          <w:szCs w:val="28"/>
        </w:rPr>
        <w:fldChar w:fldCharType="separate"/>
      </w:r>
      <w:r>
        <w:rPr>
          <w:noProof/>
          <w:sz w:val="28"/>
          <w:szCs w:val="28"/>
        </w:rPr>
        <w:t>(Epprecht et al., 2011)</w:t>
      </w:r>
      <w:r>
        <w:rPr>
          <w:sz w:val="28"/>
          <w:szCs w:val="28"/>
        </w:rPr>
        <w:fldChar w:fldCharType="end"/>
      </w:r>
      <w:r w:rsidRPr="00237912">
        <w:rPr>
          <w:sz w:val="28"/>
          <w:szCs w:val="28"/>
        </w:rPr>
        <w:t xml:space="preserve"> indicate that Vietnam’s welfare inequality is shaped more by the urban–rural divide and ethnic disparities than by geographic remoteness. This implies that addressing the social and economic barriers isolating minority groups from mainstream markets may be more effective than simple geographic targeting.</w:t>
      </w:r>
    </w:p>
    <w:p w14:paraId="6695DBC3" w14:textId="77777777" w:rsidR="00646D01" w:rsidRPr="00237912" w:rsidRDefault="00646D01" w:rsidP="00646D01">
      <w:pPr>
        <w:pStyle w:val="NormalWeb"/>
        <w:jc w:val="both"/>
        <w:rPr>
          <w:sz w:val="28"/>
          <w:szCs w:val="28"/>
        </w:rPr>
      </w:pPr>
      <w:r w:rsidRPr="00237912">
        <w:rPr>
          <w:sz w:val="28"/>
          <w:szCs w:val="28"/>
        </w:rPr>
        <w:t xml:space="preserve">Regarding </w:t>
      </w:r>
      <w:r w:rsidRPr="00237912">
        <w:rPr>
          <w:rStyle w:val="Strong"/>
          <w:rFonts w:eastAsia="Calibri"/>
          <w:b w:val="0"/>
          <w:bCs w:val="0"/>
          <w:sz w:val="28"/>
          <w:szCs w:val="28"/>
        </w:rPr>
        <w:t>income structure and inequality</w:t>
      </w:r>
      <w:r w:rsidRPr="00C00BE7">
        <w:rPr>
          <w:sz w:val="28"/>
          <w:szCs w:val="28"/>
        </w:rPr>
        <w:t>,</w:t>
      </w:r>
      <w:r w:rsidRPr="00237912">
        <w:rPr>
          <w:sz w:val="28"/>
          <w:szCs w:val="28"/>
        </w:rPr>
        <w:t xml:space="preserve"> </w:t>
      </w:r>
      <w:r>
        <w:rPr>
          <w:sz w:val="28"/>
          <w:szCs w:val="28"/>
        </w:rPr>
        <w:fldChar w:fldCharType="begin"/>
      </w:r>
      <w:r>
        <w:rPr>
          <w:sz w:val="28"/>
          <w:szCs w:val="28"/>
        </w:rPr>
        <w:instrText xml:space="preserve"> ADDIN ZOTERO_ITEM CSL_CITATION {"citationID":"GgzfD2kz","properties":{"formattedCitation":"(Tuyen, 2016)","plainCitation":"(Tuyen, 2016)","noteIndex":0},"citationItems":[{"id":95,"uris":["http://zotero.org/users/local/Gh2w8VaO/items/BLK2KIHG"],"itemData":{"id":95,"type":"article-journal","abstract":"This study analyzes the sources of income inequality among ethnic minorities in the Northwest region—the poorest and highest inequality region of Vietnam. Using an analysis of Gini decomposition by income source, the results show that while agricultural income, notably crop income, considerably decreases income inequality, off-farm income sources (wage and non-farm self-employment incomes) are found to increase inequality. This can be explained that in comparison with other income sources, agricultural income is more equally distributed and the main income source for most poor households. However, off-farm income sources are more unequally distributed and flow disproportionately toward the better-off. The findings support the hypothesis that income diversification in non-farm activities results in either greater inequality if opportunities for these activities are skewed toward to the better-off or less inequality if such opportunities are accessible to the poorer part of the population.","container-title":"Environment, Development and Sustainability","DOI":"10.1007/s10668-015-9700-8","ISSN":"1573-2975","issue":"4","journalAbbreviation":"Environ Dev Sustain","language":"en","page":"1239-1254","source":"Springer Link","title":"Income sources and inequality among ethnic minorities in the Northwest region, Vietnam","volume":"18","author":[{"family":"Tuyen","given":"Tran Quang"}],"issued":{"date-parts":[["2016",8,1]]}}}],"schema":"https://github.com/citation-style-language/schema/raw/master/csl-citation.json"} </w:instrText>
      </w:r>
      <w:r>
        <w:rPr>
          <w:sz w:val="28"/>
          <w:szCs w:val="28"/>
        </w:rPr>
        <w:fldChar w:fldCharType="separate"/>
      </w:r>
      <w:r>
        <w:rPr>
          <w:noProof/>
          <w:sz w:val="28"/>
          <w:szCs w:val="28"/>
        </w:rPr>
        <w:t>(Tuyen, 2016)</w:t>
      </w:r>
      <w:r>
        <w:rPr>
          <w:sz w:val="28"/>
          <w:szCs w:val="28"/>
        </w:rPr>
        <w:fldChar w:fldCharType="end"/>
      </w:r>
      <w:r w:rsidRPr="00237912">
        <w:rPr>
          <w:sz w:val="28"/>
          <w:szCs w:val="28"/>
        </w:rPr>
        <w:t xml:space="preserve"> demonstrates that agricultural income—especially crop production—tends to equalize income distribution, whereas off-farm income sources (wages, nonfarm self-employment) increase inequality if access is skewed toward better-off households. This highlights the importance of expanding nonfarm opportunities for poorer groups to ensure equitable growth.</w:t>
      </w:r>
    </w:p>
    <w:p w14:paraId="1E1CC6FF" w14:textId="77777777" w:rsidR="00646D01" w:rsidRPr="00237912" w:rsidRDefault="00646D01" w:rsidP="00646D01">
      <w:pPr>
        <w:pStyle w:val="NormalWeb"/>
        <w:jc w:val="both"/>
        <w:rPr>
          <w:sz w:val="28"/>
          <w:szCs w:val="28"/>
        </w:rPr>
      </w:pPr>
      <w:r w:rsidRPr="00237912">
        <w:rPr>
          <w:sz w:val="28"/>
          <w:szCs w:val="28"/>
        </w:rPr>
        <w:t xml:space="preserve">Moving beyond the income dimension, </w:t>
      </w:r>
      <w:r>
        <w:rPr>
          <w:sz w:val="28"/>
          <w:szCs w:val="28"/>
        </w:rPr>
        <w:fldChar w:fldCharType="begin"/>
      </w:r>
      <w:r>
        <w:rPr>
          <w:sz w:val="28"/>
          <w:szCs w:val="28"/>
        </w:rPr>
        <w:instrText xml:space="preserve"> ADDIN ZOTERO_ITEM CSL_CITATION {"citationID":"KumFFlSP","properties":{"formattedCitation":"(Pham &amp; Mukhopadhaya, 2022)","plainCitation":"(Pham &amp; Mukhopadhaya, 2022)","noteIndex":0},"citationItems":[{"id":96,"uris":["http://zotero.org/users/local/Gh2w8VaO/items/C9LEM7MX"],"itemData":{"id":96,"type":"article-journal","abstract":"This paper empirically examines the disparities over time across six dimensions of poverty (monetary, education, health, housing, basic services, and durable assets) between ethnic minority and majority households in rural Vietnam. Using the five-wave panel data of the Vietnam Access to Resources Household Survey (VARHS) 2008–2016, we observe improvements in most non-monetary dimensions of poverty for both ethnic groups, while the monetary dimension shows the highest degrees of deprivation and the lowest rate of decrease during the studied period. Health is the only dimension in which ethnic minority households are not only better off than those of majority households during the studied period, but also report improvement. We further explore the role of social capital in ethnic minorities and non-minorities at household and community levels in multiple dimensions of poverty by employing multilevel models. Our study reports the significant effects social capital have at the community level on reducing poverty in the monetary, education, housing, and basic services dimensions for ethnic minorities, while social capital at the household level shows significant effects on monetary, basic services, and durable assets. These findings indicate that policy makers ought to consider the role of social capital when designing poverty alleviation strategies for the country.","container-title":"Social Indicators Research","DOI":"10.1007/s11205-021-02747-y","ISSN":"1573-0921","issue":"1","journalAbbreviation":"Soc Indic Res","language":"en","page":"281-317","source":"Springer Link","title":"Multidimensionl Poverty and The Role of Social Capital in Poverty Alleviation Among Ethnic Groups in Rural Vietnam: A Multilevel Analysis","title-short":"Multidimensionl Poverty and The Role of Social Capital in Poverty Alleviation Among Ethnic Groups in Rural Vietnam","volume":"159","author":[{"family":"Pham","given":"Anh Thu Quang"},{"family":"Mukhopadhaya","given":"Pundarik"}],"issued":{"date-parts":[["2022",1,1]]}}}],"schema":"https://github.com/citation-style-language/schema/raw/master/csl-citation.json"} </w:instrText>
      </w:r>
      <w:r>
        <w:rPr>
          <w:sz w:val="28"/>
          <w:szCs w:val="28"/>
        </w:rPr>
        <w:fldChar w:fldCharType="separate"/>
      </w:r>
      <w:r>
        <w:rPr>
          <w:noProof/>
          <w:sz w:val="28"/>
          <w:szCs w:val="28"/>
        </w:rPr>
        <w:t>(Pham &amp; Mukhopadhaya, 2022)</w:t>
      </w:r>
      <w:r>
        <w:rPr>
          <w:sz w:val="28"/>
          <w:szCs w:val="28"/>
        </w:rPr>
        <w:fldChar w:fldCharType="end"/>
      </w:r>
      <w:r w:rsidRPr="00237912">
        <w:rPr>
          <w:sz w:val="28"/>
          <w:szCs w:val="28"/>
        </w:rPr>
        <w:t xml:space="preserve"> employ a multidimensional poverty approach using VARHS 2008–2016 data and find that while deprivations in education, housing, and basic services have declined for both majority and minority households, income poverty remains the most persistent. Their study also shows that social capital at the community level significantly reduces monetary and non-monetary poverty, underscoring the role of community networks in poverty alleviation.</w:t>
      </w:r>
    </w:p>
    <w:p w14:paraId="510AE17A" w14:textId="77777777" w:rsidR="00646D01" w:rsidRPr="00237912" w:rsidRDefault="00646D01" w:rsidP="00646D01">
      <w:pPr>
        <w:pStyle w:val="NormalWeb"/>
        <w:jc w:val="both"/>
        <w:rPr>
          <w:sz w:val="28"/>
          <w:szCs w:val="28"/>
        </w:rPr>
      </w:pPr>
      <w:r w:rsidRPr="00237912">
        <w:rPr>
          <w:sz w:val="28"/>
          <w:szCs w:val="28"/>
        </w:rPr>
        <w:t>Finally,</w:t>
      </w:r>
      <w:r>
        <w:rPr>
          <w:sz w:val="28"/>
          <w:szCs w:val="28"/>
        </w:rPr>
        <w:t xml:space="preserve"> </w:t>
      </w:r>
      <w:r>
        <w:rPr>
          <w:sz w:val="28"/>
          <w:szCs w:val="28"/>
        </w:rPr>
        <w:fldChar w:fldCharType="begin"/>
      </w:r>
      <w:r>
        <w:rPr>
          <w:sz w:val="28"/>
          <w:szCs w:val="28"/>
        </w:rPr>
        <w:instrText xml:space="preserve"> ADDIN ZOTERO_ITEM CSL_CITATION {"citationID":"JGDwxOYh","properties":{"formattedCitation":"(Dang et al., n.d.)","plainCitation":"(Dang et al., n.d.)","noteIndex":0},"citationItems":[{"id":97,"uris":["http://zotero.org/users/local/Gh2w8VaO/items/4V6IMKMK"],"itemData":{"id":97,"type":"article-journal","abstract":"Vietnam is widely regarded as a success story for its impressive economic growth and poverty reduction in the last few decades. Yet, recent evidence indicates that the country's economic growth has not been uniform. Compiling and analyzing new extensive province-level data from the Vietnam Household Living Standards Surveys (VHLSSs) spanning 2002 and 2020 and other data sources, we find within-province inequality to be much larger than between-province inequality. Furthermore, this inequality gap is rising over time. Despite the country's fast poverty reduction, the poor were increasingly segregated in certain provinces, particularly those with a larger ethnic minority population. We find beneficial impact of economic growth on poverty reduction, but this can depend on inequality levels. We also find greater inequality to have negative effects on economic growth but varying negative effects on different poverty indicators. We also find some supportive evidence for the beneficial impact of economic transitions from agriculture to non-agriculture. Our results suggest that policy makers in Vietnam should focus on reducing spatial disparities and income inequality to attain sustainable economic development.","container-title":"Review of Development Economics","DOI":"https://doi.org/10.1111/rode.13175","ISSN":"1467-9361","issue":"n/a","language":"en","license":"© 2024 The Author(s). Review of Development Economics published by John Wiley &amp; Sons Ltd.","note":"_eprint: https://onlinelibrary.wiley.com/doi/pdf/10.1111/rode.13175","source":"Wiley Online Library","title":"Rapid Economic Growth but Rising Poverty Segregation: Will Vietnam Meet the SDGs for Equitable Development?","title-short":"Rapid Economic Growth but Rising Poverty Segregation","URL":"https://onlinelibrary.wiley.com/doi/abs/10.1111/rode.13175","volume":"n/a","author":[{"family":"Dang","given":"Hai-Anh H."},{"family":"Dhongde","given":"Shatakshee"},{"family":"Do","given":"Minh N. N."},{"family":"Nguyen","given":"Cuong Viet"},{"family":"Pimhidzai","given":"Obert"}],"accessed":{"date-parts":[["2025",9,24]]}}}],"schema":"https://github.com/citation-style-language/schema/raw/master/csl-citation.json"} </w:instrText>
      </w:r>
      <w:r>
        <w:rPr>
          <w:sz w:val="28"/>
          <w:szCs w:val="28"/>
        </w:rPr>
        <w:fldChar w:fldCharType="separate"/>
      </w:r>
      <w:r>
        <w:rPr>
          <w:noProof/>
          <w:sz w:val="28"/>
          <w:szCs w:val="28"/>
        </w:rPr>
        <w:t>(Dang et al., n.d.)</w:t>
      </w:r>
      <w:r>
        <w:rPr>
          <w:sz w:val="28"/>
          <w:szCs w:val="28"/>
        </w:rPr>
        <w:fldChar w:fldCharType="end"/>
      </w:r>
      <w:r>
        <w:rPr>
          <w:sz w:val="28"/>
          <w:szCs w:val="28"/>
        </w:rPr>
        <w:t xml:space="preserve"> </w:t>
      </w:r>
      <w:r w:rsidRPr="00237912">
        <w:rPr>
          <w:sz w:val="28"/>
          <w:szCs w:val="28"/>
        </w:rPr>
        <w:t xml:space="preserve">emphasize that despite rapid national poverty reduction, </w:t>
      </w:r>
      <w:r w:rsidRPr="00237912">
        <w:rPr>
          <w:rStyle w:val="Strong"/>
          <w:rFonts w:eastAsia="Calibri"/>
          <w:b w:val="0"/>
          <w:bCs w:val="0"/>
          <w:sz w:val="28"/>
          <w:szCs w:val="28"/>
        </w:rPr>
        <w:t>poverty segregation</w:t>
      </w:r>
      <w:r w:rsidRPr="00237912">
        <w:rPr>
          <w:sz w:val="28"/>
          <w:szCs w:val="28"/>
        </w:rPr>
        <w:t xml:space="preserve"> has intensified, with the poor increasingly concentrated in provinces with high shares of ethnic minorities. Rising within-province inequality poses risks of slower growth and persistent poverty traps, suggesting the need for spatially targeted and equity-focused development policies.</w:t>
      </w:r>
    </w:p>
    <w:p w14:paraId="18ECC384" w14:textId="77777777" w:rsidR="00646D01" w:rsidRDefault="00646D01" w:rsidP="003E57BB">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p>
    <w:p w14:paraId="1E1175C0" w14:textId="262579B6" w:rsidR="00D74D93" w:rsidRPr="00D74D93" w:rsidRDefault="00D74D93" w:rsidP="004514F8">
      <w:pPr>
        <w:pStyle w:val="NormalWeb"/>
        <w:spacing w:before="120" w:after="120" w:line="288" w:lineRule="auto"/>
        <w:jc w:val="both"/>
        <w:rPr>
          <w:rFonts w:asciiTheme="majorHAnsi" w:eastAsia="Calibri" w:hAnsiTheme="majorHAnsi" w:cstheme="majorHAnsi"/>
          <w:sz w:val="28"/>
          <w:szCs w:val="28"/>
          <w:lang w:val="de-DE" w:eastAsia="en-US"/>
        </w:rPr>
      </w:pPr>
      <w:r w:rsidRPr="00D74D93">
        <w:rPr>
          <w:rFonts w:asciiTheme="majorHAnsi" w:eastAsia="Calibri" w:hAnsiTheme="majorHAnsi" w:cstheme="majorHAnsi"/>
          <w:sz w:val="28"/>
          <w:szCs w:val="28"/>
          <w:lang w:val="de-DE" w:eastAsia="en-US"/>
        </w:rPr>
        <w:t>Based on the literature review and conceptual framework, the study is guided by the following hypotheses:</w:t>
      </w:r>
    </w:p>
    <w:p w14:paraId="6AF31796" w14:textId="61C037B1" w:rsidR="00D74D93" w:rsidRPr="00D74D93" w:rsidRDefault="00D74D93" w:rsidP="004514F8">
      <w:pPr>
        <w:pStyle w:val="NormalWeb"/>
        <w:spacing w:before="120" w:after="120" w:line="288" w:lineRule="auto"/>
        <w:jc w:val="both"/>
        <w:rPr>
          <w:rFonts w:asciiTheme="majorHAnsi" w:eastAsia="Calibri" w:hAnsiTheme="majorHAnsi" w:cstheme="majorHAnsi"/>
          <w:sz w:val="28"/>
          <w:szCs w:val="28"/>
          <w:lang w:val="de-DE" w:eastAsia="en-US"/>
        </w:rPr>
      </w:pPr>
      <w:r w:rsidRPr="00D74D93">
        <w:rPr>
          <w:rFonts w:asciiTheme="majorHAnsi" w:eastAsia="Calibri" w:hAnsiTheme="majorHAnsi" w:cstheme="majorHAnsi"/>
          <w:sz w:val="28"/>
          <w:szCs w:val="28"/>
          <w:lang w:val="de-DE" w:eastAsia="en-US"/>
        </w:rPr>
        <w:t>H1: Capability-related factors (such as cultivated land area and language proficiency) have a positive effect on household income.</w:t>
      </w:r>
    </w:p>
    <w:p w14:paraId="51448A59" w14:textId="2FFB9642" w:rsidR="00D74D93" w:rsidRPr="00D74D93" w:rsidRDefault="00D74D93" w:rsidP="004514F8">
      <w:pPr>
        <w:pStyle w:val="NormalWeb"/>
        <w:spacing w:before="120" w:after="120" w:line="288" w:lineRule="auto"/>
        <w:jc w:val="both"/>
        <w:rPr>
          <w:rFonts w:asciiTheme="majorHAnsi" w:eastAsia="Calibri" w:hAnsiTheme="majorHAnsi" w:cstheme="majorHAnsi"/>
          <w:sz w:val="28"/>
          <w:szCs w:val="28"/>
          <w:lang w:val="de-DE" w:eastAsia="en-US"/>
        </w:rPr>
      </w:pPr>
      <w:r w:rsidRPr="00D74D93">
        <w:rPr>
          <w:rFonts w:asciiTheme="majorHAnsi" w:eastAsia="Calibri" w:hAnsiTheme="majorHAnsi" w:cstheme="majorHAnsi"/>
          <w:sz w:val="28"/>
          <w:szCs w:val="28"/>
          <w:lang w:val="de-DE" w:eastAsia="en-US"/>
        </w:rPr>
        <w:t>H2: Sustainability factors (such as participation in vocational training and shorter job tenure) positively affect income.</w:t>
      </w:r>
    </w:p>
    <w:p w14:paraId="3474DEA6" w14:textId="2BBA953A" w:rsidR="00D74D93" w:rsidRPr="00D74D93" w:rsidRDefault="00D74D93" w:rsidP="004514F8">
      <w:pPr>
        <w:pStyle w:val="NormalWeb"/>
        <w:spacing w:before="120" w:after="120" w:line="288" w:lineRule="auto"/>
        <w:jc w:val="both"/>
        <w:rPr>
          <w:rFonts w:asciiTheme="majorHAnsi" w:eastAsia="Calibri" w:hAnsiTheme="majorHAnsi" w:cstheme="majorHAnsi"/>
          <w:sz w:val="28"/>
          <w:szCs w:val="28"/>
          <w:lang w:val="de-DE" w:eastAsia="en-US"/>
        </w:rPr>
      </w:pPr>
      <w:r w:rsidRPr="00D74D93">
        <w:rPr>
          <w:rFonts w:asciiTheme="majorHAnsi" w:eastAsia="Calibri" w:hAnsiTheme="majorHAnsi" w:cstheme="majorHAnsi"/>
          <w:sz w:val="28"/>
          <w:szCs w:val="28"/>
          <w:lang w:val="de-DE" w:eastAsia="en-US"/>
        </w:rPr>
        <w:lastRenderedPageBreak/>
        <w:t>H3: Efficiency factors (such as workplace consultation and decision-making participation) are positively associated with income.</w:t>
      </w:r>
    </w:p>
    <w:p w14:paraId="5AD273E6" w14:textId="028E64B8" w:rsidR="00D74D93" w:rsidRDefault="00D74D93" w:rsidP="002C1E58">
      <w:pPr>
        <w:pStyle w:val="NormalWeb"/>
        <w:spacing w:before="120" w:beforeAutospacing="0" w:after="120" w:afterAutospacing="0" w:line="288" w:lineRule="auto"/>
        <w:jc w:val="both"/>
        <w:rPr>
          <w:rFonts w:asciiTheme="majorHAnsi" w:eastAsia="Calibri" w:hAnsiTheme="majorHAnsi" w:cstheme="majorHAnsi"/>
          <w:sz w:val="28"/>
          <w:szCs w:val="28"/>
          <w:lang w:val="de-DE" w:eastAsia="en-US"/>
        </w:rPr>
      </w:pPr>
      <w:r w:rsidRPr="00D74D93">
        <w:rPr>
          <w:rFonts w:asciiTheme="majorHAnsi" w:eastAsia="Calibri" w:hAnsiTheme="majorHAnsi" w:cstheme="majorHAnsi"/>
          <w:sz w:val="28"/>
          <w:szCs w:val="28"/>
          <w:lang w:val="de-DE" w:eastAsia="en-US"/>
        </w:rPr>
        <w:t>H4: Socio-demographic variables (education, living standard, marital status) are significant predictors of household income.</w:t>
      </w:r>
    </w:p>
    <w:p w14:paraId="631991F5" w14:textId="29D1E8CD" w:rsidR="0018515E" w:rsidRDefault="0018515E" w:rsidP="003E57BB">
      <w:pPr>
        <w:pStyle w:val="NormalWeb"/>
        <w:spacing w:before="120" w:beforeAutospacing="0" w:after="120" w:afterAutospacing="0" w:line="288" w:lineRule="auto"/>
        <w:jc w:val="both"/>
        <w:rPr>
          <w:rFonts w:asciiTheme="majorHAnsi" w:eastAsia="Calibri" w:hAnsiTheme="majorHAnsi" w:cstheme="majorHAnsi"/>
          <w:b/>
          <w:bCs/>
          <w:sz w:val="28"/>
          <w:szCs w:val="28"/>
          <w:lang w:val="de-DE" w:eastAsia="en-US"/>
        </w:rPr>
      </w:pPr>
      <w:r w:rsidRPr="004514F8">
        <w:rPr>
          <w:rFonts w:asciiTheme="majorHAnsi" w:eastAsia="Calibri" w:hAnsiTheme="majorHAnsi" w:cstheme="majorHAnsi"/>
          <w:b/>
          <w:bCs/>
          <w:sz w:val="28"/>
          <w:szCs w:val="28"/>
          <w:lang w:val="de-DE" w:eastAsia="en-US"/>
        </w:rPr>
        <w:t>METHOD</w:t>
      </w:r>
      <w:r w:rsidR="00BD0865" w:rsidRPr="004514F8">
        <w:rPr>
          <w:rFonts w:asciiTheme="majorHAnsi" w:eastAsia="Calibri" w:hAnsiTheme="majorHAnsi" w:cstheme="majorHAnsi"/>
          <w:b/>
          <w:bCs/>
          <w:sz w:val="28"/>
          <w:szCs w:val="28"/>
          <w:lang w:val="de-DE" w:eastAsia="en-US"/>
        </w:rPr>
        <w:t>O</w:t>
      </w:r>
      <w:r w:rsidRPr="004514F8">
        <w:rPr>
          <w:rFonts w:asciiTheme="majorHAnsi" w:eastAsia="Calibri" w:hAnsiTheme="majorHAnsi" w:cstheme="majorHAnsi"/>
          <w:b/>
          <w:bCs/>
          <w:sz w:val="28"/>
          <w:szCs w:val="28"/>
          <w:lang w:val="de-DE" w:eastAsia="en-US"/>
        </w:rPr>
        <w:t>LOGY</w:t>
      </w:r>
    </w:p>
    <w:p w14:paraId="1FC87AE0" w14:textId="5BD0D6AE" w:rsidR="00507DFF" w:rsidRPr="004514F8" w:rsidRDefault="00507DFF" w:rsidP="004514F8">
      <w:pPr>
        <w:pStyle w:val="NormalWeb"/>
        <w:spacing w:before="120" w:beforeAutospacing="0" w:after="120" w:afterAutospacing="0" w:line="264" w:lineRule="auto"/>
        <w:jc w:val="both"/>
        <w:rPr>
          <w:rFonts w:eastAsia="Calibri"/>
          <w:sz w:val="28"/>
          <w:szCs w:val="22"/>
          <w:lang w:val="en-US" w:eastAsia="en-US"/>
        </w:rPr>
      </w:pPr>
      <w:r w:rsidRPr="004514F8">
        <w:rPr>
          <w:rFonts w:eastAsia="Calibri"/>
          <w:sz w:val="28"/>
          <w:szCs w:val="22"/>
          <w:lang w:val="en-US" w:eastAsia="en-US"/>
        </w:rPr>
        <w:t xml:space="preserve">The structured questionnaire consisted of </w:t>
      </w:r>
      <w:r>
        <w:rPr>
          <w:rFonts w:eastAsia="Calibri"/>
          <w:sz w:val="28"/>
          <w:szCs w:val="22"/>
          <w:lang w:val="en-US" w:eastAsia="en-US"/>
        </w:rPr>
        <w:t>30</w:t>
      </w:r>
      <w:r w:rsidRPr="004514F8">
        <w:rPr>
          <w:rFonts w:eastAsia="Calibri"/>
          <w:sz w:val="28"/>
          <w:szCs w:val="22"/>
          <w:lang w:val="en-US" w:eastAsia="en-US"/>
        </w:rPr>
        <w:t xml:space="preserve"> closed-ended questions and </w:t>
      </w:r>
      <w:r>
        <w:rPr>
          <w:rFonts w:eastAsia="Calibri"/>
          <w:sz w:val="28"/>
          <w:szCs w:val="22"/>
          <w:lang w:val="en-US" w:eastAsia="en-US"/>
        </w:rPr>
        <w:t>many</w:t>
      </w:r>
      <w:r w:rsidRPr="004514F8">
        <w:rPr>
          <w:rFonts w:eastAsia="Calibri"/>
          <w:sz w:val="28"/>
          <w:szCs w:val="22"/>
          <w:lang w:val="en-US" w:eastAsia="en-US"/>
        </w:rPr>
        <w:t xml:space="preserve"> open-ended questions, covering demographic information (age, gender, marital status, education), income levels, land area, language proficiency, training participation, job tenure, and workplace participation. The inclusion of open-ended questions allowed respondents to elaborate on challenges and opportunities affecting their livelihoods, providing richer qualitative insights.</w:t>
      </w:r>
    </w:p>
    <w:p w14:paraId="01456FBD" w14:textId="509DF2B6" w:rsidR="002C1E58" w:rsidRDefault="004165FD" w:rsidP="004165FD">
      <w:r>
        <w:t xml:space="preserve">This study employs a quantitative, cross-sectional research design to examine the determinants of household income among Tay and Hmong ethnic minority groups in the northern highlands of Vietnam. </w:t>
      </w:r>
      <w:r w:rsidR="002C1E58">
        <w:t>D</w:t>
      </w:r>
      <w:r>
        <w:t xml:space="preserve">ata were collected through a structured questionnaire survey of 280 respondents selected from Vi Xuyen and Dong Van districts, complemented by </w:t>
      </w:r>
      <w:r w:rsidR="002C1E58">
        <w:t>a survey</w:t>
      </w:r>
      <w:r>
        <w:t xml:space="preserve"> data from the 2</w:t>
      </w:r>
      <w:r w:rsidR="002C1E58">
        <w:t>023</w:t>
      </w:r>
      <w:r>
        <w:t>. The sampling ensured representation of both major ethnic groups and covered key socio-economic characteristics such as age, gender, education, occupation, and landholding status.</w:t>
      </w:r>
    </w:p>
    <w:p w14:paraId="1380D062" w14:textId="5FDC62F3" w:rsidR="004165FD" w:rsidRDefault="004165FD" w:rsidP="004165FD">
      <w:r>
        <w:t>Descriptive statistics were first used to summarize sample characteristics. A two-sample t-test was then applied to compare mean household income between the Tay and Hmong groups. To identify determinants of income, the study used multiple linear regression analysis estimated by ordinary least squares (OLS) in Stata. Two models were specified: Model 1 estimated the effects of all variables on income for the entire sample, while Model 2 was applied to ethnic-specific sub-samples to capture heterogeneous effects across the two groups.</w:t>
      </w:r>
    </w:p>
    <w:p w14:paraId="0CDCB4EB" w14:textId="77777777" w:rsidR="004165FD" w:rsidRDefault="004165FD" w:rsidP="004165FD">
      <w:r>
        <w:br/>
        <w:t>The regression model is specified as follows:</w:t>
      </w:r>
    </w:p>
    <w:p w14:paraId="305574F8" w14:textId="41523C6E" w:rsidR="004165FD" w:rsidRDefault="004165FD" w:rsidP="004165FD">
      <w:r>
        <w:br/>
      </w:r>
      <w:proofErr w:type="spellStart"/>
      <w:r>
        <w:t>Income</w:t>
      </w:r>
      <w:r>
        <w:rPr>
          <w:vertAlign w:val="subscript"/>
        </w:rPr>
        <w:t>i</w:t>
      </w:r>
      <w:proofErr w:type="spellEnd"/>
      <w:r>
        <w:t xml:space="preserve"> = β0 + β1 </w:t>
      </w:r>
      <w:proofErr w:type="spellStart"/>
      <w:r>
        <w:t>Gender</w:t>
      </w:r>
      <w:r>
        <w:rPr>
          <w:vertAlign w:val="subscript"/>
        </w:rPr>
        <w:t>i</w:t>
      </w:r>
      <w:proofErr w:type="spellEnd"/>
      <w:r>
        <w:t xml:space="preserve"> + β2 </w:t>
      </w:r>
      <w:proofErr w:type="spellStart"/>
      <w:r>
        <w:t>Age</w:t>
      </w:r>
      <w:r>
        <w:rPr>
          <w:vertAlign w:val="subscript"/>
        </w:rPr>
        <w:t>i</w:t>
      </w:r>
      <w:proofErr w:type="spellEnd"/>
      <w:r>
        <w:t xml:space="preserve"> + β3 </w:t>
      </w:r>
      <w:proofErr w:type="spellStart"/>
      <w:r>
        <w:t>MaritalStatus</w:t>
      </w:r>
      <w:r>
        <w:rPr>
          <w:vertAlign w:val="subscript"/>
        </w:rPr>
        <w:t>i</w:t>
      </w:r>
      <w:proofErr w:type="spellEnd"/>
      <w:r>
        <w:t xml:space="preserve"> + β4 </w:t>
      </w:r>
      <w:proofErr w:type="spellStart"/>
      <w:r>
        <w:t>Education</w:t>
      </w:r>
      <w:r>
        <w:rPr>
          <w:vertAlign w:val="subscript"/>
        </w:rPr>
        <w:t>i</w:t>
      </w:r>
      <w:proofErr w:type="spellEnd"/>
      <w:r>
        <w:t xml:space="preserve"> + β5 </w:t>
      </w:r>
      <w:proofErr w:type="spellStart"/>
      <w:r>
        <w:t>LivingStandard</w:t>
      </w:r>
      <w:r>
        <w:rPr>
          <w:vertAlign w:val="subscript"/>
        </w:rPr>
        <w:t>i</w:t>
      </w:r>
      <w:proofErr w:type="spellEnd"/>
      <w:r>
        <w:t xml:space="preserve"> + β6 </w:t>
      </w:r>
      <w:proofErr w:type="spellStart"/>
      <w:r>
        <w:t>LandArea</w:t>
      </w:r>
      <w:r>
        <w:rPr>
          <w:vertAlign w:val="subscript"/>
        </w:rPr>
        <w:t>i</w:t>
      </w:r>
      <w:proofErr w:type="spellEnd"/>
      <w:r>
        <w:t xml:space="preserve"> + β7 </w:t>
      </w:r>
      <w:proofErr w:type="spellStart"/>
      <w:r>
        <w:t>Language</w:t>
      </w:r>
      <w:r>
        <w:rPr>
          <w:vertAlign w:val="subscript"/>
        </w:rPr>
        <w:t>i</w:t>
      </w:r>
      <w:proofErr w:type="spellEnd"/>
      <w:r>
        <w:t xml:space="preserve"> + β8 </w:t>
      </w:r>
      <w:proofErr w:type="spellStart"/>
      <w:r>
        <w:t>Training</w:t>
      </w:r>
      <w:r>
        <w:rPr>
          <w:vertAlign w:val="subscript"/>
        </w:rPr>
        <w:t>i</w:t>
      </w:r>
      <w:proofErr w:type="spellEnd"/>
      <w:r>
        <w:t xml:space="preserve"> + β9 </w:t>
      </w:r>
      <w:proofErr w:type="spellStart"/>
      <w:r>
        <w:t>JobTenure</w:t>
      </w:r>
      <w:r>
        <w:rPr>
          <w:vertAlign w:val="subscript"/>
        </w:rPr>
        <w:t>i</w:t>
      </w:r>
      <w:proofErr w:type="spellEnd"/>
      <w:r>
        <w:t xml:space="preserve"> + β10 </w:t>
      </w:r>
      <w:proofErr w:type="spellStart"/>
      <w:r>
        <w:t>WorkConsultation</w:t>
      </w:r>
      <w:r>
        <w:rPr>
          <w:vertAlign w:val="subscript"/>
        </w:rPr>
        <w:t>i</w:t>
      </w:r>
      <w:proofErr w:type="spellEnd"/>
      <w:r>
        <w:t xml:space="preserve"> + β11 </w:t>
      </w:r>
      <w:proofErr w:type="spellStart"/>
      <w:r>
        <w:t>WorkIndependence</w:t>
      </w:r>
      <w:r>
        <w:rPr>
          <w:vertAlign w:val="subscript"/>
        </w:rPr>
        <w:t>i</w:t>
      </w:r>
      <w:proofErr w:type="spellEnd"/>
      <w:r>
        <w:t xml:space="preserve"> + </w:t>
      </w:r>
      <w:proofErr w:type="spellStart"/>
      <w:r>
        <w:t>ε</w:t>
      </w:r>
      <w:r>
        <w:rPr>
          <w:vertAlign w:val="subscript"/>
        </w:rPr>
        <w:t>i</w:t>
      </w:r>
      <w:proofErr w:type="spellEnd"/>
    </w:p>
    <w:p w14:paraId="1DE9CBF0" w14:textId="15C510E1" w:rsidR="004165FD" w:rsidRDefault="004165FD" w:rsidP="004165FD">
      <w:r>
        <w:br/>
        <w:t xml:space="preserve">where </w:t>
      </w:r>
      <w:proofErr w:type="spellStart"/>
      <w:r>
        <w:t>Income</w:t>
      </w:r>
      <w:r>
        <w:rPr>
          <w:vertAlign w:val="subscript"/>
        </w:rPr>
        <w:t>i</w:t>
      </w:r>
      <w:proofErr w:type="spellEnd"/>
      <w:r>
        <w:t xml:space="preserve"> is the monthly income of respondent </w:t>
      </w:r>
      <w:proofErr w:type="spellStart"/>
      <w:r>
        <w:t>i</w:t>
      </w:r>
      <w:proofErr w:type="spellEnd"/>
      <w:r>
        <w:t xml:space="preserve">; explanatory variables include demographic characteristics, capability-related variables (land area, language proficiency), sustainability factors (training participation, job tenure), and efficiency indicators (workplace consultation, work independence). </w:t>
      </w:r>
      <w:proofErr w:type="spellStart"/>
      <w:r>
        <w:t>ε</w:t>
      </w:r>
      <w:r>
        <w:rPr>
          <w:vertAlign w:val="subscript"/>
        </w:rPr>
        <w:t>i</w:t>
      </w:r>
      <w:proofErr w:type="spellEnd"/>
      <w:r>
        <w:t xml:space="preserve"> is the error term assumed to be normally distributed.</w:t>
      </w:r>
    </w:p>
    <w:p w14:paraId="368CDEF9" w14:textId="42CCE16E" w:rsidR="004165FD" w:rsidRDefault="004165FD" w:rsidP="004165FD">
      <w:r>
        <w:lastRenderedPageBreak/>
        <w:t>This design allows for testing whether capability, sustainability, and efficiency dimensions significantly affect household income and whether these effects vary between ethnic groups.</w:t>
      </w:r>
    </w:p>
    <w:p w14:paraId="72BBDEBA" w14:textId="77777777" w:rsidR="00952B3B" w:rsidRPr="004514F8" w:rsidRDefault="00952B3B" w:rsidP="003E57BB">
      <w:pPr>
        <w:pStyle w:val="NormalWeb"/>
        <w:spacing w:before="120" w:beforeAutospacing="0" w:after="120" w:afterAutospacing="0" w:line="288" w:lineRule="auto"/>
        <w:jc w:val="both"/>
        <w:rPr>
          <w:rFonts w:asciiTheme="majorHAnsi" w:eastAsia="Calibri" w:hAnsiTheme="majorHAnsi" w:cstheme="majorHAnsi"/>
          <w:b/>
          <w:bCs/>
          <w:sz w:val="28"/>
          <w:szCs w:val="28"/>
          <w:lang w:val="de-DE" w:eastAsia="en-US"/>
        </w:rPr>
      </w:pPr>
    </w:p>
    <w:p w14:paraId="59CE1DB4" w14:textId="485B3EBE" w:rsidR="002E13BD" w:rsidRPr="008C0556" w:rsidRDefault="001B0E21" w:rsidP="003E57BB">
      <w:pPr>
        <w:spacing w:before="120" w:after="120" w:line="288" w:lineRule="auto"/>
        <w:rPr>
          <w:rFonts w:asciiTheme="majorHAnsi" w:hAnsiTheme="majorHAnsi" w:cstheme="majorHAnsi"/>
          <w:b/>
          <w:szCs w:val="28"/>
          <w:lang w:val="de-DE"/>
        </w:rPr>
      </w:pPr>
      <w:r>
        <w:rPr>
          <w:rFonts w:asciiTheme="majorHAnsi" w:hAnsiTheme="majorHAnsi" w:cstheme="majorHAnsi"/>
          <w:b/>
          <w:szCs w:val="28"/>
          <w:lang w:val="de-DE"/>
        </w:rPr>
        <w:t xml:space="preserve">3. </w:t>
      </w:r>
      <w:r w:rsidR="00DB7ECB" w:rsidRPr="008C0556">
        <w:rPr>
          <w:rFonts w:asciiTheme="majorHAnsi" w:hAnsiTheme="majorHAnsi" w:cstheme="majorHAnsi"/>
          <w:b/>
          <w:szCs w:val="28"/>
          <w:lang w:val="de-DE"/>
        </w:rPr>
        <w:t>DATA</w:t>
      </w:r>
    </w:p>
    <w:p w14:paraId="731A04CF" w14:textId="5B219C0F" w:rsidR="0034734A" w:rsidRPr="008C0556" w:rsidRDefault="0034734A" w:rsidP="003E57BB">
      <w:pPr>
        <w:spacing w:before="120" w:after="120" w:line="288" w:lineRule="auto"/>
        <w:rPr>
          <w:rFonts w:asciiTheme="majorHAnsi" w:hAnsiTheme="majorHAnsi" w:cstheme="majorHAnsi"/>
          <w:bCs/>
          <w:szCs w:val="28"/>
          <w:lang w:val="de-DE"/>
        </w:rPr>
      </w:pPr>
      <w:bookmarkStart w:id="1" w:name="OLE_LINK7"/>
      <w:bookmarkStart w:id="2" w:name="OLE_LINK8"/>
      <w:r w:rsidRPr="008C0556">
        <w:rPr>
          <w:rFonts w:asciiTheme="majorHAnsi" w:hAnsiTheme="majorHAnsi" w:cstheme="majorHAnsi"/>
          <w:bCs/>
          <w:szCs w:val="28"/>
          <w:lang w:val="de-DE"/>
        </w:rPr>
        <w:t>This study is based on a field survey conducted in Ha Giang province, northern Vietnam, and supplemented with statistical data drawn from several previous surveys and census reports. Ha Giang, a northern mountainous province of Vietnam bordering China, is well known for its cultural diversity and the presence of numerous ethnic minority groups. Among these, the Hmong and Tay constitute the two largest communities. According to the General Statistics Office of Vietnam (2019 Census), the Hmong population in Ha Giang numbers 292,677 people, including 147,823 men and 144,854 women, accounting for 34.24% of the provincial population. Nationally, H</w:t>
      </w:r>
      <w:r w:rsidR="00341120">
        <w:rPr>
          <w:rFonts w:asciiTheme="majorHAnsi" w:hAnsiTheme="majorHAnsi" w:cstheme="majorHAnsi"/>
          <w:bCs/>
          <w:szCs w:val="28"/>
          <w:lang w:val="de-DE"/>
        </w:rPr>
        <w:t>a</w:t>
      </w:r>
      <w:r w:rsidRPr="008C0556">
        <w:rPr>
          <w:rFonts w:asciiTheme="majorHAnsi" w:hAnsiTheme="majorHAnsi" w:cstheme="majorHAnsi"/>
          <w:bCs/>
          <w:szCs w:val="28"/>
          <w:lang w:val="de-DE"/>
        </w:rPr>
        <w:t xml:space="preserve"> Giang’s Hmong community represents a significant proportion of the total 1,393,547 Hmong people, corresponding to 21.00% of the group’s population nationwide (General Statistics Office of Vietnam, 2020). This indicates that H</w:t>
      </w:r>
      <w:r w:rsidR="000912A8">
        <w:rPr>
          <w:rFonts w:asciiTheme="majorHAnsi" w:hAnsiTheme="majorHAnsi" w:cstheme="majorHAnsi"/>
          <w:bCs/>
          <w:szCs w:val="28"/>
          <w:lang w:val="de-DE"/>
        </w:rPr>
        <w:t>a</w:t>
      </w:r>
      <w:r w:rsidRPr="008C0556">
        <w:rPr>
          <w:rFonts w:asciiTheme="majorHAnsi" w:hAnsiTheme="majorHAnsi" w:cstheme="majorHAnsi"/>
          <w:bCs/>
          <w:szCs w:val="28"/>
          <w:lang w:val="de-DE"/>
        </w:rPr>
        <w:t xml:space="preserve"> Giang serves as one of the most important settlement areas for the Hmong in Vietnam.</w:t>
      </w:r>
    </w:p>
    <w:p w14:paraId="302FEC40" w14:textId="445467DE" w:rsidR="0034734A" w:rsidRPr="008C0556" w:rsidRDefault="0034734A" w:rsidP="003E57BB">
      <w:pPr>
        <w:spacing w:before="120" w:after="120" w:line="288" w:lineRule="auto"/>
        <w:rPr>
          <w:rFonts w:asciiTheme="majorHAnsi" w:hAnsiTheme="majorHAnsi" w:cstheme="majorHAnsi"/>
          <w:bCs/>
          <w:szCs w:val="28"/>
          <w:lang w:val="de-DE"/>
        </w:rPr>
      </w:pPr>
      <w:r w:rsidRPr="008C0556">
        <w:rPr>
          <w:rFonts w:asciiTheme="majorHAnsi" w:hAnsiTheme="majorHAnsi" w:cstheme="majorHAnsi"/>
          <w:bCs/>
          <w:szCs w:val="28"/>
          <w:lang w:val="de-DE"/>
        </w:rPr>
        <w:t xml:space="preserve">The Tay population in Ha Giang totals 192,702 individuals, comprising 96,506 men and 96,196 women, which makes up 22.55% of the province’s population. Compared with the total of 1,845,492 Tay people nationwide, this figure represents 10.44%, underscoring Ha Giang’s role as a key region for the Tay ethnic community as well. Taken together, the Hmong and Tay account for more than half of </w:t>
      </w:r>
      <w:r w:rsidR="00A40455">
        <w:rPr>
          <w:rFonts w:asciiTheme="majorHAnsi" w:hAnsiTheme="majorHAnsi" w:cstheme="majorHAnsi"/>
          <w:bCs/>
          <w:szCs w:val="28"/>
          <w:lang w:val="de-DE"/>
        </w:rPr>
        <w:t>Ha Giang</w:t>
      </w:r>
      <w:r w:rsidRPr="008C0556">
        <w:rPr>
          <w:rFonts w:asciiTheme="majorHAnsi" w:hAnsiTheme="majorHAnsi" w:cstheme="majorHAnsi"/>
          <w:bCs/>
          <w:szCs w:val="28"/>
          <w:lang w:val="de-DE"/>
        </w:rPr>
        <w:t>’s total population (56.79%), highlighting both their demographic dominance within the province and their substantial contribution to the overall distribution of these ethnic groups across Vietnam.</w:t>
      </w:r>
    </w:p>
    <w:p w14:paraId="7020E265" w14:textId="389A1DB9" w:rsidR="0034734A" w:rsidRPr="008C0556" w:rsidRDefault="0034734A" w:rsidP="0034734A">
      <w:pPr>
        <w:widowControl w:val="0"/>
        <w:rPr>
          <w:rFonts w:asciiTheme="majorHAnsi" w:hAnsiTheme="majorHAnsi" w:cstheme="majorHAnsi"/>
          <w:bCs/>
          <w:szCs w:val="28"/>
          <w:lang w:val="de-DE"/>
        </w:rPr>
      </w:pPr>
    </w:p>
    <w:p w14:paraId="1C84DCCB" w14:textId="1EE32976" w:rsidR="00EF7BFD" w:rsidRPr="008C0556" w:rsidRDefault="00C160C2" w:rsidP="00EF7BFD">
      <w:pPr>
        <w:widowControl w:val="0"/>
        <w:rPr>
          <w:rFonts w:asciiTheme="majorHAnsi" w:hAnsiTheme="majorHAnsi" w:cstheme="majorHAnsi"/>
          <w:b/>
          <w:bCs/>
          <w:sz w:val="26"/>
          <w:szCs w:val="26"/>
          <w:lang w:val="de-DE"/>
        </w:rPr>
      </w:pPr>
      <w:r w:rsidRPr="008C0556">
        <w:rPr>
          <w:rFonts w:asciiTheme="majorHAnsi" w:hAnsiTheme="majorHAnsi" w:cstheme="majorHAnsi"/>
          <w:b/>
          <w:bCs/>
          <w:sz w:val="26"/>
          <w:szCs w:val="26"/>
          <w:lang w:val="de-DE"/>
        </w:rPr>
        <w:t xml:space="preserve">Table 1. </w:t>
      </w:r>
      <w:r w:rsidR="0014735E" w:rsidRPr="008C0556">
        <w:rPr>
          <w:rFonts w:asciiTheme="majorHAnsi" w:hAnsiTheme="majorHAnsi" w:cstheme="majorHAnsi"/>
          <w:b/>
          <w:bCs/>
          <w:sz w:val="26"/>
          <w:szCs w:val="26"/>
          <w:lang w:val="de-DE"/>
        </w:rPr>
        <w:t>Sample Characteristics</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2268"/>
        <w:gridCol w:w="1608"/>
        <w:gridCol w:w="1701"/>
      </w:tblGrid>
      <w:tr w:rsidR="0014735E" w:rsidRPr="008C0556" w14:paraId="4DE1FAD5" w14:textId="77777777" w:rsidTr="00341120">
        <w:trPr>
          <w:trHeight w:val="320"/>
        </w:trPr>
        <w:tc>
          <w:tcPr>
            <w:tcW w:w="846" w:type="dxa"/>
            <w:noWrap/>
            <w:vAlign w:val="bottom"/>
            <w:hideMark/>
          </w:tcPr>
          <w:p w14:paraId="3013E982"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No.</w:t>
            </w:r>
          </w:p>
        </w:tc>
        <w:tc>
          <w:tcPr>
            <w:tcW w:w="2551" w:type="dxa"/>
            <w:noWrap/>
            <w:vAlign w:val="bottom"/>
            <w:hideMark/>
          </w:tcPr>
          <w:p w14:paraId="06F1DDE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Variable</w:t>
            </w:r>
          </w:p>
        </w:tc>
        <w:tc>
          <w:tcPr>
            <w:tcW w:w="2268" w:type="dxa"/>
            <w:noWrap/>
            <w:vAlign w:val="bottom"/>
            <w:hideMark/>
          </w:tcPr>
          <w:p w14:paraId="07DA607A"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Category</w:t>
            </w:r>
          </w:p>
        </w:tc>
        <w:tc>
          <w:tcPr>
            <w:tcW w:w="1608" w:type="dxa"/>
            <w:noWrap/>
            <w:vAlign w:val="bottom"/>
            <w:hideMark/>
          </w:tcPr>
          <w:p w14:paraId="5FB3EA5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Count</w:t>
            </w:r>
          </w:p>
        </w:tc>
        <w:tc>
          <w:tcPr>
            <w:tcW w:w="1701" w:type="dxa"/>
            <w:noWrap/>
            <w:vAlign w:val="bottom"/>
            <w:hideMark/>
          </w:tcPr>
          <w:p w14:paraId="143199B2"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Percentage (%)</w:t>
            </w:r>
          </w:p>
        </w:tc>
      </w:tr>
      <w:tr w:rsidR="0014735E" w:rsidRPr="008C0556" w14:paraId="773A94B3" w14:textId="77777777" w:rsidTr="00341120">
        <w:trPr>
          <w:trHeight w:val="320"/>
        </w:trPr>
        <w:tc>
          <w:tcPr>
            <w:tcW w:w="846" w:type="dxa"/>
            <w:noWrap/>
            <w:vAlign w:val="bottom"/>
            <w:hideMark/>
          </w:tcPr>
          <w:p w14:paraId="7160ADEB"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w:t>
            </w:r>
          </w:p>
        </w:tc>
        <w:tc>
          <w:tcPr>
            <w:tcW w:w="2551" w:type="dxa"/>
            <w:noWrap/>
            <w:vAlign w:val="bottom"/>
            <w:hideMark/>
          </w:tcPr>
          <w:p w14:paraId="24FD09D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Gender</w:t>
            </w:r>
          </w:p>
        </w:tc>
        <w:tc>
          <w:tcPr>
            <w:tcW w:w="2268" w:type="dxa"/>
            <w:noWrap/>
            <w:vAlign w:val="bottom"/>
            <w:hideMark/>
          </w:tcPr>
          <w:p w14:paraId="1A6EF4CB"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Male</w:t>
            </w:r>
          </w:p>
        </w:tc>
        <w:tc>
          <w:tcPr>
            <w:tcW w:w="1608" w:type="dxa"/>
            <w:noWrap/>
            <w:vAlign w:val="bottom"/>
            <w:hideMark/>
          </w:tcPr>
          <w:p w14:paraId="2DB1BD01" w14:textId="0AB1CAD6"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150</w:t>
            </w:r>
          </w:p>
        </w:tc>
        <w:tc>
          <w:tcPr>
            <w:tcW w:w="1701" w:type="dxa"/>
            <w:noWrap/>
            <w:vAlign w:val="bottom"/>
            <w:hideMark/>
          </w:tcPr>
          <w:p w14:paraId="16AC9E1E" w14:textId="446BC0C2"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53.6</w:t>
            </w:r>
          </w:p>
        </w:tc>
      </w:tr>
      <w:tr w:rsidR="0014735E" w:rsidRPr="008C0556" w14:paraId="0DE1F993" w14:textId="77777777" w:rsidTr="00341120">
        <w:trPr>
          <w:trHeight w:val="320"/>
        </w:trPr>
        <w:tc>
          <w:tcPr>
            <w:tcW w:w="846" w:type="dxa"/>
            <w:noWrap/>
            <w:vAlign w:val="bottom"/>
            <w:hideMark/>
          </w:tcPr>
          <w:p w14:paraId="1D6792E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297ACBAF"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66E4BB69"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Female</w:t>
            </w:r>
          </w:p>
        </w:tc>
        <w:tc>
          <w:tcPr>
            <w:tcW w:w="1608" w:type="dxa"/>
            <w:noWrap/>
            <w:vAlign w:val="bottom"/>
            <w:hideMark/>
          </w:tcPr>
          <w:p w14:paraId="6FF685E1" w14:textId="7B9E548A"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130</w:t>
            </w:r>
          </w:p>
        </w:tc>
        <w:tc>
          <w:tcPr>
            <w:tcW w:w="1701" w:type="dxa"/>
            <w:noWrap/>
            <w:vAlign w:val="bottom"/>
            <w:hideMark/>
          </w:tcPr>
          <w:p w14:paraId="5F7B07AA" w14:textId="5FD68B55"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46.4</w:t>
            </w:r>
          </w:p>
        </w:tc>
      </w:tr>
      <w:tr w:rsidR="0014735E" w:rsidRPr="008C0556" w14:paraId="32694CCB" w14:textId="77777777" w:rsidTr="00341120">
        <w:trPr>
          <w:trHeight w:val="320"/>
        </w:trPr>
        <w:tc>
          <w:tcPr>
            <w:tcW w:w="846" w:type="dxa"/>
            <w:noWrap/>
            <w:vAlign w:val="bottom"/>
            <w:hideMark/>
          </w:tcPr>
          <w:p w14:paraId="313036B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w:t>
            </w:r>
          </w:p>
        </w:tc>
        <w:tc>
          <w:tcPr>
            <w:tcW w:w="2551" w:type="dxa"/>
            <w:noWrap/>
            <w:vAlign w:val="bottom"/>
            <w:hideMark/>
          </w:tcPr>
          <w:p w14:paraId="21AF30A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Age</w:t>
            </w:r>
          </w:p>
        </w:tc>
        <w:tc>
          <w:tcPr>
            <w:tcW w:w="2268" w:type="dxa"/>
            <w:noWrap/>
            <w:vAlign w:val="bottom"/>
            <w:hideMark/>
          </w:tcPr>
          <w:p w14:paraId="58E9E59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18–25</w:t>
            </w:r>
          </w:p>
        </w:tc>
        <w:tc>
          <w:tcPr>
            <w:tcW w:w="1608" w:type="dxa"/>
            <w:noWrap/>
            <w:vAlign w:val="bottom"/>
            <w:hideMark/>
          </w:tcPr>
          <w:p w14:paraId="2019757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60</w:t>
            </w:r>
          </w:p>
        </w:tc>
        <w:tc>
          <w:tcPr>
            <w:tcW w:w="1701" w:type="dxa"/>
            <w:noWrap/>
            <w:vAlign w:val="bottom"/>
            <w:hideMark/>
          </w:tcPr>
          <w:p w14:paraId="0BBB7AF9"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21.4</w:t>
            </w:r>
          </w:p>
        </w:tc>
      </w:tr>
      <w:tr w:rsidR="0014735E" w:rsidRPr="008C0556" w14:paraId="1F3609BE" w14:textId="77777777" w:rsidTr="00341120">
        <w:trPr>
          <w:trHeight w:val="320"/>
        </w:trPr>
        <w:tc>
          <w:tcPr>
            <w:tcW w:w="846" w:type="dxa"/>
            <w:noWrap/>
            <w:vAlign w:val="bottom"/>
            <w:hideMark/>
          </w:tcPr>
          <w:p w14:paraId="0CB3D34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69BD01DD"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12FD6889"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26–35</w:t>
            </w:r>
          </w:p>
        </w:tc>
        <w:tc>
          <w:tcPr>
            <w:tcW w:w="1608" w:type="dxa"/>
            <w:noWrap/>
            <w:vAlign w:val="bottom"/>
            <w:hideMark/>
          </w:tcPr>
          <w:p w14:paraId="1E9FFCCE"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80</w:t>
            </w:r>
          </w:p>
        </w:tc>
        <w:tc>
          <w:tcPr>
            <w:tcW w:w="1701" w:type="dxa"/>
            <w:noWrap/>
            <w:vAlign w:val="bottom"/>
            <w:hideMark/>
          </w:tcPr>
          <w:p w14:paraId="7AB224AD"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28.6</w:t>
            </w:r>
          </w:p>
        </w:tc>
      </w:tr>
      <w:tr w:rsidR="0014735E" w:rsidRPr="008C0556" w14:paraId="151AA7BF" w14:textId="77777777" w:rsidTr="00341120">
        <w:trPr>
          <w:trHeight w:val="320"/>
        </w:trPr>
        <w:tc>
          <w:tcPr>
            <w:tcW w:w="846" w:type="dxa"/>
            <w:noWrap/>
            <w:vAlign w:val="bottom"/>
            <w:hideMark/>
          </w:tcPr>
          <w:p w14:paraId="7720927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379FD445"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099F2A6B"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36–45</w:t>
            </w:r>
          </w:p>
        </w:tc>
        <w:tc>
          <w:tcPr>
            <w:tcW w:w="1608" w:type="dxa"/>
            <w:noWrap/>
            <w:vAlign w:val="bottom"/>
            <w:hideMark/>
          </w:tcPr>
          <w:p w14:paraId="3A2B0C0F"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70</w:t>
            </w:r>
          </w:p>
        </w:tc>
        <w:tc>
          <w:tcPr>
            <w:tcW w:w="1701" w:type="dxa"/>
            <w:noWrap/>
            <w:vAlign w:val="bottom"/>
            <w:hideMark/>
          </w:tcPr>
          <w:p w14:paraId="207A765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25</w:t>
            </w:r>
          </w:p>
        </w:tc>
      </w:tr>
      <w:tr w:rsidR="0014735E" w:rsidRPr="008C0556" w14:paraId="564F814A" w14:textId="77777777" w:rsidTr="00341120">
        <w:trPr>
          <w:trHeight w:val="320"/>
        </w:trPr>
        <w:tc>
          <w:tcPr>
            <w:tcW w:w="846" w:type="dxa"/>
            <w:noWrap/>
            <w:vAlign w:val="bottom"/>
            <w:hideMark/>
          </w:tcPr>
          <w:p w14:paraId="3AA2107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765DB8E2"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048A9D48"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46–55</w:t>
            </w:r>
          </w:p>
        </w:tc>
        <w:tc>
          <w:tcPr>
            <w:tcW w:w="1608" w:type="dxa"/>
            <w:noWrap/>
            <w:vAlign w:val="bottom"/>
            <w:hideMark/>
          </w:tcPr>
          <w:p w14:paraId="54C08B4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50</w:t>
            </w:r>
          </w:p>
        </w:tc>
        <w:tc>
          <w:tcPr>
            <w:tcW w:w="1701" w:type="dxa"/>
            <w:noWrap/>
            <w:vAlign w:val="bottom"/>
            <w:hideMark/>
          </w:tcPr>
          <w:p w14:paraId="79ABFE81"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17.9</w:t>
            </w:r>
          </w:p>
        </w:tc>
      </w:tr>
      <w:tr w:rsidR="0014735E" w:rsidRPr="008C0556" w14:paraId="47F00AAE" w14:textId="77777777" w:rsidTr="00341120">
        <w:trPr>
          <w:trHeight w:val="320"/>
        </w:trPr>
        <w:tc>
          <w:tcPr>
            <w:tcW w:w="846" w:type="dxa"/>
            <w:noWrap/>
            <w:vAlign w:val="bottom"/>
            <w:hideMark/>
          </w:tcPr>
          <w:p w14:paraId="431FD969"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37E46FB4"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519E2F12"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56+</w:t>
            </w:r>
          </w:p>
        </w:tc>
        <w:tc>
          <w:tcPr>
            <w:tcW w:w="1608" w:type="dxa"/>
            <w:noWrap/>
            <w:vAlign w:val="bottom"/>
            <w:hideMark/>
          </w:tcPr>
          <w:p w14:paraId="3C80A7D8"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20</w:t>
            </w:r>
          </w:p>
        </w:tc>
        <w:tc>
          <w:tcPr>
            <w:tcW w:w="1701" w:type="dxa"/>
            <w:noWrap/>
            <w:vAlign w:val="bottom"/>
            <w:hideMark/>
          </w:tcPr>
          <w:p w14:paraId="2EB3EF4C"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7.1</w:t>
            </w:r>
          </w:p>
        </w:tc>
      </w:tr>
      <w:tr w:rsidR="0014735E" w:rsidRPr="008C0556" w14:paraId="6A234795" w14:textId="77777777" w:rsidTr="00341120">
        <w:trPr>
          <w:trHeight w:val="320"/>
        </w:trPr>
        <w:tc>
          <w:tcPr>
            <w:tcW w:w="846" w:type="dxa"/>
            <w:noWrap/>
            <w:vAlign w:val="bottom"/>
            <w:hideMark/>
          </w:tcPr>
          <w:p w14:paraId="5ED68768"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lastRenderedPageBreak/>
              <w:t>3</w:t>
            </w:r>
          </w:p>
        </w:tc>
        <w:tc>
          <w:tcPr>
            <w:tcW w:w="2551" w:type="dxa"/>
            <w:noWrap/>
            <w:vAlign w:val="bottom"/>
            <w:hideMark/>
          </w:tcPr>
          <w:p w14:paraId="67158495"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Ethnicity</w:t>
            </w:r>
          </w:p>
        </w:tc>
        <w:tc>
          <w:tcPr>
            <w:tcW w:w="2268" w:type="dxa"/>
            <w:noWrap/>
            <w:vAlign w:val="bottom"/>
            <w:hideMark/>
          </w:tcPr>
          <w:p w14:paraId="3F8C463C"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Hmong</w:t>
            </w:r>
          </w:p>
        </w:tc>
        <w:tc>
          <w:tcPr>
            <w:tcW w:w="1608" w:type="dxa"/>
            <w:noWrap/>
            <w:vAlign w:val="bottom"/>
            <w:hideMark/>
          </w:tcPr>
          <w:p w14:paraId="036F3A2D" w14:textId="3A893EAF"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w:t>
            </w:r>
            <w:r w:rsidR="001E1399" w:rsidRPr="008C0556">
              <w:rPr>
                <w:rFonts w:asciiTheme="majorHAnsi" w:eastAsia="Times New Roman" w:hAnsiTheme="majorHAnsi" w:cstheme="majorHAnsi"/>
                <w:color w:val="000000"/>
                <w:sz w:val="24"/>
                <w:szCs w:val="24"/>
                <w:lang w:val="en-JM" w:eastAsia="en-GB"/>
              </w:rPr>
              <w:t>53</w:t>
            </w:r>
          </w:p>
        </w:tc>
        <w:tc>
          <w:tcPr>
            <w:tcW w:w="1701" w:type="dxa"/>
            <w:noWrap/>
            <w:vAlign w:val="bottom"/>
            <w:hideMark/>
          </w:tcPr>
          <w:p w14:paraId="5D1783AC" w14:textId="63326CD5" w:rsidR="0014735E" w:rsidRPr="008C0556" w:rsidRDefault="001E1399"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54.6</w:t>
            </w:r>
          </w:p>
        </w:tc>
      </w:tr>
      <w:tr w:rsidR="0014735E" w:rsidRPr="008C0556" w14:paraId="5CECC0F1" w14:textId="77777777" w:rsidTr="00341120">
        <w:trPr>
          <w:trHeight w:val="320"/>
        </w:trPr>
        <w:tc>
          <w:tcPr>
            <w:tcW w:w="846" w:type="dxa"/>
            <w:noWrap/>
            <w:vAlign w:val="bottom"/>
            <w:hideMark/>
          </w:tcPr>
          <w:p w14:paraId="667E00C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0AF00652"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352F2439"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Tay</w:t>
            </w:r>
          </w:p>
        </w:tc>
        <w:tc>
          <w:tcPr>
            <w:tcW w:w="1608" w:type="dxa"/>
            <w:noWrap/>
            <w:vAlign w:val="bottom"/>
            <w:hideMark/>
          </w:tcPr>
          <w:p w14:paraId="6C8D6D87" w14:textId="62D75118"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w:t>
            </w:r>
            <w:r w:rsidR="001E1399" w:rsidRPr="008C0556">
              <w:rPr>
                <w:rFonts w:asciiTheme="majorHAnsi" w:eastAsia="Times New Roman" w:hAnsiTheme="majorHAnsi" w:cstheme="majorHAnsi"/>
                <w:color w:val="000000"/>
                <w:sz w:val="24"/>
                <w:szCs w:val="24"/>
                <w:lang w:val="en-JM" w:eastAsia="en-GB"/>
              </w:rPr>
              <w:t>27</w:t>
            </w:r>
          </w:p>
        </w:tc>
        <w:tc>
          <w:tcPr>
            <w:tcW w:w="1701" w:type="dxa"/>
            <w:noWrap/>
            <w:vAlign w:val="bottom"/>
            <w:hideMark/>
          </w:tcPr>
          <w:p w14:paraId="08AFD78C" w14:textId="3A70FB4B" w:rsidR="0014735E" w:rsidRPr="008C0556" w:rsidRDefault="001E1399"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45.4</w:t>
            </w:r>
          </w:p>
        </w:tc>
      </w:tr>
      <w:tr w:rsidR="0014735E" w:rsidRPr="008C0556" w14:paraId="41DCEFC2" w14:textId="77777777" w:rsidTr="00341120">
        <w:trPr>
          <w:trHeight w:val="320"/>
        </w:trPr>
        <w:tc>
          <w:tcPr>
            <w:tcW w:w="846" w:type="dxa"/>
            <w:noWrap/>
            <w:vAlign w:val="bottom"/>
            <w:hideMark/>
          </w:tcPr>
          <w:p w14:paraId="1A26C25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w:t>
            </w:r>
          </w:p>
        </w:tc>
        <w:tc>
          <w:tcPr>
            <w:tcW w:w="2551" w:type="dxa"/>
            <w:noWrap/>
            <w:vAlign w:val="bottom"/>
            <w:hideMark/>
          </w:tcPr>
          <w:p w14:paraId="5BF9B06F"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Occupation</w:t>
            </w:r>
          </w:p>
        </w:tc>
        <w:tc>
          <w:tcPr>
            <w:tcW w:w="2268" w:type="dxa"/>
            <w:noWrap/>
            <w:vAlign w:val="bottom"/>
            <w:hideMark/>
          </w:tcPr>
          <w:p w14:paraId="14F27AB4"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Agriculture</w:t>
            </w:r>
          </w:p>
        </w:tc>
        <w:tc>
          <w:tcPr>
            <w:tcW w:w="1608" w:type="dxa"/>
            <w:noWrap/>
            <w:vAlign w:val="bottom"/>
            <w:hideMark/>
          </w:tcPr>
          <w:p w14:paraId="3559FFD7"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120</w:t>
            </w:r>
          </w:p>
        </w:tc>
        <w:tc>
          <w:tcPr>
            <w:tcW w:w="1701" w:type="dxa"/>
            <w:noWrap/>
            <w:vAlign w:val="bottom"/>
            <w:hideMark/>
          </w:tcPr>
          <w:p w14:paraId="58B8BAA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42.9</w:t>
            </w:r>
          </w:p>
        </w:tc>
      </w:tr>
      <w:tr w:rsidR="0014735E" w:rsidRPr="008C0556" w14:paraId="2495096A" w14:textId="77777777" w:rsidTr="00341120">
        <w:trPr>
          <w:trHeight w:val="320"/>
        </w:trPr>
        <w:tc>
          <w:tcPr>
            <w:tcW w:w="846" w:type="dxa"/>
            <w:noWrap/>
            <w:vAlign w:val="bottom"/>
            <w:hideMark/>
          </w:tcPr>
          <w:p w14:paraId="53E6B89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5543A3BC"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1EED5650"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Handicraft / Services</w:t>
            </w:r>
          </w:p>
        </w:tc>
        <w:tc>
          <w:tcPr>
            <w:tcW w:w="1608" w:type="dxa"/>
            <w:noWrap/>
            <w:vAlign w:val="bottom"/>
            <w:hideMark/>
          </w:tcPr>
          <w:p w14:paraId="12150DF0"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80</w:t>
            </w:r>
          </w:p>
        </w:tc>
        <w:tc>
          <w:tcPr>
            <w:tcW w:w="1701" w:type="dxa"/>
            <w:noWrap/>
            <w:vAlign w:val="bottom"/>
            <w:hideMark/>
          </w:tcPr>
          <w:p w14:paraId="4CC45F9E"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28.6</w:t>
            </w:r>
          </w:p>
        </w:tc>
      </w:tr>
      <w:tr w:rsidR="0014735E" w:rsidRPr="008C0556" w14:paraId="7A7F5680" w14:textId="77777777" w:rsidTr="00341120">
        <w:trPr>
          <w:trHeight w:val="320"/>
        </w:trPr>
        <w:tc>
          <w:tcPr>
            <w:tcW w:w="846" w:type="dxa"/>
            <w:noWrap/>
            <w:vAlign w:val="bottom"/>
            <w:hideMark/>
          </w:tcPr>
          <w:p w14:paraId="0496F94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2EE512F9"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2515A490"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Business</w:t>
            </w:r>
          </w:p>
        </w:tc>
        <w:tc>
          <w:tcPr>
            <w:tcW w:w="1608" w:type="dxa"/>
            <w:noWrap/>
            <w:vAlign w:val="bottom"/>
            <w:hideMark/>
          </w:tcPr>
          <w:p w14:paraId="4A56F470"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40</w:t>
            </w:r>
          </w:p>
        </w:tc>
        <w:tc>
          <w:tcPr>
            <w:tcW w:w="1701" w:type="dxa"/>
            <w:noWrap/>
            <w:vAlign w:val="bottom"/>
            <w:hideMark/>
          </w:tcPr>
          <w:p w14:paraId="04EC5B83"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14.3</w:t>
            </w:r>
          </w:p>
        </w:tc>
      </w:tr>
      <w:tr w:rsidR="0014735E" w:rsidRPr="008C0556" w14:paraId="6BCC95C0" w14:textId="77777777" w:rsidTr="00341120">
        <w:trPr>
          <w:trHeight w:val="320"/>
        </w:trPr>
        <w:tc>
          <w:tcPr>
            <w:tcW w:w="846" w:type="dxa"/>
            <w:noWrap/>
            <w:vAlign w:val="bottom"/>
            <w:hideMark/>
          </w:tcPr>
          <w:p w14:paraId="02266942"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p>
        </w:tc>
        <w:tc>
          <w:tcPr>
            <w:tcW w:w="2551" w:type="dxa"/>
            <w:noWrap/>
            <w:vAlign w:val="bottom"/>
            <w:hideMark/>
          </w:tcPr>
          <w:p w14:paraId="16A0CD17" w14:textId="77777777" w:rsidR="0014735E" w:rsidRPr="008C0556" w:rsidRDefault="0014735E" w:rsidP="0014735E">
            <w:pPr>
              <w:jc w:val="left"/>
              <w:rPr>
                <w:rFonts w:asciiTheme="majorHAnsi" w:eastAsia="Times New Roman" w:hAnsiTheme="majorHAnsi" w:cstheme="majorHAnsi"/>
                <w:sz w:val="20"/>
                <w:szCs w:val="20"/>
                <w:lang w:val="en-JM" w:eastAsia="en-GB"/>
              </w:rPr>
            </w:pPr>
          </w:p>
        </w:tc>
        <w:tc>
          <w:tcPr>
            <w:tcW w:w="2268" w:type="dxa"/>
            <w:noWrap/>
            <w:vAlign w:val="bottom"/>
            <w:hideMark/>
          </w:tcPr>
          <w:p w14:paraId="31E8A31B" w14:textId="77777777" w:rsidR="0014735E" w:rsidRPr="008C0556" w:rsidRDefault="0014735E" w:rsidP="0014735E">
            <w:pPr>
              <w:jc w:val="lef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Others</w:t>
            </w:r>
          </w:p>
        </w:tc>
        <w:tc>
          <w:tcPr>
            <w:tcW w:w="1608" w:type="dxa"/>
            <w:noWrap/>
            <w:vAlign w:val="bottom"/>
            <w:hideMark/>
          </w:tcPr>
          <w:p w14:paraId="44C612AF"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40</w:t>
            </w:r>
          </w:p>
        </w:tc>
        <w:tc>
          <w:tcPr>
            <w:tcW w:w="1701" w:type="dxa"/>
            <w:noWrap/>
            <w:vAlign w:val="bottom"/>
            <w:hideMark/>
          </w:tcPr>
          <w:p w14:paraId="7DC78F2C" w14:textId="77777777" w:rsidR="0014735E" w:rsidRPr="008C0556" w:rsidRDefault="0014735E" w:rsidP="0014735E">
            <w:pPr>
              <w:jc w:val="right"/>
              <w:rPr>
                <w:rFonts w:asciiTheme="majorHAnsi" w:eastAsia="Times New Roman" w:hAnsiTheme="majorHAnsi" w:cstheme="majorHAnsi"/>
                <w:color w:val="000000"/>
                <w:sz w:val="24"/>
                <w:szCs w:val="24"/>
                <w:lang w:val="en-JM" w:eastAsia="en-GB"/>
              </w:rPr>
            </w:pPr>
            <w:r w:rsidRPr="008C0556">
              <w:rPr>
                <w:rFonts w:asciiTheme="majorHAnsi" w:eastAsia="Times New Roman" w:hAnsiTheme="majorHAnsi" w:cstheme="majorHAnsi"/>
                <w:color w:val="000000"/>
                <w:sz w:val="24"/>
                <w:szCs w:val="24"/>
                <w:lang w:val="en-JM" w:eastAsia="en-GB"/>
              </w:rPr>
              <w:t>14.3</w:t>
            </w:r>
          </w:p>
        </w:tc>
      </w:tr>
    </w:tbl>
    <w:p w14:paraId="33F6E1AC" w14:textId="66BE90F7" w:rsidR="00C160C2" w:rsidRPr="008C0556" w:rsidRDefault="00332E0D" w:rsidP="00EF7BFD">
      <w:pPr>
        <w:widowControl w:val="0"/>
        <w:rPr>
          <w:rFonts w:asciiTheme="majorHAnsi" w:hAnsiTheme="majorHAnsi" w:cstheme="majorHAnsi"/>
          <w:sz w:val="26"/>
          <w:szCs w:val="26"/>
          <w:lang w:val="de-DE"/>
        </w:rPr>
      </w:pPr>
      <w:r w:rsidRPr="008C0556">
        <w:rPr>
          <w:rFonts w:asciiTheme="majorHAnsi" w:hAnsiTheme="majorHAnsi" w:cstheme="majorHAnsi"/>
          <w:sz w:val="26"/>
          <w:szCs w:val="26"/>
          <w:lang w:val="de-DE"/>
        </w:rPr>
        <w:t>Source: Based on the survey.</w:t>
      </w:r>
    </w:p>
    <w:p w14:paraId="37CC4972" w14:textId="77777777" w:rsidR="00332E0D" w:rsidRPr="008C0556" w:rsidRDefault="00332E0D" w:rsidP="00EF7BFD">
      <w:pPr>
        <w:widowControl w:val="0"/>
        <w:rPr>
          <w:rFonts w:asciiTheme="majorHAnsi" w:hAnsiTheme="majorHAnsi" w:cstheme="majorHAnsi"/>
          <w:sz w:val="26"/>
          <w:szCs w:val="26"/>
          <w:lang w:val="de-DE"/>
        </w:rPr>
      </w:pPr>
    </w:p>
    <w:p w14:paraId="279B729C" w14:textId="1FE131E6" w:rsidR="001E1399" w:rsidRPr="003E57BB" w:rsidRDefault="001E1399" w:rsidP="003E57BB">
      <w:pPr>
        <w:spacing w:before="120" w:after="120" w:line="288" w:lineRule="auto"/>
        <w:rPr>
          <w:rFonts w:asciiTheme="majorHAnsi" w:eastAsia="Times New Roman" w:hAnsiTheme="majorHAnsi" w:cstheme="majorHAnsi"/>
          <w:szCs w:val="28"/>
          <w:lang w:val="en-JM" w:eastAsia="en-GB"/>
        </w:rPr>
      </w:pPr>
      <w:r w:rsidRPr="003E57BB">
        <w:rPr>
          <w:rFonts w:asciiTheme="majorHAnsi" w:eastAsia="Times New Roman" w:hAnsiTheme="majorHAnsi" w:cstheme="majorHAnsi"/>
          <w:szCs w:val="28"/>
          <w:lang w:val="en-JM" w:eastAsia="en-GB"/>
        </w:rPr>
        <w:t xml:space="preserve">The study surveyed a total of 280 respondents in </w:t>
      </w:r>
      <w:r w:rsidR="00A40455" w:rsidRPr="003E57BB">
        <w:rPr>
          <w:rFonts w:asciiTheme="majorHAnsi" w:eastAsia="Times New Roman" w:hAnsiTheme="majorHAnsi" w:cstheme="majorHAnsi"/>
          <w:szCs w:val="28"/>
          <w:lang w:val="en-JM" w:eastAsia="en-GB"/>
        </w:rPr>
        <w:t>Ha Giang</w:t>
      </w:r>
      <w:r w:rsidRPr="003E57BB">
        <w:rPr>
          <w:rFonts w:asciiTheme="majorHAnsi" w:eastAsia="Times New Roman" w:hAnsiTheme="majorHAnsi" w:cstheme="majorHAnsi"/>
          <w:szCs w:val="28"/>
          <w:lang w:val="en-JM" w:eastAsia="en-GB"/>
        </w:rPr>
        <w:t xml:space="preserve"> province, northern Vietnam. The sample included 150 males (53.6%) and 130 females (46.4%). The age of respondents ranged from 18 to over 56 years, with 21.4% aged 18–25, 28.6% aged 26–35, 25.0% aged 36–45, 17.9% aged 46–55, and 7.1% aged 56 and above. In terms of ethnicity, the respondents were either Hmong (54.6%) or Tay (45.4%). Regarding occupation, 42.9% of participants were engaged in agriculture, 28.6% in handicraft or service-related work, 14.3% in small business, and the remaining 14.3% in other types of work.</w:t>
      </w:r>
    </w:p>
    <w:p w14:paraId="3D35EBB2" w14:textId="42ADFBA3" w:rsidR="0014735E" w:rsidRPr="003E57BB" w:rsidRDefault="0014735E" w:rsidP="003E57BB">
      <w:pPr>
        <w:spacing w:before="120" w:after="120" w:line="288" w:lineRule="auto"/>
        <w:rPr>
          <w:rFonts w:asciiTheme="majorHAnsi" w:eastAsia="Times New Roman" w:hAnsiTheme="majorHAnsi" w:cstheme="majorHAnsi"/>
          <w:szCs w:val="28"/>
          <w:lang w:val="en-JM" w:eastAsia="en-GB"/>
        </w:rPr>
      </w:pPr>
      <w:r w:rsidRPr="003E57BB">
        <w:rPr>
          <w:rFonts w:asciiTheme="majorHAnsi" w:eastAsia="Times New Roman" w:hAnsiTheme="majorHAnsi" w:cstheme="majorHAnsi"/>
          <w:szCs w:val="28"/>
          <w:lang w:val="en-JM" w:eastAsia="en-GB"/>
        </w:rPr>
        <w:t>These characteristics reflect a slightly higher proportion of males, a wide range of adult age groups, and the predominance of the Hmong and Tay ethnic communities in the province. The occupational distribution illustrates the typical economic activities in a mountainous rural region of northern Vietnam.</w:t>
      </w:r>
    </w:p>
    <w:p w14:paraId="7D9800F7" w14:textId="77777777" w:rsidR="0014735E" w:rsidRPr="008C0556" w:rsidRDefault="0014735E" w:rsidP="0014735E">
      <w:pPr>
        <w:widowControl w:val="0"/>
        <w:rPr>
          <w:rFonts w:asciiTheme="majorHAnsi" w:hAnsiTheme="majorHAnsi" w:cstheme="majorHAnsi"/>
          <w:sz w:val="26"/>
          <w:szCs w:val="26"/>
          <w:lang w:val="de-DE"/>
        </w:rPr>
      </w:pPr>
    </w:p>
    <w:p w14:paraId="30172B38" w14:textId="2EB74A96" w:rsidR="00EF7BFD" w:rsidRPr="008C0556" w:rsidRDefault="0034734A" w:rsidP="00EF7BFD">
      <w:pPr>
        <w:rPr>
          <w:rFonts w:asciiTheme="majorHAnsi" w:hAnsiTheme="majorHAnsi" w:cstheme="majorHAnsi"/>
          <w:b/>
          <w:sz w:val="26"/>
          <w:szCs w:val="26"/>
          <w:lang w:val="de-DE"/>
        </w:rPr>
      </w:pPr>
      <w:r w:rsidRPr="008C0556">
        <w:rPr>
          <w:rFonts w:asciiTheme="majorHAnsi" w:hAnsiTheme="majorHAnsi" w:cstheme="majorHAnsi"/>
          <w:b/>
          <w:sz w:val="26"/>
          <w:szCs w:val="26"/>
          <w:lang w:val="de-DE"/>
        </w:rPr>
        <w:t>Table</w:t>
      </w:r>
      <w:r w:rsidR="00EF7BFD" w:rsidRPr="008C0556">
        <w:rPr>
          <w:rFonts w:asciiTheme="majorHAnsi" w:hAnsiTheme="majorHAnsi" w:cstheme="majorHAnsi"/>
          <w:b/>
          <w:sz w:val="26"/>
          <w:szCs w:val="26"/>
          <w:lang w:val="de-DE"/>
        </w:rPr>
        <w:t xml:space="preserve"> </w:t>
      </w:r>
      <w:r w:rsidRPr="008C0556">
        <w:rPr>
          <w:rFonts w:asciiTheme="majorHAnsi" w:hAnsiTheme="majorHAnsi" w:cstheme="majorHAnsi"/>
          <w:b/>
          <w:sz w:val="26"/>
          <w:szCs w:val="26"/>
          <w:lang w:val="de-DE"/>
        </w:rPr>
        <w:t>2</w:t>
      </w:r>
      <w:r w:rsidR="008F6891" w:rsidRPr="008C0556">
        <w:rPr>
          <w:rFonts w:asciiTheme="majorHAnsi" w:hAnsiTheme="majorHAnsi" w:cstheme="majorHAnsi"/>
          <w:b/>
          <w:sz w:val="26"/>
          <w:szCs w:val="26"/>
          <w:lang w:val="de-DE"/>
        </w:rPr>
        <w:t>.</w:t>
      </w:r>
      <w:r w:rsidR="00EF7BFD" w:rsidRPr="008C0556">
        <w:rPr>
          <w:rFonts w:asciiTheme="majorHAnsi" w:hAnsiTheme="majorHAnsi" w:cstheme="majorHAnsi"/>
          <w:b/>
          <w:sz w:val="26"/>
          <w:szCs w:val="26"/>
          <w:lang w:val="de-DE"/>
        </w:rPr>
        <w:t xml:space="preserve"> </w:t>
      </w:r>
      <w:r w:rsidR="00C160C2" w:rsidRPr="008C0556">
        <w:rPr>
          <w:rFonts w:asciiTheme="majorHAnsi" w:hAnsiTheme="majorHAnsi" w:cstheme="majorHAnsi"/>
          <w:b/>
          <w:sz w:val="26"/>
          <w:szCs w:val="26"/>
          <w:lang w:val="de-DE"/>
        </w:rPr>
        <w:t>t-test of mean income across ethnic groups</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940"/>
        <w:gridCol w:w="1657"/>
        <w:gridCol w:w="1244"/>
        <w:gridCol w:w="1475"/>
        <w:gridCol w:w="1153"/>
      </w:tblGrid>
      <w:tr w:rsidR="0034734A" w:rsidRPr="008C0556" w14:paraId="6118F78E" w14:textId="77777777" w:rsidTr="001E1399">
        <w:trPr>
          <w:trHeight w:val="276"/>
        </w:trPr>
        <w:tc>
          <w:tcPr>
            <w:tcW w:w="1462" w:type="dxa"/>
            <w:noWrap/>
            <w:vAlign w:val="bottom"/>
            <w:hideMark/>
          </w:tcPr>
          <w:p w14:paraId="03E1DB2A" w14:textId="3C512AD3" w:rsidR="0034734A" w:rsidRPr="008C0556" w:rsidRDefault="0034734A" w:rsidP="003B7725">
            <w:pPr>
              <w:jc w:val="left"/>
              <w:rPr>
                <w:rFonts w:asciiTheme="majorHAnsi" w:eastAsia="Times New Roman" w:hAnsiTheme="majorHAnsi" w:cstheme="majorHAnsi"/>
                <w:color w:val="000000"/>
                <w:sz w:val="22"/>
                <w:lang w:val="de-DE" w:eastAsia="ko-KR"/>
              </w:rPr>
            </w:pPr>
          </w:p>
        </w:tc>
        <w:tc>
          <w:tcPr>
            <w:tcW w:w="1940" w:type="dxa"/>
            <w:noWrap/>
            <w:vAlign w:val="bottom"/>
          </w:tcPr>
          <w:p w14:paraId="721ABEBA" w14:textId="3572CAC6" w:rsidR="0034734A" w:rsidRPr="008C0556" w:rsidRDefault="00C160C2" w:rsidP="003B7725">
            <w:pPr>
              <w:jc w:val="left"/>
              <w:rPr>
                <w:rFonts w:asciiTheme="majorHAnsi" w:eastAsia="Times New Roman" w:hAnsiTheme="majorHAnsi" w:cstheme="majorHAnsi"/>
                <w:color w:val="000000"/>
                <w:sz w:val="22"/>
                <w:lang w:val="de-DE" w:eastAsia="ko-KR"/>
              </w:rPr>
            </w:pPr>
            <w:r w:rsidRPr="008C0556">
              <w:rPr>
                <w:rFonts w:asciiTheme="majorHAnsi" w:eastAsia="Times New Roman" w:hAnsiTheme="majorHAnsi" w:cstheme="majorHAnsi"/>
                <w:color w:val="000000"/>
                <w:sz w:val="22"/>
                <w:lang w:val="de-DE" w:eastAsia="ko-KR"/>
              </w:rPr>
              <w:t>Mean</w:t>
            </w:r>
          </w:p>
        </w:tc>
        <w:tc>
          <w:tcPr>
            <w:tcW w:w="1657" w:type="dxa"/>
            <w:noWrap/>
            <w:vAlign w:val="bottom"/>
            <w:hideMark/>
          </w:tcPr>
          <w:p w14:paraId="0713D00C" w14:textId="77777777" w:rsidR="0034734A" w:rsidRPr="008C0556" w:rsidRDefault="0034734A" w:rsidP="003B7725">
            <w:pPr>
              <w:jc w:val="left"/>
              <w:rPr>
                <w:rFonts w:asciiTheme="majorHAnsi" w:eastAsia="Times New Roman" w:hAnsiTheme="majorHAnsi" w:cstheme="majorHAnsi"/>
                <w:color w:val="000000"/>
                <w:sz w:val="22"/>
                <w:lang w:val="vi-VN" w:eastAsia="ko-KR"/>
              </w:rPr>
            </w:pPr>
            <w:r w:rsidRPr="008C0556">
              <w:rPr>
                <w:rFonts w:asciiTheme="majorHAnsi" w:eastAsia="Times New Roman" w:hAnsiTheme="majorHAnsi" w:cstheme="majorHAnsi"/>
                <w:color w:val="000000"/>
                <w:sz w:val="22"/>
                <w:lang w:val="vi-VN" w:eastAsia="ko-KR"/>
              </w:rPr>
              <w:t>Std. Err.</w:t>
            </w:r>
          </w:p>
        </w:tc>
        <w:tc>
          <w:tcPr>
            <w:tcW w:w="1244" w:type="dxa"/>
            <w:noWrap/>
            <w:vAlign w:val="bottom"/>
            <w:hideMark/>
          </w:tcPr>
          <w:p w14:paraId="1E21142F" w14:textId="77777777" w:rsidR="0034734A" w:rsidRPr="008C0556" w:rsidRDefault="0034734A" w:rsidP="003B7725">
            <w:pPr>
              <w:jc w:val="left"/>
              <w:rPr>
                <w:rFonts w:asciiTheme="majorHAnsi" w:eastAsia="Times New Roman" w:hAnsiTheme="majorHAnsi" w:cstheme="majorHAnsi"/>
                <w:color w:val="000000"/>
                <w:sz w:val="22"/>
                <w:lang w:val="vi-VN" w:eastAsia="ko-KR"/>
              </w:rPr>
            </w:pPr>
            <w:r w:rsidRPr="008C0556">
              <w:rPr>
                <w:rFonts w:asciiTheme="majorHAnsi" w:eastAsia="Times New Roman" w:hAnsiTheme="majorHAnsi" w:cstheme="majorHAnsi"/>
                <w:color w:val="000000"/>
                <w:sz w:val="22"/>
                <w:lang w:val="vi-VN" w:eastAsia="ko-KR"/>
              </w:rPr>
              <w:t>Std. Dev.</w:t>
            </w:r>
          </w:p>
        </w:tc>
        <w:tc>
          <w:tcPr>
            <w:tcW w:w="2628" w:type="dxa"/>
            <w:gridSpan w:val="2"/>
            <w:noWrap/>
            <w:vAlign w:val="bottom"/>
            <w:hideMark/>
          </w:tcPr>
          <w:p w14:paraId="76100EE9" w14:textId="5674FFEA" w:rsidR="0034734A" w:rsidRPr="008C0556" w:rsidRDefault="0034734A" w:rsidP="003B7725">
            <w:pPr>
              <w:jc w:val="center"/>
              <w:rPr>
                <w:rFonts w:asciiTheme="majorHAnsi" w:eastAsia="Times New Roman" w:hAnsiTheme="majorHAnsi" w:cstheme="majorHAnsi"/>
                <w:color w:val="000000"/>
                <w:sz w:val="22"/>
                <w:lang w:val="de-DE" w:eastAsia="ko-KR"/>
              </w:rPr>
            </w:pPr>
            <w:r w:rsidRPr="008C0556">
              <w:rPr>
                <w:rFonts w:asciiTheme="majorHAnsi" w:eastAsia="Times New Roman" w:hAnsiTheme="majorHAnsi" w:cstheme="majorHAnsi"/>
                <w:color w:val="000000"/>
                <w:sz w:val="22"/>
                <w:lang w:val="de-DE" w:eastAsia="ko-KR"/>
              </w:rPr>
              <w:t>Confiden</w:t>
            </w:r>
            <w:r w:rsidR="000912A8">
              <w:rPr>
                <w:rFonts w:asciiTheme="majorHAnsi" w:eastAsia="Times New Roman" w:hAnsiTheme="majorHAnsi" w:cstheme="majorHAnsi"/>
                <w:color w:val="000000"/>
                <w:sz w:val="22"/>
                <w:lang w:val="de-DE" w:eastAsia="ko-KR"/>
              </w:rPr>
              <w:t>ce</w:t>
            </w:r>
            <w:r w:rsidRPr="008C0556">
              <w:rPr>
                <w:rFonts w:asciiTheme="majorHAnsi" w:eastAsia="Times New Roman" w:hAnsiTheme="majorHAnsi" w:cstheme="majorHAnsi"/>
                <w:color w:val="000000"/>
                <w:sz w:val="22"/>
                <w:lang w:val="de-DE" w:eastAsia="ko-KR"/>
              </w:rPr>
              <w:t xml:space="preserve"> interval</w:t>
            </w:r>
          </w:p>
        </w:tc>
      </w:tr>
      <w:tr w:rsidR="0034734A" w:rsidRPr="008C0556" w14:paraId="31E9EA8A" w14:textId="77777777" w:rsidTr="001E1399">
        <w:trPr>
          <w:trHeight w:val="276"/>
        </w:trPr>
        <w:tc>
          <w:tcPr>
            <w:tcW w:w="1462" w:type="dxa"/>
            <w:noWrap/>
            <w:vAlign w:val="bottom"/>
            <w:hideMark/>
          </w:tcPr>
          <w:p w14:paraId="15DDE69E" w14:textId="77777777" w:rsidR="0034734A" w:rsidRPr="008C0556" w:rsidRDefault="0034734A" w:rsidP="003B7725">
            <w:pPr>
              <w:jc w:val="left"/>
              <w:rPr>
                <w:rFonts w:asciiTheme="majorHAnsi" w:eastAsia="Times New Roman" w:hAnsiTheme="majorHAnsi" w:cstheme="majorHAnsi"/>
                <w:color w:val="000000"/>
                <w:sz w:val="22"/>
                <w:lang w:val="vi-VN" w:eastAsia="ko-KR"/>
              </w:rPr>
            </w:pPr>
            <w:r w:rsidRPr="008C0556">
              <w:rPr>
                <w:rFonts w:asciiTheme="majorHAnsi" w:eastAsia="Times New Roman" w:hAnsiTheme="majorHAnsi" w:cstheme="majorHAnsi"/>
                <w:color w:val="000000"/>
                <w:sz w:val="22"/>
                <w:lang w:val="vi-VN" w:eastAsia="ko-KR"/>
              </w:rPr>
              <w:t>Hmong</w:t>
            </w:r>
          </w:p>
        </w:tc>
        <w:tc>
          <w:tcPr>
            <w:tcW w:w="1940" w:type="dxa"/>
            <w:noWrap/>
            <w:vAlign w:val="bottom"/>
          </w:tcPr>
          <w:p w14:paraId="787E5895"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3690541</w:t>
            </w:r>
          </w:p>
        </w:tc>
        <w:tc>
          <w:tcPr>
            <w:tcW w:w="1657" w:type="dxa"/>
            <w:noWrap/>
            <w:vAlign w:val="bottom"/>
          </w:tcPr>
          <w:p w14:paraId="22194D62"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213418.5</w:t>
            </w:r>
          </w:p>
        </w:tc>
        <w:tc>
          <w:tcPr>
            <w:tcW w:w="1244" w:type="dxa"/>
            <w:noWrap/>
            <w:vAlign w:val="bottom"/>
          </w:tcPr>
          <w:p w14:paraId="3FBA68D1"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1298174</w:t>
            </w:r>
          </w:p>
        </w:tc>
        <w:tc>
          <w:tcPr>
            <w:tcW w:w="1475" w:type="dxa"/>
            <w:noWrap/>
            <w:vAlign w:val="bottom"/>
          </w:tcPr>
          <w:p w14:paraId="6D53E6F3"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3257708</w:t>
            </w:r>
          </w:p>
        </w:tc>
        <w:tc>
          <w:tcPr>
            <w:tcW w:w="1153" w:type="dxa"/>
            <w:noWrap/>
            <w:vAlign w:val="bottom"/>
          </w:tcPr>
          <w:p w14:paraId="46CFEDFD"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4123373</w:t>
            </w:r>
          </w:p>
        </w:tc>
      </w:tr>
      <w:tr w:rsidR="0034734A" w:rsidRPr="008C0556" w14:paraId="6E4C06E1" w14:textId="77777777" w:rsidTr="001E1399">
        <w:trPr>
          <w:trHeight w:val="276"/>
        </w:trPr>
        <w:tc>
          <w:tcPr>
            <w:tcW w:w="1462" w:type="dxa"/>
            <w:noWrap/>
            <w:vAlign w:val="bottom"/>
            <w:hideMark/>
          </w:tcPr>
          <w:p w14:paraId="75D76B9F" w14:textId="305216C7" w:rsidR="0034734A" w:rsidRPr="008C0556" w:rsidRDefault="0034734A" w:rsidP="003B7725">
            <w:pPr>
              <w:jc w:val="left"/>
              <w:rPr>
                <w:rFonts w:asciiTheme="majorHAnsi" w:eastAsia="Times New Roman" w:hAnsiTheme="majorHAnsi" w:cstheme="majorHAnsi"/>
                <w:color w:val="000000"/>
                <w:sz w:val="22"/>
                <w:lang w:val="vi-VN" w:eastAsia="ko-KR"/>
              </w:rPr>
            </w:pPr>
            <w:r w:rsidRPr="008C0556">
              <w:rPr>
                <w:rFonts w:asciiTheme="majorHAnsi" w:eastAsia="Times New Roman" w:hAnsiTheme="majorHAnsi" w:cstheme="majorHAnsi"/>
                <w:color w:val="000000"/>
                <w:sz w:val="22"/>
                <w:lang w:val="vi-VN" w:eastAsia="ko-KR"/>
              </w:rPr>
              <w:t>T</w:t>
            </w:r>
            <w:r w:rsidR="00C160C2" w:rsidRPr="008C0556">
              <w:rPr>
                <w:rFonts w:asciiTheme="majorHAnsi" w:eastAsia="Times New Roman" w:hAnsiTheme="majorHAnsi" w:cstheme="majorHAnsi"/>
                <w:color w:val="000000"/>
                <w:sz w:val="22"/>
                <w:lang w:eastAsia="ko-KR"/>
              </w:rPr>
              <w:t>a</w:t>
            </w:r>
            <w:r w:rsidRPr="008C0556">
              <w:rPr>
                <w:rFonts w:asciiTheme="majorHAnsi" w:eastAsia="Times New Roman" w:hAnsiTheme="majorHAnsi" w:cstheme="majorHAnsi"/>
                <w:color w:val="000000"/>
                <w:sz w:val="22"/>
                <w:lang w:val="vi-VN" w:eastAsia="ko-KR"/>
              </w:rPr>
              <w:t>y</w:t>
            </w:r>
          </w:p>
        </w:tc>
        <w:tc>
          <w:tcPr>
            <w:tcW w:w="1940" w:type="dxa"/>
            <w:noWrap/>
            <w:vAlign w:val="bottom"/>
          </w:tcPr>
          <w:p w14:paraId="554E30BC"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4089344</w:t>
            </w:r>
          </w:p>
        </w:tc>
        <w:tc>
          <w:tcPr>
            <w:tcW w:w="1657" w:type="dxa"/>
            <w:noWrap/>
            <w:vAlign w:val="bottom"/>
          </w:tcPr>
          <w:p w14:paraId="33B07337"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230386.7</w:t>
            </w:r>
          </w:p>
        </w:tc>
        <w:tc>
          <w:tcPr>
            <w:tcW w:w="1244" w:type="dxa"/>
            <w:noWrap/>
            <w:vAlign w:val="bottom"/>
          </w:tcPr>
          <w:p w14:paraId="1340D36F"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1799378</w:t>
            </w:r>
          </w:p>
        </w:tc>
        <w:tc>
          <w:tcPr>
            <w:tcW w:w="1475" w:type="dxa"/>
            <w:noWrap/>
            <w:vAlign w:val="bottom"/>
          </w:tcPr>
          <w:p w14:paraId="38FC039F"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3628502</w:t>
            </w:r>
          </w:p>
        </w:tc>
        <w:tc>
          <w:tcPr>
            <w:tcW w:w="1153" w:type="dxa"/>
            <w:noWrap/>
            <w:vAlign w:val="bottom"/>
          </w:tcPr>
          <w:p w14:paraId="3723AA60"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4550186</w:t>
            </w:r>
          </w:p>
        </w:tc>
      </w:tr>
      <w:tr w:rsidR="0034734A" w:rsidRPr="008C0556" w14:paraId="4468388A" w14:textId="77777777" w:rsidTr="001E1399">
        <w:trPr>
          <w:trHeight w:val="276"/>
        </w:trPr>
        <w:tc>
          <w:tcPr>
            <w:tcW w:w="1462" w:type="dxa"/>
            <w:noWrap/>
            <w:vAlign w:val="bottom"/>
            <w:hideMark/>
          </w:tcPr>
          <w:p w14:paraId="75B0D60E" w14:textId="750BD80B" w:rsidR="0034734A" w:rsidRPr="008C0556" w:rsidRDefault="00C160C2" w:rsidP="003B7725">
            <w:pPr>
              <w:jc w:val="left"/>
              <w:rPr>
                <w:rFonts w:asciiTheme="majorHAnsi" w:eastAsia="Times New Roman" w:hAnsiTheme="majorHAnsi" w:cstheme="majorHAnsi"/>
                <w:color w:val="000000"/>
                <w:sz w:val="22"/>
                <w:lang w:eastAsia="ko-KR"/>
              </w:rPr>
            </w:pPr>
            <w:r w:rsidRPr="008C0556">
              <w:rPr>
                <w:rFonts w:asciiTheme="majorHAnsi" w:eastAsia="Times New Roman" w:hAnsiTheme="majorHAnsi" w:cstheme="majorHAnsi"/>
                <w:color w:val="000000"/>
                <w:sz w:val="22"/>
                <w:lang w:eastAsia="ko-KR"/>
              </w:rPr>
              <w:t>total</w:t>
            </w:r>
          </w:p>
        </w:tc>
        <w:tc>
          <w:tcPr>
            <w:tcW w:w="1940" w:type="dxa"/>
            <w:noWrap/>
            <w:vAlign w:val="bottom"/>
          </w:tcPr>
          <w:p w14:paraId="48FE3339"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3938776</w:t>
            </w:r>
          </w:p>
        </w:tc>
        <w:tc>
          <w:tcPr>
            <w:tcW w:w="1657" w:type="dxa"/>
            <w:noWrap/>
            <w:vAlign w:val="bottom"/>
          </w:tcPr>
          <w:p w14:paraId="5AFFE015"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164935.2</w:t>
            </w:r>
          </w:p>
        </w:tc>
        <w:tc>
          <w:tcPr>
            <w:tcW w:w="1244" w:type="dxa"/>
            <w:noWrap/>
            <w:vAlign w:val="bottom"/>
          </w:tcPr>
          <w:p w14:paraId="25445F52"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1632775</w:t>
            </w:r>
          </w:p>
        </w:tc>
        <w:tc>
          <w:tcPr>
            <w:tcW w:w="1475" w:type="dxa"/>
            <w:noWrap/>
            <w:vAlign w:val="bottom"/>
          </w:tcPr>
          <w:p w14:paraId="4B099086"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3611425</w:t>
            </w:r>
          </w:p>
        </w:tc>
        <w:tc>
          <w:tcPr>
            <w:tcW w:w="1153" w:type="dxa"/>
            <w:noWrap/>
            <w:vAlign w:val="bottom"/>
          </w:tcPr>
          <w:p w14:paraId="48FA4650"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4266126</w:t>
            </w:r>
          </w:p>
        </w:tc>
      </w:tr>
      <w:tr w:rsidR="0034734A" w:rsidRPr="008C0556" w14:paraId="272FE510" w14:textId="77777777" w:rsidTr="001E1399">
        <w:trPr>
          <w:trHeight w:val="276"/>
        </w:trPr>
        <w:tc>
          <w:tcPr>
            <w:tcW w:w="1462" w:type="dxa"/>
            <w:noWrap/>
            <w:vAlign w:val="bottom"/>
            <w:hideMark/>
          </w:tcPr>
          <w:p w14:paraId="6D4DD8ED" w14:textId="6176FD9D" w:rsidR="0034734A" w:rsidRPr="008C0556" w:rsidRDefault="00C160C2" w:rsidP="003B7725">
            <w:pPr>
              <w:jc w:val="left"/>
              <w:rPr>
                <w:rFonts w:asciiTheme="majorHAnsi" w:eastAsia="Times New Roman" w:hAnsiTheme="majorHAnsi" w:cstheme="majorHAnsi"/>
                <w:color w:val="000000"/>
                <w:sz w:val="22"/>
                <w:lang w:eastAsia="ko-KR"/>
              </w:rPr>
            </w:pPr>
            <w:r w:rsidRPr="008C0556">
              <w:rPr>
                <w:rFonts w:asciiTheme="majorHAnsi" w:eastAsia="Times New Roman" w:hAnsiTheme="majorHAnsi" w:cstheme="majorHAnsi"/>
                <w:color w:val="000000"/>
                <w:sz w:val="22"/>
                <w:lang w:eastAsia="ko-KR"/>
              </w:rPr>
              <w:t>Difference</w:t>
            </w:r>
          </w:p>
        </w:tc>
        <w:tc>
          <w:tcPr>
            <w:tcW w:w="1940" w:type="dxa"/>
            <w:noWrap/>
            <w:vAlign w:val="bottom"/>
          </w:tcPr>
          <w:p w14:paraId="20405AA8"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-398804</w:t>
            </w:r>
          </w:p>
        </w:tc>
        <w:tc>
          <w:tcPr>
            <w:tcW w:w="1657" w:type="dxa"/>
            <w:noWrap/>
            <w:vAlign w:val="bottom"/>
          </w:tcPr>
          <w:p w14:paraId="5FE2B067"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339567.5</w:t>
            </w:r>
          </w:p>
        </w:tc>
        <w:tc>
          <w:tcPr>
            <w:tcW w:w="1244" w:type="dxa"/>
            <w:noWrap/>
            <w:vAlign w:val="bottom"/>
          </w:tcPr>
          <w:p w14:paraId="1696434D" w14:textId="77777777" w:rsidR="0034734A" w:rsidRPr="008C0556" w:rsidRDefault="0034734A" w:rsidP="003B7725">
            <w:pPr>
              <w:rPr>
                <w:rFonts w:asciiTheme="majorHAnsi" w:hAnsiTheme="majorHAnsi" w:cstheme="majorHAnsi"/>
                <w:color w:val="000000"/>
                <w:sz w:val="22"/>
              </w:rPr>
            </w:pPr>
          </w:p>
        </w:tc>
        <w:tc>
          <w:tcPr>
            <w:tcW w:w="1475" w:type="dxa"/>
            <w:noWrap/>
            <w:vAlign w:val="bottom"/>
          </w:tcPr>
          <w:p w14:paraId="1DA09952"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-1072840</w:t>
            </w:r>
          </w:p>
        </w:tc>
        <w:tc>
          <w:tcPr>
            <w:tcW w:w="1153" w:type="dxa"/>
            <w:noWrap/>
            <w:vAlign w:val="bottom"/>
          </w:tcPr>
          <w:p w14:paraId="3526A90B" w14:textId="77777777" w:rsidR="0034734A" w:rsidRPr="008C0556" w:rsidRDefault="0034734A" w:rsidP="003B7725">
            <w:pPr>
              <w:jc w:val="right"/>
              <w:rPr>
                <w:rFonts w:asciiTheme="majorHAnsi" w:hAnsiTheme="majorHAnsi" w:cstheme="majorHAnsi"/>
                <w:color w:val="000000"/>
                <w:sz w:val="22"/>
              </w:rPr>
            </w:pPr>
            <w:r w:rsidRPr="008C0556">
              <w:rPr>
                <w:rFonts w:asciiTheme="majorHAnsi" w:hAnsiTheme="majorHAnsi" w:cstheme="majorHAnsi"/>
                <w:color w:val="000000"/>
                <w:sz w:val="22"/>
              </w:rPr>
              <w:t>275233</w:t>
            </w:r>
          </w:p>
        </w:tc>
      </w:tr>
      <w:tr w:rsidR="00EF7BFD" w:rsidRPr="008C0556" w14:paraId="332AD464" w14:textId="77777777" w:rsidTr="001E1399">
        <w:trPr>
          <w:trHeight w:val="276"/>
        </w:trPr>
        <w:tc>
          <w:tcPr>
            <w:tcW w:w="8931" w:type="dxa"/>
            <w:gridSpan w:val="6"/>
            <w:noWrap/>
            <w:vAlign w:val="bottom"/>
          </w:tcPr>
          <w:p w14:paraId="73735706" w14:textId="618A9F01" w:rsidR="00EF7BFD" w:rsidRPr="008C0556" w:rsidRDefault="00EF7BFD" w:rsidP="003B7725">
            <w:pPr>
              <w:jc w:val="left"/>
              <w:rPr>
                <w:rFonts w:asciiTheme="majorHAnsi" w:eastAsia="Times New Roman" w:hAnsiTheme="majorHAnsi" w:cstheme="majorHAnsi"/>
                <w:color w:val="000000"/>
                <w:sz w:val="22"/>
                <w:lang w:eastAsia="ko-KR"/>
              </w:rPr>
            </w:pPr>
            <w:r w:rsidRPr="008C0556">
              <w:rPr>
                <w:rFonts w:asciiTheme="majorHAnsi" w:eastAsia="Times New Roman" w:hAnsiTheme="majorHAnsi" w:cstheme="majorHAnsi"/>
                <w:color w:val="000000"/>
                <w:sz w:val="22"/>
                <w:lang w:val="vi-VN" w:eastAsia="ko-KR"/>
              </w:rPr>
              <w:t xml:space="preserve">t =  </w:t>
            </w:r>
            <w:r w:rsidRPr="008C0556">
              <w:rPr>
                <w:rFonts w:asciiTheme="majorHAnsi" w:eastAsia="Times New Roman" w:hAnsiTheme="majorHAnsi" w:cstheme="majorHAnsi"/>
                <w:color w:val="000000"/>
                <w:sz w:val="22"/>
                <w:lang w:eastAsia="ko-KR"/>
              </w:rPr>
              <w:t>- 1</w:t>
            </w:r>
            <w:r w:rsidR="000912A8">
              <w:rPr>
                <w:rFonts w:asciiTheme="majorHAnsi" w:eastAsia="Times New Roman" w:hAnsiTheme="majorHAnsi" w:cstheme="majorHAnsi"/>
                <w:color w:val="000000"/>
                <w:sz w:val="22"/>
                <w:lang w:eastAsia="ko-KR"/>
              </w:rPr>
              <w:t>.</w:t>
            </w:r>
            <w:r w:rsidRPr="008C0556">
              <w:rPr>
                <w:rFonts w:asciiTheme="majorHAnsi" w:eastAsia="Times New Roman" w:hAnsiTheme="majorHAnsi" w:cstheme="majorHAnsi"/>
                <w:color w:val="000000"/>
                <w:sz w:val="22"/>
                <w:lang w:eastAsia="ko-KR"/>
              </w:rPr>
              <w:t>17</w:t>
            </w:r>
          </w:p>
          <w:p w14:paraId="2ADE7492" w14:textId="1E02D1E4" w:rsidR="00EF7BFD" w:rsidRPr="008C0556" w:rsidRDefault="00A97E8E" w:rsidP="003B7725">
            <w:pPr>
              <w:jc w:val="left"/>
              <w:rPr>
                <w:rFonts w:asciiTheme="majorHAnsi" w:eastAsia="Times New Roman" w:hAnsiTheme="majorHAnsi" w:cstheme="majorHAnsi"/>
                <w:color w:val="000000"/>
                <w:sz w:val="22"/>
                <w:lang w:eastAsia="ko-KR"/>
              </w:rPr>
            </w:pPr>
            <w:r w:rsidRPr="00A97E8E">
              <w:rPr>
                <w:rFonts w:asciiTheme="majorHAnsi" w:eastAsia="Times New Roman" w:hAnsiTheme="majorHAnsi" w:cstheme="majorHAnsi"/>
                <w:color w:val="000000"/>
                <w:sz w:val="22"/>
                <w:lang w:eastAsia="ko-KR"/>
              </w:rPr>
              <w:t>H₀</w:t>
            </w:r>
            <w:r w:rsidR="00EF7BFD" w:rsidRPr="008C0556">
              <w:rPr>
                <w:rFonts w:asciiTheme="majorHAnsi" w:eastAsia="Times New Roman" w:hAnsiTheme="majorHAnsi" w:cstheme="majorHAnsi"/>
                <w:color w:val="000000"/>
                <w:sz w:val="22"/>
                <w:lang w:val="vi-VN" w:eastAsia="ko-KR"/>
              </w:rPr>
              <w:t xml:space="preserve">: diff = 0                                     </w:t>
            </w:r>
          </w:p>
        </w:tc>
      </w:tr>
    </w:tbl>
    <w:p w14:paraId="0966BFD8" w14:textId="38A68A0A" w:rsidR="00EF7BFD" w:rsidRPr="008C0556" w:rsidRDefault="00332E0D" w:rsidP="00EF7BFD">
      <w:pPr>
        <w:rPr>
          <w:rFonts w:asciiTheme="majorHAnsi" w:hAnsiTheme="majorHAnsi" w:cstheme="majorHAnsi"/>
          <w:sz w:val="20"/>
          <w:szCs w:val="20"/>
          <w:lang w:val="de-DE"/>
        </w:rPr>
      </w:pPr>
      <w:r w:rsidRPr="008C0556">
        <w:rPr>
          <w:rFonts w:asciiTheme="majorHAnsi" w:hAnsiTheme="majorHAnsi" w:cstheme="majorHAnsi"/>
          <w:sz w:val="20"/>
          <w:szCs w:val="20"/>
          <w:lang w:val="de-DE"/>
        </w:rPr>
        <w:t>Note: Std. Dev. refers to the standard deviation. ***, **, and * indicate statistical significance at the 1%, 5%, and 10% levels, respectively.</w:t>
      </w:r>
    </w:p>
    <w:p w14:paraId="45DA819B" w14:textId="77777777" w:rsidR="00EF7BFD" w:rsidRPr="008C0556" w:rsidRDefault="00EF7BFD" w:rsidP="00EF7BFD">
      <w:pPr>
        <w:rPr>
          <w:rFonts w:asciiTheme="majorHAnsi" w:hAnsiTheme="majorHAnsi" w:cstheme="majorHAnsi"/>
          <w:b/>
          <w:lang w:val="de-DE"/>
        </w:rPr>
      </w:pPr>
    </w:p>
    <w:p w14:paraId="55E954EA" w14:textId="77777777" w:rsidR="00332E0D" w:rsidRPr="008C0556" w:rsidRDefault="00332E0D"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t>To examine whether the difference in average income between the two ethnic groups is statistically significant, Table 2 presents the results of a t-test comparing the Hmong and Tay groups. The results indicate that there is no significant difference in the average income of respondents from the two groups, with a relatively low t-value of 1.17. Therefore, it can be concluded that, although the Tay group has a higher income than the Hmong group, the mean income difference between the two groups is not statistically significant.</w:t>
      </w:r>
    </w:p>
    <w:p w14:paraId="7E038FEB" w14:textId="3C42273B" w:rsidR="00332E0D" w:rsidRPr="008C0556" w:rsidRDefault="002E0792"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lastRenderedPageBreak/>
        <w:t>Regarding wages, when respondents were asked whether they were satisfied with their income relative to the effort they put in, both ethnic groups reported a relatively high level of satisfaction. Specifically, 61% of the Tay group and 64% of the Hmong group indicated that they were satisfied. Similarly, 29% of the Tay group and 33% of the Hmong group reported being dissatisfied with their current monthly income. Interestingly, the proportion of respondents who reported being very satisfied with their current income was slightly higher among the Tay group (0.8%) compared to the Hmong group (0.3%), as shown in Figure 1. This can be explained by the fact that, as indicated in Table 2, the Tay group has a higher average income, surpassing that of the Hmong group.</w:t>
      </w:r>
    </w:p>
    <w:p w14:paraId="47A58698" w14:textId="77777777" w:rsidR="00EF7BFD" w:rsidRPr="008C0556" w:rsidRDefault="00EF7BFD" w:rsidP="00EF7BFD">
      <w:pPr>
        <w:widowControl w:val="0"/>
        <w:rPr>
          <w:rFonts w:asciiTheme="majorHAnsi" w:hAnsiTheme="majorHAnsi" w:cstheme="majorHAnsi"/>
          <w:sz w:val="26"/>
          <w:szCs w:val="26"/>
          <w:lang w:val="de-DE"/>
        </w:rPr>
      </w:pPr>
    </w:p>
    <w:p w14:paraId="729B4F6D" w14:textId="0F41C820" w:rsidR="00CD0CA7" w:rsidRPr="008C0556" w:rsidRDefault="00CD0CA7" w:rsidP="00EF7BFD">
      <w:pPr>
        <w:widowControl w:val="0"/>
        <w:rPr>
          <w:rFonts w:asciiTheme="majorHAnsi" w:hAnsiTheme="majorHAnsi" w:cstheme="majorHAnsi"/>
          <w:sz w:val="26"/>
          <w:szCs w:val="26"/>
          <w:lang w:val="de-DE"/>
        </w:rPr>
      </w:pPr>
      <w:r w:rsidRPr="008C0556">
        <w:rPr>
          <w:rFonts w:asciiTheme="majorHAnsi" w:hAnsiTheme="majorHAnsi" w:cstheme="majorHAnsi"/>
          <w:noProof/>
          <w:bdr w:val="dashed" w:sz="4" w:space="0" w:color="auto"/>
        </w:rPr>
        <w:drawing>
          <wp:inline distT="0" distB="0" distL="0" distR="0" wp14:anchorId="5139E1F3" wp14:editId="36F29C3A">
            <wp:extent cx="5678170" cy="2611710"/>
            <wp:effectExtent l="0" t="0" r="17780" b="17780"/>
            <wp:docPr id="3" name="Chart 3">
              <a:extLst xmlns:a="http://schemas.openxmlformats.org/drawingml/2006/main">
                <a:ext uri="{FF2B5EF4-FFF2-40B4-BE49-F238E27FC236}">
                  <a16:creationId xmlns:a16="http://schemas.microsoft.com/office/drawing/2014/main" id="{D4C2D5DE-BCDF-9143-91FC-93C2454A85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164860" w14:textId="69A72A06" w:rsidR="00DC2794" w:rsidRPr="008C0556" w:rsidRDefault="00DC2794" w:rsidP="00DC2794">
      <w:pPr>
        <w:widowControl w:val="0"/>
        <w:jc w:val="center"/>
        <w:rPr>
          <w:rFonts w:asciiTheme="majorHAnsi" w:hAnsiTheme="majorHAnsi" w:cstheme="majorHAnsi"/>
          <w:sz w:val="26"/>
          <w:szCs w:val="26"/>
          <w:lang w:val="de-DE"/>
        </w:rPr>
      </w:pPr>
      <w:r w:rsidRPr="008C0556">
        <w:rPr>
          <w:rFonts w:asciiTheme="majorHAnsi" w:hAnsiTheme="majorHAnsi" w:cstheme="majorHAnsi"/>
          <w:sz w:val="26"/>
          <w:szCs w:val="26"/>
          <w:lang w:val="de-DE"/>
        </w:rPr>
        <w:t>Figure 1. Comparison of satisfaction with income between the two ethnic groups</w:t>
      </w:r>
    </w:p>
    <w:p w14:paraId="307A1C3C" w14:textId="14F68342" w:rsidR="00EF7BFD" w:rsidRPr="008C0556" w:rsidRDefault="00CD0CA7" w:rsidP="00EF7BFD">
      <w:pPr>
        <w:widowControl w:val="0"/>
        <w:rPr>
          <w:rFonts w:asciiTheme="majorHAnsi" w:hAnsiTheme="majorHAnsi" w:cstheme="majorHAnsi"/>
          <w:sz w:val="26"/>
          <w:szCs w:val="26"/>
          <w:lang w:val="de-DE"/>
        </w:rPr>
      </w:pPr>
      <w:r w:rsidRPr="008C0556">
        <w:rPr>
          <w:rFonts w:asciiTheme="majorHAnsi" w:hAnsiTheme="majorHAnsi" w:cstheme="majorHAnsi"/>
          <w:sz w:val="26"/>
          <w:szCs w:val="26"/>
          <w:lang w:val="de-DE"/>
        </w:rPr>
        <w:t>Source: Calculation from author.</w:t>
      </w:r>
    </w:p>
    <w:p w14:paraId="5799EDFB" w14:textId="77777777" w:rsidR="00EF7BFD" w:rsidRPr="008C0556" w:rsidRDefault="00EF7BFD" w:rsidP="00EF7BFD">
      <w:pPr>
        <w:widowControl w:val="0"/>
        <w:rPr>
          <w:rFonts w:asciiTheme="majorHAnsi" w:hAnsiTheme="majorHAnsi" w:cstheme="majorHAnsi"/>
          <w:sz w:val="26"/>
          <w:szCs w:val="26"/>
          <w:lang w:val="de-DE"/>
        </w:rPr>
      </w:pPr>
    </w:p>
    <w:bookmarkEnd w:id="1"/>
    <w:bookmarkEnd w:id="2"/>
    <w:p w14:paraId="3A903474" w14:textId="5C764146" w:rsidR="00EF7BFD" w:rsidRPr="003E57BB" w:rsidRDefault="00DC2794"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With this level of monthly income, the aim of the study was to examine whether respondents’ earnings were sufficient to cover and meet their household expenses. Respondents were asked to what extent their salary and other payments from their current main job could meet the normal needs of their family, including food, children’s education, healthcare, and so on. There were four response options: “Fully meets needs and allows for savings,” “Fully meets needs without any difficulty,” “Does not meet needs and causes some difficulties,” and “Does not meet needs and causes many difficulties.” The majority of respondents felt that their current income was just sufficient, with 55.73% selecting this option across both ethnic groups. However, as many as 31.73% and 2.88% of respondents reported that their income did not meet their needs and caused </w:t>
      </w:r>
      <w:r w:rsidRPr="003E57BB">
        <w:rPr>
          <w:rFonts w:asciiTheme="majorHAnsi" w:hAnsiTheme="majorHAnsi" w:cstheme="majorHAnsi"/>
          <w:szCs w:val="28"/>
          <w:lang w:val="de-DE"/>
        </w:rPr>
        <w:lastRenderedPageBreak/>
        <w:t>difficulties in everyday family life, while only 8.65% believed that their income met their needs and allowed for savings</w:t>
      </w:r>
      <w:r w:rsidR="001F0685"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see Table 3.</w:t>
      </w:r>
    </w:p>
    <w:p w14:paraId="71256267" w14:textId="423CF71D" w:rsidR="00DC2794" w:rsidRPr="008C0556" w:rsidRDefault="00DC2794" w:rsidP="00EF7BFD">
      <w:pPr>
        <w:widowControl w:val="0"/>
        <w:rPr>
          <w:rFonts w:asciiTheme="majorHAnsi" w:hAnsiTheme="majorHAnsi" w:cstheme="majorHAnsi"/>
          <w:sz w:val="26"/>
          <w:szCs w:val="26"/>
          <w:lang w:val="de-DE"/>
        </w:rPr>
      </w:pPr>
    </w:p>
    <w:p w14:paraId="49391B2F" w14:textId="7FE68D88" w:rsidR="00EF7BFD" w:rsidRPr="008C0556" w:rsidRDefault="00DC2794" w:rsidP="00EF7BFD">
      <w:pPr>
        <w:rPr>
          <w:rFonts w:asciiTheme="majorHAnsi" w:hAnsiTheme="majorHAnsi" w:cstheme="majorHAnsi"/>
          <w:b/>
          <w:sz w:val="26"/>
          <w:szCs w:val="26"/>
          <w:lang w:val="de-DE"/>
        </w:rPr>
      </w:pPr>
      <w:r w:rsidRPr="008C0556">
        <w:rPr>
          <w:rFonts w:asciiTheme="majorHAnsi" w:hAnsiTheme="majorHAnsi" w:cstheme="majorHAnsi"/>
          <w:b/>
          <w:sz w:val="26"/>
          <w:szCs w:val="26"/>
          <w:lang w:val="de-DE"/>
        </w:rPr>
        <w:t>Table 3. Percentage of Income Meeting Household Needs</w:t>
      </w:r>
    </w:p>
    <w:tbl>
      <w:tblPr>
        <w:tblW w:w="9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6"/>
        <w:gridCol w:w="1615"/>
        <w:gridCol w:w="1418"/>
      </w:tblGrid>
      <w:tr w:rsidR="00DC2794" w:rsidRPr="008C0556" w14:paraId="407F9000" w14:textId="77777777" w:rsidTr="00CB751E">
        <w:trPr>
          <w:trHeight w:val="276"/>
        </w:trPr>
        <w:tc>
          <w:tcPr>
            <w:tcW w:w="6026" w:type="dxa"/>
            <w:noWrap/>
            <w:vAlign w:val="center"/>
            <w:hideMark/>
          </w:tcPr>
          <w:p w14:paraId="2ED4BA22" w14:textId="727DCEDE" w:rsidR="00DC2794" w:rsidRPr="008C0556" w:rsidRDefault="00DC2794" w:rsidP="004514F8">
            <w:pPr>
              <w:spacing w:line="276" w:lineRule="auto"/>
              <w:jc w:val="center"/>
              <w:rPr>
                <w:rFonts w:asciiTheme="majorHAnsi" w:eastAsia="Times New Roman" w:hAnsiTheme="majorHAnsi" w:cstheme="majorHAnsi"/>
                <w:b/>
                <w:color w:val="000000"/>
                <w:sz w:val="22"/>
                <w:lang w:val="de-DE"/>
              </w:rPr>
            </w:pPr>
            <w:r w:rsidRPr="008C0556">
              <w:rPr>
                <w:rFonts w:asciiTheme="majorHAnsi" w:hAnsiTheme="majorHAnsi" w:cstheme="majorHAnsi"/>
                <w:b/>
                <w:bCs/>
                <w:color w:val="000000"/>
                <w:sz w:val="22"/>
              </w:rPr>
              <w:t>Main Criteria</w:t>
            </w:r>
          </w:p>
        </w:tc>
        <w:tc>
          <w:tcPr>
            <w:tcW w:w="1615" w:type="dxa"/>
            <w:noWrap/>
            <w:vAlign w:val="center"/>
            <w:hideMark/>
          </w:tcPr>
          <w:p w14:paraId="31F57EF2" w14:textId="4D1F9AEA" w:rsidR="00DC2794" w:rsidRPr="008C0556" w:rsidRDefault="00DC2794" w:rsidP="004514F8">
            <w:pPr>
              <w:spacing w:line="276" w:lineRule="auto"/>
              <w:jc w:val="center"/>
              <w:rPr>
                <w:rFonts w:asciiTheme="majorHAnsi" w:eastAsia="Times New Roman" w:hAnsiTheme="majorHAnsi" w:cstheme="majorHAnsi"/>
                <w:b/>
                <w:color w:val="000000"/>
                <w:sz w:val="22"/>
              </w:rPr>
            </w:pPr>
            <w:r w:rsidRPr="008C0556">
              <w:rPr>
                <w:rFonts w:asciiTheme="majorHAnsi" w:hAnsiTheme="majorHAnsi" w:cstheme="majorHAnsi"/>
                <w:b/>
                <w:bCs/>
                <w:color w:val="000000"/>
                <w:sz w:val="22"/>
              </w:rPr>
              <w:t>%</w:t>
            </w:r>
          </w:p>
        </w:tc>
        <w:tc>
          <w:tcPr>
            <w:tcW w:w="1418" w:type="dxa"/>
            <w:noWrap/>
            <w:vAlign w:val="center"/>
            <w:hideMark/>
          </w:tcPr>
          <w:p w14:paraId="3213E687" w14:textId="5F0FF6CE" w:rsidR="00DC2794" w:rsidRPr="008C0556" w:rsidRDefault="00DC2794" w:rsidP="004514F8">
            <w:pPr>
              <w:spacing w:line="276" w:lineRule="auto"/>
              <w:jc w:val="center"/>
              <w:rPr>
                <w:rFonts w:asciiTheme="majorHAnsi" w:eastAsia="Times New Roman" w:hAnsiTheme="majorHAnsi" w:cstheme="majorHAnsi"/>
                <w:b/>
                <w:color w:val="000000"/>
                <w:sz w:val="22"/>
              </w:rPr>
            </w:pPr>
            <w:r w:rsidRPr="008C0556">
              <w:rPr>
                <w:rFonts w:asciiTheme="majorHAnsi" w:hAnsiTheme="majorHAnsi" w:cstheme="majorHAnsi"/>
                <w:b/>
                <w:bCs/>
                <w:color w:val="000000"/>
                <w:sz w:val="22"/>
              </w:rPr>
              <w:t>Cumulative %</w:t>
            </w:r>
          </w:p>
        </w:tc>
      </w:tr>
      <w:tr w:rsidR="00DC2794" w:rsidRPr="008C0556" w14:paraId="1A001618" w14:textId="77777777" w:rsidTr="00CB751E">
        <w:trPr>
          <w:trHeight w:val="276"/>
        </w:trPr>
        <w:tc>
          <w:tcPr>
            <w:tcW w:w="6026" w:type="dxa"/>
            <w:noWrap/>
            <w:vAlign w:val="center"/>
            <w:hideMark/>
          </w:tcPr>
          <w:p w14:paraId="78C42A5C" w14:textId="7266E400" w:rsidR="00DC2794" w:rsidRPr="008C0556" w:rsidRDefault="00DC2794" w:rsidP="00DC2794">
            <w:pPr>
              <w:spacing w:line="276" w:lineRule="auto"/>
              <w:rPr>
                <w:rFonts w:asciiTheme="majorHAnsi" w:eastAsia="Times New Roman" w:hAnsiTheme="majorHAnsi" w:cstheme="majorHAnsi"/>
                <w:color w:val="000000"/>
                <w:sz w:val="22"/>
                <w:lang w:val="de-DE"/>
              </w:rPr>
            </w:pPr>
            <w:r w:rsidRPr="008C0556">
              <w:rPr>
                <w:rFonts w:asciiTheme="majorHAnsi" w:hAnsiTheme="majorHAnsi" w:cstheme="majorHAnsi"/>
                <w:color w:val="000000"/>
                <w:sz w:val="22"/>
              </w:rPr>
              <w:t>Fully meets needs and allows for savings</w:t>
            </w:r>
          </w:p>
        </w:tc>
        <w:tc>
          <w:tcPr>
            <w:tcW w:w="1615" w:type="dxa"/>
            <w:noWrap/>
            <w:vAlign w:val="center"/>
            <w:hideMark/>
          </w:tcPr>
          <w:p w14:paraId="189A0DE0" w14:textId="422CD4AB"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8.65</w:t>
            </w:r>
          </w:p>
        </w:tc>
        <w:tc>
          <w:tcPr>
            <w:tcW w:w="1418" w:type="dxa"/>
            <w:noWrap/>
            <w:vAlign w:val="center"/>
            <w:hideMark/>
          </w:tcPr>
          <w:p w14:paraId="691306FD" w14:textId="64C47B79"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8.65</w:t>
            </w:r>
          </w:p>
        </w:tc>
      </w:tr>
      <w:tr w:rsidR="00DC2794" w:rsidRPr="008C0556" w14:paraId="7B44F268" w14:textId="77777777" w:rsidTr="00CB751E">
        <w:trPr>
          <w:trHeight w:val="276"/>
        </w:trPr>
        <w:tc>
          <w:tcPr>
            <w:tcW w:w="6026" w:type="dxa"/>
            <w:noWrap/>
            <w:vAlign w:val="center"/>
            <w:hideMark/>
          </w:tcPr>
          <w:p w14:paraId="105C45B4" w14:textId="032F09DA" w:rsidR="00DC2794" w:rsidRPr="008C0556" w:rsidRDefault="00DC2794" w:rsidP="00DC2794">
            <w:pPr>
              <w:spacing w:line="276" w:lineRule="auto"/>
              <w:rPr>
                <w:rFonts w:asciiTheme="majorHAnsi" w:eastAsia="Times New Roman" w:hAnsiTheme="majorHAnsi" w:cstheme="majorHAnsi"/>
                <w:color w:val="000000"/>
                <w:sz w:val="22"/>
              </w:rPr>
            </w:pPr>
            <w:r w:rsidRPr="008C0556">
              <w:rPr>
                <w:rFonts w:asciiTheme="majorHAnsi" w:hAnsiTheme="majorHAnsi" w:cstheme="majorHAnsi"/>
                <w:color w:val="000000"/>
                <w:sz w:val="22"/>
              </w:rPr>
              <w:t>Meets needs just sufficiently</w:t>
            </w:r>
          </w:p>
        </w:tc>
        <w:tc>
          <w:tcPr>
            <w:tcW w:w="1615" w:type="dxa"/>
            <w:noWrap/>
            <w:vAlign w:val="center"/>
            <w:hideMark/>
          </w:tcPr>
          <w:p w14:paraId="3EEAB999" w14:textId="25EC9D63"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56.73</w:t>
            </w:r>
          </w:p>
        </w:tc>
        <w:tc>
          <w:tcPr>
            <w:tcW w:w="1418" w:type="dxa"/>
            <w:noWrap/>
            <w:vAlign w:val="center"/>
            <w:hideMark/>
          </w:tcPr>
          <w:p w14:paraId="4DDEE6B1" w14:textId="2677CFF4"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65.38</w:t>
            </w:r>
          </w:p>
        </w:tc>
      </w:tr>
      <w:tr w:rsidR="00DC2794" w:rsidRPr="008C0556" w14:paraId="1E01942A" w14:textId="77777777" w:rsidTr="00CB751E">
        <w:trPr>
          <w:trHeight w:val="276"/>
        </w:trPr>
        <w:tc>
          <w:tcPr>
            <w:tcW w:w="6026" w:type="dxa"/>
            <w:noWrap/>
            <w:vAlign w:val="center"/>
            <w:hideMark/>
          </w:tcPr>
          <w:p w14:paraId="1F148561" w14:textId="69464547" w:rsidR="00DC2794" w:rsidRPr="008C0556" w:rsidRDefault="00DC2794" w:rsidP="00DC2794">
            <w:pPr>
              <w:spacing w:line="276" w:lineRule="auto"/>
              <w:rPr>
                <w:rFonts w:asciiTheme="majorHAnsi" w:eastAsia="Times New Roman" w:hAnsiTheme="majorHAnsi" w:cstheme="majorHAnsi"/>
                <w:color w:val="000000"/>
                <w:sz w:val="22"/>
                <w:lang w:val="vi-VN"/>
              </w:rPr>
            </w:pPr>
            <w:r w:rsidRPr="008C0556">
              <w:rPr>
                <w:rFonts w:asciiTheme="majorHAnsi" w:hAnsiTheme="majorHAnsi" w:cstheme="majorHAnsi"/>
                <w:color w:val="000000"/>
                <w:sz w:val="22"/>
              </w:rPr>
              <w:t>Does not meet needs, causes difficulties</w:t>
            </w:r>
          </w:p>
        </w:tc>
        <w:tc>
          <w:tcPr>
            <w:tcW w:w="1615" w:type="dxa"/>
            <w:noWrap/>
            <w:vAlign w:val="center"/>
            <w:hideMark/>
          </w:tcPr>
          <w:p w14:paraId="714DAEFB" w14:textId="792C8B66"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31.73</w:t>
            </w:r>
          </w:p>
        </w:tc>
        <w:tc>
          <w:tcPr>
            <w:tcW w:w="1418" w:type="dxa"/>
            <w:noWrap/>
            <w:vAlign w:val="center"/>
            <w:hideMark/>
          </w:tcPr>
          <w:p w14:paraId="4C3EBDBB" w14:textId="64272E00"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97.12</w:t>
            </w:r>
          </w:p>
        </w:tc>
      </w:tr>
      <w:tr w:rsidR="00DC2794" w:rsidRPr="008C0556" w14:paraId="38DC826F" w14:textId="77777777" w:rsidTr="00CB751E">
        <w:trPr>
          <w:trHeight w:val="276"/>
        </w:trPr>
        <w:tc>
          <w:tcPr>
            <w:tcW w:w="6026" w:type="dxa"/>
            <w:noWrap/>
            <w:vAlign w:val="center"/>
            <w:hideMark/>
          </w:tcPr>
          <w:p w14:paraId="3D9DD1F2" w14:textId="38B89D6D" w:rsidR="00DC2794" w:rsidRPr="008C0556" w:rsidRDefault="00DC2794" w:rsidP="00DC2794">
            <w:pPr>
              <w:spacing w:line="276" w:lineRule="auto"/>
              <w:rPr>
                <w:rFonts w:asciiTheme="majorHAnsi" w:eastAsia="Times New Roman" w:hAnsiTheme="majorHAnsi" w:cstheme="majorHAnsi"/>
                <w:color w:val="000000"/>
                <w:sz w:val="22"/>
                <w:lang w:val="vi-VN"/>
              </w:rPr>
            </w:pPr>
            <w:r w:rsidRPr="008C0556">
              <w:rPr>
                <w:rFonts w:asciiTheme="majorHAnsi" w:hAnsiTheme="majorHAnsi" w:cstheme="majorHAnsi"/>
                <w:color w:val="000000"/>
                <w:sz w:val="22"/>
              </w:rPr>
              <w:t>Does not meet needs, causes many difficulties</w:t>
            </w:r>
          </w:p>
        </w:tc>
        <w:tc>
          <w:tcPr>
            <w:tcW w:w="1615" w:type="dxa"/>
            <w:noWrap/>
            <w:vAlign w:val="center"/>
            <w:hideMark/>
          </w:tcPr>
          <w:p w14:paraId="6A8BFDB7" w14:textId="3ED371C9"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2.88</w:t>
            </w:r>
          </w:p>
        </w:tc>
        <w:tc>
          <w:tcPr>
            <w:tcW w:w="1418" w:type="dxa"/>
            <w:noWrap/>
            <w:vAlign w:val="center"/>
            <w:hideMark/>
          </w:tcPr>
          <w:p w14:paraId="1791364A" w14:textId="1891B485"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100</w:t>
            </w:r>
          </w:p>
        </w:tc>
      </w:tr>
      <w:tr w:rsidR="00DC2794" w:rsidRPr="008C0556" w14:paraId="166A2A17" w14:textId="77777777" w:rsidTr="00CB751E">
        <w:trPr>
          <w:trHeight w:val="276"/>
        </w:trPr>
        <w:tc>
          <w:tcPr>
            <w:tcW w:w="6026" w:type="dxa"/>
            <w:noWrap/>
            <w:vAlign w:val="center"/>
            <w:hideMark/>
          </w:tcPr>
          <w:p w14:paraId="7E84B616" w14:textId="75DCF26D" w:rsidR="00DC2794" w:rsidRPr="008C0556" w:rsidRDefault="00DC2794" w:rsidP="00DC2794">
            <w:pPr>
              <w:spacing w:line="276" w:lineRule="auto"/>
              <w:rPr>
                <w:rFonts w:asciiTheme="majorHAnsi" w:eastAsia="Times New Roman" w:hAnsiTheme="majorHAnsi" w:cstheme="majorHAnsi"/>
                <w:color w:val="000000"/>
                <w:sz w:val="22"/>
              </w:rPr>
            </w:pPr>
            <w:r w:rsidRPr="008C0556">
              <w:rPr>
                <w:rFonts w:asciiTheme="majorHAnsi" w:hAnsiTheme="majorHAnsi" w:cstheme="majorHAnsi"/>
                <w:b/>
                <w:bCs/>
                <w:color w:val="000000"/>
                <w:sz w:val="22"/>
              </w:rPr>
              <w:t>Total</w:t>
            </w:r>
          </w:p>
        </w:tc>
        <w:tc>
          <w:tcPr>
            <w:tcW w:w="1615" w:type="dxa"/>
            <w:noWrap/>
            <w:vAlign w:val="center"/>
            <w:hideMark/>
          </w:tcPr>
          <w:p w14:paraId="444A5B0F" w14:textId="02AA3A6F" w:rsidR="00DC2794" w:rsidRPr="008C0556" w:rsidRDefault="00DC2794" w:rsidP="00DC2794">
            <w:pPr>
              <w:spacing w:line="276" w:lineRule="auto"/>
              <w:jc w:val="right"/>
              <w:rPr>
                <w:rFonts w:asciiTheme="majorHAnsi" w:eastAsia="Times New Roman" w:hAnsiTheme="majorHAnsi" w:cstheme="majorHAnsi"/>
                <w:color w:val="000000"/>
                <w:sz w:val="22"/>
              </w:rPr>
            </w:pPr>
            <w:r w:rsidRPr="008C0556">
              <w:rPr>
                <w:rFonts w:asciiTheme="majorHAnsi" w:hAnsiTheme="majorHAnsi" w:cstheme="majorHAnsi"/>
                <w:color w:val="000000"/>
                <w:sz w:val="22"/>
              </w:rPr>
              <w:t>100</w:t>
            </w:r>
          </w:p>
        </w:tc>
        <w:tc>
          <w:tcPr>
            <w:tcW w:w="1418" w:type="dxa"/>
            <w:noWrap/>
            <w:vAlign w:val="center"/>
            <w:hideMark/>
          </w:tcPr>
          <w:p w14:paraId="73942C08" w14:textId="59021F9F" w:rsidR="00DC2794" w:rsidRPr="008C0556" w:rsidRDefault="00DC2794" w:rsidP="00DC2794">
            <w:pPr>
              <w:spacing w:line="276" w:lineRule="auto"/>
              <w:rPr>
                <w:rFonts w:asciiTheme="majorHAnsi" w:eastAsia="Times New Roman" w:hAnsiTheme="majorHAnsi" w:cstheme="majorHAnsi"/>
                <w:color w:val="000000"/>
                <w:sz w:val="22"/>
              </w:rPr>
            </w:pPr>
            <w:r w:rsidRPr="008C0556">
              <w:rPr>
                <w:rFonts w:asciiTheme="majorHAnsi" w:hAnsiTheme="majorHAnsi" w:cstheme="majorHAnsi"/>
                <w:color w:val="000000"/>
                <w:sz w:val="22"/>
              </w:rPr>
              <w:t>—</w:t>
            </w:r>
          </w:p>
        </w:tc>
      </w:tr>
    </w:tbl>
    <w:p w14:paraId="01DD7F83" w14:textId="77777777" w:rsidR="00EF7BFD" w:rsidRPr="008C0556" w:rsidRDefault="00EF7BFD" w:rsidP="00EF7BFD">
      <w:pPr>
        <w:rPr>
          <w:rFonts w:asciiTheme="majorHAnsi" w:eastAsia="Times New Roman" w:hAnsiTheme="majorHAnsi" w:cstheme="majorHAnsi"/>
          <w:b/>
          <w:color w:val="000000"/>
          <w:sz w:val="22"/>
          <w:lang w:val="de-DE"/>
        </w:rPr>
      </w:pPr>
    </w:p>
    <w:p w14:paraId="29717F2F" w14:textId="20491FA8" w:rsidR="00EF7BFD" w:rsidRPr="008C0556" w:rsidRDefault="00EF7BFD" w:rsidP="00EF7BFD">
      <w:pPr>
        <w:rPr>
          <w:rFonts w:asciiTheme="majorHAnsi" w:eastAsia="Times New Roman" w:hAnsiTheme="majorHAnsi" w:cstheme="majorHAnsi"/>
          <w:b/>
          <w:color w:val="000000"/>
          <w:sz w:val="22"/>
          <w:lang w:val="de-DE"/>
        </w:rPr>
      </w:pPr>
    </w:p>
    <w:p w14:paraId="5E37B5E5" w14:textId="4860E13B" w:rsidR="00CB751E" w:rsidRPr="008C0556" w:rsidRDefault="00CB751E" w:rsidP="00CB751E">
      <w:pPr>
        <w:pStyle w:val="NormalWeb"/>
        <w:spacing w:before="0" w:beforeAutospacing="0" w:after="0" w:afterAutospacing="0"/>
        <w:jc w:val="center"/>
        <w:rPr>
          <w:rStyle w:val="Strong"/>
          <w:rFonts w:asciiTheme="majorHAnsi" w:eastAsia="Calibri" w:hAnsiTheme="majorHAnsi" w:cstheme="majorHAnsi"/>
        </w:rPr>
      </w:pPr>
      <w:r w:rsidRPr="008C0556">
        <w:rPr>
          <w:rFonts w:asciiTheme="majorHAnsi" w:hAnsiTheme="majorHAnsi" w:cstheme="majorHAnsi"/>
          <w:noProof/>
          <w:bdr w:val="dashed" w:sz="4" w:space="0" w:color="auto"/>
        </w:rPr>
        <w:drawing>
          <wp:inline distT="0" distB="0" distL="0" distR="0" wp14:anchorId="47AD5EFD" wp14:editId="479D4263">
            <wp:extent cx="5703304" cy="1886585"/>
            <wp:effectExtent l="0" t="0" r="12065" b="18415"/>
            <wp:docPr id="1" name="Chart 1">
              <a:extLst xmlns:a="http://schemas.openxmlformats.org/drawingml/2006/main">
                <a:ext uri="{FF2B5EF4-FFF2-40B4-BE49-F238E27FC236}">
                  <a16:creationId xmlns:a16="http://schemas.microsoft.com/office/drawing/2014/main" id="{CD8A4835-296E-49A5-8886-20D919E85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97CD81" w14:textId="0D179EE7" w:rsidR="003A0251" w:rsidRPr="008C0556" w:rsidRDefault="003A0251" w:rsidP="00CB751E">
      <w:pPr>
        <w:pStyle w:val="NormalWeb"/>
        <w:spacing w:before="0" w:beforeAutospacing="0" w:after="0" w:afterAutospacing="0"/>
        <w:jc w:val="center"/>
        <w:rPr>
          <w:rFonts w:asciiTheme="majorHAnsi" w:hAnsiTheme="majorHAnsi" w:cstheme="majorHAnsi"/>
          <w:lang w:val="en-ID"/>
        </w:rPr>
      </w:pPr>
      <w:r w:rsidRPr="008C0556">
        <w:rPr>
          <w:rStyle w:val="Strong"/>
          <w:rFonts w:asciiTheme="majorHAnsi" w:eastAsia="Calibri" w:hAnsiTheme="majorHAnsi" w:cstheme="majorHAnsi"/>
        </w:rPr>
        <w:t>Figure 2. Income Sufficiency Levels between Tay and Hmong Ethnic Groups</w:t>
      </w:r>
    </w:p>
    <w:p w14:paraId="74072B24" w14:textId="77777777" w:rsidR="00EF7BFD" w:rsidRPr="008C0556" w:rsidRDefault="00EF7BFD" w:rsidP="00EF7BFD">
      <w:pPr>
        <w:rPr>
          <w:rFonts w:asciiTheme="majorHAnsi" w:eastAsia="Times New Roman" w:hAnsiTheme="majorHAnsi" w:cstheme="majorHAnsi"/>
          <w:b/>
          <w:color w:val="000000"/>
          <w:sz w:val="22"/>
          <w:lang w:val="de-DE"/>
        </w:rPr>
      </w:pPr>
    </w:p>
    <w:p w14:paraId="22978D30" w14:textId="064571A1" w:rsidR="00EF7BFD" w:rsidRPr="003E57BB" w:rsidRDefault="00CB751E" w:rsidP="003E57BB">
      <w:pPr>
        <w:spacing w:before="120" w:after="120" w:line="288" w:lineRule="auto"/>
        <w:rPr>
          <w:rFonts w:asciiTheme="majorHAnsi" w:hAnsiTheme="majorHAnsi" w:cstheme="majorHAnsi"/>
          <w:szCs w:val="28"/>
          <w:lang w:val="de-DE"/>
        </w:rPr>
      </w:pPr>
      <w:r w:rsidRPr="008C0556">
        <w:rPr>
          <w:rFonts w:asciiTheme="majorHAnsi" w:hAnsiTheme="majorHAnsi" w:cstheme="majorHAnsi"/>
          <w:szCs w:val="28"/>
          <w:lang w:val="de-DE"/>
        </w:rPr>
        <w:t>Looking in detail at the choices between sufficient and insufficient monthly income, there is a difference between the two ethnic groups. Among the Tay respondents, as many as 8% reported that their income fully met their needs and allowed for savings. However, around 3% indicated that their current income did not meet the needs of daily life, whereas none of the Hmong respondents selected this option. This suggests that income inequality exists among the Tay community in the area, while it does not appear among the Hmong. Therefore, policies aimed at reducing income disparities within these ethnic groups should be implemented to promote balance and sustainable human development in the region</w:t>
      </w:r>
      <w:r w:rsidR="001F0685" w:rsidRPr="008C0556">
        <w:rPr>
          <w:rFonts w:asciiTheme="majorHAnsi" w:hAnsiTheme="majorHAnsi" w:cstheme="majorHAnsi"/>
          <w:szCs w:val="28"/>
          <w:lang w:val="de-DE"/>
        </w:rPr>
        <w:t>, see Figure 2</w:t>
      </w:r>
      <w:r w:rsidRPr="008C0556">
        <w:rPr>
          <w:rFonts w:asciiTheme="majorHAnsi" w:hAnsiTheme="majorHAnsi" w:cstheme="majorHAnsi"/>
          <w:szCs w:val="28"/>
          <w:lang w:val="de-DE"/>
        </w:rPr>
        <w:t>.</w:t>
      </w:r>
    </w:p>
    <w:p w14:paraId="66D37F60" w14:textId="6C743CBA" w:rsidR="001F0685" w:rsidRPr="008C0556" w:rsidRDefault="001B0E21" w:rsidP="003E57BB">
      <w:pPr>
        <w:spacing w:before="120" w:after="120" w:line="288" w:lineRule="auto"/>
        <w:rPr>
          <w:rFonts w:asciiTheme="majorHAnsi" w:hAnsiTheme="majorHAnsi" w:cstheme="majorHAnsi"/>
          <w:b/>
          <w:bCs/>
          <w:lang w:val="de-DE"/>
        </w:rPr>
      </w:pPr>
      <w:r>
        <w:rPr>
          <w:rFonts w:asciiTheme="majorHAnsi" w:hAnsiTheme="majorHAnsi" w:cstheme="majorHAnsi"/>
          <w:b/>
          <w:bCs/>
          <w:lang w:val="de-DE"/>
        </w:rPr>
        <w:t xml:space="preserve">4. </w:t>
      </w:r>
      <w:r w:rsidR="001F0685" w:rsidRPr="008C0556">
        <w:rPr>
          <w:rFonts w:asciiTheme="majorHAnsi" w:hAnsiTheme="majorHAnsi" w:cstheme="majorHAnsi"/>
          <w:b/>
          <w:bCs/>
          <w:lang w:val="de-DE"/>
        </w:rPr>
        <w:t>RESULTS</w:t>
      </w:r>
    </w:p>
    <w:p w14:paraId="63C9A0FC" w14:textId="30C75C59" w:rsidR="00A97E8E" w:rsidRDefault="001F0685"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This study evaluates the human development status of the Tay and Hmong communities in terms of effectiveness, focusing on income and analyzing survey data collected from residents in V</w:t>
      </w:r>
      <w:r w:rsidR="008C0556" w:rsidRPr="003E57BB">
        <w:rPr>
          <w:rFonts w:asciiTheme="majorHAnsi" w:hAnsiTheme="majorHAnsi" w:cstheme="majorHAnsi"/>
          <w:szCs w:val="28"/>
          <w:lang w:val="de-DE"/>
        </w:rPr>
        <w:t>i</w:t>
      </w:r>
      <w:r w:rsidRPr="003E57BB">
        <w:rPr>
          <w:rFonts w:asciiTheme="majorHAnsi" w:hAnsiTheme="majorHAnsi" w:cstheme="majorHAnsi"/>
          <w:szCs w:val="28"/>
          <w:lang w:val="de-DE"/>
        </w:rPr>
        <w:t xml:space="preserve"> Xuy</w:t>
      </w:r>
      <w:r w:rsidR="008C0556" w:rsidRPr="003E57BB">
        <w:rPr>
          <w:rFonts w:asciiTheme="majorHAnsi" w:hAnsiTheme="majorHAnsi" w:cstheme="majorHAnsi"/>
          <w:szCs w:val="28"/>
          <w:lang w:val="de-DE"/>
        </w:rPr>
        <w:t>e</w:t>
      </w:r>
      <w:r w:rsidRPr="003E57BB">
        <w:rPr>
          <w:rFonts w:asciiTheme="majorHAnsi" w:hAnsiTheme="majorHAnsi" w:cstheme="majorHAnsi"/>
          <w:szCs w:val="28"/>
          <w:lang w:val="de-DE"/>
        </w:rPr>
        <w:t xml:space="preserve">n and </w:t>
      </w:r>
      <w:r w:rsidR="008C0556" w:rsidRPr="003E57BB">
        <w:rPr>
          <w:rFonts w:asciiTheme="majorHAnsi" w:hAnsiTheme="majorHAnsi" w:cstheme="majorHAnsi"/>
          <w:szCs w:val="28"/>
          <w:lang w:val="de-DE"/>
        </w:rPr>
        <w:t>Dong Van</w:t>
      </w:r>
      <w:r w:rsidRPr="003E57BB">
        <w:rPr>
          <w:rFonts w:asciiTheme="majorHAnsi" w:hAnsiTheme="majorHAnsi" w:cstheme="majorHAnsi"/>
          <w:szCs w:val="28"/>
          <w:lang w:val="de-DE"/>
        </w:rPr>
        <w:t xml:space="preserve">. To clearly examine the effects of various factors on income, the study adopts the approaches of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{"citationID":"TPbuNUse","properties":{"formattedCitation":"(Ton et al., 2018)","plainCitation":"(Ton et al., 2018)","noteIndex":0},"citationItems":[{"id":"McZIHyXX/0qMdZK9N","uris":["http://zotero.org/users/2126705/items/JD82SC4R"],"itemData":{"id":395,"type":"article-journal","abstract":"Contract farming is a sales arrangement between a farmer and a firm, agreed before production begins, which provides the farmer with resources or services. Many governments and donors promote contract farming as part of agricultural development policies. However, there is serious concern whether smaller farmers can benefit from these arrangements. This paper presents the results of a systematic review that analysed the evidence in the literature on income effects for smallholders. The review included all studies with an econometric design to reduce selection bias in effect estimates. The meta-analysis covered 26 empirical instances of contract farming in 13 developing countries. The contracts varied widely, with varying service packages provided by the firm to the farmers. Using truth table analysis, we explored combinations of services associated with relatively high or relatively low income effects. The meta-analysis resulted in an overall pooled average effect size of 38%. However, we show that there are publication and survivor biases. Non-significant effects are systematically underreported. Moreover, all studies assessed the effectiveness of the contractual arrangement when these had already survived the start-up problems. Both sources of bias lead to an overestimation of the average income effect. The findings point to the need for substantial income effects for contract farming arrangements to survive over time. Both firms and farmers face risks; for example, farmers may side-sell products after having received the services from the firm. The most effective contractual arrangements included a price premium, especially when there was no farmers’ organisation to broker the contract between the farmer and the firm. We show that smallholders can benefit from the contractual arrangement. However, the poorest farmers are rarely included; we show that, in 61% of the cases, the contract farmers had significantly larger landholdings or more assets than the average farmers in the region.","container-title":"World Development","DOI":"10.1016/j.worlddev.2017.11.015","ISSN":"0305-750X","journalAbbreviation":"World Development","page":"46-64","source":"ScienceDirect","title":"Contract farming for improving smallholder incomes: What can we learn from effectiveness studies?","title-short":"Contract farming for improving smallholder incomes","volume":"104","author":[{"family":"Ton","given":"Giel"},{"family":"Vellema","given":"Wytse"},{"family":"Desiere","given":"Sam"},{"family":"Weituschat","given":"Sophia"},{"family":"D'Haese","given":"Marijke"}],"issued":{"date-parts":[["2018",4,1]]}}}],"schema":"https://github.com/citation-style-language/schema/raw/master/csl-citation.json"} </w:instrText>
      </w:r>
      <w:r w:rsidRPr="003E57BB">
        <w:rPr>
          <w:rFonts w:asciiTheme="majorHAnsi" w:hAnsiTheme="majorHAnsi" w:cstheme="majorHAnsi"/>
          <w:szCs w:val="28"/>
          <w:lang w:val="de-DE"/>
        </w:rPr>
        <w:fldChar w:fldCharType="separate"/>
      </w:r>
      <w:r w:rsidR="00646D01">
        <w:rPr>
          <w:rFonts w:asciiTheme="majorHAnsi" w:hAnsiTheme="majorHAnsi" w:cstheme="majorHAnsi"/>
          <w:szCs w:val="28"/>
          <w:lang w:val="de-DE"/>
        </w:rPr>
        <w:t xml:space="preserve">(Ton et </w:t>
      </w:r>
      <w:r w:rsidR="00646D01">
        <w:rPr>
          <w:rFonts w:asciiTheme="majorHAnsi" w:hAnsiTheme="majorHAnsi" w:cstheme="majorHAnsi"/>
          <w:szCs w:val="28"/>
          <w:lang w:val="de-DE"/>
        </w:rPr>
        <w:lastRenderedPageBreak/>
        <w:t>al., 2018)</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xml:space="preserve"> and</w:t>
      </w:r>
      <w:r w:rsidR="008C0556" w:rsidRPr="003E57BB">
        <w:rPr>
          <w:rFonts w:asciiTheme="majorHAnsi" w:hAnsiTheme="majorHAnsi" w:cstheme="majorHAnsi"/>
          <w:szCs w:val="28"/>
          <w:lang w:val="de-DE"/>
        </w:rPr>
        <w:t xml:space="preserve"> </w:t>
      </w:r>
      <w:r w:rsidR="008C0556"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{"citationID":"Enr11A13","properties":{"formattedCitation":"(Dechow et al., 2012)","plainCitation":"(Dechow et al., 2012)","noteIndex":0},"citationItems":[{"id":"McZIHyXX/mcEG9c3S","uris":["http://zotero.org/users/2126705/items/BU8CZKE9"],"itemData":{"id":397,"type":"article-journal","abstract":"This paper provides a new approach to test for accrual-based earnings management. Our approach exploits the inherent property of accrual accounting that any accrual-based earnings management in one period must reverse in another period. If the researcher has priors concerning the timing of the reversal, incorporating these priors can significantly improve the power and specification of tests for earnings management. Our results indicate that tests incorporating reversals increase test power by around 40% and provide a robust solution for mitigating model misspecification arising from correlated omitted variables.","container-title":"Journal of Accounting Research","DOI":"10.1111/j.1475-679X.2012.00449.x","ISSN":"1475-679X","issue":"2","language":"en","license":"©, University of Chicago on behalf of the Accounting Research Center, 2012","note":"_eprint: https://onlinelibrary.wiley.com/doi/pdf/10.1111/j.1475-679X.2012.00449.x","page":"275-334","source":"Wiley Online Library","title":"Detecting Earnings Management: A New Approach","title-short":"Detecting Earnings Management","volume":"50","author":[{"family":"Dechow","given":"Patricia M."},{"family":"Hutton","given":"Amy P."},{"family":"Kim","given":"Jung Hoon"},{"family":"Sloan","given":"Richard G."}],"issued":{"date-parts":[["2012"]]}}}],"schema":"https://github.com/citation-style-language/schema/raw/master/csl-citation.json"} </w:instrText>
      </w:r>
      <w:r w:rsidR="008C0556" w:rsidRPr="003E57BB">
        <w:rPr>
          <w:rFonts w:asciiTheme="majorHAnsi" w:hAnsiTheme="majorHAnsi" w:cstheme="majorHAnsi"/>
          <w:szCs w:val="28"/>
          <w:lang w:val="de-DE"/>
        </w:rPr>
        <w:fldChar w:fldCharType="separate"/>
      </w:r>
      <w:r w:rsidR="00646D01">
        <w:rPr>
          <w:rFonts w:asciiTheme="majorHAnsi" w:hAnsiTheme="majorHAnsi" w:cstheme="majorHAnsi"/>
          <w:szCs w:val="28"/>
          <w:lang w:val="de-DE"/>
        </w:rPr>
        <w:t>(Dechow et al., 2012)</w:t>
      </w:r>
      <w:r w:rsidR="008C0556" w:rsidRPr="003E57BB">
        <w:rPr>
          <w:rFonts w:asciiTheme="majorHAnsi" w:hAnsiTheme="majorHAnsi" w:cstheme="majorHAnsi"/>
          <w:szCs w:val="28"/>
          <w:lang w:val="de-DE"/>
        </w:rPr>
        <w:fldChar w:fldCharType="end"/>
      </w:r>
      <w:r w:rsidR="008C0556" w:rsidRPr="003E57BB">
        <w:rPr>
          <w:rFonts w:asciiTheme="majorHAnsi" w:hAnsiTheme="majorHAnsi" w:cstheme="majorHAnsi"/>
          <w:szCs w:val="28"/>
          <w:lang w:val="de-DE"/>
        </w:rPr>
        <w:t>.</w:t>
      </w:r>
      <w:r w:rsidRPr="003E57BB">
        <w:rPr>
          <w:rFonts w:asciiTheme="majorHAnsi" w:hAnsiTheme="majorHAnsi" w:cstheme="majorHAnsi"/>
          <w:szCs w:val="28"/>
          <w:lang w:val="de-DE"/>
        </w:rPr>
        <w:t xml:space="preserve"> Besides demographic factors, this research considers three main groups of factors—capability, sustainability, and effectiveness—to assess their impacts on the income of the two ethnic groups.</w:t>
      </w:r>
    </w:p>
    <w:p w14:paraId="1CCD884A" w14:textId="77777777" w:rsidR="00A97E8E" w:rsidRDefault="00A97E8E" w:rsidP="003E57BB">
      <w:pPr>
        <w:spacing w:before="120" w:after="120" w:line="288" w:lineRule="auto"/>
        <w:rPr>
          <w:rFonts w:asciiTheme="majorHAnsi" w:hAnsiTheme="majorHAnsi" w:cstheme="majorHAnsi"/>
          <w:szCs w:val="28"/>
          <w:lang w:val="de-DE"/>
        </w:rPr>
      </w:pPr>
    </w:p>
    <w:p w14:paraId="6CEA375C" w14:textId="6B2E7FB2" w:rsidR="00A97E8E" w:rsidRDefault="001F0685"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Within the capability group, cultivated land area is used as an intermediate variable, based on the assumption that individuals with larger landholdings are more capable, as they have demonstrated the ability to acquire and manage substantial land. Additionally, capability is reflected in whether a person can use both their ethnic language and the national language as well as foreign languages. Individuals who are multilingual in the study area are likely to have higher income compared to others.</w:t>
      </w:r>
      <w:r w:rsidR="008C0556"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For the sustainability group, the study considers whether the worker has participated in any vocational training or job-related courses locally or elsewhere. Sustainability factors also include the length of employment, whether a person works at the place they were trained for less than one year or longer.</w:t>
      </w:r>
    </w:p>
    <w:p w14:paraId="6809FD67" w14:textId="77777777" w:rsidR="00A97E8E" w:rsidRDefault="00A97E8E" w:rsidP="003E57BB">
      <w:pPr>
        <w:spacing w:before="120" w:after="120" w:line="288" w:lineRule="auto"/>
        <w:rPr>
          <w:rFonts w:asciiTheme="majorHAnsi" w:hAnsiTheme="majorHAnsi" w:cstheme="majorHAnsi"/>
          <w:szCs w:val="28"/>
          <w:lang w:val="de-DE"/>
        </w:rPr>
      </w:pPr>
    </w:p>
    <w:p w14:paraId="5AAA77E6" w14:textId="6F1DDF3C" w:rsidR="00EF7BFD" w:rsidRPr="003E57BB" w:rsidRDefault="001F0685"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Finally, the effectiveness group includes criteria such as whether workers are consulted in decision-making and the degree of work independence, measured on a scale from 1 to 10. Table 4 provides further details on the factors used and the measurement scales in the model to analyze their influence on income.</w:t>
      </w:r>
    </w:p>
    <w:p w14:paraId="58C69037" w14:textId="79BF5DF5" w:rsidR="00EF7BFD" w:rsidRPr="008C0556" w:rsidRDefault="008C0556" w:rsidP="00EF7BFD">
      <w:pPr>
        <w:rPr>
          <w:rFonts w:asciiTheme="majorHAnsi" w:hAnsiTheme="majorHAnsi" w:cstheme="majorHAnsi"/>
          <w:b/>
          <w:lang w:val="de-DE"/>
        </w:rPr>
      </w:pPr>
      <w:r w:rsidRPr="008C0556">
        <w:rPr>
          <w:rFonts w:asciiTheme="majorHAnsi" w:hAnsiTheme="majorHAnsi" w:cstheme="majorHAnsi"/>
          <w:b/>
          <w:lang w:val="de-DE"/>
        </w:rPr>
        <w:t>Table 4. Description of Variables in the Model</w:t>
      </w:r>
    </w:p>
    <w:tbl>
      <w:tblPr>
        <w:tblStyle w:val="TableGrid"/>
        <w:tblW w:w="0" w:type="auto"/>
        <w:tblInd w:w="-5" w:type="dxa"/>
        <w:tblLook w:val="04A0" w:firstRow="1" w:lastRow="0" w:firstColumn="1" w:lastColumn="0" w:noHBand="0" w:noVBand="1"/>
      </w:tblPr>
      <w:tblGrid>
        <w:gridCol w:w="2915"/>
        <w:gridCol w:w="6101"/>
      </w:tblGrid>
      <w:tr w:rsidR="008C0556" w:rsidRPr="008C0556" w14:paraId="4B2FDBEA" w14:textId="77777777" w:rsidTr="008C0556">
        <w:tc>
          <w:tcPr>
            <w:tcW w:w="2915" w:type="dxa"/>
            <w:vAlign w:val="center"/>
          </w:tcPr>
          <w:p w14:paraId="549769C4" w14:textId="1592B8F3" w:rsidR="008C0556" w:rsidRPr="008C0556" w:rsidRDefault="008C0556" w:rsidP="008C0556">
            <w:pPr>
              <w:rPr>
                <w:rFonts w:asciiTheme="majorHAnsi" w:hAnsiTheme="majorHAnsi" w:cstheme="majorHAnsi"/>
                <w:b/>
                <w:lang w:val="de-DE"/>
              </w:rPr>
            </w:pPr>
            <w:r w:rsidRPr="008C0556">
              <w:rPr>
                <w:rFonts w:asciiTheme="majorHAnsi" w:hAnsiTheme="majorHAnsi" w:cstheme="majorHAnsi"/>
                <w:b/>
                <w:bCs/>
                <w:color w:val="000000"/>
                <w:sz w:val="22"/>
              </w:rPr>
              <w:t>Main Variables</w:t>
            </w:r>
          </w:p>
        </w:tc>
        <w:tc>
          <w:tcPr>
            <w:tcW w:w="6101" w:type="dxa"/>
            <w:vAlign w:val="center"/>
          </w:tcPr>
          <w:p w14:paraId="4FC17199" w14:textId="5444F1A6" w:rsidR="008C0556" w:rsidRPr="008C0556" w:rsidRDefault="008C0556" w:rsidP="008C0556">
            <w:pPr>
              <w:rPr>
                <w:rFonts w:asciiTheme="majorHAnsi" w:hAnsiTheme="majorHAnsi" w:cstheme="majorHAnsi"/>
                <w:b/>
                <w:lang w:val="de-DE"/>
              </w:rPr>
            </w:pPr>
            <w:r w:rsidRPr="008C0556">
              <w:rPr>
                <w:rFonts w:asciiTheme="majorHAnsi" w:hAnsiTheme="majorHAnsi" w:cstheme="majorHAnsi"/>
                <w:b/>
                <w:bCs/>
                <w:color w:val="000000"/>
                <w:sz w:val="22"/>
              </w:rPr>
              <w:t>Measurement Scale</w:t>
            </w:r>
          </w:p>
        </w:tc>
      </w:tr>
      <w:tr w:rsidR="008C0556" w:rsidRPr="008C0556" w14:paraId="1AE415FD" w14:textId="77777777" w:rsidTr="008C0556">
        <w:tc>
          <w:tcPr>
            <w:tcW w:w="2915" w:type="dxa"/>
            <w:vAlign w:val="center"/>
          </w:tcPr>
          <w:p w14:paraId="061477FA" w14:textId="734E2722"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Gender</w:t>
            </w:r>
          </w:p>
        </w:tc>
        <w:tc>
          <w:tcPr>
            <w:tcW w:w="6101" w:type="dxa"/>
            <w:vAlign w:val="center"/>
          </w:tcPr>
          <w:p w14:paraId="5A4B6EBC" w14:textId="721C4AF9"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Binary variable: 1 = Female, 0 = Male</w:t>
            </w:r>
          </w:p>
        </w:tc>
      </w:tr>
      <w:tr w:rsidR="008C0556" w:rsidRPr="008C0556" w14:paraId="604D963D" w14:textId="77777777" w:rsidTr="008C0556">
        <w:tc>
          <w:tcPr>
            <w:tcW w:w="2915" w:type="dxa"/>
            <w:vAlign w:val="center"/>
          </w:tcPr>
          <w:p w14:paraId="3B2C4FC5" w14:textId="211D5D7F"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Age</w:t>
            </w:r>
          </w:p>
        </w:tc>
        <w:tc>
          <w:tcPr>
            <w:tcW w:w="6101" w:type="dxa"/>
            <w:vAlign w:val="center"/>
          </w:tcPr>
          <w:p w14:paraId="2DFD0FA2" w14:textId="3F51C81C"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Respondent’s age</w:t>
            </w:r>
          </w:p>
        </w:tc>
      </w:tr>
      <w:tr w:rsidR="008C0556" w:rsidRPr="008C0556" w14:paraId="4A190CF3" w14:textId="77777777" w:rsidTr="008C0556">
        <w:tc>
          <w:tcPr>
            <w:tcW w:w="2915" w:type="dxa"/>
            <w:vAlign w:val="center"/>
          </w:tcPr>
          <w:p w14:paraId="1B897A94" w14:textId="458903EC"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Place of Birth</w:t>
            </w:r>
          </w:p>
        </w:tc>
        <w:tc>
          <w:tcPr>
            <w:tcW w:w="6101" w:type="dxa"/>
            <w:vAlign w:val="center"/>
          </w:tcPr>
          <w:p w14:paraId="04304022" w14:textId="1E004D15"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 xml:space="preserve">Binary variable: 1 = </w:t>
            </w:r>
            <w:proofErr w:type="spellStart"/>
            <w:r w:rsidRPr="008C0556">
              <w:rPr>
                <w:rFonts w:asciiTheme="majorHAnsi" w:hAnsiTheme="majorHAnsi" w:cstheme="majorHAnsi"/>
                <w:color w:val="000000"/>
                <w:sz w:val="22"/>
              </w:rPr>
              <w:t>Đồng</w:t>
            </w:r>
            <w:proofErr w:type="spellEnd"/>
            <w:r w:rsidRPr="008C0556">
              <w:rPr>
                <w:rFonts w:asciiTheme="majorHAnsi" w:hAnsiTheme="majorHAnsi" w:cstheme="majorHAnsi"/>
                <w:color w:val="000000"/>
                <w:sz w:val="22"/>
              </w:rPr>
              <w:t xml:space="preserve"> </w:t>
            </w:r>
            <w:proofErr w:type="spellStart"/>
            <w:r w:rsidRPr="008C0556">
              <w:rPr>
                <w:rFonts w:asciiTheme="majorHAnsi" w:hAnsiTheme="majorHAnsi" w:cstheme="majorHAnsi"/>
                <w:color w:val="000000"/>
                <w:sz w:val="22"/>
              </w:rPr>
              <w:t>Văn</w:t>
            </w:r>
            <w:proofErr w:type="spellEnd"/>
            <w:r w:rsidRPr="008C0556">
              <w:rPr>
                <w:rFonts w:asciiTheme="majorHAnsi" w:hAnsiTheme="majorHAnsi" w:cstheme="majorHAnsi"/>
                <w:color w:val="000000"/>
                <w:sz w:val="22"/>
              </w:rPr>
              <w:t>, 0 = Other</w:t>
            </w:r>
          </w:p>
        </w:tc>
      </w:tr>
      <w:tr w:rsidR="008C0556" w:rsidRPr="008C0556" w14:paraId="3B1CC9C8" w14:textId="77777777" w:rsidTr="008C0556">
        <w:tc>
          <w:tcPr>
            <w:tcW w:w="2915" w:type="dxa"/>
            <w:vAlign w:val="center"/>
          </w:tcPr>
          <w:p w14:paraId="3E12B3BF" w14:textId="0399ED6F"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Marital Status</w:t>
            </w:r>
          </w:p>
        </w:tc>
        <w:tc>
          <w:tcPr>
            <w:tcW w:w="6101" w:type="dxa"/>
            <w:vAlign w:val="center"/>
          </w:tcPr>
          <w:p w14:paraId="6E868EAF" w14:textId="19DE04CE"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Categorical variable: 1 = Married; 2 = Single; 3 = Divorced/Separated; 4 = Widowed; 5 = Other</w:t>
            </w:r>
          </w:p>
        </w:tc>
      </w:tr>
      <w:tr w:rsidR="008C0556" w:rsidRPr="008C0556" w14:paraId="7B831C27" w14:textId="77777777" w:rsidTr="008C0556">
        <w:tc>
          <w:tcPr>
            <w:tcW w:w="2915" w:type="dxa"/>
            <w:vAlign w:val="center"/>
          </w:tcPr>
          <w:p w14:paraId="5A75E162" w14:textId="2509464E"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Education</w:t>
            </w:r>
          </w:p>
        </w:tc>
        <w:tc>
          <w:tcPr>
            <w:tcW w:w="6101" w:type="dxa"/>
            <w:vAlign w:val="center"/>
          </w:tcPr>
          <w:p w14:paraId="775463BC" w14:textId="3E13AC29"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Re-coded education level: 1 = No schooling, 10 = Postgraduate or higher</w:t>
            </w:r>
          </w:p>
        </w:tc>
      </w:tr>
      <w:tr w:rsidR="008C0556" w:rsidRPr="008C0556" w14:paraId="210B8311" w14:textId="77777777" w:rsidTr="008C0556">
        <w:tc>
          <w:tcPr>
            <w:tcW w:w="2915" w:type="dxa"/>
            <w:vAlign w:val="center"/>
          </w:tcPr>
          <w:p w14:paraId="6FDC03EB" w14:textId="56E9F5BB"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Living Standard</w:t>
            </w:r>
          </w:p>
        </w:tc>
        <w:tc>
          <w:tcPr>
            <w:tcW w:w="6101" w:type="dxa"/>
            <w:vAlign w:val="center"/>
          </w:tcPr>
          <w:p w14:paraId="668F4308" w14:textId="4EBB0610"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Respondent’s assessment of family living standard, 1 = Poor up to higher levels</w:t>
            </w:r>
          </w:p>
        </w:tc>
      </w:tr>
      <w:tr w:rsidR="008C0556" w:rsidRPr="008C0556" w14:paraId="6E5B5B16" w14:textId="77777777" w:rsidTr="008C0556">
        <w:tc>
          <w:tcPr>
            <w:tcW w:w="2915" w:type="dxa"/>
            <w:vAlign w:val="center"/>
          </w:tcPr>
          <w:p w14:paraId="51AFF200" w14:textId="13D35460"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Cultivated Land Area</w:t>
            </w:r>
          </w:p>
        </w:tc>
        <w:tc>
          <w:tcPr>
            <w:tcW w:w="6101" w:type="dxa"/>
            <w:vAlign w:val="center"/>
          </w:tcPr>
          <w:p w14:paraId="65E3C722" w14:textId="3ABEC506"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Area of land cultivated by respondent, measured in square meters</w:t>
            </w:r>
          </w:p>
        </w:tc>
      </w:tr>
      <w:tr w:rsidR="008C0556" w:rsidRPr="008C0556" w14:paraId="251A9655" w14:textId="77777777" w:rsidTr="008C0556">
        <w:tc>
          <w:tcPr>
            <w:tcW w:w="2915" w:type="dxa"/>
            <w:vAlign w:val="center"/>
          </w:tcPr>
          <w:p w14:paraId="41C23EDF" w14:textId="6AF1480E"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Language</w:t>
            </w:r>
          </w:p>
        </w:tc>
        <w:tc>
          <w:tcPr>
            <w:tcW w:w="6101" w:type="dxa"/>
            <w:vAlign w:val="center"/>
          </w:tcPr>
          <w:p w14:paraId="53F2CFCC" w14:textId="7E8789C4"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Language ability: 1 = Only ethnic language; 2 = Ethnic language + national language + foreign language</w:t>
            </w:r>
          </w:p>
        </w:tc>
      </w:tr>
      <w:tr w:rsidR="008C0556" w:rsidRPr="008C0556" w14:paraId="46E12707" w14:textId="77777777" w:rsidTr="008C0556">
        <w:tc>
          <w:tcPr>
            <w:tcW w:w="2915" w:type="dxa"/>
            <w:vAlign w:val="center"/>
          </w:tcPr>
          <w:p w14:paraId="080610D3" w14:textId="60E8B599"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Participation in Training</w:t>
            </w:r>
          </w:p>
        </w:tc>
        <w:tc>
          <w:tcPr>
            <w:tcW w:w="6101" w:type="dxa"/>
            <w:vAlign w:val="center"/>
          </w:tcPr>
          <w:p w14:paraId="6BC02F3D" w14:textId="35AA0CA8"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Whether the respondent participated in vocational training or skill development locally or elsewhere (Yes/No)</w:t>
            </w:r>
          </w:p>
        </w:tc>
      </w:tr>
      <w:tr w:rsidR="008C0556" w:rsidRPr="008C0556" w14:paraId="48C5161B" w14:textId="77777777" w:rsidTr="008C0556">
        <w:tc>
          <w:tcPr>
            <w:tcW w:w="2915" w:type="dxa"/>
            <w:vAlign w:val="center"/>
          </w:tcPr>
          <w:p w14:paraId="46A318BA" w14:textId="3EDA2FD4"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Duration of Employment</w:t>
            </w:r>
          </w:p>
        </w:tc>
        <w:tc>
          <w:tcPr>
            <w:tcW w:w="6101" w:type="dxa"/>
            <w:vAlign w:val="center"/>
          </w:tcPr>
          <w:p w14:paraId="79F86199" w14:textId="1A8AFCB4"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Length of time the worker has been employed: 1 = Less than 1 year, 5 = 10 years or more</w:t>
            </w:r>
          </w:p>
        </w:tc>
      </w:tr>
      <w:tr w:rsidR="008C0556" w:rsidRPr="008C0556" w14:paraId="5B1F0B74" w14:textId="77777777" w:rsidTr="008C0556">
        <w:tc>
          <w:tcPr>
            <w:tcW w:w="2915" w:type="dxa"/>
            <w:vAlign w:val="center"/>
          </w:tcPr>
          <w:p w14:paraId="4BEDD676" w14:textId="57B51B7E"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Consulted in Work</w:t>
            </w:r>
          </w:p>
        </w:tc>
        <w:tc>
          <w:tcPr>
            <w:tcW w:w="6101" w:type="dxa"/>
            <w:vAlign w:val="center"/>
          </w:tcPr>
          <w:p w14:paraId="7E493FBC" w14:textId="66FDE79F"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Degree to which the respondent is consulted in work-related decisions: 1 = Not consulted at all, 10 = Fully consulted</w:t>
            </w:r>
          </w:p>
        </w:tc>
      </w:tr>
      <w:tr w:rsidR="008C0556" w:rsidRPr="008C0556" w14:paraId="6492080A" w14:textId="77777777" w:rsidTr="008C0556">
        <w:tc>
          <w:tcPr>
            <w:tcW w:w="2915" w:type="dxa"/>
            <w:vAlign w:val="center"/>
          </w:tcPr>
          <w:p w14:paraId="51073A3B" w14:textId="163D58C3"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lastRenderedPageBreak/>
              <w:t>Work Independence</w:t>
            </w:r>
          </w:p>
        </w:tc>
        <w:tc>
          <w:tcPr>
            <w:tcW w:w="6101" w:type="dxa"/>
            <w:vAlign w:val="center"/>
          </w:tcPr>
          <w:p w14:paraId="1D51C227" w14:textId="1CA2D066" w:rsidR="008C0556" w:rsidRPr="008C0556" w:rsidRDefault="008C0556" w:rsidP="008C0556">
            <w:pPr>
              <w:rPr>
                <w:rFonts w:asciiTheme="majorHAnsi" w:hAnsiTheme="majorHAnsi" w:cstheme="majorHAnsi"/>
                <w:lang w:val="de-DE"/>
              </w:rPr>
            </w:pPr>
            <w:r w:rsidRPr="008C0556">
              <w:rPr>
                <w:rFonts w:asciiTheme="majorHAnsi" w:hAnsiTheme="majorHAnsi" w:cstheme="majorHAnsi"/>
                <w:color w:val="000000"/>
                <w:sz w:val="22"/>
              </w:rPr>
              <w:t>Degree of independence in performing work: 1 = Minimum, 10 = Fully independent</w:t>
            </w:r>
          </w:p>
        </w:tc>
      </w:tr>
    </w:tbl>
    <w:p w14:paraId="514B5879" w14:textId="77777777" w:rsidR="00EF7BFD" w:rsidRPr="008C0556" w:rsidRDefault="00EF7BFD" w:rsidP="00EF7BFD">
      <w:pPr>
        <w:rPr>
          <w:rFonts w:asciiTheme="majorHAnsi" w:hAnsiTheme="majorHAnsi" w:cstheme="majorHAnsi"/>
          <w:b/>
          <w:lang w:val="de-DE"/>
        </w:rPr>
      </w:pPr>
    </w:p>
    <w:p w14:paraId="4F0B3936" w14:textId="4145326C" w:rsidR="00EF7BFD" w:rsidRPr="008C0556" w:rsidRDefault="003B3839" w:rsidP="003E57BB">
      <w:pPr>
        <w:spacing w:before="120" w:after="120" w:line="288" w:lineRule="auto"/>
        <w:rPr>
          <w:rFonts w:asciiTheme="majorHAnsi" w:hAnsiTheme="majorHAnsi" w:cstheme="majorHAnsi"/>
          <w:lang w:val="de-DE"/>
        </w:rPr>
      </w:pPr>
      <w:r w:rsidRPr="003B3839">
        <w:rPr>
          <w:rFonts w:asciiTheme="majorHAnsi" w:hAnsiTheme="majorHAnsi" w:cstheme="majorHAnsi"/>
          <w:szCs w:val="28"/>
          <w:lang w:val="de-DE"/>
        </w:rPr>
        <w:t xml:space="preserve">To analyze the factors affecting income, one of the factors assesses effectiveness from the perspective of employment among ethnic minority people in general, and specifically among the Hmong and Tay groups. Table 5 presents the results of the interaction regression between the factors described in Table 4. According to Column 2, respondents from </w:t>
      </w:r>
      <w:r>
        <w:rPr>
          <w:rFonts w:asciiTheme="majorHAnsi" w:hAnsiTheme="majorHAnsi" w:cstheme="majorHAnsi"/>
          <w:szCs w:val="28"/>
          <w:lang w:val="de-DE"/>
        </w:rPr>
        <w:t>Dong Van</w:t>
      </w:r>
      <w:r w:rsidRPr="003B3839">
        <w:rPr>
          <w:rFonts w:asciiTheme="majorHAnsi" w:hAnsiTheme="majorHAnsi" w:cstheme="majorHAnsi"/>
          <w:szCs w:val="28"/>
          <w:lang w:val="de-DE"/>
        </w:rPr>
        <w:t xml:space="preserve"> have lower income compared to those born in </w:t>
      </w:r>
      <w:r>
        <w:rPr>
          <w:rFonts w:asciiTheme="majorHAnsi" w:hAnsiTheme="majorHAnsi" w:cstheme="majorHAnsi"/>
          <w:szCs w:val="28"/>
          <w:lang w:val="de-DE"/>
        </w:rPr>
        <w:t>Vi Xuyen</w:t>
      </w:r>
      <w:r w:rsidRPr="003B3839">
        <w:rPr>
          <w:rFonts w:asciiTheme="majorHAnsi" w:hAnsiTheme="majorHAnsi" w:cstheme="majorHAnsi"/>
          <w:szCs w:val="28"/>
          <w:lang w:val="de-DE"/>
        </w:rPr>
        <w:t>, with statistical significance at the 10% level. Regarding other demographic variables in Model 2 for the Tay group, it is shown that older respondents tend to have higher income, also significant at the 10% level (see Column 6).</w:t>
      </w:r>
      <w:r w:rsidR="00EF7BFD" w:rsidRPr="008C0556">
        <w:rPr>
          <w:rFonts w:asciiTheme="majorHAnsi" w:hAnsiTheme="majorHAnsi" w:cstheme="majorHAnsi"/>
          <w:lang w:val="de-DE"/>
        </w:rPr>
        <w:br w:type="page"/>
      </w:r>
    </w:p>
    <w:p w14:paraId="7C9EB7C3" w14:textId="77777777" w:rsidR="00EF7BFD" w:rsidRPr="008C0556" w:rsidRDefault="00EF7BFD" w:rsidP="00EF7BFD">
      <w:pPr>
        <w:rPr>
          <w:rFonts w:asciiTheme="majorHAnsi" w:hAnsiTheme="majorHAnsi" w:cstheme="majorHAnsi"/>
          <w:b/>
          <w:lang w:val="de-DE"/>
        </w:rPr>
        <w:sectPr w:rsidR="00EF7BFD" w:rsidRPr="008C055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708" w:footer="708" w:gutter="0"/>
          <w:cols w:space="708"/>
          <w:docGrid w:linePitch="360"/>
        </w:sectPr>
      </w:pPr>
    </w:p>
    <w:p w14:paraId="6FFCAA4D" w14:textId="54FF9896" w:rsidR="00EF7BFD" w:rsidRPr="008C0556" w:rsidRDefault="003B3839" w:rsidP="00EF7BFD">
      <w:pPr>
        <w:rPr>
          <w:rFonts w:asciiTheme="majorHAnsi" w:hAnsiTheme="majorHAnsi" w:cstheme="majorHAnsi"/>
          <w:b/>
          <w:lang w:val="de-DE"/>
        </w:rPr>
      </w:pPr>
      <w:r w:rsidRPr="003B3839">
        <w:rPr>
          <w:rFonts w:asciiTheme="majorHAnsi" w:hAnsiTheme="majorHAnsi" w:cstheme="majorHAnsi"/>
          <w:b/>
          <w:lang w:val="de-DE"/>
        </w:rPr>
        <w:lastRenderedPageBreak/>
        <w:t>Table 5. Effects of Factors on Income</w:t>
      </w:r>
    </w:p>
    <w:tbl>
      <w:tblPr>
        <w:tblStyle w:val="TableGrid"/>
        <w:tblW w:w="1454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48"/>
        <w:gridCol w:w="2547"/>
        <w:gridCol w:w="2268"/>
        <w:gridCol w:w="2268"/>
        <w:gridCol w:w="2410"/>
        <w:gridCol w:w="2103"/>
      </w:tblGrid>
      <w:tr w:rsidR="00EF7BFD" w:rsidRPr="008C0556" w14:paraId="0EFFE4ED" w14:textId="77777777" w:rsidTr="003B7725">
        <w:tc>
          <w:tcPr>
            <w:tcW w:w="2948" w:type="dxa"/>
            <w:tcBorders>
              <w:top w:val="double" w:sz="4" w:space="0" w:color="auto"/>
              <w:left w:val="nil"/>
              <w:bottom w:val="nil"/>
              <w:right w:val="nil"/>
            </w:tcBorders>
          </w:tcPr>
          <w:p w14:paraId="4B1E2C8E" w14:textId="77777777" w:rsidR="00EF7BFD" w:rsidRPr="008C0556" w:rsidRDefault="00EF7BFD" w:rsidP="003B7725">
            <w:pPr>
              <w:rPr>
                <w:rFonts w:asciiTheme="majorHAnsi" w:hAnsiTheme="majorHAnsi" w:cstheme="majorHAnsi"/>
                <w:sz w:val="22"/>
                <w:lang w:val="de-DE"/>
              </w:rPr>
            </w:pPr>
          </w:p>
        </w:tc>
        <w:tc>
          <w:tcPr>
            <w:tcW w:w="2547" w:type="dxa"/>
            <w:tcBorders>
              <w:top w:val="double" w:sz="4" w:space="0" w:color="auto"/>
              <w:left w:val="nil"/>
              <w:bottom w:val="single" w:sz="4" w:space="0" w:color="auto"/>
              <w:right w:val="nil"/>
            </w:tcBorders>
          </w:tcPr>
          <w:p w14:paraId="5FA022AB" w14:textId="2B069A3A" w:rsidR="00EF7BFD" w:rsidRPr="008C0556" w:rsidRDefault="00A539C8" w:rsidP="003B7725">
            <w:pPr>
              <w:jc w:val="center"/>
              <w:rPr>
                <w:rFonts w:asciiTheme="majorHAnsi" w:hAnsiTheme="majorHAnsi" w:cstheme="majorHAnsi"/>
                <w:sz w:val="22"/>
                <w:lang w:val="de-DE"/>
              </w:rPr>
            </w:pPr>
            <w:r>
              <w:rPr>
                <w:rFonts w:asciiTheme="majorHAnsi" w:hAnsiTheme="majorHAnsi" w:cstheme="majorHAnsi"/>
                <w:sz w:val="22"/>
                <w:lang w:val="de-DE"/>
              </w:rPr>
              <w:t>All e</w:t>
            </w:r>
            <w:r w:rsidRPr="00A539C8">
              <w:rPr>
                <w:rFonts w:asciiTheme="majorHAnsi" w:hAnsiTheme="majorHAnsi" w:cstheme="majorHAnsi"/>
                <w:sz w:val="22"/>
                <w:lang w:val="de-DE"/>
              </w:rPr>
              <w:t>thnicities</w:t>
            </w:r>
          </w:p>
        </w:tc>
        <w:tc>
          <w:tcPr>
            <w:tcW w:w="4536" w:type="dxa"/>
            <w:gridSpan w:val="2"/>
            <w:tcBorders>
              <w:top w:val="double" w:sz="4" w:space="0" w:color="auto"/>
              <w:left w:val="nil"/>
              <w:bottom w:val="single" w:sz="4" w:space="0" w:color="auto"/>
              <w:right w:val="nil"/>
            </w:tcBorders>
          </w:tcPr>
          <w:p w14:paraId="1D5EE738" w14:textId="77777777" w:rsidR="00EF7BFD" w:rsidRPr="008C0556" w:rsidRDefault="00EF7BFD" w:rsidP="003B7725">
            <w:pPr>
              <w:jc w:val="center"/>
              <w:rPr>
                <w:rFonts w:asciiTheme="majorHAnsi" w:hAnsiTheme="majorHAnsi" w:cstheme="majorHAnsi"/>
                <w:sz w:val="22"/>
                <w:lang w:val="de-DE"/>
              </w:rPr>
            </w:pPr>
            <w:r w:rsidRPr="008C0556">
              <w:rPr>
                <w:rFonts w:asciiTheme="majorHAnsi" w:hAnsiTheme="majorHAnsi" w:cstheme="majorHAnsi"/>
                <w:sz w:val="22"/>
                <w:lang w:val="de-DE"/>
              </w:rPr>
              <w:t>Hmong</w:t>
            </w:r>
          </w:p>
        </w:tc>
        <w:tc>
          <w:tcPr>
            <w:tcW w:w="4513" w:type="dxa"/>
            <w:gridSpan w:val="2"/>
            <w:tcBorders>
              <w:top w:val="double" w:sz="4" w:space="0" w:color="auto"/>
              <w:left w:val="nil"/>
              <w:bottom w:val="single" w:sz="4" w:space="0" w:color="auto"/>
              <w:right w:val="nil"/>
            </w:tcBorders>
          </w:tcPr>
          <w:p w14:paraId="5CD914CD" w14:textId="44A71767" w:rsidR="00EF7BFD" w:rsidRPr="008C0556" w:rsidRDefault="00EF7BFD" w:rsidP="003B7725">
            <w:pPr>
              <w:jc w:val="center"/>
              <w:rPr>
                <w:rFonts w:asciiTheme="majorHAnsi" w:hAnsiTheme="majorHAnsi" w:cstheme="majorHAnsi"/>
                <w:sz w:val="22"/>
                <w:lang w:val="de-DE"/>
              </w:rPr>
            </w:pPr>
            <w:r w:rsidRPr="008C0556">
              <w:rPr>
                <w:rFonts w:asciiTheme="majorHAnsi" w:hAnsiTheme="majorHAnsi" w:cstheme="majorHAnsi"/>
                <w:sz w:val="22"/>
                <w:lang w:val="de-DE"/>
              </w:rPr>
              <w:t>T</w:t>
            </w:r>
            <w:r w:rsidR="00A539C8">
              <w:rPr>
                <w:rFonts w:asciiTheme="majorHAnsi" w:hAnsiTheme="majorHAnsi" w:cstheme="majorHAnsi"/>
                <w:sz w:val="22"/>
                <w:lang w:val="de-DE"/>
              </w:rPr>
              <w:t>a</w:t>
            </w:r>
            <w:r w:rsidRPr="008C0556">
              <w:rPr>
                <w:rFonts w:asciiTheme="majorHAnsi" w:hAnsiTheme="majorHAnsi" w:cstheme="majorHAnsi"/>
                <w:sz w:val="22"/>
                <w:lang w:val="de-DE"/>
              </w:rPr>
              <w:t>y</w:t>
            </w:r>
          </w:p>
        </w:tc>
      </w:tr>
      <w:tr w:rsidR="00EF7BFD" w:rsidRPr="008C0556" w14:paraId="304C7A2D" w14:textId="77777777" w:rsidTr="003B7725">
        <w:tc>
          <w:tcPr>
            <w:tcW w:w="2948" w:type="dxa"/>
            <w:tcBorders>
              <w:top w:val="nil"/>
              <w:left w:val="nil"/>
              <w:bottom w:val="single" w:sz="4" w:space="0" w:color="auto"/>
              <w:right w:val="nil"/>
            </w:tcBorders>
          </w:tcPr>
          <w:p w14:paraId="09FE1385" w14:textId="77777777" w:rsidR="00EF7BFD" w:rsidRPr="008C0556" w:rsidRDefault="00EF7BFD" w:rsidP="003B7725">
            <w:pPr>
              <w:rPr>
                <w:rFonts w:asciiTheme="majorHAnsi" w:hAnsiTheme="majorHAnsi" w:cstheme="majorHAnsi"/>
                <w:sz w:val="22"/>
                <w:lang w:val="de-DE"/>
              </w:rPr>
            </w:pPr>
          </w:p>
        </w:tc>
        <w:tc>
          <w:tcPr>
            <w:tcW w:w="2547" w:type="dxa"/>
            <w:tcBorders>
              <w:top w:val="single" w:sz="4" w:space="0" w:color="auto"/>
              <w:left w:val="nil"/>
              <w:bottom w:val="single" w:sz="4" w:space="0" w:color="auto"/>
              <w:right w:val="nil"/>
            </w:tcBorders>
          </w:tcPr>
          <w:p w14:paraId="733F8A5D" w14:textId="77777777" w:rsidR="00EF7BFD" w:rsidRPr="008C0556" w:rsidRDefault="00EF7BFD" w:rsidP="003B7725">
            <w:pPr>
              <w:rPr>
                <w:rFonts w:asciiTheme="majorHAnsi" w:hAnsiTheme="majorHAnsi" w:cstheme="majorHAnsi"/>
                <w:sz w:val="22"/>
                <w:lang w:val="de-DE"/>
              </w:rPr>
            </w:pPr>
          </w:p>
        </w:tc>
        <w:tc>
          <w:tcPr>
            <w:tcW w:w="2268" w:type="dxa"/>
            <w:tcBorders>
              <w:top w:val="single" w:sz="4" w:space="0" w:color="auto"/>
              <w:left w:val="nil"/>
              <w:bottom w:val="single" w:sz="4" w:space="0" w:color="auto"/>
              <w:right w:val="nil"/>
            </w:tcBorders>
          </w:tcPr>
          <w:p w14:paraId="67AC02B3" w14:textId="327562C5" w:rsidR="00EF7BFD" w:rsidRPr="008C0556" w:rsidRDefault="00A539C8" w:rsidP="003B7725">
            <w:pPr>
              <w:jc w:val="right"/>
              <w:rPr>
                <w:rFonts w:asciiTheme="majorHAnsi" w:hAnsiTheme="majorHAnsi" w:cstheme="majorHAnsi"/>
                <w:sz w:val="22"/>
                <w:lang w:val="de-DE"/>
              </w:rPr>
            </w:pPr>
            <w:r>
              <w:rPr>
                <w:rFonts w:asciiTheme="majorHAnsi" w:hAnsiTheme="majorHAnsi" w:cstheme="majorHAnsi"/>
                <w:sz w:val="22"/>
                <w:lang w:val="de-DE"/>
              </w:rPr>
              <w:t>Model</w:t>
            </w:r>
            <w:r w:rsidR="00EF7BFD" w:rsidRPr="008C0556">
              <w:rPr>
                <w:rFonts w:asciiTheme="majorHAnsi" w:hAnsiTheme="majorHAnsi" w:cstheme="majorHAnsi"/>
                <w:sz w:val="22"/>
                <w:lang w:val="de-DE"/>
              </w:rPr>
              <w:t xml:space="preserve"> 1</w:t>
            </w:r>
          </w:p>
        </w:tc>
        <w:tc>
          <w:tcPr>
            <w:tcW w:w="2268" w:type="dxa"/>
            <w:tcBorders>
              <w:top w:val="single" w:sz="4" w:space="0" w:color="auto"/>
              <w:left w:val="nil"/>
              <w:bottom w:val="single" w:sz="4" w:space="0" w:color="auto"/>
              <w:right w:val="nil"/>
            </w:tcBorders>
          </w:tcPr>
          <w:p w14:paraId="4CF0830A" w14:textId="47D8AD69" w:rsidR="00EF7BFD" w:rsidRPr="008C0556" w:rsidRDefault="00A539C8" w:rsidP="003B7725">
            <w:pPr>
              <w:jc w:val="right"/>
              <w:rPr>
                <w:rFonts w:asciiTheme="majorHAnsi" w:hAnsiTheme="majorHAnsi" w:cstheme="majorHAnsi"/>
                <w:sz w:val="22"/>
                <w:lang w:val="de-DE"/>
              </w:rPr>
            </w:pPr>
            <w:r>
              <w:rPr>
                <w:rFonts w:asciiTheme="majorHAnsi" w:hAnsiTheme="majorHAnsi" w:cstheme="majorHAnsi"/>
                <w:sz w:val="22"/>
                <w:lang w:val="de-DE"/>
              </w:rPr>
              <w:t>Model</w:t>
            </w:r>
            <w:r w:rsidRPr="008C0556">
              <w:rPr>
                <w:rFonts w:asciiTheme="majorHAnsi" w:hAnsiTheme="majorHAnsi" w:cstheme="majorHAnsi"/>
                <w:sz w:val="22"/>
                <w:lang w:val="de-DE"/>
              </w:rPr>
              <w:t xml:space="preserve"> </w:t>
            </w:r>
            <w:r w:rsidR="00EF7BFD" w:rsidRPr="008C0556">
              <w:rPr>
                <w:rFonts w:asciiTheme="majorHAnsi" w:hAnsiTheme="majorHAnsi" w:cstheme="majorHAnsi"/>
                <w:sz w:val="22"/>
                <w:lang w:val="de-DE"/>
              </w:rPr>
              <w:t>2</w:t>
            </w:r>
          </w:p>
        </w:tc>
        <w:tc>
          <w:tcPr>
            <w:tcW w:w="2410" w:type="dxa"/>
            <w:tcBorders>
              <w:top w:val="single" w:sz="4" w:space="0" w:color="auto"/>
              <w:left w:val="nil"/>
              <w:bottom w:val="single" w:sz="4" w:space="0" w:color="auto"/>
              <w:right w:val="nil"/>
            </w:tcBorders>
          </w:tcPr>
          <w:p w14:paraId="41DFF3B2" w14:textId="74B67C03" w:rsidR="00EF7BFD" w:rsidRPr="008C0556" w:rsidRDefault="00A539C8" w:rsidP="003B7725">
            <w:pPr>
              <w:jc w:val="right"/>
              <w:rPr>
                <w:rFonts w:asciiTheme="majorHAnsi" w:hAnsiTheme="majorHAnsi" w:cstheme="majorHAnsi"/>
                <w:sz w:val="22"/>
                <w:lang w:val="de-DE"/>
              </w:rPr>
            </w:pPr>
            <w:r>
              <w:rPr>
                <w:rFonts w:asciiTheme="majorHAnsi" w:hAnsiTheme="majorHAnsi" w:cstheme="majorHAnsi"/>
                <w:sz w:val="22"/>
                <w:lang w:val="de-DE"/>
              </w:rPr>
              <w:t>Model</w:t>
            </w:r>
            <w:r w:rsidRPr="008C0556">
              <w:rPr>
                <w:rFonts w:asciiTheme="majorHAnsi" w:hAnsiTheme="majorHAnsi" w:cstheme="majorHAnsi"/>
                <w:sz w:val="22"/>
                <w:lang w:val="de-DE"/>
              </w:rPr>
              <w:t xml:space="preserve"> </w:t>
            </w:r>
            <w:r w:rsidR="00EF7BFD" w:rsidRPr="008C0556">
              <w:rPr>
                <w:rFonts w:asciiTheme="majorHAnsi" w:hAnsiTheme="majorHAnsi" w:cstheme="majorHAnsi"/>
                <w:sz w:val="22"/>
                <w:lang w:val="de-DE"/>
              </w:rPr>
              <w:t>1</w:t>
            </w:r>
          </w:p>
        </w:tc>
        <w:tc>
          <w:tcPr>
            <w:tcW w:w="2103" w:type="dxa"/>
            <w:tcBorders>
              <w:top w:val="single" w:sz="4" w:space="0" w:color="auto"/>
              <w:left w:val="nil"/>
              <w:bottom w:val="single" w:sz="4" w:space="0" w:color="auto"/>
              <w:right w:val="nil"/>
            </w:tcBorders>
          </w:tcPr>
          <w:p w14:paraId="4794BE11" w14:textId="6F2AB038" w:rsidR="00EF7BFD" w:rsidRPr="008C0556" w:rsidRDefault="00A539C8" w:rsidP="003B7725">
            <w:pPr>
              <w:jc w:val="right"/>
              <w:rPr>
                <w:rFonts w:asciiTheme="majorHAnsi" w:hAnsiTheme="majorHAnsi" w:cstheme="majorHAnsi"/>
                <w:sz w:val="22"/>
                <w:lang w:val="de-DE"/>
              </w:rPr>
            </w:pPr>
            <w:r>
              <w:rPr>
                <w:rFonts w:asciiTheme="majorHAnsi" w:hAnsiTheme="majorHAnsi" w:cstheme="majorHAnsi"/>
                <w:sz w:val="22"/>
                <w:lang w:val="de-DE"/>
              </w:rPr>
              <w:t>Model</w:t>
            </w:r>
            <w:r w:rsidRPr="008C0556">
              <w:rPr>
                <w:rFonts w:asciiTheme="majorHAnsi" w:hAnsiTheme="majorHAnsi" w:cstheme="majorHAnsi"/>
                <w:sz w:val="22"/>
                <w:lang w:val="de-DE"/>
              </w:rPr>
              <w:t xml:space="preserve"> </w:t>
            </w:r>
            <w:r w:rsidR="00EF7BFD" w:rsidRPr="008C0556">
              <w:rPr>
                <w:rFonts w:asciiTheme="majorHAnsi" w:hAnsiTheme="majorHAnsi" w:cstheme="majorHAnsi"/>
                <w:sz w:val="22"/>
                <w:lang w:val="de-DE"/>
              </w:rPr>
              <w:t>2</w:t>
            </w:r>
          </w:p>
        </w:tc>
      </w:tr>
      <w:tr w:rsidR="00EF7BFD" w:rsidRPr="008C0556" w14:paraId="6EB8DF39" w14:textId="77777777" w:rsidTr="003B7725">
        <w:tc>
          <w:tcPr>
            <w:tcW w:w="2948" w:type="dxa"/>
            <w:tcBorders>
              <w:top w:val="single" w:sz="4" w:space="0" w:color="auto"/>
              <w:left w:val="nil"/>
              <w:bottom w:val="nil"/>
              <w:right w:val="nil"/>
            </w:tcBorders>
          </w:tcPr>
          <w:p w14:paraId="00F7EEB0" w14:textId="54048660"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Female</w:t>
            </w:r>
          </w:p>
        </w:tc>
        <w:tc>
          <w:tcPr>
            <w:tcW w:w="2547" w:type="dxa"/>
            <w:tcBorders>
              <w:top w:val="single" w:sz="4" w:space="0" w:color="auto"/>
              <w:left w:val="nil"/>
              <w:bottom w:val="nil"/>
              <w:right w:val="nil"/>
            </w:tcBorders>
            <w:vAlign w:val="bottom"/>
          </w:tcPr>
          <w:p w14:paraId="428C7D5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268046[524411]</w:t>
            </w:r>
          </w:p>
        </w:tc>
        <w:tc>
          <w:tcPr>
            <w:tcW w:w="2268" w:type="dxa"/>
            <w:tcBorders>
              <w:top w:val="single" w:sz="4" w:space="0" w:color="auto"/>
              <w:left w:val="nil"/>
              <w:bottom w:val="nil"/>
              <w:right w:val="nil"/>
            </w:tcBorders>
            <w:vAlign w:val="bottom"/>
          </w:tcPr>
          <w:p w14:paraId="22B1AE01"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-699708 [488495]</w:t>
            </w:r>
          </w:p>
        </w:tc>
        <w:tc>
          <w:tcPr>
            <w:tcW w:w="2268" w:type="dxa"/>
            <w:tcBorders>
              <w:top w:val="single" w:sz="4" w:space="0" w:color="auto"/>
              <w:left w:val="nil"/>
              <w:bottom w:val="nil"/>
              <w:right w:val="nil"/>
            </w:tcBorders>
            <w:vAlign w:val="bottom"/>
          </w:tcPr>
          <w:p w14:paraId="156D262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-583098 [796657]</w:t>
            </w:r>
          </w:p>
        </w:tc>
        <w:tc>
          <w:tcPr>
            <w:tcW w:w="2410" w:type="dxa"/>
            <w:tcBorders>
              <w:top w:val="single" w:sz="4" w:space="0" w:color="auto"/>
              <w:left w:val="nil"/>
              <w:bottom w:val="nil"/>
              <w:right w:val="nil"/>
            </w:tcBorders>
            <w:vAlign w:val="bottom"/>
          </w:tcPr>
          <w:p w14:paraId="175E163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-405448 [482570]</w:t>
            </w:r>
          </w:p>
        </w:tc>
        <w:tc>
          <w:tcPr>
            <w:tcW w:w="2103" w:type="dxa"/>
            <w:tcBorders>
              <w:top w:val="single" w:sz="4" w:space="0" w:color="auto"/>
              <w:left w:val="nil"/>
              <w:bottom w:val="nil"/>
              <w:right w:val="nil"/>
            </w:tcBorders>
            <w:vAlign w:val="bottom"/>
          </w:tcPr>
          <w:p w14:paraId="0F87FB1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532595 [777143]</w:t>
            </w:r>
          </w:p>
        </w:tc>
      </w:tr>
      <w:tr w:rsidR="00EF7BFD" w:rsidRPr="008C0556" w14:paraId="2F417D80" w14:textId="77777777" w:rsidTr="003B7725">
        <w:tc>
          <w:tcPr>
            <w:tcW w:w="2948" w:type="dxa"/>
            <w:tcBorders>
              <w:top w:val="nil"/>
              <w:left w:val="nil"/>
              <w:bottom w:val="nil"/>
              <w:right w:val="nil"/>
            </w:tcBorders>
          </w:tcPr>
          <w:p w14:paraId="45587230" w14:textId="3D9D52F9"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Age</w:t>
            </w:r>
          </w:p>
        </w:tc>
        <w:tc>
          <w:tcPr>
            <w:tcW w:w="2547" w:type="dxa"/>
            <w:tcBorders>
              <w:top w:val="nil"/>
              <w:left w:val="nil"/>
              <w:bottom w:val="nil"/>
              <w:right w:val="nil"/>
            </w:tcBorders>
            <w:vAlign w:val="bottom"/>
          </w:tcPr>
          <w:p w14:paraId="6D21653D"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39806 [31678]</w:t>
            </w:r>
          </w:p>
        </w:tc>
        <w:tc>
          <w:tcPr>
            <w:tcW w:w="2268" w:type="dxa"/>
            <w:tcBorders>
              <w:top w:val="nil"/>
              <w:left w:val="nil"/>
              <w:bottom w:val="nil"/>
              <w:right w:val="nil"/>
            </w:tcBorders>
            <w:vAlign w:val="bottom"/>
          </w:tcPr>
          <w:p w14:paraId="3535D22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11522 [22917]</w:t>
            </w:r>
          </w:p>
        </w:tc>
        <w:tc>
          <w:tcPr>
            <w:tcW w:w="2268" w:type="dxa"/>
            <w:tcBorders>
              <w:top w:val="nil"/>
              <w:left w:val="nil"/>
              <w:bottom w:val="nil"/>
              <w:right w:val="nil"/>
            </w:tcBorders>
            <w:vAlign w:val="bottom"/>
          </w:tcPr>
          <w:p w14:paraId="6CCB880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-27766 [35999]</w:t>
            </w:r>
          </w:p>
        </w:tc>
        <w:tc>
          <w:tcPr>
            <w:tcW w:w="2410" w:type="dxa"/>
            <w:tcBorders>
              <w:top w:val="nil"/>
              <w:left w:val="nil"/>
              <w:bottom w:val="nil"/>
              <w:right w:val="nil"/>
            </w:tcBorders>
            <w:vAlign w:val="bottom"/>
          </w:tcPr>
          <w:p w14:paraId="572DF298"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11210 [27440]</w:t>
            </w:r>
          </w:p>
        </w:tc>
        <w:tc>
          <w:tcPr>
            <w:tcW w:w="2103" w:type="dxa"/>
            <w:tcBorders>
              <w:top w:val="nil"/>
              <w:left w:val="nil"/>
              <w:bottom w:val="nil"/>
              <w:right w:val="nil"/>
            </w:tcBorders>
            <w:vAlign w:val="bottom"/>
          </w:tcPr>
          <w:p w14:paraId="18C095D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124986 [</w:t>
            </w:r>
            <w:proofErr w:type="gramStart"/>
            <w:r w:rsidRPr="008C0556">
              <w:rPr>
                <w:rFonts w:asciiTheme="majorHAnsi" w:eastAsia="Times New Roman" w:hAnsiTheme="majorHAnsi" w:cstheme="majorHAnsi"/>
                <w:color w:val="000000"/>
                <w:sz w:val="22"/>
              </w:rPr>
              <w:t>65892]*</w:t>
            </w:r>
            <w:proofErr w:type="gramEnd"/>
          </w:p>
        </w:tc>
      </w:tr>
      <w:tr w:rsidR="00EF7BFD" w:rsidRPr="008C0556" w14:paraId="55124EAB" w14:textId="77777777" w:rsidTr="003B7725">
        <w:tc>
          <w:tcPr>
            <w:tcW w:w="2948" w:type="dxa"/>
            <w:tcBorders>
              <w:top w:val="nil"/>
              <w:left w:val="nil"/>
              <w:bottom w:val="nil"/>
              <w:right w:val="nil"/>
            </w:tcBorders>
          </w:tcPr>
          <w:p w14:paraId="7E785EE7" w14:textId="4544F9C2"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Place of birth</w:t>
            </w:r>
          </w:p>
          <w:p w14:paraId="6ADDC817" w14:textId="5E2E498F"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w:t>
            </w:r>
            <w:r w:rsidR="00A539C8">
              <w:rPr>
                <w:rFonts w:asciiTheme="majorHAnsi" w:hAnsiTheme="majorHAnsi" w:cstheme="majorHAnsi"/>
                <w:sz w:val="22"/>
                <w:lang w:val="de-DE"/>
              </w:rPr>
              <w:t>Dong Van</w:t>
            </w:r>
          </w:p>
        </w:tc>
        <w:tc>
          <w:tcPr>
            <w:tcW w:w="2547" w:type="dxa"/>
            <w:tcBorders>
              <w:top w:val="nil"/>
              <w:left w:val="nil"/>
              <w:bottom w:val="nil"/>
              <w:right w:val="nil"/>
            </w:tcBorders>
            <w:vAlign w:val="bottom"/>
          </w:tcPr>
          <w:p w14:paraId="59520414" w14:textId="77777777" w:rsidR="00EF7BFD" w:rsidRPr="008C0556" w:rsidRDefault="00EF7BFD" w:rsidP="003B7725">
            <w:pPr>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-1179883 [</w:t>
            </w:r>
            <w:proofErr w:type="gramStart"/>
            <w:r w:rsidRPr="008C0556">
              <w:rPr>
                <w:rFonts w:asciiTheme="majorHAnsi" w:eastAsia="Times New Roman" w:hAnsiTheme="majorHAnsi" w:cstheme="majorHAnsi"/>
                <w:color w:val="000000"/>
                <w:sz w:val="22"/>
              </w:rPr>
              <w:t>719561]*</w:t>
            </w:r>
            <w:proofErr w:type="gramEnd"/>
          </w:p>
        </w:tc>
        <w:tc>
          <w:tcPr>
            <w:tcW w:w="2268" w:type="dxa"/>
            <w:tcBorders>
              <w:top w:val="nil"/>
              <w:left w:val="nil"/>
              <w:bottom w:val="nil"/>
              <w:right w:val="nil"/>
            </w:tcBorders>
            <w:vAlign w:val="bottom"/>
          </w:tcPr>
          <w:p w14:paraId="3A73587F" w14:textId="77777777" w:rsidR="00EF7BFD" w:rsidRPr="008C0556" w:rsidRDefault="00EF7BFD" w:rsidP="003B7725">
            <w:pPr>
              <w:jc w:val="right"/>
              <w:rPr>
                <w:rFonts w:asciiTheme="majorHAnsi" w:eastAsia="Times New Roman" w:hAnsiTheme="majorHAnsi" w:cstheme="majorHAnsi"/>
                <w:color w:val="000000"/>
                <w:sz w:val="22"/>
              </w:rPr>
            </w:pPr>
          </w:p>
        </w:tc>
        <w:tc>
          <w:tcPr>
            <w:tcW w:w="2268" w:type="dxa"/>
            <w:tcBorders>
              <w:top w:val="nil"/>
              <w:left w:val="nil"/>
              <w:bottom w:val="nil"/>
              <w:right w:val="nil"/>
            </w:tcBorders>
            <w:vAlign w:val="bottom"/>
          </w:tcPr>
          <w:p w14:paraId="7616C2D2" w14:textId="77777777" w:rsidR="00EF7BFD" w:rsidRPr="008C0556" w:rsidRDefault="00EF7BFD" w:rsidP="003B7725">
            <w:pPr>
              <w:jc w:val="right"/>
              <w:rPr>
                <w:rFonts w:asciiTheme="majorHAnsi" w:eastAsia="Times New Roman" w:hAnsiTheme="majorHAnsi" w:cstheme="majorHAnsi"/>
                <w:color w:val="000000"/>
                <w:sz w:val="22"/>
              </w:rPr>
            </w:pPr>
          </w:p>
        </w:tc>
        <w:tc>
          <w:tcPr>
            <w:tcW w:w="2410" w:type="dxa"/>
            <w:tcBorders>
              <w:top w:val="nil"/>
              <w:left w:val="nil"/>
              <w:bottom w:val="nil"/>
              <w:right w:val="nil"/>
            </w:tcBorders>
            <w:vAlign w:val="bottom"/>
          </w:tcPr>
          <w:p w14:paraId="623CE574" w14:textId="77777777" w:rsidR="00EF7BFD" w:rsidRPr="008C0556" w:rsidRDefault="00EF7BFD" w:rsidP="003B7725">
            <w:pPr>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1550556 [1973768]</w:t>
            </w:r>
          </w:p>
        </w:tc>
        <w:tc>
          <w:tcPr>
            <w:tcW w:w="2103" w:type="dxa"/>
            <w:tcBorders>
              <w:top w:val="nil"/>
              <w:left w:val="nil"/>
              <w:bottom w:val="nil"/>
              <w:right w:val="nil"/>
            </w:tcBorders>
            <w:vAlign w:val="bottom"/>
          </w:tcPr>
          <w:p w14:paraId="553B7406" w14:textId="77777777" w:rsidR="00EF7BFD" w:rsidRPr="008C0556" w:rsidRDefault="00EF7BFD" w:rsidP="003B7725">
            <w:pPr>
              <w:jc w:val="right"/>
              <w:rPr>
                <w:rFonts w:asciiTheme="majorHAnsi" w:eastAsia="Times New Roman" w:hAnsiTheme="majorHAnsi" w:cstheme="majorHAnsi"/>
                <w:color w:val="000000"/>
                <w:sz w:val="22"/>
              </w:rPr>
            </w:pPr>
          </w:p>
          <w:p w14:paraId="64DEDEB2"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718223 [1118501]</w:t>
            </w:r>
          </w:p>
        </w:tc>
      </w:tr>
      <w:tr w:rsidR="00EF7BFD" w:rsidRPr="008C0556" w14:paraId="1FFB3A40" w14:textId="77777777" w:rsidTr="003B7725">
        <w:tc>
          <w:tcPr>
            <w:tcW w:w="2948" w:type="dxa"/>
            <w:tcBorders>
              <w:top w:val="nil"/>
              <w:left w:val="nil"/>
              <w:bottom w:val="nil"/>
              <w:right w:val="nil"/>
            </w:tcBorders>
          </w:tcPr>
          <w:p w14:paraId="3A60E790" w14:textId="602FCA13"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Marital status</w:t>
            </w:r>
          </w:p>
          <w:p w14:paraId="32A0594D" w14:textId="3A7750F0"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2. </w:t>
            </w:r>
            <w:r w:rsidR="00A539C8">
              <w:rPr>
                <w:rFonts w:asciiTheme="majorHAnsi" w:hAnsiTheme="majorHAnsi" w:cstheme="majorHAnsi"/>
                <w:sz w:val="22"/>
                <w:lang w:val="de-DE"/>
              </w:rPr>
              <w:t>Single</w:t>
            </w:r>
          </w:p>
          <w:p w14:paraId="4C8EBE95" w14:textId="75EABD3D"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3. </w:t>
            </w:r>
            <w:r w:rsidR="00A539C8">
              <w:rPr>
                <w:rFonts w:asciiTheme="majorHAnsi" w:hAnsiTheme="majorHAnsi" w:cstheme="majorHAnsi"/>
                <w:sz w:val="22"/>
                <w:lang w:val="de-DE"/>
              </w:rPr>
              <w:t>Separated/Divorced</w:t>
            </w:r>
          </w:p>
          <w:p w14:paraId="1B322B47" w14:textId="0F4E27AA"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4. </w:t>
            </w:r>
            <w:r w:rsidR="00A539C8">
              <w:rPr>
                <w:rFonts w:asciiTheme="majorHAnsi" w:hAnsiTheme="majorHAnsi" w:cstheme="majorHAnsi"/>
                <w:sz w:val="22"/>
                <w:lang w:val="de-DE"/>
              </w:rPr>
              <w:t>Widowed</w:t>
            </w:r>
          </w:p>
        </w:tc>
        <w:tc>
          <w:tcPr>
            <w:tcW w:w="2547" w:type="dxa"/>
            <w:tcBorders>
              <w:top w:val="nil"/>
              <w:left w:val="nil"/>
              <w:bottom w:val="nil"/>
              <w:right w:val="nil"/>
            </w:tcBorders>
            <w:vAlign w:val="bottom"/>
          </w:tcPr>
          <w:p w14:paraId="6EB311C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412461 [698595]</w:t>
            </w:r>
          </w:p>
          <w:p w14:paraId="66BD7746"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851734 [1668148]</w:t>
            </w:r>
          </w:p>
          <w:p w14:paraId="0D95A800"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-2591946 [</w:t>
            </w:r>
            <w:proofErr w:type="gramStart"/>
            <w:r w:rsidRPr="008C0556">
              <w:rPr>
                <w:rFonts w:asciiTheme="majorHAnsi" w:eastAsia="Times New Roman" w:hAnsiTheme="majorHAnsi" w:cstheme="majorHAnsi"/>
                <w:color w:val="000000"/>
                <w:sz w:val="22"/>
              </w:rPr>
              <w:t>1045131]*</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vAlign w:val="bottom"/>
          </w:tcPr>
          <w:p w14:paraId="415ACD3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-177929 [549206]</w:t>
            </w:r>
          </w:p>
          <w:p w14:paraId="53804A57"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0</w:t>
            </w:r>
          </w:p>
          <w:p w14:paraId="7BB0D9B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-1316388 [</w:t>
            </w:r>
            <w:proofErr w:type="gramStart"/>
            <w:r w:rsidRPr="008C0556">
              <w:rPr>
                <w:rFonts w:asciiTheme="majorHAnsi" w:eastAsia="Times New Roman" w:hAnsiTheme="majorHAnsi" w:cstheme="majorHAnsi"/>
                <w:color w:val="000000"/>
                <w:sz w:val="22"/>
              </w:rPr>
              <w:t>699251]*</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vAlign w:val="bottom"/>
          </w:tcPr>
          <w:p w14:paraId="4A9E750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776583 [1074597]</w:t>
            </w:r>
          </w:p>
          <w:p w14:paraId="3BFCD5D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0</w:t>
            </w:r>
          </w:p>
          <w:p w14:paraId="6DA3EDA5"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-1232825 [1029942]</w:t>
            </w:r>
          </w:p>
        </w:tc>
        <w:tc>
          <w:tcPr>
            <w:tcW w:w="2410" w:type="dxa"/>
            <w:tcBorders>
              <w:top w:val="nil"/>
              <w:left w:val="nil"/>
              <w:bottom w:val="nil"/>
              <w:right w:val="nil"/>
            </w:tcBorders>
            <w:vAlign w:val="bottom"/>
          </w:tcPr>
          <w:p w14:paraId="44E0C5A8"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15344 [608897]</w:t>
            </w:r>
          </w:p>
          <w:p w14:paraId="7E0B9B77"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248827 [1330739]</w:t>
            </w:r>
          </w:p>
          <w:p w14:paraId="1E58117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-3223806 [</w:t>
            </w:r>
            <w:proofErr w:type="gramStart"/>
            <w:r w:rsidRPr="008C0556">
              <w:rPr>
                <w:rFonts w:asciiTheme="majorHAnsi" w:eastAsia="Times New Roman" w:hAnsiTheme="majorHAnsi" w:cstheme="majorHAnsi"/>
                <w:color w:val="000000"/>
                <w:sz w:val="22"/>
              </w:rPr>
              <w:t>1890141]*</w:t>
            </w:r>
            <w:proofErr w:type="gramEnd"/>
          </w:p>
        </w:tc>
        <w:tc>
          <w:tcPr>
            <w:tcW w:w="2103" w:type="dxa"/>
            <w:tcBorders>
              <w:top w:val="nil"/>
              <w:left w:val="nil"/>
              <w:bottom w:val="nil"/>
              <w:right w:val="nil"/>
            </w:tcBorders>
            <w:vAlign w:val="bottom"/>
          </w:tcPr>
          <w:p w14:paraId="33A348D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-551959 [2279264]</w:t>
            </w:r>
          </w:p>
          <w:p w14:paraId="1A2F346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-11600000 [</w:t>
            </w:r>
            <w:proofErr w:type="gramStart"/>
            <w:r w:rsidRPr="008C0556">
              <w:rPr>
                <w:rFonts w:asciiTheme="majorHAnsi" w:eastAsia="Times New Roman" w:hAnsiTheme="majorHAnsi" w:cstheme="majorHAnsi"/>
                <w:color w:val="000000"/>
                <w:sz w:val="22"/>
              </w:rPr>
              <w:t>3762763]*</w:t>
            </w:r>
            <w:proofErr w:type="gramEnd"/>
            <w:r w:rsidRPr="008C0556">
              <w:rPr>
                <w:rFonts w:asciiTheme="majorHAnsi" w:eastAsia="Times New Roman" w:hAnsiTheme="majorHAnsi" w:cstheme="majorHAnsi"/>
                <w:color w:val="000000"/>
                <w:sz w:val="22"/>
              </w:rPr>
              <w:t>**</w:t>
            </w:r>
          </w:p>
        </w:tc>
      </w:tr>
      <w:tr w:rsidR="00EF7BFD" w:rsidRPr="008C0556" w14:paraId="7E403BC2" w14:textId="77777777" w:rsidTr="003B7725">
        <w:tc>
          <w:tcPr>
            <w:tcW w:w="2948" w:type="dxa"/>
            <w:tcBorders>
              <w:top w:val="nil"/>
              <w:left w:val="nil"/>
              <w:bottom w:val="nil"/>
              <w:right w:val="nil"/>
            </w:tcBorders>
          </w:tcPr>
          <w:p w14:paraId="03F67E5F" w14:textId="61862AA6"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Education level</w:t>
            </w:r>
          </w:p>
        </w:tc>
        <w:tc>
          <w:tcPr>
            <w:tcW w:w="2547" w:type="dxa"/>
            <w:tcBorders>
              <w:top w:val="nil"/>
              <w:left w:val="nil"/>
              <w:bottom w:val="nil"/>
              <w:right w:val="nil"/>
            </w:tcBorders>
            <w:vAlign w:val="bottom"/>
          </w:tcPr>
          <w:p w14:paraId="225AC32D"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-80596 [160365]</w:t>
            </w:r>
          </w:p>
        </w:tc>
        <w:tc>
          <w:tcPr>
            <w:tcW w:w="2268" w:type="dxa"/>
            <w:tcBorders>
              <w:top w:val="nil"/>
              <w:left w:val="nil"/>
              <w:bottom w:val="nil"/>
              <w:right w:val="nil"/>
            </w:tcBorders>
            <w:vAlign w:val="bottom"/>
          </w:tcPr>
          <w:p w14:paraId="0EFE65D3" w14:textId="77777777" w:rsidR="00EF7BFD" w:rsidRPr="008C0556" w:rsidRDefault="00EF7BFD" w:rsidP="003B7725">
            <w:pPr>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14446 [171377]</w:t>
            </w:r>
          </w:p>
        </w:tc>
        <w:tc>
          <w:tcPr>
            <w:tcW w:w="2268" w:type="dxa"/>
            <w:tcBorders>
              <w:top w:val="nil"/>
              <w:left w:val="nil"/>
              <w:bottom w:val="nil"/>
              <w:right w:val="nil"/>
            </w:tcBorders>
            <w:vAlign w:val="bottom"/>
          </w:tcPr>
          <w:p w14:paraId="50950646"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-157617 [208687]</w:t>
            </w:r>
          </w:p>
        </w:tc>
        <w:tc>
          <w:tcPr>
            <w:tcW w:w="2410" w:type="dxa"/>
            <w:tcBorders>
              <w:top w:val="nil"/>
              <w:left w:val="nil"/>
              <w:bottom w:val="nil"/>
              <w:right w:val="nil"/>
            </w:tcBorders>
            <w:vAlign w:val="bottom"/>
          </w:tcPr>
          <w:p w14:paraId="001E953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13777 [131632]</w:t>
            </w:r>
          </w:p>
        </w:tc>
        <w:tc>
          <w:tcPr>
            <w:tcW w:w="2103" w:type="dxa"/>
            <w:tcBorders>
              <w:top w:val="nil"/>
              <w:left w:val="nil"/>
              <w:bottom w:val="nil"/>
              <w:right w:val="nil"/>
            </w:tcBorders>
            <w:vAlign w:val="bottom"/>
          </w:tcPr>
          <w:p w14:paraId="304FBE31"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55031 [266246]</w:t>
            </w:r>
          </w:p>
        </w:tc>
      </w:tr>
      <w:tr w:rsidR="00EF7BFD" w:rsidRPr="008C0556" w14:paraId="4D50D037" w14:textId="77777777" w:rsidTr="003B7725">
        <w:tc>
          <w:tcPr>
            <w:tcW w:w="2948" w:type="dxa"/>
            <w:tcBorders>
              <w:top w:val="nil"/>
              <w:left w:val="nil"/>
              <w:bottom w:val="nil"/>
              <w:right w:val="nil"/>
            </w:tcBorders>
          </w:tcPr>
          <w:p w14:paraId="01418787" w14:textId="16419287" w:rsidR="00EF7BFD" w:rsidRPr="008C0556" w:rsidRDefault="00A539C8" w:rsidP="003B7725">
            <w:pPr>
              <w:rPr>
                <w:rFonts w:asciiTheme="majorHAnsi" w:hAnsiTheme="majorHAnsi" w:cstheme="majorHAnsi"/>
                <w:sz w:val="22"/>
                <w:lang w:val="de-DE"/>
              </w:rPr>
            </w:pPr>
            <w:r>
              <w:rPr>
                <w:rFonts w:asciiTheme="majorHAnsi" w:hAnsiTheme="majorHAnsi" w:cstheme="majorHAnsi"/>
                <w:sz w:val="22"/>
                <w:lang w:val="de-DE"/>
              </w:rPr>
              <w:t>Living standard</w:t>
            </w:r>
          </w:p>
        </w:tc>
        <w:tc>
          <w:tcPr>
            <w:tcW w:w="2547" w:type="dxa"/>
            <w:tcBorders>
              <w:top w:val="nil"/>
              <w:left w:val="nil"/>
              <w:bottom w:val="nil"/>
              <w:right w:val="nil"/>
            </w:tcBorders>
            <w:vAlign w:val="bottom"/>
          </w:tcPr>
          <w:p w14:paraId="49F8F7D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 xml:space="preserve">42224 [559277] </w:t>
            </w:r>
          </w:p>
        </w:tc>
        <w:tc>
          <w:tcPr>
            <w:tcW w:w="2268" w:type="dxa"/>
            <w:tcBorders>
              <w:top w:val="nil"/>
              <w:left w:val="nil"/>
              <w:bottom w:val="nil"/>
              <w:right w:val="nil"/>
            </w:tcBorders>
            <w:vAlign w:val="bottom"/>
          </w:tcPr>
          <w:p w14:paraId="6F49F7D5"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1024511 [</w:t>
            </w:r>
            <w:proofErr w:type="gramStart"/>
            <w:r w:rsidRPr="008C0556">
              <w:rPr>
                <w:rFonts w:asciiTheme="majorHAnsi" w:eastAsia="Times New Roman" w:hAnsiTheme="majorHAnsi" w:cstheme="majorHAnsi"/>
                <w:color w:val="000000"/>
                <w:sz w:val="22"/>
              </w:rPr>
              <w:t>409839]*</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vAlign w:val="bottom"/>
          </w:tcPr>
          <w:p w14:paraId="03B5992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955072 [</w:t>
            </w:r>
            <w:proofErr w:type="gramStart"/>
            <w:r w:rsidRPr="008C0556">
              <w:rPr>
                <w:rFonts w:asciiTheme="majorHAnsi" w:eastAsia="Times New Roman" w:hAnsiTheme="majorHAnsi" w:cstheme="majorHAnsi"/>
                <w:color w:val="000000"/>
                <w:sz w:val="22"/>
              </w:rPr>
              <w:t>551243]*</w:t>
            </w:r>
            <w:proofErr w:type="gramEnd"/>
          </w:p>
        </w:tc>
        <w:tc>
          <w:tcPr>
            <w:tcW w:w="2410" w:type="dxa"/>
            <w:tcBorders>
              <w:top w:val="nil"/>
              <w:left w:val="nil"/>
              <w:bottom w:val="nil"/>
              <w:right w:val="nil"/>
            </w:tcBorders>
            <w:vAlign w:val="bottom"/>
          </w:tcPr>
          <w:p w14:paraId="68C1EAF3"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856869 [</w:t>
            </w:r>
            <w:proofErr w:type="gramStart"/>
            <w:r w:rsidRPr="008C0556">
              <w:rPr>
                <w:rFonts w:asciiTheme="majorHAnsi" w:eastAsia="Times New Roman" w:hAnsiTheme="majorHAnsi" w:cstheme="majorHAnsi"/>
                <w:color w:val="000000"/>
                <w:sz w:val="22"/>
              </w:rPr>
              <w:t>510340]*</w:t>
            </w:r>
            <w:proofErr w:type="gramEnd"/>
          </w:p>
        </w:tc>
        <w:tc>
          <w:tcPr>
            <w:tcW w:w="2103" w:type="dxa"/>
            <w:tcBorders>
              <w:top w:val="nil"/>
              <w:left w:val="nil"/>
              <w:bottom w:val="nil"/>
              <w:right w:val="nil"/>
            </w:tcBorders>
            <w:vAlign w:val="bottom"/>
          </w:tcPr>
          <w:p w14:paraId="725F4E6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-106279 [1194019]</w:t>
            </w:r>
          </w:p>
        </w:tc>
      </w:tr>
      <w:tr w:rsidR="00EF7BFD" w:rsidRPr="008C0556" w14:paraId="4CE99101" w14:textId="77777777" w:rsidTr="003B7725">
        <w:tc>
          <w:tcPr>
            <w:tcW w:w="2948" w:type="dxa"/>
            <w:tcBorders>
              <w:top w:val="nil"/>
              <w:left w:val="nil"/>
              <w:bottom w:val="nil"/>
              <w:right w:val="nil"/>
            </w:tcBorders>
          </w:tcPr>
          <w:p w14:paraId="3050AA5E" w14:textId="45E3DB12" w:rsidR="00EF7BFD" w:rsidRPr="008C0556" w:rsidRDefault="00BA3988" w:rsidP="003B7725">
            <w:pPr>
              <w:rPr>
                <w:rFonts w:asciiTheme="majorHAnsi" w:hAnsiTheme="majorHAnsi" w:cstheme="majorHAnsi"/>
                <w:b/>
                <w:sz w:val="22"/>
                <w:lang w:val="de-DE"/>
              </w:rPr>
            </w:pPr>
            <w:r>
              <w:rPr>
                <w:rFonts w:asciiTheme="majorHAnsi" w:hAnsiTheme="majorHAnsi" w:cstheme="majorHAnsi"/>
                <w:b/>
                <w:sz w:val="22"/>
                <w:lang w:val="de-DE"/>
              </w:rPr>
              <w:t>CAPABILITY</w:t>
            </w:r>
          </w:p>
        </w:tc>
        <w:tc>
          <w:tcPr>
            <w:tcW w:w="2547" w:type="dxa"/>
            <w:tcBorders>
              <w:top w:val="nil"/>
              <w:left w:val="nil"/>
              <w:bottom w:val="nil"/>
              <w:right w:val="nil"/>
            </w:tcBorders>
            <w:vAlign w:val="bottom"/>
          </w:tcPr>
          <w:p w14:paraId="21A4B091" w14:textId="77777777" w:rsidR="00EF7BFD" w:rsidRPr="008C0556" w:rsidRDefault="00EF7BFD" w:rsidP="003B7725">
            <w:pPr>
              <w:jc w:val="right"/>
              <w:rPr>
                <w:rFonts w:asciiTheme="majorHAnsi" w:eastAsia="Times New Roman" w:hAnsiTheme="majorHAnsi" w:cstheme="majorHAnsi"/>
                <w:color w:val="000000"/>
                <w:sz w:val="22"/>
              </w:rPr>
            </w:pPr>
          </w:p>
        </w:tc>
        <w:tc>
          <w:tcPr>
            <w:tcW w:w="2268" w:type="dxa"/>
            <w:tcBorders>
              <w:top w:val="nil"/>
              <w:left w:val="nil"/>
              <w:bottom w:val="nil"/>
              <w:right w:val="nil"/>
            </w:tcBorders>
            <w:vAlign w:val="bottom"/>
          </w:tcPr>
          <w:p w14:paraId="46166B0A" w14:textId="77777777" w:rsidR="00EF7BFD" w:rsidRPr="008C0556" w:rsidRDefault="00EF7BFD" w:rsidP="003B7725">
            <w:pPr>
              <w:jc w:val="right"/>
              <w:rPr>
                <w:rFonts w:asciiTheme="majorHAnsi" w:eastAsia="Times New Roman" w:hAnsiTheme="majorHAnsi" w:cstheme="majorHAnsi"/>
                <w:color w:val="000000"/>
                <w:sz w:val="22"/>
              </w:rPr>
            </w:pPr>
          </w:p>
        </w:tc>
        <w:tc>
          <w:tcPr>
            <w:tcW w:w="2268" w:type="dxa"/>
            <w:tcBorders>
              <w:top w:val="nil"/>
              <w:left w:val="nil"/>
              <w:bottom w:val="nil"/>
              <w:right w:val="nil"/>
            </w:tcBorders>
            <w:vAlign w:val="bottom"/>
          </w:tcPr>
          <w:p w14:paraId="65153998" w14:textId="77777777" w:rsidR="00EF7BFD" w:rsidRPr="008C0556" w:rsidRDefault="00EF7BFD" w:rsidP="003B7725">
            <w:pPr>
              <w:jc w:val="right"/>
              <w:rPr>
                <w:rFonts w:asciiTheme="majorHAnsi" w:eastAsia="Times New Roman" w:hAnsiTheme="majorHAnsi" w:cstheme="majorHAnsi"/>
                <w:color w:val="000000"/>
                <w:sz w:val="22"/>
              </w:rPr>
            </w:pPr>
          </w:p>
        </w:tc>
        <w:tc>
          <w:tcPr>
            <w:tcW w:w="2410" w:type="dxa"/>
            <w:tcBorders>
              <w:top w:val="nil"/>
              <w:left w:val="nil"/>
              <w:bottom w:val="nil"/>
              <w:right w:val="nil"/>
            </w:tcBorders>
            <w:vAlign w:val="bottom"/>
          </w:tcPr>
          <w:p w14:paraId="7A4F69B0" w14:textId="77777777" w:rsidR="00EF7BFD" w:rsidRPr="008C0556" w:rsidRDefault="00EF7BFD" w:rsidP="003B7725">
            <w:pPr>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53966D3D" w14:textId="77777777" w:rsidR="00EF7BFD" w:rsidRPr="008C0556" w:rsidRDefault="00EF7BFD" w:rsidP="003B7725">
            <w:pPr>
              <w:jc w:val="right"/>
              <w:rPr>
                <w:rFonts w:asciiTheme="majorHAnsi" w:eastAsia="Times New Roman" w:hAnsiTheme="majorHAnsi" w:cstheme="majorHAnsi"/>
                <w:color w:val="000000"/>
                <w:sz w:val="22"/>
              </w:rPr>
            </w:pPr>
          </w:p>
        </w:tc>
      </w:tr>
      <w:tr w:rsidR="00EF7BFD" w:rsidRPr="008C0556" w14:paraId="49CC868F" w14:textId="77777777" w:rsidTr="003B7725">
        <w:tc>
          <w:tcPr>
            <w:tcW w:w="2948" w:type="dxa"/>
            <w:tcBorders>
              <w:top w:val="nil"/>
              <w:left w:val="nil"/>
              <w:bottom w:val="nil"/>
              <w:right w:val="nil"/>
            </w:tcBorders>
          </w:tcPr>
          <w:p w14:paraId="376CB705" w14:textId="40D45947" w:rsidR="00EF7BFD" w:rsidRPr="008C0556" w:rsidRDefault="00BA3988" w:rsidP="003B7725">
            <w:pPr>
              <w:rPr>
                <w:rFonts w:asciiTheme="majorHAnsi" w:hAnsiTheme="majorHAnsi" w:cstheme="majorHAnsi"/>
                <w:sz w:val="22"/>
                <w:lang w:val="de-DE"/>
              </w:rPr>
            </w:pPr>
            <w:r w:rsidRPr="00BA3988">
              <w:rPr>
                <w:rFonts w:asciiTheme="majorHAnsi" w:hAnsiTheme="majorHAnsi" w:cstheme="majorHAnsi"/>
                <w:sz w:val="22"/>
                <w:lang w:val="de-DE"/>
              </w:rPr>
              <w:t>Cultivated Land Area</w:t>
            </w:r>
          </w:p>
        </w:tc>
        <w:tc>
          <w:tcPr>
            <w:tcW w:w="2547" w:type="dxa"/>
            <w:tcBorders>
              <w:top w:val="nil"/>
              <w:left w:val="nil"/>
              <w:bottom w:val="nil"/>
              <w:right w:val="nil"/>
            </w:tcBorders>
            <w:vAlign w:val="bottom"/>
          </w:tcPr>
          <w:p w14:paraId="60B6049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187 [149]</w:t>
            </w:r>
          </w:p>
        </w:tc>
        <w:tc>
          <w:tcPr>
            <w:tcW w:w="2268" w:type="dxa"/>
            <w:tcBorders>
              <w:top w:val="nil"/>
              <w:left w:val="nil"/>
              <w:bottom w:val="nil"/>
              <w:right w:val="nil"/>
            </w:tcBorders>
          </w:tcPr>
          <w:p w14:paraId="41DC1E61"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3486482E"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221 [188]</w:t>
            </w:r>
          </w:p>
        </w:tc>
        <w:tc>
          <w:tcPr>
            <w:tcW w:w="2410" w:type="dxa"/>
            <w:tcBorders>
              <w:top w:val="nil"/>
              <w:left w:val="nil"/>
              <w:bottom w:val="nil"/>
              <w:right w:val="nil"/>
            </w:tcBorders>
            <w:vAlign w:val="bottom"/>
          </w:tcPr>
          <w:p w14:paraId="1E8BD77E"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75D6BAE3"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668 [</w:t>
            </w:r>
            <w:proofErr w:type="gramStart"/>
            <w:r w:rsidRPr="008C0556">
              <w:rPr>
                <w:rFonts w:asciiTheme="majorHAnsi" w:eastAsia="Times New Roman" w:hAnsiTheme="majorHAnsi" w:cstheme="majorHAnsi"/>
                <w:color w:val="000000"/>
                <w:sz w:val="22"/>
              </w:rPr>
              <w:t>317]*</w:t>
            </w:r>
            <w:proofErr w:type="gramEnd"/>
            <w:r w:rsidRPr="008C0556">
              <w:rPr>
                <w:rFonts w:asciiTheme="majorHAnsi" w:eastAsia="Times New Roman" w:hAnsiTheme="majorHAnsi" w:cstheme="majorHAnsi"/>
                <w:color w:val="000000"/>
                <w:sz w:val="22"/>
              </w:rPr>
              <w:t>*</w:t>
            </w:r>
          </w:p>
        </w:tc>
      </w:tr>
      <w:tr w:rsidR="00EF7BFD" w:rsidRPr="008C0556" w14:paraId="1DE786AD" w14:textId="77777777" w:rsidTr="003B7725">
        <w:tc>
          <w:tcPr>
            <w:tcW w:w="2948" w:type="dxa"/>
            <w:tcBorders>
              <w:top w:val="nil"/>
              <w:left w:val="nil"/>
              <w:bottom w:val="nil"/>
              <w:right w:val="nil"/>
            </w:tcBorders>
          </w:tcPr>
          <w:p w14:paraId="4652EB99" w14:textId="11A78C2D" w:rsidR="00EF7BFD" w:rsidRPr="008C0556" w:rsidRDefault="00BA3988" w:rsidP="003B7725">
            <w:pPr>
              <w:rPr>
                <w:rFonts w:asciiTheme="majorHAnsi" w:hAnsiTheme="majorHAnsi" w:cstheme="majorHAnsi"/>
                <w:sz w:val="22"/>
                <w:lang w:val="de-DE"/>
              </w:rPr>
            </w:pPr>
            <w:r>
              <w:rPr>
                <w:rFonts w:asciiTheme="majorHAnsi" w:hAnsiTheme="majorHAnsi" w:cstheme="majorHAnsi"/>
                <w:sz w:val="22"/>
                <w:lang w:val="de-DE"/>
              </w:rPr>
              <w:t>Language</w:t>
            </w:r>
          </w:p>
          <w:p w14:paraId="762529A4" w14:textId="2AC359AD"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w:t>
            </w:r>
            <w:r w:rsidR="00BA3988" w:rsidRPr="00BA3988">
              <w:rPr>
                <w:rFonts w:asciiTheme="majorHAnsi" w:hAnsiTheme="majorHAnsi" w:cstheme="majorHAnsi"/>
                <w:sz w:val="22"/>
                <w:lang w:val="de-DE"/>
              </w:rPr>
              <w:t>Language: National &amp; Foreign</w:t>
            </w:r>
          </w:p>
        </w:tc>
        <w:tc>
          <w:tcPr>
            <w:tcW w:w="2547" w:type="dxa"/>
            <w:tcBorders>
              <w:top w:val="nil"/>
              <w:left w:val="nil"/>
              <w:bottom w:val="nil"/>
              <w:right w:val="nil"/>
            </w:tcBorders>
            <w:vAlign w:val="bottom"/>
          </w:tcPr>
          <w:p w14:paraId="0ABB6959"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1216579 [</w:t>
            </w:r>
            <w:proofErr w:type="gramStart"/>
            <w:r w:rsidRPr="008C0556">
              <w:rPr>
                <w:rFonts w:asciiTheme="majorHAnsi" w:eastAsia="Times New Roman" w:hAnsiTheme="majorHAnsi" w:cstheme="majorHAnsi"/>
                <w:color w:val="000000"/>
                <w:sz w:val="22"/>
              </w:rPr>
              <w:t>116476]*</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tcPr>
          <w:p w14:paraId="52C53D0B"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73C3B44C"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1762920 [</w:t>
            </w:r>
            <w:proofErr w:type="gramStart"/>
            <w:r w:rsidRPr="008C0556">
              <w:rPr>
                <w:rFonts w:asciiTheme="majorHAnsi" w:eastAsia="Times New Roman" w:hAnsiTheme="majorHAnsi" w:cstheme="majorHAnsi"/>
                <w:color w:val="000000"/>
                <w:sz w:val="22"/>
              </w:rPr>
              <w:t>1112196]*</w:t>
            </w:r>
            <w:proofErr w:type="gramEnd"/>
            <w:r w:rsidRPr="008C0556">
              <w:rPr>
                <w:rFonts w:asciiTheme="majorHAnsi" w:eastAsia="Times New Roman" w:hAnsiTheme="majorHAnsi" w:cstheme="majorHAnsi"/>
                <w:color w:val="000000"/>
                <w:sz w:val="22"/>
              </w:rPr>
              <w:t>*</w:t>
            </w:r>
          </w:p>
        </w:tc>
        <w:tc>
          <w:tcPr>
            <w:tcW w:w="2410" w:type="dxa"/>
            <w:tcBorders>
              <w:top w:val="nil"/>
              <w:left w:val="nil"/>
              <w:bottom w:val="nil"/>
              <w:right w:val="nil"/>
            </w:tcBorders>
            <w:vAlign w:val="bottom"/>
          </w:tcPr>
          <w:p w14:paraId="35E8B7A1"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3BD9643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4285543 [</w:t>
            </w:r>
            <w:proofErr w:type="gramStart"/>
            <w:r w:rsidRPr="008C0556">
              <w:rPr>
                <w:rFonts w:asciiTheme="majorHAnsi" w:eastAsia="Times New Roman" w:hAnsiTheme="majorHAnsi" w:cstheme="majorHAnsi"/>
                <w:color w:val="000000"/>
                <w:sz w:val="22"/>
              </w:rPr>
              <w:t>1964086]*</w:t>
            </w:r>
            <w:proofErr w:type="gramEnd"/>
            <w:r w:rsidRPr="008C0556">
              <w:rPr>
                <w:rFonts w:asciiTheme="majorHAnsi" w:eastAsia="Times New Roman" w:hAnsiTheme="majorHAnsi" w:cstheme="majorHAnsi"/>
                <w:color w:val="000000"/>
                <w:sz w:val="22"/>
              </w:rPr>
              <w:t>**</w:t>
            </w:r>
          </w:p>
        </w:tc>
      </w:tr>
      <w:tr w:rsidR="00EF7BFD" w:rsidRPr="008C0556" w14:paraId="5043C459" w14:textId="77777777" w:rsidTr="003B7725">
        <w:tc>
          <w:tcPr>
            <w:tcW w:w="2948" w:type="dxa"/>
            <w:tcBorders>
              <w:top w:val="nil"/>
              <w:left w:val="nil"/>
              <w:bottom w:val="nil"/>
              <w:right w:val="nil"/>
            </w:tcBorders>
          </w:tcPr>
          <w:p w14:paraId="562660C1" w14:textId="55C80D78" w:rsidR="00EF7BFD" w:rsidRPr="008C0556" w:rsidRDefault="00BA3988" w:rsidP="003B7725">
            <w:pPr>
              <w:rPr>
                <w:rFonts w:asciiTheme="majorHAnsi" w:hAnsiTheme="majorHAnsi" w:cstheme="majorHAnsi"/>
                <w:b/>
                <w:sz w:val="22"/>
                <w:lang w:val="de-DE"/>
              </w:rPr>
            </w:pPr>
            <w:r>
              <w:rPr>
                <w:rFonts w:asciiTheme="majorHAnsi" w:hAnsiTheme="majorHAnsi" w:cstheme="majorHAnsi"/>
                <w:b/>
                <w:sz w:val="22"/>
                <w:lang w:val="de-DE"/>
              </w:rPr>
              <w:t>SUSTAINABILITY</w:t>
            </w:r>
          </w:p>
        </w:tc>
        <w:tc>
          <w:tcPr>
            <w:tcW w:w="2547" w:type="dxa"/>
            <w:tcBorders>
              <w:top w:val="nil"/>
              <w:left w:val="nil"/>
              <w:bottom w:val="nil"/>
              <w:right w:val="nil"/>
            </w:tcBorders>
            <w:vAlign w:val="bottom"/>
          </w:tcPr>
          <w:p w14:paraId="195AB803" w14:textId="77777777" w:rsidR="00EF7BFD" w:rsidRPr="008C0556" w:rsidRDefault="00EF7BFD" w:rsidP="003B7725">
            <w:pPr>
              <w:jc w:val="right"/>
              <w:rPr>
                <w:rFonts w:asciiTheme="majorHAnsi" w:eastAsia="Times New Roman" w:hAnsiTheme="majorHAnsi" w:cstheme="majorHAnsi"/>
                <w:color w:val="000000"/>
                <w:sz w:val="22"/>
              </w:rPr>
            </w:pPr>
          </w:p>
        </w:tc>
        <w:tc>
          <w:tcPr>
            <w:tcW w:w="2268" w:type="dxa"/>
            <w:tcBorders>
              <w:top w:val="nil"/>
              <w:left w:val="nil"/>
              <w:bottom w:val="nil"/>
              <w:right w:val="nil"/>
            </w:tcBorders>
          </w:tcPr>
          <w:p w14:paraId="48521425" w14:textId="77777777" w:rsidR="00EF7BFD" w:rsidRPr="008C0556" w:rsidRDefault="00EF7BFD" w:rsidP="003B7725">
            <w:pPr>
              <w:rPr>
                <w:rFonts w:asciiTheme="majorHAnsi" w:hAnsiTheme="majorHAnsi" w:cstheme="majorHAnsi"/>
                <w:b/>
                <w:sz w:val="22"/>
                <w:lang w:val="de-DE"/>
              </w:rPr>
            </w:pPr>
          </w:p>
        </w:tc>
        <w:tc>
          <w:tcPr>
            <w:tcW w:w="2268" w:type="dxa"/>
            <w:tcBorders>
              <w:top w:val="nil"/>
              <w:left w:val="nil"/>
              <w:bottom w:val="nil"/>
              <w:right w:val="nil"/>
            </w:tcBorders>
            <w:vAlign w:val="bottom"/>
          </w:tcPr>
          <w:p w14:paraId="0FDBAD1B" w14:textId="77777777" w:rsidR="00EF7BFD" w:rsidRPr="008C0556" w:rsidRDefault="00EF7BFD" w:rsidP="003B7725">
            <w:pPr>
              <w:jc w:val="right"/>
              <w:rPr>
                <w:rFonts w:asciiTheme="majorHAnsi" w:eastAsia="Times New Roman" w:hAnsiTheme="majorHAnsi" w:cstheme="majorHAnsi"/>
                <w:color w:val="000000"/>
                <w:sz w:val="22"/>
              </w:rPr>
            </w:pPr>
          </w:p>
        </w:tc>
        <w:tc>
          <w:tcPr>
            <w:tcW w:w="2410" w:type="dxa"/>
            <w:tcBorders>
              <w:top w:val="nil"/>
              <w:left w:val="nil"/>
              <w:bottom w:val="nil"/>
              <w:right w:val="nil"/>
            </w:tcBorders>
            <w:vAlign w:val="bottom"/>
          </w:tcPr>
          <w:p w14:paraId="798C9A3B"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2205B6D5" w14:textId="77777777" w:rsidR="00EF7BFD" w:rsidRPr="008C0556" w:rsidRDefault="00EF7BFD" w:rsidP="003B7725">
            <w:pPr>
              <w:jc w:val="right"/>
              <w:rPr>
                <w:rFonts w:asciiTheme="majorHAnsi" w:eastAsia="Times New Roman" w:hAnsiTheme="majorHAnsi" w:cstheme="majorHAnsi"/>
                <w:color w:val="000000"/>
                <w:sz w:val="22"/>
              </w:rPr>
            </w:pPr>
          </w:p>
        </w:tc>
      </w:tr>
      <w:tr w:rsidR="00EF7BFD" w:rsidRPr="008C0556" w14:paraId="416A15F0" w14:textId="77777777" w:rsidTr="003B7725">
        <w:tc>
          <w:tcPr>
            <w:tcW w:w="2948" w:type="dxa"/>
            <w:tcBorders>
              <w:top w:val="nil"/>
              <w:left w:val="nil"/>
              <w:bottom w:val="nil"/>
              <w:right w:val="nil"/>
            </w:tcBorders>
          </w:tcPr>
          <w:p w14:paraId="52D0624C" w14:textId="0DA3EB9C" w:rsidR="00EF7BFD" w:rsidRPr="008C0556" w:rsidRDefault="00BA3988" w:rsidP="003B7725">
            <w:pPr>
              <w:rPr>
                <w:rFonts w:asciiTheme="majorHAnsi" w:hAnsiTheme="majorHAnsi" w:cstheme="majorHAnsi"/>
                <w:sz w:val="22"/>
                <w:lang w:val="de-DE"/>
              </w:rPr>
            </w:pPr>
            <w:r>
              <w:rPr>
                <w:rFonts w:asciiTheme="majorHAnsi" w:hAnsiTheme="majorHAnsi" w:cstheme="majorHAnsi"/>
                <w:sz w:val="22"/>
                <w:lang w:val="de-DE"/>
              </w:rPr>
              <w:t>Vocational training</w:t>
            </w:r>
          </w:p>
          <w:p w14:paraId="1F57E0E4" w14:textId="4769445C" w:rsidR="00EF7BFD" w:rsidRPr="008C0556" w:rsidRDefault="00EF7BFD" w:rsidP="003B7725">
            <w:pPr>
              <w:rPr>
                <w:rFonts w:asciiTheme="majorHAnsi" w:hAnsiTheme="majorHAnsi" w:cstheme="majorHAnsi"/>
                <w:sz w:val="22"/>
                <w:lang w:val="de-DE"/>
              </w:rPr>
            </w:pPr>
            <w:r w:rsidRPr="008C0556">
              <w:rPr>
                <w:rFonts w:asciiTheme="majorHAnsi" w:hAnsiTheme="majorHAnsi" w:cstheme="majorHAnsi"/>
                <w:sz w:val="22"/>
                <w:lang w:val="de-DE"/>
              </w:rPr>
              <w:t xml:space="preserve">     </w:t>
            </w:r>
            <w:r w:rsidR="00BA3988">
              <w:rPr>
                <w:rFonts w:asciiTheme="majorHAnsi" w:hAnsiTheme="majorHAnsi" w:cstheme="majorHAnsi"/>
                <w:sz w:val="22"/>
                <w:lang w:val="de-DE"/>
              </w:rPr>
              <w:t>Not participate</w:t>
            </w:r>
          </w:p>
        </w:tc>
        <w:tc>
          <w:tcPr>
            <w:tcW w:w="2547" w:type="dxa"/>
            <w:tcBorders>
              <w:top w:val="nil"/>
              <w:left w:val="nil"/>
              <w:bottom w:val="nil"/>
              <w:right w:val="nil"/>
            </w:tcBorders>
            <w:vAlign w:val="bottom"/>
          </w:tcPr>
          <w:p w14:paraId="095B5828"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457529 [700200]</w:t>
            </w:r>
          </w:p>
        </w:tc>
        <w:tc>
          <w:tcPr>
            <w:tcW w:w="2268" w:type="dxa"/>
            <w:tcBorders>
              <w:top w:val="nil"/>
              <w:left w:val="nil"/>
              <w:bottom w:val="nil"/>
              <w:right w:val="nil"/>
            </w:tcBorders>
          </w:tcPr>
          <w:p w14:paraId="1051BB65"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2A8EC265"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-671648 [822125]</w:t>
            </w:r>
          </w:p>
        </w:tc>
        <w:tc>
          <w:tcPr>
            <w:tcW w:w="2410" w:type="dxa"/>
            <w:tcBorders>
              <w:top w:val="nil"/>
              <w:left w:val="nil"/>
              <w:bottom w:val="nil"/>
              <w:right w:val="nil"/>
            </w:tcBorders>
            <w:vAlign w:val="bottom"/>
          </w:tcPr>
          <w:p w14:paraId="41C47914" w14:textId="77777777" w:rsidR="00EF7BFD" w:rsidRPr="008C0556" w:rsidRDefault="00EF7BFD" w:rsidP="003B7725">
            <w:pPr>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2965CCAF"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-1809525 [1592596]</w:t>
            </w:r>
          </w:p>
        </w:tc>
      </w:tr>
      <w:tr w:rsidR="00EF7BFD" w:rsidRPr="008C0556" w14:paraId="7A761D3E" w14:textId="77777777" w:rsidTr="003B7725">
        <w:tc>
          <w:tcPr>
            <w:tcW w:w="2948" w:type="dxa"/>
            <w:tcBorders>
              <w:top w:val="nil"/>
              <w:left w:val="nil"/>
              <w:bottom w:val="nil"/>
              <w:right w:val="nil"/>
            </w:tcBorders>
          </w:tcPr>
          <w:p w14:paraId="1DD87327" w14:textId="01858906" w:rsidR="00EF7BFD" w:rsidRPr="008C0556" w:rsidRDefault="00BA3988" w:rsidP="003B7725">
            <w:pPr>
              <w:rPr>
                <w:rFonts w:asciiTheme="majorHAnsi" w:hAnsiTheme="majorHAnsi" w:cstheme="majorHAnsi"/>
                <w:sz w:val="22"/>
                <w:lang w:val="de-DE"/>
              </w:rPr>
            </w:pPr>
            <w:r>
              <w:rPr>
                <w:rFonts w:asciiTheme="majorHAnsi" w:hAnsiTheme="majorHAnsi" w:cstheme="majorHAnsi"/>
                <w:sz w:val="22"/>
                <w:lang w:val="de-DE"/>
              </w:rPr>
              <w:t>Job tenure</w:t>
            </w:r>
          </w:p>
        </w:tc>
        <w:tc>
          <w:tcPr>
            <w:tcW w:w="2547" w:type="dxa"/>
            <w:tcBorders>
              <w:top w:val="nil"/>
              <w:left w:val="nil"/>
              <w:bottom w:val="nil"/>
              <w:right w:val="nil"/>
            </w:tcBorders>
            <w:vAlign w:val="bottom"/>
          </w:tcPr>
          <w:p w14:paraId="13C66647"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-588158 [</w:t>
            </w:r>
            <w:proofErr w:type="gramStart"/>
            <w:r w:rsidRPr="008C0556">
              <w:rPr>
                <w:rFonts w:asciiTheme="majorHAnsi" w:eastAsia="Times New Roman" w:hAnsiTheme="majorHAnsi" w:cstheme="majorHAnsi"/>
                <w:color w:val="000000"/>
                <w:sz w:val="22"/>
              </w:rPr>
              <w:t>242184]*</w:t>
            </w:r>
            <w:proofErr w:type="gramEnd"/>
            <w:r w:rsidRPr="008C0556">
              <w:rPr>
                <w:rFonts w:asciiTheme="majorHAnsi" w:eastAsia="Times New Roman" w:hAnsiTheme="majorHAnsi" w:cstheme="majorHAnsi"/>
                <w:color w:val="000000"/>
                <w:sz w:val="22"/>
              </w:rPr>
              <w:t>**</w:t>
            </w:r>
          </w:p>
        </w:tc>
        <w:tc>
          <w:tcPr>
            <w:tcW w:w="2268" w:type="dxa"/>
            <w:tcBorders>
              <w:top w:val="nil"/>
              <w:left w:val="nil"/>
              <w:bottom w:val="nil"/>
              <w:right w:val="nil"/>
            </w:tcBorders>
          </w:tcPr>
          <w:p w14:paraId="3D4E73BB"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05BAA0C8"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-164792 [</w:t>
            </w:r>
            <w:proofErr w:type="gramStart"/>
            <w:r w:rsidRPr="008C0556">
              <w:rPr>
                <w:rFonts w:asciiTheme="majorHAnsi" w:eastAsia="Times New Roman" w:hAnsiTheme="majorHAnsi" w:cstheme="majorHAnsi"/>
                <w:color w:val="000000"/>
                <w:sz w:val="22"/>
              </w:rPr>
              <w:t>177995]*</w:t>
            </w:r>
            <w:proofErr w:type="gramEnd"/>
          </w:p>
        </w:tc>
        <w:tc>
          <w:tcPr>
            <w:tcW w:w="2410" w:type="dxa"/>
            <w:tcBorders>
              <w:top w:val="nil"/>
              <w:left w:val="nil"/>
              <w:bottom w:val="nil"/>
              <w:right w:val="nil"/>
            </w:tcBorders>
            <w:vAlign w:val="bottom"/>
          </w:tcPr>
          <w:p w14:paraId="63B6D5F2"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783A951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-1242707 [</w:t>
            </w:r>
            <w:proofErr w:type="gramStart"/>
            <w:r w:rsidRPr="008C0556">
              <w:rPr>
                <w:rFonts w:asciiTheme="majorHAnsi" w:eastAsia="Times New Roman" w:hAnsiTheme="majorHAnsi" w:cstheme="majorHAnsi"/>
                <w:color w:val="000000"/>
                <w:sz w:val="22"/>
              </w:rPr>
              <w:t>447579]*</w:t>
            </w:r>
            <w:proofErr w:type="gramEnd"/>
            <w:r w:rsidRPr="008C0556">
              <w:rPr>
                <w:rFonts w:asciiTheme="majorHAnsi" w:eastAsia="Times New Roman" w:hAnsiTheme="majorHAnsi" w:cstheme="majorHAnsi"/>
                <w:color w:val="000000"/>
                <w:sz w:val="22"/>
              </w:rPr>
              <w:t>**</w:t>
            </w:r>
          </w:p>
        </w:tc>
      </w:tr>
      <w:tr w:rsidR="00EF7BFD" w:rsidRPr="008C0556" w14:paraId="7A6A1676" w14:textId="77777777" w:rsidTr="003B7725">
        <w:tc>
          <w:tcPr>
            <w:tcW w:w="2948" w:type="dxa"/>
            <w:tcBorders>
              <w:top w:val="nil"/>
              <w:left w:val="nil"/>
              <w:bottom w:val="nil"/>
              <w:right w:val="nil"/>
            </w:tcBorders>
          </w:tcPr>
          <w:p w14:paraId="204CD2D4" w14:textId="40BBA5E5" w:rsidR="00EF7BFD" w:rsidRPr="008C0556" w:rsidRDefault="00BA3988" w:rsidP="003B7725">
            <w:pPr>
              <w:rPr>
                <w:rFonts w:asciiTheme="majorHAnsi" w:hAnsiTheme="majorHAnsi" w:cstheme="majorHAnsi"/>
                <w:b/>
                <w:sz w:val="22"/>
                <w:lang w:val="de-DE"/>
              </w:rPr>
            </w:pPr>
            <w:r w:rsidRPr="00BA3988">
              <w:rPr>
                <w:rFonts w:asciiTheme="majorHAnsi" w:hAnsiTheme="majorHAnsi" w:cstheme="majorHAnsi"/>
                <w:b/>
                <w:sz w:val="22"/>
                <w:lang w:val="de-DE"/>
              </w:rPr>
              <w:t>EFFICIENCY</w:t>
            </w:r>
          </w:p>
        </w:tc>
        <w:tc>
          <w:tcPr>
            <w:tcW w:w="2547" w:type="dxa"/>
            <w:tcBorders>
              <w:top w:val="nil"/>
              <w:left w:val="nil"/>
              <w:bottom w:val="nil"/>
              <w:right w:val="nil"/>
            </w:tcBorders>
            <w:vAlign w:val="bottom"/>
          </w:tcPr>
          <w:p w14:paraId="3E40D9DF" w14:textId="77777777" w:rsidR="00EF7BFD" w:rsidRPr="008C0556" w:rsidRDefault="00EF7BFD" w:rsidP="003B7725">
            <w:pPr>
              <w:rPr>
                <w:rFonts w:asciiTheme="majorHAnsi" w:eastAsia="Times New Roman" w:hAnsiTheme="majorHAnsi" w:cstheme="majorHAnsi"/>
                <w:color w:val="000000"/>
                <w:sz w:val="22"/>
              </w:rPr>
            </w:pPr>
          </w:p>
        </w:tc>
        <w:tc>
          <w:tcPr>
            <w:tcW w:w="2268" w:type="dxa"/>
            <w:tcBorders>
              <w:top w:val="nil"/>
              <w:left w:val="nil"/>
              <w:bottom w:val="nil"/>
              <w:right w:val="nil"/>
            </w:tcBorders>
          </w:tcPr>
          <w:p w14:paraId="58F30518" w14:textId="77777777" w:rsidR="00EF7BFD" w:rsidRPr="008C0556" w:rsidRDefault="00EF7BFD" w:rsidP="003B7725">
            <w:pPr>
              <w:rPr>
                <w:rFonts w:asciiTheme="majorHAnsi" w:hAnsiTheme="majorHAnsi" w:cstheme="majorHAnsi"/>
                <w:b/>
                <w:sz w:val="22"/>
                <w:lang w:val="de-DE"/>
              </w:rPr>
            </w:pPr>
          </w:p>
        </w:tc>
        <w:tc>
          <w:tcPr>
            <w:tcW w:w="2268" w:type="dxa"/>
            <w:tcBorders>
              <w:top w:val="nil"/>
              <w:left w:val="nil"/>
              <w:bottom w:val="nil"/>
              <w:right w:val="nil"/>
            </w:tcBorders>
            <w:vAlign w:val="bottom"/>
          </w:tcPr>
          <w:p w14:paraId="7E1755B0" w14:textId="77777777" w:rsidR="00EF7BFD" w:rsidRPr="008C0556" w:rsidRDefault="00EF7BFD" w:rsidP="003B7725">
            <w:pPr>
              <w:jc w:val="right"/>
              <w:rPr>
                <w:rFonts w:asciiTheme="majorHAnsi" w:eastAsia="Times New Roman" w:hAnsiTheme="majorHAnsi" w:cstheme="majorHAnsi"/>
                <w:color w:val="000000"/>
                <w:sz w:val="22"/>
              </w:rPr>
            </w:pPr>
          </w:p>
        </w:tc>
        <w:tc>
          <w:tcPr>
            <w:tcW w:w="2410" w:type="dxa"/>
            <w:tcBorders>
              <w:top w:val="nil"/>
              <w:left w:val="nil"/>
              <w:bottom w:val="nil"/>
              <w:right w:val="nil"/>
            </w:tcBorders>
            <w:vAlign w:val="bottom"/>
          </w:tcPr>
          <w:p w14:paraId="603F3753" w14:textId="77777777" w:rsidR="00EF7BFD" w:rsidRPr="008C0556" w:rsidRDefault="00EF7BFD" w:rsidP="003B7725">
            <w:pPr>
              <w:jc w:val="right"/>
              <w:rPr>
                <w:rFonts w:asciiTheme="majorHAnsi" w:eastAsia="Times New Roman" w:hAnsiTheme="majorHAnsi" w:cstheme="majorHAnsi"/>
                <w:color w:val="000000"/>
                <w:sz w:val="22"/>
              </w:rPr>
            </w:pPr>
          </w:p>
        </w:tc>
        <w:tc>
          <w:tcPr>
            <w:tcW w:w="2103" w:type="dxa"/>
            <w:tcBorders>
              <w:top w:val="nil"/>
              <w:left w:val="nil"/>
              <w:bottom w:val="nil"/>
              <w:right w:val="nil"/>
            </w:tcBorders>
            <w:vAlign w:val="bottom"/>
          </w:tcPr>
          <w:p w14:paraId="743A44B0" w14:textId="77777777" w:rsidR="00EF7BFD" w:rsidRPr="008C0556" w:rsidRDefault="00EF7BFD" w:rsidP="003B7725">
            <w:pPr>
              <w:jc w:val="right"/>
              <w:rPr>
                <w:rFonts w:asciiTheme="majorHAnsi" w:eastAsia="Times New Roman" w:hAnsiTheme="majorHAnsi" w:cstheme="majorHAnsi"/>
                <w:color w:val="000000"/>
                <w:sz w:val="22"/>
              </w:rPr>
            </w:pPr>
          </w:p>
        </w:tc>
      </w:tr>
      <w:tr w:rsidR="00EF7BFD" w:rsidRPr="008C0556" w14:paraId="4C50A431" w14:textId="77777777" w:rsidTr="003B7725">
        <w:tc>
          <w:tcPr>
            <w:tcW w:w="2948" w:type="dxa"/>
            <w:tcBorders>
              <w:top w:val="nil"/>
              <w:left w:val="nil"/>
              <w:bottom w:val="nil"/>
              <w:right w:val="nil"/>
            </w:tcBorders>
          </w:tcPr>
          <w:p w14:paraId="52EC96E4" w14:textId="735D2480" w:rsidR="00EF7BFD" w:rsidRPr="008C0556" w:rsidRDefault="006E363F" w:rsidP="003B7725">
            <w:pPr>
              <w:rPr>
                <w:rFonts w:asciiTheme="majorHAnsi" w:hAnsiTheme="majorHAnsi" w:cstheme="majorHAnsi"/>
                <w:sz w:val="22"/>
                <w:lang w:val="de-DE"/>
              </w:rPr>
            </w:pPr>
            <w:r w:rsidRPr="006E363F">
              <w:rPr>
                <w:rFonts w:asciiTheme="majorHAnsi" w:hAnsiTheme="majorHAnsi" w:cstheme="majorHAnsi"/>
                <w:sz w:val="22"/>
                <w:lang w:val="de-DE"/>
              </w:rPr>
              <w:t>Workplace Consultation</w:t>
            </w:r>
          </w:p>
        </w:tc>
        <w:tc>
          <w:tcPr>
            <w:tcW w:w="2547" w:type="dxa"/>
            <w:tcBorders>
              <w:top w:val="nil"/>
              <w:left w:val="nil"/>
              <w:bottom w:val="nil"/>
              <w:right w:val="nil"/>
            </w:tcBorders>
            <w:vAlign w:val="bottom"/>
          </w:tcPr>
          <w:p w14:paraId="59658391"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166847 [</w:t>
            </w:r>
            <w:proofErr w:type="gramStart"/>
            <w:r w:rsidRPr="008C0556">
              <w:rPr>
                <w:rFonts w:asciiTheme="majorHAnsi" w:eastAsia="Times New Roman" w:hAnsiTheme="majorHAnsi" w:cstheme="majorHAnsi"/>
                <w:color w:val="000000"/>
                <w:sz w:val="22"/>
              </w:rPr>
              <w:t>88693]*</w:t>
            </w:r>
            <w:proofErr w:type="gramEnd"/>
          </w:p>
        </w:tc>
        <w:tc>
          <w:tcPr>
            <w:tcW w:w="2268" w:type="dxa"/>
            <w:tcBorders>
              <w:top w:val="nil"/>
              <w:left w:val="nil"/>
              <w:bottom w:val="nil"/>
              <w:right w:val="nil"/>
            </w:tcBorders>
          </w:tcPr>
          <w:p w14:paraId="26752A3E"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nil"/>
              <w:right w:val="nil"/>
            </w:tcBorders>
            <w:vAlign w:val="bottom"/>
          </w:tcPr>
          <w:p w14:paraId="77E25AD2"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138680 [</w:t>
            </w:r>
            <w:proofErr w:type="gramStart"/>
            <w:r w:rsidRPr="008C0556">
              <w:rPr>
                <w:rFonts w:asciiTheme="majorHAnsi" w:eastAsia="Times New Roman" w:hAnsiTheme="majorHAnsi" w:cstheme="majorHAnsi"/>
                <w:color w:val="000000"/>
                <w:sz w:val="22"/>
              </w:rPr>
              <w:t>115018]*</w:t>
            </w:r>
            <w:proofErr w:type="gramEnd"/>
          </w:p>
        </w:tc>
        <w:tc>
          <w:tcPr>
            <w:tcW w:w="2410" w:type="dxa"/>
            <w:tcBorders>
              <w:top w:val="nil"/>
              <w:left w:val="nil"/>
              <w:bottom w:val="nil"/>
              <w:right w:val="nil"/>
            </w:tcBorders>
          </w:tcPr>
          <w:p w14:paraId="41C32360" w14:textId="77777777" w:rsidR="00EF7BFD" w:rsidRPr="008C0556" w:rsidRDefault="00EF7BFD" w:rsidP="003B7725">
            <w:pPr>
              <w:rPr>
                <w:rFonts w:asciiTheme="majorHAnsi" w:hAnsiTheme="majorHAnsi" w:cstheme="majorHAnsi"/>
                <w:sz w:val="22"/>
                <w:lang w:val="de-DE"/>
              </w:rPr>
            </w:pPr>
          </w:p>
        </w:tc>
        <w:tc>
          <w:tcPr>
            <w:tcW w:w="2103" w:type="dxa"/>
            <w:tcBorders>
              <w:top w:val="nil"/>
              <w:left w:val="nil"/>
              <w:bottom w:val="nil"/>
              <w:right w:val="nil"/>
            </w:tcBorders>
            <w:vAlign w:val="bottom"/>
          </w:tcPr>
          <w:p w14:paraId="7630E1BA"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14546 [</w:t>
            </w:r>
            <w:proofErr w:type="gramStart"/>
            <w:r w:rsidRPr="008C0556">
              <w:rPr>
                <w:rFonts w:asciiTheme="majorHAnsi" w:eastAsia="Times New Roman" w:hAnsiTheme="majorHAnsi" w:cstheme="majorHAnsi"/>
                <w:color w:val="000000"/>
                <w:sz w:val="22"/>
              </w:rPr>
              <w:t>129100]*</w:t>
            </w:r>
            <w:proofErr w:type="gramEnd"/>
          </w:p>
        </w:tc>
      </w:tr>
      <w:tr w:rsidR="00EF7BFD" w:rsidRPr="008C0556" w14:paraId="132A6338" w14:textId="77777777" w:rsidTr="003B7725">
        <w:tc>
          <w:tcPr>
            <w:tcW w:w="2948" w:type="dxa"/>
            <w:tcBorders>
              <w:top w:val="nil"/>
              <w:left w:val="nil"/>
              <w:bottom w:val="single" w:sz="4" w:space="0" w:color="auto"/>
              <w:right w:val="nil"/>
            </w:tcBorders>
          </w:tcPr>
          <w:p w14:paraId="4CB7BCF3" w14:textId="186E618F" w:rsidR="00EF7BFD" w:rsidRPr="008C0556" w:rsidRDefault="006E363F" w:rsidP="003B7725">
            <w:pPr>
              <w:rPr>
                <w:rFonts w:asciiTheme="majorHAnsi" w:hAnsiTheme="majorHAnsi" w:cstheme="majorHAnsi"/>
                <w:sz w:val="22"/>
                <w:lang w:val="de-DE"/>
              </w:rPr>
            </w:pPr>
            <w:r w:rsidRPr="006E363F">
              <w:rPr>
                <w:rFonts w:asciiTheme="majorHAnsi" w:hAnsiTheme="majorHAnsi" w:cstheme="majorHAnsi"/>
                <w:sz w:val="22"/>
                <w:lang w:val="de-DE"/>
              </w:rPr>
              <w:t>Work Independence</w:t>
            </w:r>
          </w:p>
        </w:tc>
        <w:tc>
          <w:tcPr>
            <w:tcW w:w="2547" w:type="dxa"/>
            <w:tcBorders>
              <w:top w:val="nil"/>
              <w:left w:val="nil"/>
              <w:bottom w:val="single" w:sz="4" w:space="0" w:color="auto"/>
              <w:right w:val="nil"/>
            </w:tcBorders>
            <w:vAlign w:val="bottom"/>
          </w:tcPr>
          <w:p w14:paraId="3FD88541"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-126208 [87902]</w:t>
            </w:r>
          </w:p>
        </w:tc>
        <w:tc>
          <w:tcPr>
            <w:tcW w:w="2268" w:type="dxa"/>
            <w:tcBorders>
              <w:top w:val="nil"/>
              <w:left w:val="nil"/>
              <w:bottom w:val="single" w:sz="4" w:space="0" w:color="auto"/>
              <w:right w:val="nil"/>
            </w:tcBorders>
          </w:tcPr>
          <w:p w14:paraId="707CD352" w14:textId="77777777" w:rsidR="00EF7BFD" w:rsidRPr="008C0556" w:rsidRDefault="00EF7BFD" w:rsidP="003B7725">
            <w:pPr>
              <w:rPr>
                <w:rFonts w:asciiTheme="majorHAnsi" w:hAnsiTheme="majorHAnsi" w:cstheme="majorHAnsi"/>
                <w:sz w:val="22"/>
                <w:lang w:val="de-DE"/>
              </w:rPr>
            </w:pPr>
          </w:p>
        </w:tc>
        <w:tc>
          <w:tcPr>
            <w:tcW w:w="2268" w:type="dxa"/>
            <w:tcBorders>
              <w:top w:val="nil"/>
              <w:left w:val="nil"/>
              <w:bottom w:val="single" w:sz="4" w:space="0" w:color="auto"/>
              <w:right w:val="nil"/>
            </w:tcBorders>
            <w:vAlign w:val="bottom"/>
          </w:tcPr>
          <w:p w14:paraId="7FC3E047"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40127 [112008]</w:t>
            </w:r>
          </w:p>
        </w:tc>
        <w:tc>
          <w:tcPr>
            <w:tcW w:w="2410" w:type="dxa"/>
            <w:tcBorders>
              <w:top w:val="nil"/>
              <w:left w:val="nil"/>
              <w:bottom w:val="single" w:sz="4" w:space="0" w:color="auto"/>
              <w:right w:val="nil"/>
            </w:tcBorders>
          </w:tcPr>
          <w:p w14:paraId="18800ECA" w14:textId="77777777" w:rsidR="00EF7BFD" w:rsidRPr="008C0556" w:rsidRDefault="00EF7BFD" w:rsidP="003B7725">
            <w:pPr>
              <w:rPr>
                <w:rFonts w:asciiTheme="majorHAnsi" w:hAnsiTheme="majorHAnsi" w:cstheme="majorHAnsi"/>
                <w:sz w:val="22"/>
                <w:lang w:val="de-DE"/>
              </w:rPr>
            </w:pPr>
          </w:p>
        </w:tc>
        <w:tc>
          <w:tcPr>
            <w:tcW w:w="2103" w:type="dxa"/>
            <w:tcBorders>
              <w:top w:val="nil"/>
              <w:left w:val="nil"/>
              <w:bottom w:val="single" w:sz="4" w:space="0" w:color="auto"/>
              <w:right w:val="nil"/>
            </w:tcBorders>
            <w:vAlign w:val="bottom"/>
          </w:tcPr>
          <w:p w14:paraId="03C40CC4" w14:textId="77777777" w:rsidR="00EF7BFD" w:rsidRPr="008C0556" w:rsidRDefault="00EF7BFD" w:rsidP="003B7725">
            <w:pPr>
              <w:jc w:val="right"/>
              <w:rPr>
                <w:rFonts w:asciiTheme="majorHAnsi" w:eastAsia="Times New Roman" w:hAnsiTheme="majorHAnsi" w:cstheme="majorHAnsi"/>
                <w:color w:val="000000"/>
                <w:sz w:val="22"/>
              </w:rPr>
            </w:pPr>
            <w:r w:rsidRPr="008C0556">
              <w:rPr>
                <w:rFonts w:asciiTheme="majorHAnsi" w:eastAsia="Times New Roman" w:hAnsiTheme="majorHAnsi" w:cstheme="majorHAnsi"/>
                <w:color w:val="000000"/>
                <w:sz w:val="22"/>
              </w:rPr>
              <w:t>-10304 [155218]</w:t>
            </w:r>
          </w:p>
        </w:tc>
      </w:tr>
      <w:tr w:rsidR="00A539C8" w:rsidRPr="008C0556" w14:paraId="5D349A71" w14:textId="77777777" w:rsidTr="00A3593D">
        <w:tc>
          <w:tcPr>
            <w:tcW w:w="2948" w:type="dxa"/>
            <w:tcBorders>
              <w:top w:val="single" w:sz="4" w:space="0" w:color="auto"/>
              <w:left w:val="nil"/>
              <w:bottom w:val="single" w:sz="4" w:space="0" w:color="auto"/>
              <w:right w:val="nil"/>
            </w:tcBorders>
          </w:tcPr>
          <w:p w14:paraId="5C2D0EAB" w14:textId="77777777" w:rsidR="00A539C8" w:rsidRPr="008C0556" w:rsidRDefault="00A539C8" w:rsidP="00A539C8">
            <w:pPr>
              <w:rPr>
                <w:rFonts w:asciiTheme="majorHAnsi" w:hAnsiTheme="majorHAnsi" w:cstheme="majorHAnsi"/>
                <w:sz w:val="22"/>
                <w:lang w:val="de-DE"/>
              </w:rPr>
            </w:pPr>
            <w:r w:rsidRPr="008C0556">
              <w:rPr>
                <w:rFonts w:asciiTheme="majorHAnsi" w:hAnsiTheme="majorHAnsi" w:cstheme="majorHAnsi"/>
                <w:sz w:val="22"/>
                <w:lang w:val="de-DE"/>
              </w:rPr>
              <w:t>F test</w:t>
            </w:r>
          </w:p>
        </w:tc>
        <w:tc>
          <w:tcPr>
            <w:tcW w:w="2547" w:type="dxa"/>
            <w:tcBorders>
              <w:top w:val="single" w:sz="4" w:space="0" w:color="auto"/>
              <w:left w:val="nil"/>
              <w:bottom w:val="single" w:sz="4" w:space="0" w:color="auto"/>
              <w:right w:val="nil"/>
            </w:tcBorders>
          </w:tcPr>
          <w:p w14:paraId="4798A038" w14:textId="7461E116" w:rsidR="00A539C8" w:rsidRPr="008C0556" w:rsidRDefault="00A539C8" w:rsidP="00A539C8">
            <w:pPr>
              <w:jc w:val="right"/>
              <w:rPr>
                <w:rFonts w:asciiTheme="majorHAnsi" w:eastAsia="Times New Roman" w:hAnsiTheme="majorHAnsi" w:cstheme="majorHAnsi"/>
                <w:color w:val="000000"/>
                <w:sz w:val="22"/>
              </w:rPr>
            </w:pPr>
            <w:r w:rsidRPr="00ED0588">
              <w:t>2.74***</w:t>
            </w:r>
          </w:p>
        </w:tc>
        <w:tc>
          <w:tcPr>
            <w:tcW w:w="2268" w:type="dxa"/>
            <w:tcBorders>
              <w:top w:val="single" w:sz="4" w:space="0" w:color="auto"/>
              <w:left w:val="nil"/>
              <w:bottom w:val="single" w:sz="4" w:space="0" w:color="auto"/>
              <w:right w:val="nil"/>
            </w:tcBorders>
          </w:tcPr>
          <w:p w14:paraId="454765FA" w14:textId="5DE578D8" w:rsidR="00A539C8" w:rsidRPr="008C0556" w:rsidRDefault="00A539C8" w:rsidP="00A539C8">
            <w:pPr>
              <w:jc w:val="right"/>
              <w:rPr>
                <w:rFonts w:asciiTheme="majorHAnsi" w:hAnsiTheme="majorHAnsi" w:cstheme="majorHAnsi"/>
                <w:sz w:val="22"/>
                <w:lang w:val="de-DE"/>
              </w:rPr>
            </w:pPr>
            <w:r w:rsidRPr="00ED0588">
              <w:t>6.65***</w:t>
            </w:r>
          </w:p>
        </w:tc>
        <w:tc>
          <w:tcPr>
            <w:tcW w:w="2268" w:type="dxa"/>
            <w:tcBorders>
              <w:top w:val="single" w:sz="4" w:space="0" w:color="auto"/>
              <w:left w:val="nil"/>
              <w:bottom w:val="single" w:sz="4" w:space="0" w:color="auto"/>
              <w:right w:val="nil"/>
            </w:tcBorders>
          </w:tcPr>
          <w:p w14:paraId="5F1FF54B" w14:textId="5D6DC34A" w:rsidR="00A539C8" w:rsidRPr="008C0556" w:rsidRDefault="00A539C8" w:rsidP="00A539C8">
            <w:pPr>
              <w:jc w:val="right"/>
              <w:rPr>
                <w:rFonts w:asciiTheme="majorHAnsi" w:hAnsiTheme="majorHAnsi" w:cstheme="majorHAnsi"/>
                <w:sz w:val="22"/>
                <w:lang w:val="de-DE"/>
              </w:rPr>
            </w:pPr>
            <w:r w:rsidRPr="00ED0588">
              <w:t>3.05**</w:t>
            </w:r>
          </w:p>
        </w:tc>
        <w:tc>
          <w:tcPr>
            <w:tcW w:w="2410" w:type="dxa"/>
            <w:tcBorders>
              <w:top w:val="single" w:sz="4" w:space="0" w:color="auto"/>
              <w:left w:val="nil"/>
              <w:bottom w:val="single" w:sz="4" w:space="0" w:color="auto"/>
              <w:right w:val="nil"/>
            </w:tcBorders>
          </w:tcPr>
          <w:p w14:paraId="68123767" w14:textId="64601631" w:rsidR="00A539C8" w:rsidRPr="008C0556" w:rsidRDefault="00A539C8" w:rsidP="00A539C8">
            <w:pPr>
              <w:jc w:val="right"/>
              <w:rPr>
                <w:rFonts w:asciiTheme="majorHAnsi" w:hAnsiTheme="majorHAnsi" w:cstheme="majorHAnsi"/>
                <w:sz w:val="22"/>
                <w:lang w:val="de-DE"/>
              </w:rPr>
            </w:pPr>
            <w:r w:rsidRPr="00ED0588">
              <w:t>1.37</w:t>
            </w:r>
          </w:p>
        </w:tc>
        <w:tc>
          <w:tcPr>
            <w:tcW w:w="2103" w:type="dxa"/>
            <w:tcBorders>
              <w:top w:val="single" w:sz="4" w:space="0" w:color="auto"/>
              <w:left w:val="nil"/>
              <w:bottom w:val="single" w:sz="4" w:space="0" w:color="auto"/>
              <w:right w:val="nil"/>
            </w:tcBorders>
          </w:tcPr>
          <w:p w14:paraId="1DE45F9C" w14:textId="1E4A6BE5" w:rsidR="00A539C8" w:rsidRPr="008C0556" w:rsidRDefault="00A539C8" w:rsidP="00A539C8">
            <w:pPr>
              <w:jc w:val="right"/>
              <w:rPr>
                <w:rFonts w:asciiTheme="majorHAnsi" w:hAnsiTheme="majorHAnsi" w:cstheme="majorHAnsi"/>
                <w:sz w:val="22"/>
                <w:lang w:val="de-DE"/>
              </w:rPr>
            </w:pPr>
            <w:r w:rsidRPr="00ED0588">
              <w:t>2.00*</w:t>
            </w:r>
          </w:p>
        </w:tc>
      </w:tr>
      <w:tr w:rsidR="00A539C8" w:rsidRPr="008C0556" w14:paraId="49970624" w14:textId="77777777" w:rsidTr="00A3593D">
        <w:tc>
          <w:tcPr>
            <w:tcW w:w="2948" w:type="dxa"/>
            <w:tcBorders>
              <w:top w:val="single" w:sz="4" w:space="0" w:color="auto"/>
              <w:left w:val="nil"/>
              <w:bottom w:val="double" w:sz="4" w:space="0" w:color="auto"/>
              <w:right w:val="nil"/>
            </w:tcBorders>
          </w:tcPr>
          <w:p w14:paraId="4615D8C9" w14:textId="77777777" w:rsidR="00A539C8" w:rsidRPr="008C0556" w:rsidRDefault="00A539C8" w:rsidP="00A539C8">
            <w:pPr>
              <w:rPr>
                <w:rFonts w:asciiTheme="majorHAnsi" w:hAnsiTheme="majorHAnsi" w:cstheme="majorHAnsi"/>
                <w:sz w:val="22"/>
                <w:lang w:val="de-DE"/>
              </w:rPr>
            </w:pPr>
            <w:r w:rsidRPr="008C0556">
              <w:rPr>
                <w:rFonts w:asciiTheme="majorHAnsi" w:hAnsiTheme="majorHAnsi" w:cstheme="majorHAnsi"/>
                <w:sz w:val="22"/>
                <w:lang w:val="de-DE"/>
              </w:rPr>
              <w:t>R</w:t>
            </w:r>
          </w:p>
        </w:tc>
        <w:tc>
          <w:tcPr>
            <w:tcW w:w="2547" w:type="dxa"/>
            <w:tcBorders>
              <w:top w:val="single" w:sz="4" w:space="0" w:color="auto"/>
              <w:left w:val="nil"/>
              <w:bottom w:val="double" w:sz="4" w:space="0" w:color="auto"/>
              <w:right w:val="nil"/>
            </w:tcBorders>
          </w:tcPr>
          <w:p w14:paraId="4F2A7AE6" w14:textId="0511BF5B" w:rsidR="00A539C8" w:rsidRPr="008C0556" w:rsidRDefault="00A539C8" w:rsidP="00A539C8">
            <w:pPr>
              <w:jc w:val="right"/>
              <w:rPr>
                <w:rFonts w:asciiTheme="majorHAnsi" w:eastAsia="Times New Roman" w:hAnsiTheme="majorHAnsi" w:cstheme="majorHAnsi"/>
                <w:color w:val="000000"/>
                <w:sz w:val="22"/>
              </w:rPr>
            </w:pPr>
            <w:r w:rsidRPr="00ED0588">
              <w:t>4.71%</w:t>
            </w:r>
          </w:p>
        </w:tc>
        <w:tc>
          <w:tcPr>
            <w:tcW w:w="2268" w:type="dxa"/>
            <w:tcBorders>
              <w:top w:val="single" w:sz="4" w:space="0" w:color="auto"/>
              <w:left w:val="nil"/>
              <w:bottom w:val="double" w:sz="4" w:space="0" w:color="auto"/>
              <w:right w:val="nil"/>
            </w:tcBorders>
          </w:tcPr>
          <w:p w14:paraId="2BB9A844" w14:textId="734024BD" w:rsidR="00A539C8" w:rsidRPr="008C0556" w:rsidRDefault="00A539C8" w:rsidP="00A539C8">
            <w:pPr>
              <w:jc w:val="right"/>
              <w:rPr>
                <w:rFonts w:asciiTheme="majorHAnsi" w:hAnsiTheme="majorHAnsi" w:cstheme="majorHAnsi"/>
                <w:sz w:val="22"/>
                <w:lang w:val="de-DE"/>
              </w:rPr>
            </w:pPr>
            <w:r w:rsidRPr="00ED0588">
              <w:t>57%</w:t>
            </w:r>
          </w:p>
        </w:tc>
        <w:tc>
          <w:tcPr>
            <w:tcW w:w="2268" w:type="dxa"/>
            <w:tcBorders>
              <w:top w:val="single" w:sz="4" w:space="0" w:color="auto"/>
              <w:left w:val="nil"/>
              <w:bottom w:val="double" w:sz="4" w:space="0" w:color="auto"/>
              <w:right w:val="nil"/>
            </w:tcBorders>
          </w:tcPr>
          <w:p w14:paraId="0C7902F6" w14:textId="4EE8627C" w:rsidR="00A539C8" w:rsidRPr="008C0556" w:rsidRDefault="00A539C8" w:rsidP="00A539C8">
            <w:pPr>
              <w:jc w:val="right"/>
              <w:rPr>
                <w:rFonts w:asciiTheme="majorHAnsi" w:hAnsiTheme="majorHAnsi" w:cstheme="majorHAnsi"/>
                <w:sz w:val="22"/>
                <w:lang w:val="de-DE"/>
              </w:rPr>
            </w:pPr>
            <w:r w:rsidRPr="00ED0588">
              <w:t>68%</w:t>
            </w:r>
          </w:p>
        </w:tc>
        <w:tc>
          <w:tcPr>
            <w:tcW w:w="2410" w:type="dxa"/>
            <w:tcBorders>
              <w:top w:val="single" w:sz="4" w:space="0" w:color="auto"/>
              <w:left w:val="nil"/>
              <w:bottom w:val="double" w:sz="4" w:space="0" w:color="auto"/>
              <w:right w:val="nil"/>
            </w:tcBorders>
          </w:tcPr>
          <w:p w14:paraId="19734B12" w14:textId="414CCEB1" w:rsidR="00A539C8" w:rsidRPr="008C0556" w:rsidRDefault="00A539C8" w:rsidP="00A539C8">
            <w:pPr>
              <w:jc w:val="right"/>
              <w:rPr>
                <w:rFonts w:asciiTheme="majorHAnsi" w:hAnsiTheme="majorHAnsi" w:cstheme="majorHAnsi"/>
                <w:sz w:val="22"/>
                <w:lang w:val="de-DE"/>
              </w:rPr>
            </w:pPr>
            <w:r w:rsidRPr="00ED0588">
              <w:t>17.4%</w:t>
            </w:r>
          </w:p>
        </w:tc>
        <w:tc>
          <w:tcPr>
            <w:tcW w:w="2103" w:type="dxa"/>
            <w:tcBorders>
              <w:top w:val="single" w:sz="4" w:space="0" w:color="auto"/>
              <w:left w:val="nil"/>
              <w:bottom w:val="double" w:sz="4" w:space="0" w:color="auto"/>
              <w:right w:val="nil"/>
            </w:tcBorders>
          </w:tcPr>
          <w:p w14:paraId="7713B1C0" w14:textId="7A82A614" w:rsidR="00A539C8" w:rsidRPr="008C0556" w:rsidRDefault="00A539C8" w:rsidP="00A539C8">
            <w:pPr>
              <w:jc w:val="right"/>
              <w:rPr>
                <w:rFonts w:asciiTheme="majorHAnsi" w:hAnsiTheme="majorHAnsi" w:cstheme="majorHAnsi"/>
                <w:sz w:val="22"/>
                <w:lang w:val="de-DE"/>
              </w:rPr>
            </w:pPr>
            <w:r w:rsidRPr="00ED0588">
              <w:t>65%</w:t>
            </w:r>
          </w:p>
        </w:tc>
      </w:tr>
    </w:tbl>
    <w:p w14:paraId="6573D726" w14:textId="0CA5063C" w:rsidR="00EF7BFD" w:rsidRPr="008C0556" w:rsidRDefault="00A539C8" w:rsidP="00EF7BFD">
      <w:pPr>
        <w:rPr>
          <w:rFonts w:asciiTheme="majorHAnsi" w:hAnsiTheme="majorHAnsi" w:cstheme="majorHAnsi"/>
          <w:lang w:val="de-DE"/>
        </w:rPr>
      </w:pPr>
      <w:r w:rsidRPr="00A539C8">
        <w:rPr>
          <w:rFonts w:asciiTheme="majorHAnsi" w:hAnsiTheme="majorHAnsi" w:cstheme="majorHAnsi"/>
          <w:sz w:val="20"/>
          <w:szCs w:val="20"/>
          <w:lang w:val="de-DE"/>
        </w:rPr>
        <w:t>Note: Values in square brackets [] are standard errors. ***, **, and * indicate statistical significance at the 1%, 5%, and 10% levels, respectively.</w:t>
      </w:r>
    </w:p>
    <w:p w14:paraId="2811A7B2" w14:textId="77777777" w:rsidR="00EF7BFD" w:rsidRPr="008C0556" w:rsidRDefault="00EF7BFD" w:rsidP="00EF7BFD">
      <w:pPr>
        <w:rPr>
          <w:rFonts w:asciiTheme="majorHAnsi" w:hAnsiTheme="majorHAnsi" w:cstheme="majorHAnsi"/>
          <w:lang w:val="de-DE"/>
        </w:rPr>
        <w:sectPr w:rsidR="00EF7BFD" w:rsidRPr="008C0556" w:rsidSect="003B7725">
          <w:endnotePr>
            <w:numFmt w:val="decimal"/>
          </w:endnotePr>
          <w:pgSz w:w="16838" w:h="11906" w:orient="landscape"/>
          <w:pgMar w:top="1440" w:right="1440" w:bottom="1440" w:left="1440" w:header="709" w:footer="709" w:gutter="0"/>
          <w:cols w:space="708"/>
          <w:docGrid w:linePitch="360"/>
        </w:sectPr>
      </w:pPr>
    </w:p>
    <w:p w14:paraId="09DF4683" w14:textId="77777777" w:rsidR="006E363F" w:rsidRPr="006E363F" w:rsidRDefault="006E363F" w:rsidP="003E57BB">
      <w:pPr>
        <w:spacing w:before="120" w:after="120" w:line="288" w:lineRule="auto"/>
        <w:rPr>
          <w:rFonts w:asciiTheme="majorHAnsi" w:hAnsiTheme="majorHAnsi" w:cstheme="majorHAnsi"/>
          <w:szCs w:val="28"/>
          <w:lang w:val="de-DE"/>
        </w:rPr>
      </w:pPr>
      <w:r w:rsidRPr="006E363F">
        <w:rPr>
          <w:rFonts w:asciiTheme="majorHAnsi" w:hAnsiTheme="majorHAnsi" w:cstheme="majorHAnsi"/>
          <w:szCs w:val="28"/>
          <w:lang w:val="de-DE"/>
        </w:rPr>
        <w:lastRenderedPageBreak/>
        <w:t>In the models, gender and age do not show a significant impact on the income of ethnic minority groups in general, nor in the separate models for the Hmong and Tay groups. However, among other demographic variables, widowed respondents have significantly lower income compared to married respondents, with statistical significance at the 1% level.</w:t>
      </w:r>
    </w:p>
    <w:p w14:paraId="1628752A" w14:textId="77777777" w:rsidR="006E363F" w:rsidRPr="006E363F" w:rsidRDefault="006E363F" w:rsidP="003E57BB">
      <w:pPr>
        <w:spacing w:before="120" w:after="120" w:line="288" w:lineRule="auto"/>
        <w:rPr>
          <w:rFonts w:asciiTheme="majorHAnsi" w:hAnsiTheme="majorHAnsi" w:cstheme="majorHAnsi"/>
          <w:szCs w:val="28"/>
          <w:lang w:val="de-DE"/>
        </w:rPr>
      </w:pPr>
      <w:r w:rsidRPr="006E363F">
        <w:rPr>
          <w:rFonts w:asciiTheme="majorHAnsi" w:hAnsiTheme="majorHAnsi" w:cstheme="majorHAnsi"/>
          <w:szCs w:val="28"/>
          <w:lang w:val="de-DE"/>
        </w:rPr>
        <w:t>Next, education is generally considered a factor influencing respondents’ income. However, regression results indicate that there is no statistically significant evidence to suggest that higher educational attainment corresponds to higher income. On the other hand, a higher living standard appears to facilitate higher income, as individuals with better economic conditions have greater potential in terms of capital and material resources. This effect is statistically significant at the 1% level for the Hmong group and at the 10% level for the Tay group (see Model 1, Column 5).</w:t>
      </w:r>
    </w:p>
    <w:p w14:paraId="13D2EAF7" w14:textId="713C6FD4" w:rsidR="006E363F" w:rsidRPr="006E363F" w:rsidRDefault="006E363F" w:rsidP="003E57BB">
      <w:pPr>
        <w:spacing w:before="120" w:after="120" w:line="288" w:lineRule="auto"/>
        <w:rPr>
          <w:rFonts w:asciiTheme="majorHAnsi" w:hAnsiTheme="majorHAnsi" w:cstheme="majorHAnsi"/>
          <w:szCs w:val="28"/>
          <w:lang w:val="de-DE"/>
        </w:rPr>
      </w:pPr>
      <w:r w:rsidRPr="006E363F">
        <w:rPr>
          <w:rFonts w:asciiTheme="majorHAnsi" w:hAnsiTheme="majorHAnsi" w:cstheme="majorHAnsi"/>
          <w:szCs w:val="28"/>
          <w:lang w:val="de-DE"/>
        </w:rPr>
        <w:t>Cultivated land area serves as an indirect measure of capability that can affect income outcomes. As expected, respondents with larger land holdings tend to earn higher income, though this effect is observed only in the Tay group, with statistical significance at the 5% level. In terms of capability factors, language proficiency also plays a role. Consistent with expectations, respondents who can speak both the national language and foreign languages earn higher income than those who speak only their ethnic language, with high statistical significance across all three models, particularly in the Tay group.</w:t>
      </w:r>
      <w:r w:rsidR="00B907C7">
        <w:rPr>
          <w:rFonts w:asciiTheme="majorHAnsi" w:hAnsiTheme="majorHAnsi" w:cstheme="majorHAnsi"/>
          <w:szCs w:val="28"/>
          <w:lang w:val="de-DE"/>
        </w:rPr>
        <w:t xml:space="preserve"> </w:t>
      </w:r>
      <w:r w:rsidRPr="006E363F">
        <w:rPr>
          <w:rFonts w:asciiTheme="majorHAnsi" w:hAnsiTheme="majorHAnsi" w:cstheme="majorHAnsi"/>
          <w:szCs w:val="28"/>
          <w:lang w:val="de-DE"/>
        </w:rPr>
        <w:t>Effectiveness-related factors, including whether respondents are consulted in work-related decisions and their independence in work, show a positive impact on current income for both the overall model and the separate models for the two ethnic groups, with statistical significance at the 10% level. However, work independence alone does not appear to significantly affect income.</w:t>
      </w:r>
      <w:r w:rsidR="00D52EDD">
        <w:rPr>
          <w:rFonts w:asciiTheme="majorHAnsi" w:hAnsiTheme="majorHAnsi" w:cstheme="majorHAnsi"/>
          <w:szCs w:val="28"/>
          <w:lang w:val="de-DE"/>
        </w:rPr>
        <w:t xml:space="preserve"> </w:t>
      </w:r>
      <w:r w:rsidRPr="006E363F">
        <w:rPr>
          <w:rFonts w:asciiTheme="majorHAnsi" w:hAnsiTheme="majorHAnsi" w:cstheme="majorHAnsi"/>
          <w:szCs w:val="28"/>
          <w:lang w:val="de-DE"/>
        </w:rPr>
        <w:t>An important finding is that the longer respondents remain in their current job, the lower their income, across all three models, with high statistical significance at the 1% level. This negative effect does not differ between the Hmong and Tay groups, indicating that longer tenure in a job corresponds to reduced income.</w:t>
      </w:r>
    </w:p>
    <w:p w14:paraId="37CDE086" w14:textId="3A455C74" w:rsidR="0066366A" w:rsidRPr="003E57BB" w:rsidRDefault="006E363F" w:rsidP="003E57BB">
      <w:pPr>
        <w:spacing w:before="120" w:after="120" w:line="288" w:lineRule="auto"/>
        <w:rPr>
          <w:rFonts w:asciiTheme="majorHAnsi" w:hAnsiTheme="majorHAnsi" w:cstheme="majorHAnsi"/>
          <w:szCs w:val="28"/>
          <w:lang w:val="de-DE"/>
        </w:rPr>
      </w:pPr>
      <w:r w:rsidRPr="006E363F">
        <w:rPr>
          <w:rFonts w:asciiTheme="majorHAnsi" w:hAnsiTheme="majorHAnsi" w:cstheme="majorHAnsi"/>
          <w:szCs w:val="28"/>
          <w:lang w:val="de-DE"/>
        </w:rPr>
        <w:t>Finally, from a statistical perspective, all models report high F-statistics and R-squared values, indicating a good fit and reliability of the selected factors. This supports the validity of the conclusions drawn from the statistical hypotheses.</w:t>
      </w:r>
    </w:p>
    <w:p w14:paraId="50956541" w14:textId="77777777" w:rsidR="00D52EDD" w:rsidRDefault="00D52EDD" w:rsidP="0008539E">
      <w:pPr>
        <w:spacing w:line="480" w:lineRule="auto"/>
        <w:rPr>
          <w:rFonts w:asciiTheme="majorHAnsi" w:hAnsiTheme="majorHAnsi" w:cstheme="majorHAnsi"/>
          <w:bCs/>
          <w:szCs w:val="28"/>
          <w:lang w:val="de-DE"/>
        </w:rPr>
      </w:pPr>
    </w:p>
    <w:p w14:paraId="0053B5C3" w14:textId="6E7D1B83" w:rsidR="00D52EDD" w:rsidRPr="003E57BB" w:rsidRDefault="00D52EDD" w:rsidP="0008539E">
      <w:pPr>
        <w:spacing w:line="480" w:lineRule="auto"/>
        <w:rPr>
          <w:rFonts w:asciiTheme="majorHAnsi" w:hAnsiTheme="majorHAnsi" w:cstheme="majorHAnsi"/>
          <w:b/>
          <w:szCs w:val="28"/>
          <w:lang w:val="de-DE"/>
        </w:rPr>
      </w:pPr>
      <w:r w:rsidRPr="003E57BB">
        <w:rPr>
          <w:rFonts w:asciiTheme="majorHAnsi" w:hAnsiTheme="majorHAnsi" w:cstheme="majorHAnsi"/>
          <w:b/>
          <w:szCs w:val="28"/>
          <w:lang w:val="de-DE"/>
        </w:rPr>
        <w:lastRenderedPageBreak/>
        <w:t>5. DISCUSSION</w:t>
      </w:r>
    </w:p>
    <w:p w14:paraId="06F73223" w14:textId="6A3E0A47"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The findings of this study provide a nuanced understanding of the economic security landscape among the Tay and Hmong communities in Ha Giang, Vietnam. By examining factors influencing household income through the lenses of capability, efficiency, and sustainability, our analysis reveals both opportunities and structural constraints that shape livelihood outcomes in this culturally diverse region. The strong positive relationship between language proficiency (national and foreign languages) and income underscores the critical importance of communicative capability in economic advancement. This finding aligns with recent research highlighting that language skills serve as “linguistic capital” enabling ethnic minority populations to access higher-value employment opportunities in emerging tourism markets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{"citationID":"oAzn1Nnv","properties":{"formattedCitation":"(Nguyen et al., 2024)","plainCitation":"(Nguyen et al., 2024)","noteIndex":0},"citationItems":[{"id":"McZIHyXX/fr1KnmWO","uris":["http://zotero.org/users/2126705/items/B24QVW33"],"itemData":{"id":399,"type":"article-journal","abstract":"Host-tourist interaction is a core attraction of ethnic tourism. Yet both parties may confront challenges in such interactions because of different cultural backgrounds. This study aims to investigate host-tourist interaction issues in Vietnam’s Central Highlands by adopting a qualitative approach wherein 31 semi-structured interviews were conducted with villagers. Results find that villagers interacted with domestic tourists mostly in private houses, tourist attractions and facilities, and on tours. In such settings, the content of interactions varied from low to high intensity. Derived from the Coordinated Management of Meaning (CMM) theory [Pearce, W. B., &amp; Cronen, V. E. (1980). Communication action and meaning. Praeger], verbal (language) and non-verbal behaviour and cultural patterns were the greatest interaction difficulties. While interaction difficulties occurred across different settings, higher intensity interactions resulted in more positive outcomes. This study enriches the existing knowledge on interaction between ethnic hosts and domestic tourists in the intra-national context. The interpretive theoretical and methodological utility of CMM provided insight into interaction difficulties, and opportunities to facilitate positive interactions in ethnic tourism development. Further implications for villagers, tourists, local policymakers, and tour operators were suggested to build long-term sustainability of the host-tourist relationship in the Central Highlands.","container-title":"Journal of Heritage Tourism","DOI":"10.1080/1743873X.2023.2259512","ISSN":"1743-873X","issue":"2","note":"publisher: Routledge\n_eprint: https://doi.org/10.1080/1743873X.2023.2259512","page":"263-286","source":"Taylor and Francis+NEJM","title":"Let’s listen: the voices of ethnic villagers in identifying host-tourist interaction issues in the Central Highlands, Vietnam","title-short":"Let’s listen","volume":"19","author":[{"family":"Nguyen","given":"Kieu T.T."},{"family":"Murphy","given":"Laurie"},{"family":"Chen","given":"Tingzhen"},{"family":"Pearce","given":"Philip L."}],"issued":{"date-parts":[["2024",3,3]]}}}],"schema":"https://github.com/citation-style-language/schema/raw/master/csl-citation.json"}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(Nguyen et al., 2024)</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In the context of Ha Giang's growing tourism sector, proficiency in Vietnamese and foreign languages allows direct engagement with tourists, creating opportunities for homestay operations, guided tours, and handicraft marketing that generate substantially higher incomes than traditional agriculture.</w:t>
      </w:r>
    </w:p>
    <w:p w14:paraId="544B24F5" w14:textId="04346D17"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The positive correlation between workplace consultation and income reveals the economic value of participatory decision-making. This finding challenges traditional top-down development approaches and supports the growing literature on inclusive governance in sustainable development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{"citationID":"KVmsxVVR","properties":{"formattedCitation":"(Schugurensky &amp; Mook, 2024)","plainCitation":"(Schugurensky &amp; Mook, 2024)","noteIndex":0},"citationItems":[{"id":"McZIHyXX/RNeLCb0w","uris":["http://zotero.org/users/2126705/items/MKSPZIKW"],"itemData":{"id":401,"type":"article-journal","container-title":"Local Development &amp; Society","DOI":"10.1080/26883597.2024.2391664","ISSN":"2688-3597","issue":"3","note":"publisher: Routledge\n_eprint: https://doi.org/10.1080/26883597.2024.2391664","page":"433-445","source":"Taylor and Francis+NEJM","title":"Participatory budgeting and local development: Impacts, challenges, and prospects","title-short":"Participatory budgeting and local development","volume":"5","author":[{"family":"Schugurensky","given":"Daniel"},{"family":"Mook","given":"Laurie"}],"issued":{"date-parts":[["2024",9,1]]}}}],"schema":"https://github.com/citation-style-language/schema/raw/master/csl-citation.json"}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(Schugurensky &amp; Mook, 2024)</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When ethnic minority workers are consulted in decisions affecting their work, they likely contribute valuable local knowledge that improves operational efficiency and service quality, ultimately leading to better economic outcomes for both enterprises and workers.</w:t>
      </w:r>
    </w:p>
    <w:p w14:paraId="61D5A657" w14:textId="45C7DC7C"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The counterintuitive finding that longer job tenure correlates with lower income exposes significant structural constraints within the local economy. This “tenure paradox” suggests that many workers remain trapped in low-skill, low-wage positions without opportunities for advancement or skill development. This pattern reflects what scholars have termed “precarity persistence” in ethnic minority livelihoods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{"citationID":"noHgho5o","properties":{"formattedCitation":"(Burau &amp; Nguyen, n.d.)","plainCitation":"(Burau &amp; Nguyen, n.d.)","noteIndex":0},"citationItems":[{"id":"McZIHyXX/4rSHuJwf","uris":["http://zotero.org/users/2126705/items/JR9UXUEC"],"itemData":{"id":403,"type":"article-journal","abstract":"Vietnam has achieved remarkable progress in reducing poverty over the last decades. However, households mainly engaged in agriculture, ethnic minorities, and households in remote areas are still more likely to be poor. Our paper assesses whether poverty can be expected to be persistent for certain types of households in rural areas. We first estimate the asset-based income to describe structural poverty and find that the latter is declining overall, consistent with country-wide trends on income and multidimensional poverty reduction. Second, based on the asset-based income as proxy for assets, we estimate the asset growth path for ethnic minority and majority households by non-parametric and parametric approaches. We find no signs of a general multiple equilibria poverty trap as all households, when considered jointly, converge to levels of welfare above the poverty line. However, the results of an unconditional quantile regression indicate that a large fraction of ethnic minority households converges to welfare levels below the poverty line. Our results point to the need for improvements in the remote areas inhabited by these households, enabling them to make full use of their available labour and benefit more strongly from education.","container-title":"The Journal of Development Studies","DOI":"10.1080/00220388.2025.2489563","ISSN":"0022-0388","issue":"0","note":"publisher: Routledge\n_eprint: https://doi.org/10.1080/00220388.2025.2489563","page":"1-21","source":"Taylor and Francis+NEJM","title":"Persistent Poverty in Rural Vietnam: Differential Asset Dynamics and the Role of Ethnic Minorities","title-short":"Persistent Poverty in Rural Vietnam","volume":"0","author":[{"family":"Burau","given":"Oliver"},{"family":"Nguyen","given":"Trung Thanh"}]}}],"schema":"https://github.com/citation-style-language/schema/raw/master/csl-citation.json"} </w:instrText>
      </w:r>
      <w:r w:rsidRPr="003E57BB">
        <w:rPr>
          <w:rFonts w:asciiTheme="majorHAnsi" w:hAnsiTheme="majorHAnsi" w:cstheme="majorHAnsi"/>
          <w:szCs w:val="28"/>
          <w:lang w:val="de-DE"/>
        </w:rPr>
        <w:fldChar w:fldCharType="separate"/>
      </w:r>
      <w:r w:rsidR="00646D01">
        <w:rPr>
          <w:rFonts w:asciiTheme="majorHAnsi" w:hAnsiTheme="majorHAnsi" w:cstheme="majorHAnsi"/>
          <w:szCs w:val="28"/>
          <w:lang w:val="de-DE"/>
        </w:rPr>
        <w:t>(Burau &amp; Nguyen, n.d.)</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where experienced workers face diminishing returns due to the absence of career ladders, training opportunities, and economic diversification in rural areas.</w:t>
      </w:r>
      <w:r w:rsidR="00B907C7" w:rsidRPr="003E57BB">
        <w:rPr>
          <w:rFonts w:asciiTheme="majorHAnsi" w:hAnsiTheme="majorHAnsi" w:cstheme="majorHAnsi"/>
          <w:szCs w:val="28"/>
          <w:lang w:val="de-DE"/>
        </w:rPr>
        <w:t xml:space="preserve"> </w:t>
      </w:r>
    </w:p>
    <w:p w14:paraId="5C5B418D" w14:textId="40B31B30"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 xml:space="preserve">The divergent impact of land ownership between Tay and Hmong communities highlights how cultural and historical factors shape economic outcomes. While </w:t>
      </w:r>
      <w:r w:rsidRPr="003E57BB">
        <w:rPr>
          <w:rFonts w:asciiTheme="majorHAnsi" w:hAnsiTheme="majorHAnsi" w:cstheme="majorHAnsi"/>
          <w:szCs w:val="28"/>
          <w:lang w:val="de-DE"/>
        </w:rPr>
        <w:lastRenderedPageBreak/>
        <w:t xml:space="preserve">land represents significant potential capital, its productive utilization depends on complementary resources including market access, agricultural technology, and financial services. The Tay's greater success in converting land into income may reflect historical advantages in land quality, location, and social networks that facilitate market access </w:t>
      </w:r>
      <w:r w:rsidRPr="003E57BB">
        <w:rPr>
          <w:rFonts w:asciiTheme="majorHAnsi" w:hAnsiTheme="majorHAnsi" w:cstheme="majorHAnsi"/>
          <w:szCs w:val="28"/>
          <w:lang w:val="de-DE"/>
        </w:rPr>
        <w:fldChar w:fldCharType="begin"/>
      </w:r>
      <w:r w:rsidR="00646D01">
        <w:rPr>
          <w:rFonts w:asciiTheme="majorHAnsi" w:hAnsiTheme="majorHAnsi" w:cstheme="majorHAnsi"/>
          <w:szCs w:val="28"/>
          <w:lang w:val="de-DE"/>
        </w:rPr>
        <w:instrText xml:space="preserve"> ADDIN ZOTERO_ITEM CSL_CITATION {"citationID":"HvEtXPZr","properties":{"formattedCitation":"(Nguyen-Anh et al., 2024)","plainCitation":"(Nguyen-Anh et al., 2024)","noteIndex":0},"citationItems":[{"id":"McZIHyXX/p0aUU0Cj","uris":["http://zotero.org/users/2126705/items/KDM3BLKB"],"itemData":{"id":405,"type":"article-journal","abstract":"This paper examines factors influencing agricultural land-use efficiency among 35 ethnic minority groups in Vietnam during the 2010–2018 period. A hybrid approach comprising the Difference-in-Difference model with Propensity Score Matching (DID_PSM) is adopted to examine the effect of different land sizes, land elevations, and land tenure on land-use efficiency. The results show that: (1) land size and agricultural production form an ‘U-shaped’ relationship; (2) farming on high land decreases efficiency by around 7.7%–8.0%; (3) farmers purchasing or hiring land in long-term are 7.3%–8.2% more efficient. The paper also discusses typical land characteristics of mountainous areas including steep and fragmentation related to the three comparing factors. From these results, implications are made for Vietnamese authorities about ‘land accumulation’ policies and other ‘farming on elevation’ techniques.","container-title":"Journal of the Asia Pacific Economy","DOI":"10.1080/13547860.2022.2044658","ISSN":"1354-7860","issue":"2","note":"publisher: Routledge\n_eprint: https://doi.org/10.1080/13547860.2022.2044658","page":"506-524","source":"Taylor and Francis+NEJM","title":"Drivers of land use efficiency among ethnic minority groups in Vietnam: a longitudinal study","title-short":"Drivers of land use efficiency among ethnic minority groups in Vietnam","volume":"29","author":[{"family":"Nguyen-Anh","given":"Tuan"},{"family":"Hoang-Duc","given":"Chinh"},{"family":"Le-Ngoc","given":"Anh"},{"family":"Nguyen-An","given":"Thinh"}],"issued":{"date-parts":[["2024",4,2]]}}}],"schema":"https://github.com/citation-style-language/schema/raw/master/csl-citation.json"} </w:instrText>
      </w:r>
      <w:r w:rsidRPr="003E57BB">
        <w:rPr>
          <w:rFonts w:asciiTheme="majorHAnsi" w:hAnsiTheme="majorHAnsi" w:cstheme="majorHAnsi"/>
          <w:szCs w:val="28"/>
          <w:lang w:val="de-DE"/>
        </w:rPr>
        <w:fldChar w:fldCharType="separate"/>
      </w:r>
      <w:r w:rsidRPr="003E57BB">
        <w:rPr>
          <w:rFonts w:asciiTheme="majorHAnsi" w:hAnsiTheme="majorHAnsi" w:cstheme="majorHAnsi"/>
          <w:szCs w:val="28"/>
          <w:lang w:val="de-DE"/>
        </w:rPr>
        <w:t>(Nguyen-Anh et al., 2024)</w:t>
      </w:r>
      <w:r w:rsidRPr="003E57BB">
        <w:rPr>
          <w:rFonts w:asciiTheme="majorHAnsi" w:hAnsiTheme="majorHAnsi" w:cstheme="majorHAnsi"/>
          <w:szCs w:val="28"/>
          <w:lang w:val="de-DE"/>
        </w:rPr>
        <w:fldChar w:fldCharType="end"/>
      </w:r>
      <w:r w:rsidRPr="003E57BB">
        <w:rPr>
          <w:rFonts w:asciiTheme="majorHAnsi" w:hAnsiTheme="majorHAnsi" w:cstheme="majorHAnsi"/>
          <w:szCs w:val="28"/>
          <w:lang w:val="de-DE"/>
        </w:rPr>
        <w:t>, factors that deserve further ethnographic investigation.</w:t>
      </w:r>
    </w:p>
    <w:p w14:paraId="33EEB848" w14:textId="77777777" w:rsidR="00556B67" w:rsidRPr="003E57BB" w:rsidRDefault="00556B67"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These findings have profound implications for sustainable development in ethnic minority regions. First, they challenge the assumption that asset ownership automatically translates into sustainable livelihoods. Second, they highlight the need for development strategies that address both individual capabilities and structural barriers. Third, they suggest that environmental sustainability must be paired with economic mobility to ensure long-term community resilience in fragile mountain ecosystems.</w:t>
      </w:r>
    </w:p>
    <w:p w14:paraId="30497AC0" w14:textId="7907719B" w:rsidR="00D52EDD" w:rsidRPr="00D52EDD" w:rsidRDefault="001B0E21" w:rsidP="003E57BB">
      <w:pPr>
        <w:spacing w:before="120" w:after="120" w:line="288" w:lineRule="auto"/>
        <w:rPr>
          <w:rFonts w:asciiTheme="majorHAnsi" w:hAnsiTheme="majorHAnsi" w:cstheme="majorHAnsi"/>
          <w:bCs/>
          <w:szCs w:val="28"/>
          <w:lang w:val="de-DE"/>
        </w:rPr>
      </w:pPr>
      <w:r>
        <w:rPr>
          <w:rFonts w:asciiTheme="majorHAnsi" w:hAnsiTheme="majorHAnsi" w:cstheme="majorHAnsi"/>
          <w:bCs/>
          <w:szCs w:val="28"/>
          <w:lang w:val="de-DE"/>
        </w:rPr>
        <w:t xml:space="preserve">6. </w:t>
      </w:r>
      <w:r w:rsidR="00D52EDD" w:rsidRPr="00D52EDD">
        <w:rPr>
          <w:rFonts w:asciiTheme="majorHAnsi" w:hAnsiTheme="majorHAnsi" w:cstheme="majorHAnsi"/>
          <w:bCs/>
          <w:szCs w:val="28"/>
          <w:lang w:val="de-DE"/>
        </w:rPr>
        <w:t>CONCLUSION</w:t>
      </w:r>
    </w:p>
    <w:p w14:paraId="0DF6E455" w14:textId="77777777"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This study has examined the complex determinants of income among Tay and Hmong communities in northern Vietnam, offering important insights for promoting economic security through sustainable development frameworks. Our analysis demonstrates that sustainable livelihoods require attention to multiple dimensions of well-being—capabilities, efficiency, and sustainability—that together shape economic outcomes in ethnic minority regions.</w:t>
      </w:r>
    </w:p>
    <w:p w14:paraId="110E80CA" w14:textId="669E5632"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Theoretical Contributions</w:t>
      </w:r>
    </w:p>
    <w:p w14:paraId="746F77A8" w14:textId="77777777"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The research contributes to theoretical understanding in several ways. First, it provides empirical support for the capability approach in development economics, demonstrating how specific capabilities (particularly language skills) function as mechanisms for economic advancement. Second, it extends our understanding of sustainability in mountain development contexts, showing how environmental, economic, and social dimensions intersect to create or constrain opportunities. Third, it offers a nuanced analysis of how ethnic identity interacts with economic structures to produce differential outcomes even within similar geographic contexts.</w:t>
      </w:r>
    </w:p>
    <w:p w14:paraId="21523F82" w14:textId="635D970D"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Policy Implications</w:t>
      </w:r>
    </w:p>
    <w:p w14:paraId="3A605DCC" w14:textId="5F7F0081"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Based on our findings, we propose several policy recommendations</w:t>
      </w:r>
      <w:r w:rsidR="00971DEE"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Linguistic Investment: Develop targeted language programs that build proficiency in both Vietnamese and relevant foreign languages, particularly focused on tourism-</w:t>
      </w:r>
      <w:r w:rsidRPr="003E57BB">
        <w:rPr>
          <w:rFonts w:asciiTheme="majorHAnsi" w:hAnsiTheme="majorHAnsi" w:cstheme="majorHAnsi"/>
          <w:szCs w:val="28"/>
          <w:lang w:val="de-DE"/>
        </w:rPr>
        <w:lastRenderedPageBreak/>
        <w:t>related vocabulary and communication skills.</w:t>
      </w:r>
      <w:r w:rsidR="00971DEE"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Participatory Governance: Create mechanisms for meaningful worker participation in business decisions, potentially through cooperatives, worker councils, or community-based enterprises that empower local voices.</w:t>
      </w:r>
    </w:p>
    <w:p w14:paraId="68A077DD" w14:textId="7CE48438"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Skills Mobility Pathways: Address the tenure paradox through programs that provide continuous skill upgrading, recognize traditional knowledge, and create bridges between informal experience and formal qualifications.</w:t>
      </w:r>
      <w:r w:rsidR="00971DEE" w:rsidRPr="003E57BB">
        <w:rPr>
          <w:rFonts w:asciiTheme="majorHAnsi" w:hAnsiTheme="majorHAnsi" w:cstheme="majorHAnsi"/>
          <w:szCs w:val="28"/>
          <w:lang w:val="de-DE"/>
        </w:rPr>
        <w:t xml:space="preserve"> </w:t>
      </w:r>
      <w:r w:rsidRPr="003E57BB">
        <w:rPr>
          <w:rFonts w:asciiTheme="majorHAnsi" w:hAnsiTheme="majorHAnsi" w:cstheme="majorHAnsi"/>
          <w:szCs w:val="28"/>
          <w:lang w:val="de-DE"/>
        </w:rPr>
        <w:t>Differentiated Support: Tailor agricultural and land-use policies to account for differential access to resources and markets among ethnic groups, ensuring that development initiatives do not inadvertently widen existing disparities.</w:t>
      </w:r>
    </w:p>
    <w:p w14:paraId="39A0086B" w14:textId="68EC3A44"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Limitations and Future Research</w:t>
      </w:r>
    </w:p>
    <w:p w14:paraId="4B6FD473" w14:textId="77777777"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This study has several limitations. The cross-sectional design limits causal inference, and the focus on two districts may affect generalizability. Future research should employ longitudinal methods to track livelihood trajectories over time and expand to include other ethnic groups and regions. Qualitative investigations would help illuminate the mechanisms behind the statistical patterns observed, particularly regarding how cultural factors influence economic decision-making.</w:t>
      </w:r>
    </w:p>
    <w:p w14:paraId="64CED98E" w14:textId="77777777" w:rsidR="00D52EDD" w:rsidRPr="003E57BB" w:rsidRDefault="00D52EDD" w:rsidP="003E57BB">
      <w:pPr>
        <w:spacing w:before="120" w:after="120" w:line="288" w:lineRule="auto"/>
        <w:rPr>
          <w:rFonts w:asciiTheme="majorHAnsi" w:hAnsiTheme="majorHAnsi" w:cstheme="majorHAnsi"/>
          <w:szCs w:val="28"/>
          <w:lang w:val="de-DE"/>
        </w:rPr>
      </w:pPr>
      <w:r w:rsidRPr="003E57BB">
        <w:rPr>
          <w:rFonts w:asciiTheme="majorHAnsi" w:hAnsiTheme="majorHAnsi" w:cstheme="majorHAnsi"/>
          <w:szCs w:val="28"/>
          <w:lang w:val="de-DE"/>
        </w:rPr>
        <w:t>In conclusion, achieving sustainable economic security for ethnic minorities in Vietnam's northern highlands requires a multifaceted approach that strengthens human capabilities, creates inclusive economic institutions, and addresses the structural constraints that perpetuate poverty. By building on existing strengths while addressing systemic barriers, policymakers and communities can work together to create more equitable and sustainable livelihoods in this culturally rich and ecologically significant region.</w:t>
      </w:r>
    </w:p>
    <w:p w14:paraId="116C1E94" w14:textId="77777777" w:rsidR="007177BE" w:rsidRDefault="007177BE" w:rsidP="003E57BB">
      <w:pPr>
        <w:spacing w:before="120" w:after="120" w:line="288" w:lineRule="auto"/>
        <w:rPr>
          <w:rFonts w:asciiTheme="majorHAnsi" w:hAnsiTheme="majorHAnsi" w:cstheme="majorHAnsi"/>
          <w:bCs/>
          <w:szCs w:val="28"/>
          <w:lang w:val="de-DE"/>
        </w:rPr>
      </w:pPr>
    </w:p>
    <w:p w14:paraId="06E67F0D" w14:textId="77777777" w:rsidR="007177BE" w:rsidRDefault="007177BE" w:rsidP="003E57BB">
      <w:pPr>
        <w:spacing w:before="120" w:after="120" w:line="288" w:lineRule="auto"/>
        <w:rPr>
          <w:rFonts w:asciiTheme="majorHAnsi" w:hAnsiTheme="majorHAnsi" w:cstheme="majorHAnsi"/>
          <w:bCs/>
          <w:szCs w:val="28"/>
          <w:lang w:val="de-DE"/>
        </w:rPr>
      </w:pPr>
    </w:p>
    <w:p w14:paraId="38CECFFE" w14:textId="77777777" w:rsidR="007177BE" w:rsidRPr="007177BE" w:rsidRDefault="007177BE" w:rsidP="007177BE">
      <w:pPr>
        <w:spacing w:before="120" w:after="120" w:line="288" w:lineRule="auto"/>
        <w:rPr>
          <w:rFonts w:asciiTheme="majorHAnsi" w:hAnsiTheme="majorHAnsi" w:cstheme="majorHAnsi"/>
          <w:bCs/>
          <w:szCs w:val="28"/>
          <w:lang w:val="de-DE"/>
        </w:rPr>
      </w:pPr>
      <w:r w:rsidRPr="007177BE">
        <w:rPr>
          <w:rFonts w:asciiTheme="majorHAnsi" w:hAnsiTheme="majorHAnsi" w:cstheme="majorHAnsi"/>
          <w:bCs/>
          <w:szCs w:val="28"/>
          <w:lang w:val="de-DE"/>
        </w:rPr>
        <w:t>COMPETING INTERESTS DISCLAIMER:</w:t>
      </w:r>
    </w:p>
    <w:p w14:paraId="750F2C74" w14:textId="710E0E46" w:rsidR="007177BE" w:rsidRPr="008E374B" w:rsidRDefault="007177BE" w:rsidP="007177BE">
      <w:pPr>
        <w:spacing w:before="120" w:after="120" w:line="288" w:lineRule="auto"/>
        <w:rPr>
          <w:rFonts w:asciiTheme="majorHAnsi" w:hAnsiTheme="majorHAnsi" w:cstheme="majorHAnsi"/>
          <w:bCs/>
          <w:szCs w:val="28"/>
          <w:lang w:val="de-DE"/>
        </w:rPr>
      </w:pPr>
      <w:r w:rsidRPr="007177BE">
        <w:rPr>
          <w:rFonts w:asciiTheme="majorHAnsi" w:hAnsiTheme="majorHAnsi" w:cstheme="majorHAnsi"/>
          <w:bCs/>
          <w:szCs w:val="28"/>
          <w:lang w:val="de-DE"/>
        </w:rPr>
        <w:t>Authors have declared that they have no known competing financial interests OR non-financial interests OR personal relationships that could have appeared to influence the work reported in this paper.</w:t>
      </w:r>
    </w:p>
    <w:p w14:paraId="3B6E482F" w14:textId="77777777" w:rsidR="00F2281F" w:rsidRPr="00740879" w:rsidRDefault="00F2281F" w:rsidP="00F2281F">
      <w:pPr>
        <w:rPr>
          <w:highlight w:val="yellow"/>
        </w:rPr>
      </w:pPr>
      <w:r w:rsidRPr="00740879">
        <w:rPr>
          <w:highlight w:val="yellow"/>
        </w:rPr>
        <w:t>Disclaimer (Artificial intelligence)</w:t>
      </w:r>
    </w:p>
    <w:p w14:paraId="10D40A5E" w14:textId="77777777" w:rsidR="00F2281F" w:rsidRPr="00740879" w:rsidRDefault="00F2281F" w:rsidP="00F2281F">
      <w:pPr>
        <w:rPr>
          <w:highlight w:val="yellow"/>
        </w:rPr>
      </w:pPr>
      <w:r w:rsidRPr="00740879">
        <w:rPr>
          <w:highlight w:val="yellow"/>
        </w:rPr>
        <w:t xml:space="preserve">Option 1: </w:t>
      </w:r>
    </w:p>
    <w:p w14:paraId="319E8314" w14:textId="40A25A14" w:rsidR="00F2281F" w:rsidRPr="00740879" w:rsidRDefault="00F2281F" w:rsidP="00F2281F">
      <w:pPr>
        <w:rPr>
          <w:highlight w:val="yellow"/>
        </w:rPr>
      </w:pPr>
      <w:r w:rsidRPr="00740879">
        <w:rPr>
          <w:highlight w:val="yellow"/>
        </w:rPr>
        <w:lastRenderedPageBreak/>
        <w:t xml:space="preserve">Author hereby declare that NO generative AI technologies such as Large Language Models (ChatGPT, COPILOT, etc.) and text-to-image generators have been used during the writing or editing of this manuscript. </w:t>
      </w:r>
    </w:p>
    <w:p w14:paraId="5085327C" w14:textId="77777777" w:rsidR="008E374B" w:rsidRDefault="008E374B" w:rsidP="001B0E21">
      <w:pPr>
        <w:rPr>
          <w:rFonts w:asciiTheme="majorHAnsi" w:hAnsiTheme="majorHAnsi" w:cstheme="majorHAnsi"/>
          <w:lang w:val="de-DE"/>
        </w:rPr>
      </w:pPr>
    </w:p>
    <w:p w14:paraId="61969554" w14:textId="07666DF9" w:rsidR="004A7763" w:rsidRPr="004A7763" w:rsidRDefault="004A7763" w:rsidP="004A7763">
      <w:pPr>
        <w:rPr>
          <w:rFonts w:asciiTheme="majorHAnsi" w:hAnsiTheme="majorHAnsi" w:cstheme="majorHAnsi"/>
          <w:bCs/>
          <w:highlight w:val="yellow"/>
          <w:lang w:val="de-DE"/>
        </w:rPr>
      </w:pPr>
      <w:r w:rsidRPr="004A7763">
        <w:rPr>
          <w:rFonts w:asciiTheme="majorHAnsi" w:hAnsiTheme="majorHAnsi" w:cstheme="majorHAnsi"/>
          <w:bCs/>
          <w:highlight w:val="yellow"/>
          <w:lang w:val="de-DE"/>
        </w:rPr>
        <w:t>ACKNOWLE</w:t>
      </w:r>
      <w:r w:rsidR="00A97E8E">
        <w:rPr>
          <w:rFonts w:asciiTheme="majorHAnsi" w:hAnsiTheme="majorHAnsi" w:cstheme="majorHAnsi"/>
          <w:bCs/>
          <w:highlight w:val="yellow"/>
          <w:lang w:val="de-DE"/>
        </w:rPr>
        <w:t>D</w:t>
      </w:r>
      <w:r w:rsidRPr="004A7763">
        <w:rPr>
          <w:rFonts w:asciiTheme="majorHAnsi" w:hAnsiTheme="majorHAnsi" w:cstheme="majorHAnsi"/>
          <w:bCs/>
          <w:highlight w:val="yellow"/>
          <w:lang w:val="de-DE"/>
        </w:rPr>
        <w:t>GEMENT</w:t>
      </w:r>
    </w:p>
    <w:p w14:paraId="68EBAA3B" w14:textId="77777777" w:rsidR="004A7763" w:rsidRPr="004A7763" w:rsidRDefault="004A7763" w:rsidP="004A7763">
      <w:pPr>
        <w:rPr>
          <w:rFonts w:asciiTheme="majorHAnsi" w:hAnsiTheme="majorHAnsi" w:cstheme="majorHAnsi"/>
          <w:bCs/>
          <w:lang w:val="de-DE"/>
        </w:rPr>
      </w:pPr>
      <w:r w:rsidRPr="004A7763">
        <w:rPr>
          <w:rFonts w:asciiTheme="majorHAnsi" w:hAnsiTheme="majorHAnsi" w:cstheme="majorHAnsi"/>
          <w:highlight w:val="yellow"/>
          <w:lang w:val="de-DE"/>
        </w:rPr>
        <w:t>This paper is produced within a ministry-level research project entitled “Ensuring human security in Vietnam's land border areas contributes to socio-economic development and strengthens national security and political stability in the new</w:t>
      </w:r>
      <w:r w:rsidRPr="004A7763">
        <w:rPr>
          <w:rFonts w:asciiTheme="majorHAnsi" w:hAnsiTheme="majorHAnsi" w:cstheme="majorHAnsi"/>
          <w:bCs/>
          <w:highlight w:val="yellow"/>
          <w:lang w:val="de-DE"/>
        </w:rPr>
        <w:t xml:space="preserve"> context”, under the key ministry-level program “Comprehensive research on Vietnam’s land borders contributing to socio-economic development and security and political stability under the current conditions”, funded by the Vietnam Academy of Social Sciences.</w:t>
      </w:r>
    </w:p>
    <w:p w14:paraId="79C7574D" w14:textId="77777777" w:rsidR="004A7763" w:rsidRDefault="004A7763" w:rsidP="001B0E21">
      <w:pPr>
        <w:rPr>
          <w:rFonts w:asciiTheme="majorHAnsi" w:hAnsiTheme="majorHAnsi" w:cstheme="majorHAnsi"/>
          <w:lang w:val="de-DE"/>
        </w:rPr>
      </w:pPr>
    </w:p>
    <w:p w14:paraId="36FCD275" w14:textId="77777777" w:rsidR="004A7763" w:rsidRDefault="004A7763" w:rsidP="001B0E21">
      <w:pPr>
        <w:rPr>
          <w:rFonts w:asciiTheme="majorHAnsi" w:hAnsiTheme="majorHAnsi" w:cstheme="majorHAnsi"/>
          <w:b/>
          <w:bCs/>
          <w:lang w:val="de-DE"/>
        </w:rPr>
      </w:pPr>
    </w:p>
    <w:p w14:paraId="3531D737" w14:textId="570A08B4" w:rsidR="0095137B" w:rsidRPr="003E57BB" w:rsidRDefault="00D2634E" w:rsidP="001B0E21">
      <w:pPr>
        <w:rPr>
          <w:rFonts w:asciiTheme="majorHAnsi" w:hAnsiTheme="majorHAnsi" w:cstheme="majorHAnsi"/>
          <w:b/>
          <w:bCs/>
          <w:lang w:val="de-DE"/>
        </w:rPr>
      </w:pPr>
      <w:r w:rsidRPr="003E57BB">
        <w:rPr>
          <w:rFonts w:asciiTheme="majorHAnsi" w:hAnsiTheme="majorHAnsi" w:cstheme="majorHAnsi"/>
          <w:b/>
          <w:bCs/>
          <w:lang w:val="de-DE"/>
        </w:rPr>
        <w:t>REFERENCES</w:t>
      </w:r>
    </w:p>
    <w:p w14:paraId="46E44D4F" w14:textId="3F76A438" w:rsidR="0095137B" w:rsidRPr="008C0556" w:rsidRDefault="0095137B" w:rsidP="001B0E21">
      <w:pPr>
        <w:rPr>
          <w:rFonts w:asciiTheme="majorHAnsi" w:hAnsiTheme="majorHAnsi" w:cstheme="majorHAnsi"/>
          <w:lang w:val="de-DE"/>
        </w:rPr>
      </w:pPr>
    </w:p>
    <w:p w14:paraId="1E1462E1" w14:textId="77777777" w:rsidR="00646D01" w:rsidRPr="00646D01" w:rsidRDefault="0095137B" w:rsidP="00646D01">
      <w:pPr>
        <w:pStyle w:val="Bibliography"/>
        <w:rPr>
          <w:lang w:val="en-GB"/>
        </w:rPr>
      </w:pPr>
      <w:r w:rsidRPr="008C0556">
        <w:rPr>
          <w:rFonts w:asciiTheme="majorHAnsi" w:hAnsiTheme="majorHAnsi" w:cstheme="majorHAnsi"/>
          <w:lang w:val="de-DE"/>
        </w:rPr>
        <w:fldChar w:fldCharType="begin"/>
      </w:r>
      <w:r w:rsidR="00646D01">
        <w:rPr>
          <w:rFonts w:asciiTheme="majorHAnsi" w:hAnsiTheme="majorHAnsi" w:cstheme="majorHAnsi"/>
          <w:lang w:val="de-DE"/>
        </w:rPr>
        <w:instrText xml:space="preserve"> ADDIN ZOTERO_BIBL {"uncited":[],"omitted":[],"custom":[]} CSL_BIBLIOGRAPHY </w:instrText>
      </w:r>
      <w:r w:rsidRPr="008C0556">
        <w:rPr>
          <w:rFonts w:asciiTheme="majorHAnsi" w:hAnsiTheme="majorHAnsi" w:cstheme="majorHAnsi"/>
          <w:lang w:val="de-DE"/>
        </w:rPr>
        <w:fldChar w:fldCharType="separate"/>
      </w:r>
      <w:r w:rsidR="00646D01" w:rsidRPr="00646D01">
        <w:rPr>
          <w:lang w:val="en-GB"/>
        </w:rPr>
        <w:t xml:space="preserve">Ahmad, S., Sowgat, T., &amp; Wang, Y. P. (2025). Income, Employment, and Housing Inequalities in Asian and African Cities. In Y. P. Wang, K. Kintrea, D. Everatt, &amp; D. Kundu (Eds.), </w:t>
      </w:r>
      <w:r w:rsidR="00646D01" w:rsidRPr="00646D01">
        <w:rPr>
          <w:i/>
          <w:iCs/>
          <w:lang w:val="en-GB"/>
        </w:rPr>
        <w:t>New Drivers of Division: Urbanisation and Spatial Inequality in Africa and Asia</w:t>
      </w:r>
      <w:r w:rsidR="00646D01" w:rsidRPr="00646D01">
        <w:rPr>
          <w:lang w:val="en-GB"/>
        </w:rPr>
        <w:t xml:space="preserve"> (pp. 223–238). Springer Nature. https://doi.org/10.1007/978-981-96-5629-5_14</w:t>
      </w:r>
    </w:p>
    <w:p w14:paraId="0F2216FA" w14:textId="77777777" w:rsidR="00646D01" w:rsidRPr="00646D01" w:rsidRDefault="00646D01" w:rsidP="00646D01">
      <w:pPr>
        <w:pStyle w:val="Bibliography"/>
        <w:rPr>
          <w:lang w:val="en-GB"/>
        </w:rPr>
      </w:pPr>
      <w:r w:rsidRPr="00646D01">
        <w:rPr>
          <w:lang w:val="en-GB"/>
        </w:rPr>
        <w:t xml:space="preserve">Alesina, A., &amp; Zhuravskaya, E. (2011). Segregation and the Quality of Government in a Cross Section of Countries. </w:t>
      </w:r>
      <w:r w:rsidRPr="00646D01">
        <w:rPr>
          <w:i/>
          <w:iCs/>
          <w:lang w:val="en-GB"/>
        </w:rPr>
        <w:t>American Economic Review</w:t>
      </w:r>
      <w:r w:rsidRPr="00646D01">
        <w:rPr>
          <w:lang w:val="en-GB"/>
        </w:rPr>
        <w:t xml:space="preserve">, </w:t>
      </w:r>
      <w:r w:rsidRPr="00646D01">
        <w:rPr>
          <w:i/>
          <w:iCs/>
          <w:lang w:val="en-GB"/>
        </w:rPr>
        <w:t>101</w:t>
      </w:r>
      <w:r w:rsidRPr="00646D01">
        <w:rPr>
          <w:lang w:val="en-GB"/>
        </w:rPr>
        <w:t>(5), 1872–1911. https://doi.org/10.1257/aer.101.5.1872</w:t>
      </w:r>
    </w:p>
    <w:p w14:paraId="29D82201" w14:textId="77777777" w:rsidR="00646D01" w:rsidRPr="00646D01" w:rsidRDefault="00646D01" w:rsidP="00646D01">
      <w:pPr>
        <w:pStyle w:val="Bibliography"/>
        <w:rPr>
          <w:lang w:val="en-GB"/>
        </w:rPr>
      </w:pPr>
      <w:r w:rsidRPr="00646D01">
        <w:rPr>
          <w:lang w:val="en-GB"/>
        </w:rPr>
        <w:t xml:space="preserve">Awaworyi Churchill, S., &amp; Smyth, R. (2017). Ethnic Diversity and Poverty. </w:t>
      </w:r>
      <w:r w:rsidRPr="00646D01">
        <w:rPr>
          <w:i/>
          <w:iCs/>
          <w:lang w:val="en-GB"/>
        </w:rPr>
        <w:t>World Development</w:t>
      </w:r>
      <w:r w:rsidRPr="00646D01">
        <w:rPr>
          <w:lang w:val="en-GB"/>
        </w:rPr>
        <w:t xml:space="preserve">, </w:t>
      </w:r>
      <w:r w:rsidRPr="00646D01">
        <w:rPr>
          <w:i/>
          <w:iCs/>
          <w:lang w:val="en-GB"/>
        </w:rPr>
        <w:t>95</w:t>
      </w:r>
      <w:r w:rsidRPr="00646D01">
        <w:rPr>
          <w:lang w:val="en-GB"/>
        </w:rPr>
        <w:t>, 285–302. https://doi.org/10.1016/j.worlddev.2017.02.032</w:t>
      </w:r>
    </w:p>
    <w:p w14:paraId="639D4825" w14:textId="77777777" w:rsidR="00646D01" w:rsidRPr="00646D01" w:rsidRDefault="00646D01" w:rsidP="00646D01">
      <w:pPr>
        <w:pStyle w:val="Bibliography"/>
        <w:rPr>
          <w:lang w:val="en-GB"/>
        </w:rPr>
      </w:pPr>
      <w:r w:rsidRPr="00646D01">
        <w:rPr>
          <w:lang w:val="en-GB"/>
        </w:rPr>
        <w:t xml:space="preserve">Ayyash, M., Sek, S. K., &amp; Kole, A. (2025). Income inequality dynamics in ASEAN-5: A panel data approach using CS-ARDL to examine </w:t>
      </w:r>
      <w:r w:rsidRPr="00646D01">
        <w:rPr>
          <w:lang w:val="en-GB"/>
        </w:rPr>
        <w:lastRenderedPageBreak/>
        <w:t xml:space="preserve">macroeconomic factors. </w:t>
      </w:r>
      <w:r w:rsidRPr="00646D01">
        <w:rPr>
          <w:i/>
          <w:iCs/>
          <w:lang w:val="en-GB"/>
        </w:rPr>
        <w:t>Discover Sustainability</w:t>
      </w:r>
      <w:r w:rsidRPr="00646D01">
        <w:rPr>
          <w:lang w:val="en-GB"/>
        </w:rPr>
        <w:t xml:space="preserve">, </w:t>
      </w:r>
      <w:r w:rsidRPr="00646D01">
        <w:rPr>
          <w:i/>
          <w:iCs/>
          <w:lang w:val="en-GB"/>
        </w:rPr>
        <w:t>6</w:t>
      </w:r>
      <w:r w:rsidRPr="00646D01">
        <w:rPr>
          <w:lang w:val="en-GB"/>
        </w:rPr>
        <w:t>(1), 465. https://doi.org/10.1007/s43621-025-01068-1</w:t>
      </w:r>
    </w:p>
    <w:p w14:paraId="23E58DBB" w14:textId="77777777" w:rsidR="00646D01" w:rsidRPr="00646D01" w:rsidRDefault="00646D01" w:rsidP="00646D01">
      <w:pPr>
        <w:pStyle w:val="Bibliography"/>
        <w:rPr>
          <w:lang w:val="en-GB"/>
        </w:rPr>
      </w:pPr>
      <w:r w:rsidRPr="00646D01">
        <w:rPr>
          <w:lang w:val="en-GB"/>
        </w:rPr>
        <w:t xml:space="preserve">Bi, S. (2025). A Political Economy Analysis of Modern State Development in Southeast Asia. In G. Yang, J. Zhang, X. Xiong, &amp; L. Liu (Eds.), </w:t>
      </w:r>
      <w:r w:rsidRPr="00646D01">
        <w:rPr>
          <w:i/>
          <w:iCs/>
          <w:lang w:val="en-GB"/>
        </w:rPr>
        <w:t>Risks, Resilience and Interdependency: Developing Countries in the Age of Uncertainties</w:t>
      </w:r>
      <w:r w:rsidRPr="00646D01">
        <w:rPr>
          <w:lang w:val="en-GB"/>
        </w:rPr>
        <w:t xml:space="preserve"> (pp. 59–88). Springer Nature. https://doi.org/10.1007/978-981-96-7167-0_3</w:t>
      </w:r>
    </w:p>
    <w:p w14:paraId="387B140E" w14:textId="77777777" w:rsidR="00646D01" w:rsidRPr="00646D01" w:rsidRDefault="00646D01" w:rsidP="00646D01">
      <w:pPr>
        <w:pStyle w:val="Bibliography"/>
        <w:rPr>
          <w:lang w:val="en-GB"/>
        </w:rPr>
      </w:pPr>
      <w:r w:rsidRPr="00646D01">
        <w:rPr>
          <w:lang w:val="en-GB"/>
        </w:rPr>
        <w:t xml:space="preserve">Burau, O., &amp; Nguyen, T. T. (n.d.). Persistent Poverty in Rural Vietnam: Differential Asset Dynamics and the Role of Ethnic Minorities. </w:t>
      </w:r>
      <w:r w:rsidRPr="00646D01">
        <w:rPr>
          <w:i/>
          <w:iCs/>
          <w:lang w:val="en-GB"/>
        </w:rPr>
        <w:t>The Journal of Development Studies</w:t>
      </w:r>
      <w:r w:rsidRPr="00646D01">
        <w:rPr>
          <w:lang w:val="en-GB"/>
        </w:rPr>
        <w:t xml:space="preserve">, </w:t>
      </w:r>
      <w:r w:rsidRPr="00646D01">
        <w:rPr>
          <w:i/>
          <w:iCs/>
          <w:lang w:val="en-GB"/>
        </w:rPr>
        <w:t>0</w:t>
      </w:r>
      <w:r w:rsidRPr="00646D01">
        <w:rPr>
          <w:lang w:val="en-GB"/>
        </w:rPr>
        <w:t>(0), 1–21. https://doi.org/10.1080/00220388.2025.2489563</w:t>
      </w:r>
    </w:p>
    <w:p w14:paraId="64BD1DBF" w14:textId="77777777" w:rsidR="00646D01" w:rsidRPr="00646D01" w:rsidRDefault="00646D01" w:rsidP="00646D01">
      <w:pPr>
        <w:pStyle w:val="Bibliography"/>
        <w:rPr>
          <w:lang w:val="en-GB"/>
        </w:rPr>
      </w:pPr>
      <w:r w:rsidRPr="00646D01">
        <w:rPr>
          <w:lang w:val="en-GB"/>
        </w:rPr>
        <w:t xml:space="preserve">Dang, H.-A. H., Dhongde, S., Do, M. N. N., Nguyen, C. V., &amp; Pimhidzai, O. (n.d.). Rapid Economic Growth but Rising Poverty Segregation: Will Vietnam Meet the SDGs for Equitable Development? </w:t>
      </w:r>
      <w:r w:rsidRPr="00646D01">
        <w:rPr>
          <w:i/>
          <w:iCs/>
          <w:lang w:val="en-GB"/>
        </w:rPr>
        <w:t>Review of Development Economics</w:t>
      </w:r>
      <w:r w:rsidRPr="00646D01">
        <w:rPr>
          <w:lang w:val="en-GB"/>
        </w:rPr>
        <w:t xml:space="preserve">, </w:t>
      </w:r>
      <w:r w:rsidRPr="00646D01">
        <w:rPr>
          <w:i/>
          <w:iCs/>
          <w:lang w:val="en-GB"/>
        </w:rPr>
        <w:t>n/a</w:t>
      </w:r>
      <w:r w:rsidRPr="00646D01">
        <w:rPr>
          <w:lang w:val="en-GB"/>
        </w:rPr>
        <w:t>(n/a). https://doi.org/10.1111/rode.13175</w:t>
      </w:r>
    </w:p>
    <w:p w14:paraId="462B1F39" w14:textId="77777777" w:rsidR="00646D01" w:rsidRPr="00646D01" w:rsidRDefault="00646D01" w:rsidP="00646D01">
      <w:pPr>
        <w:pStyle w:val="Bibliography"/>
        <w:rPr>
          <w:lang w:val="en-GB"/>
        </w:rPr>
      </w:pPr>
      <w:r w:rsidRPr="00646D01">
        <w:rPr>
          <w:lang w:val="en-GB"/>
        </w:rPr>
        <w:t xml:space="preserve">Dechow, P. M., Hutton, A. P., Kim, J. H., &amp; Sloan, R. G. (2012). Detecting Earnings Management: A New Approach. </w:t>
      </w:r>
      <w:r w:rsidRPr="00646D01">
        <w:rPr>
          <w:i/>
          <w:iCs/>
          <w:lang w:val="en-GB"/>
        </w:rPr>
        <w:t>Journal of Accounting Research</w:t>
      </w:r>
      <w:r w:rsidRPr="00646D01">
        <w:rPr>
          <w:lang w:val="en-GB"/>
        </w:rPr>
        <w:t xml:space="preserve">, </w:t>
      </w:r>
      <w:r w:rsidRPr="00646D01">
        <w:rPr>
          <w:i/>
          <w:iCs/>
          <w:lang w:val="en-GB"/>
        </w:rPr>
        <w:t>50</w:t>
      </w:r>
      <w:r w:rsidRPr="00646D01">
        <w:rPr>
          <w:lang w:val="en-GB"/>
        </w:rPr>
        <w:t>(2), 275–334. https://doi.org/10.1111/j.1475-679X.2012.00449.x</w:t>
      </w:r>
    </w:p>
    <w:p w14:paraId="7F59AAB1" w14:textId="77777777" w:rsidR="00646D01" w:rsidRPr="00646D01" w:rsidRDefault="00646D01" w:rsidP="00646D01">
      <w:pPr>
        <w:pStyle w:val="Bibliography"/>
        <w:rPr>
          <w:lang w:val="en-GB"/>
        </w:rPr>
      </w:pPr>
      <w:r w:rsidRPr="00646D01">
        <w:rPr>
          <w:lang w:val="en-GB"/>
        </w:rPr>
        <w:t xml:space="preserve">Deutsch, J., Silber, J., Wan, G., &amp; Zhao, M. (2020). Asset indexes and the measurement of poverty, inequality and welfare in Southeast Asia. </w:t>
      </w:r>
      <w:r w:rsidRPr="00646D01">
        <w:rPr>
          <w:i/>
          <w:iCs/>
          <w:lang w:val="en-GB"/>
        </w:rPr>
        <w:t xml:space="preserve">Journal </w:t>
      </w:r>
      <w:r w:rsidRPr="00646D01">
        <w:rPr>
          <w:i/>
          <w:iCs/>
          <w:lang w:val="en-GB"/>
        </w:rPr>
        <w:lastRenderedPageBreak/>
        <w:t>of Asian Economics</w:t>
      </w:r>
      <w:r w:rsidRPr="00646D01">
        <w:rPr>
          <w:lang w:val="en-GB"/>
        </w:rPr>
        <w:t xml:space="preserve">, </w:t>
      </w:r>
      <w:r w:rsidRPr="00646D01">
        <w:rPr>
          <w:i/>
          <w:iCs/>
          <w:lang w:val="en-GB"/>
        </w:rPr>
        <w:t>70</w:t>
      </w:r>
      <w:r w:rsidRPr="00646D01">
        <w:rPr>
          <w:lang w:val="en-GB"/>
        </w:rPr>
        <w:t>, 101220. https://doi.org/10.1016/j.asieco.2020.101220</w:t>
      </w:r>
    </w:p>
    <w:p w14:paraId="2DF6321A" w14:textId="77777777" w:rsidR="00646D01" w:rsidRPr="00646D01" w:rsidRDefault="00646D01" w:rsidP="00646D01">
      <w:pPr>
        <w:pStyle w:val="Bibliography"/>
        <w:rPr>
          <w:lang w:val="en-GB"/>
        </w:rPr>
      </w:pPr>
      <w:r w:rsidRPr="00646D01">
        <w:rPr>
          <w:lang w:val="en-GB"/>
        </w:rPr>
        <w:t xml:space="preserve">Epprecht, M., Müller, D., &amp; Minot, N. (2011). How remote are Vietnam’s ethnic minorities? An analysis of spatial patterns of poverty and inequality. </w:t>
      </w:r>
      <w:r w:rsidRPr="00646D01">
        <w:rPr>
          <w:i/>
          <w:iCs/>
          <w:lang w:val="en-GB"/>
        </w:rPr>
        <w:t>The Annals of Regional Science</w:t>
      </w:r>
      <w:r w:rsidRPr="00646D01">
        <w:rPr>
          <w:lang w:val="en-GB"/>
        </w:rPr>
        <w:t xml:space="preserve">, </w:t>
      </w:r>
      <w:r w:rsidRPr="00646D01">
        <w:rPr>
          <w:i/>
          <w:iCs/>
          <w:lang w:val="en-GB"/>
        </w:rPr>
        <w:t>46</w:t>
      </w:r>
      <w:r w:rsidRPr="00646D01">
        <w:rPr>
          <w:lang w:val="en-GB"/>
        </w:rPr>
        <w:t>(2), 349–368. https://doi.org/10.1007/s00168-009-0330-7</w:t>
      </w:r>
    </w:p>
    <w:p w14:paraId="58ECD534" w14:textId="77777777" w:rsidR="00646D01" w:rsidRPr="00646D01" w:rsidRDefault="00646D01" w:rsidP="00646D01">
      <w:pPr>
        <w:pStyle w:val="Bibliography"/>
        <w:rPr>
          <w:lang w:val="en-GB"/>
        </w:rPr>
      </w:pPr>
      <w:r w:rsidRPr="00646D01">
        <w:rPr>
          <w:lang w:val="en-GB"/>
        </w:rPr>
        <w:t xml:space="preserve">Gustafsson, B., &amp; Sai, D. (2009). Villages where China’s ethnic minorities live. </w:t>
      </w:r>
      <w:r w:rsidRPr="00646D01">
        <w:rPr>
          <w:i/>
          <w:iCs/>
          <w:lang w:val="en-GB"/>
        </w:rPr>
        <w:t>China Economic Review</w:t>
      </w:r>
      <w:r w:rsidRPr="00646D01">
        <w:rPr>
          <w:lang w:val="en-GB"/>
        </w:rPr>
        <w:t xml:space="preserve">, </w:t>
      </w:r>
      <w:r w:rsidRPr="00646D01">
        <w:rPr>
          <w:i/>
          <w:iCs/>
          <w:lang w:val="en-GB"/>
        </w:rPr>
        <w:t>20</w:t>
      </w:r>
      <w:r w:rsidRPr="00646D01">
        <w:rPr>
          <w:lang w:val="en-GB"/>
        </w:rPr>
        <w:t>(2), 193–207. https://doi.org/10.1016/j.chieco.2009.02.003</w:t>
      </w:r>
    </w:p>
    <w:p w14:paraId="10BC09DB" w14:textId="77777777" w:rsidR="00646D01" w:rsidRPr="00646D01" w:rsidRDefault="00646D01" w:rsidP="00646D01">
      <w:pPr>
        <w:pStyle w:val="Bibliography"/>
        <w:rPr>
          <w:lang w:val="en-GB"/>
        </w:rPr>
      </w:pPr>
      <w:r w:rsidRPr="00646D01">
        <w:rPr>
          <w:lang w:val="en-GB"/>
        </w:rPr>
        <w:t xml:space="preserve">Hasmath, R., &amp; Ho, B. (2015). Job acquisition, retention, and outcomes for ethnic minorities in urban China. </w:t>
      </w:r>
      <w:r w:rsidRPr="00646D01">
        <w:rPr>
          <w:i/>
          <w:iCs/>
          <w:lang w:val="en-GB"/>
        </w:rPr>
        <w:t>Eurasian Geography and Economics</w:t>
      </w:r>
      <w:r w:rsidRPr="00646D01">
        <w:rPr>
          <w:lang w:val="en-GB"/>
        </w:rPr>
        <w:t xml:space="preserve">, </w:t>
      </w:r>
      <w:r w:rsidRPr="00646D01">
        <w:rPr>
          <w:i/>
          <w:iCs/>
          <w:lang w:val="en-GB"/>
        </w:rPr>
        <w:t>56</w:t>
      </w:r>
      <w:r w:rsidRPr="00646D01">
        <w:rPr>
          <w:lang w:val="en-GB"/>
        </w:rPr>
        <w:t>(1), 24–43. https://doi.org/10.1080/15387216.2015.1049637</w:t>
      </w:r>
    </w:p>
    <w:p w14:paraId="18D2C17F" w14:textId="77777777" w:rsidR="00646D01" w:rsidRPr="00646D01" w:rsidRDefault="00646D01" w:rsidP="00646D01">
      <w:pPr>
        <w:pStyle w:val="Bibliography"/>
        <w:rPr>
          <w:lang w:val="en-GB"/>
        </w:rPr>
      </w:pPr>
      <w:r w:rsidRPr="00646D01">
        <w:rPr>
          <w:lang w:val="en-GB"/>
        </w:rPr>
        <w:t xml:space="preserve">Imai, K. S., Gaiha, R., &amp; Kang, W. (2011). Poverty, inequality and ethnic minorities in Vietnam. </w:t>
      </w:r>
      <w:r w:rsidRPr="00646D01">
        <w:rPr>
          <w:i/>
          <w:iCs/>
          <w:lang w:val="en-GB"/>
        </w:rPr>
        <w:t>International Review of Applied Economics</w:t>
      </w:r>
      <w:r w:rsidRPr="00646D01">
        <w:rPr>
          <w:lang w:val="en-GB"/>
        </w:rPr>
        <w:t xml:space="preserve">, </w:t>
      </w:r>
      <w:r w:rsidRPr="00646D01">
        <w:rPr>
          <w:i/>
          <w:iCs/>
          <w:lang w:val="en-GB"/>
        </w:rPr>
        <w:t>25</w:t>
      </w:r>
      <w:r w:rsidRPr="00646D01">
        <w:rPr>
          <w:lang w:val="en-GB"/>
        </w:rPr>
        <w:t>(3), 249–282. https://doi.org/10.1080/02692171.2010.483471</w:t>
      </w:r>
    </w:p>
    <w:p w14:paraId="6855DBAF" w14:textId="77777777" w:rsidR="00646D01" w:rsidRPr="00646D01" w:rsidRDefault="00646D01" w:rsidP="00646D01">
      <w:pPr>
        <w:pStyle w:val="Bibliography"/>
        <w:rPr>
          <w:lang w:val="en-GB"/>
        </w:rPr>
      </w:pPr>
      <w:r w:rsidRPr="00646D01">
        <w:rPr>
          <w:lang w:val="en-GB"/>
        </w:rPr>
        <w:t xml:space="preserve">Khalid, M. A., &amp; Yang, L. (2021). Income inequality and ethnic cleavages in Malaysia: Evidence from distributional national accounts (1984–2014). </w:t>
      </w:r>
      <w:r w:rsidRPr="00646D01">
        <w:rPr>
          <w:i/>
          <w:iCs/>
          <w:lang w:val="en-GB"/>
        </w:rPr>
        <w:t>Journal of Asian Economics</w:t>
      </w:r>
      <w:r w:rsidRPr="00646D01">
        <w:rPr>
          <w:lang w:val="en-GB"/>
        </w:rPr>
        <w:t xml:space="preserve">, </w:t>
      </w:r>
      <w:r w:rsidRPr="00646D01">
        <w:rPr>
          <w:i/>
          <w:iCs/>
          <w:lang w:val="en-GB"/>
        </w:rPr>
        <w:t>72</w:t>
      </w:r>
      <w:r w:rsidRPr="00646D01">
        <w:rPr>
          <w:lang w:val="en-GB"/>
        </w:rPr>
        <w:t>, 101252. https://doi.org/10.1016/j.asieco.2020.101252</w:t>
      </w:r>
    </w:p>
    <w:p w14:paraId="40D9AB68" w14:textId="77777777" w:rsidR="00646D01" w:rsidRPr="00646D01" w:rsidRDefault="00646D01" w:rsidP="00646D01">
      <w:pPr>
        <w:pStyle w:val="Bibliography"/>
        <w:rPr>
          <w:lang w:val="en-GB"/>
        </w:rPr>
      </w:pPr>
      <w:r w:rsidRPr="00646D01">
        <w:rPr>
          <w:lang w:val="en-GB"/>
        </w:rPr>
        <w:t xml:space="preserve">Kyeyune, V., &amp; Turner, S. (2016). Yielding to high yields? Critiquing food security definitions and policy implications for ethnic minority livelihoods </w:t>
      </w:r>
      <w:r w:rsidRPr="00646D01">
        <w:rPr>
          <w:lang w:val="en-GB"/>
        </w:rPr>
        <w:lastRenderedPageBreak/>
        <w:t xml:space="preserve">in upland Vietnam. </w:t>
      </w:r>
      <w:r w:rsidRPr="00646D01">
        <w:rPr>
          <w:i/>
          <w:iCs/>
          <w:lang w:val="en-GB"/>
        </w:rPr>
        <w:t>Geoforum</w:t>
      </w:r>
      <w:r w:rsidRPr="00646D01">
        <w:rPr>
          <w:lang w:val="en-GB"/>
        </w:rPr>
        <w:t xml:space="preserve">, </w:t>
      </w:r>
      <w:r w:rsidRPr="00646D01">
        <w:rPr>
          <w:i/>
          <w:iCs/>
          <w:lang w:val="en-GB"/>
        </w:rPr>
        <w:t>71</w:t>
      </w:r>
      <w:r w:rsidRPr="00646D01">
        <w:rPr>
          <w:lang w:val="en-GB"/>
        </w:rPr>
        <w:t>, 33–43. https://doi.org/10.1016/j.geoforum.2016.03.001</w:t>
      </w:r>
    </w:p>
    <w:p w14:paraId="79917EA8" w14:textId="77777777" w:rsidR="00646D01" w:rsidRPr="00646D01" w:rsidRDefault="00646D01" w:rsidP="00646D01">
      <w:pPr>
        <w:pStyle w:val="Bibliography"/>
        <w:rPr>
          <w:lang w:val="en-GB"/>
        </w:rPr>
      </w:pPr>
      <w:r w:rsidRPr="00646D01">
        <w:rPr>
          <w:lang w:val="en-GB"/>
        </w:rPr>
        <w:t xml:space="preserve">Mercado, R., Park, C.-Y., &amp; Zhuang, J. (2024). Trends and drivers of income inequality in the Philippines, Thailand, and Viet Nam since the early 2000s: A decomposition analysis. </w:t>
      </w:r>
      <w:r w:rsidRPr="00646D01">
        <w:rPr>
          <w:i/>
          <w:iCs/>
          <w:lang w:val="en-GB"/>
        </w:rPr>
        <w:t>Journal of Asian Economics</w:t>
      </w:r>
      <w:r w:rsidRPr="00646D01">
        <w:rPr>
          <w:lang w:val="en-GB"/>
        </w:rPr>
        <w:t xml:space="preserve">, </w:t>
      </w:r>
      <w:r w:rsidRPr="00646D01">
        <w:rPr>
          <w:i/>
          <w:iCs/>
          <w:lang w:val="en-GB"/>
        </w:rPr>
        <w:t>94</w:t>
      </w:r>
      <w:r w:rsidRPr="00646D01">
        <w:rPr>
          <w:lang w:val="en-GB"/>
        </w:rPr>
        <w:t>, 101775. https://doi.org/10.1016/j.asieco.2024.101775</w:t>
      </w:r>
    </w:p>
    <w:p w14:paraId="5DB4F6FA" w14:textId="77777777" w:rsidR="00646D01" w:rsidRPr="00646D01" w:rsidRDefault="00646D01" w:rsidP="00646D01">
      <w:pPr>
        <w:pStyle w:val="Bibliography"/>
        <w:rPr>
          <w:lang w:val="en-GB"/>
        </w:rPr>
      </w:pPr>
      <w:r w:rsidRPr="00646D01">
        <w:rPr>
          <w:lang w:val="en-GB"/>
        </w:rPr>
        <w:t xml:space="preserve">Mobius, M., Rosenblat, T., &amp; Wang, Q. (2016). Ethnic discrimination: Evidence from China. </w:t>
      </w:r>
      <w:r w:rsidRPr="00646D01">
        <w:rPr>
          <w:i/>
          <w:iCs/>
          <w:lang w:val="en-GB"/>
        </w:rPr>
        <w:t>European Economic Review</w:t>
      </w:r>
      <w:r w:rsidRPr="00646D01">
        <w:rPr>
          <w:lang w:val="en-GB"/>
        </w:rPr>
        <w:t xml:space="preserve">, </w:t>
      </w:r>
      <w:r w:rsidRPr="00646D01">
        <w:rPr>
          <w:i/>
          <w:iCs/>
          <w:lang w:val="en-GB"/>
        </w:rPr>
        <w:t>90</w:t>
      </w:r>
      <w:r w:rsidRPr="00646D01">
        <w:rPr>
          <w:lang w:val="en-GB"/>
        </w:rPr>
        <w:t>, 165–177. https://doi.org/10.1016/j.euroecorev.2016.04.004</w:t>
      </w:r>
    </w:p>
    <w:p w14:paraId="0273D015" w14:textId="77777777" w:rsidR="00646D01" w:rsidRPr="00646D01" w:rsidRDefault="00646D01" w:rsidP="00646D01">
      <w:pPr>
        <w:pStyle w:val="Bibliography"/>
        <w:rPr>
          <w:lang w:val="en-GB"/>
        </w:rPr>
      </w:pPr>
      <w:r w:rsidRPr="00646D01">
        <w:rPr>
          <w:lang w:val="en-GB"/>
        </w:rPr>
        <w:t xml:space="preserve">Nguyen, K. T. T., Murphy, L., Chen, T., &amp; Pearce, P. L. (2024). Let’s listen: The voices of ethnic villagers in identifying host-tourist interaction issues in the Central Highlands, Vietnam. </w:t>
      </w:r>
      <w:r w:rsidRPr="00646D01">
        <w:rPr>
          <w:i/>
          <w:iCs/>
          <w:lang w:val="en-GB"/>
        </w:rPr>
        <w:t>Journal of Heritage Tourism</w:t>
      </w:r>
      <w:r w:rsidRPr="00646D01">
        <w:rPr>
          <w:lang w:val="en-GB"/>
        </w:rPr>
        <w:t xml:space="preserve">, </w:t>
      </w:r>
      <w:r w:rsidRPr="00646D01">
        <w:rPr>
          <w:i/>
          <w:iCs/>
          <w:lang w:val="en-GB"/>
        </w:rPr>
        <w:t>19</w:t>
      </w:r>
      <w:r w:rsidRPr="00646D01">
        <w:rPr>
          <w:lang w:val="en-GB"/>
        </w:rPr>
        <w:t>(2), 263–286. https://doi.org/10.1080/1743873X.2023.2259512</w:t>
      </w:r>
    </w:p>
    <w:p w14:paraId="30026163" w14:textId="77777777" w:rsidR="00646D01" w:rsidRPr="00646D01" w:rsidRDefault="00646D01" w:rsidP="00646D01">
      <w:pPr>
        <w:pStyle w:val="Bibliography"/>
        <w:rPr>
          <w:lang w:val="en-GB"/>
        </w:rPr>
      </w:pPr>
      <w:r w:rsidRPr="00646D01">
        <w:rPr>
          <w:lang w:val="en-GB"/>
        </w:rPr>
        <w:t xml:space="preserve">Nguyen-Anh, T., Hoang-Duc, C., Le-Ngoc, A., &amp; Nguyen-An, T. (2024). Drivers of land use efficiency among ethnic minority groups in Vietnam: A longitudinal study. </w:t>
      </w:r>
      <w:r w:rsidRPr="00646D01">
        <w:rPr>
          <w:i/>
          <w:iCs/>
          <w:lang w:val="en-GB"/>
        </w:rPr>
        <w:t>Journal of the Asia Pacific Economy</w:t>
      </w:r>
      <w:r w:rsidRPr="00646D01">
        <w:rPr>
          <w:lang w:val="en-GB"/>
        </w:rPr>
        <w:t xml:space="preserve">, </w:t>
      </w:r>
      <w:r w:rsidRPr="00646D01">
        <w:rPr>
          <w:i/>
          <w:iCs/>
          <w:lang w:val="en-GB"/>
        </w:rPr>
        <w:t>29</w:t>
      </w:r>
      <w:r w:rsidRPr="00646D01">
        <w:rPr>
          <w:lang w:val="en-GB"/>
        </w:rPr>
        <w:t>(2), 506–524. https://doi.org/10.1080/13547860.2022.2044658</w:t>
      </w:r>
    </w:p>
    <w:p w14:paraId="665EEFCD" w14:textId="77777777" w:rsidR="00646D01" w:rsidRPr="00646D01" w:rsidRDefault="00646D01" w:rsidP="00646D01">
      <w:pPr>
        <w:pStyle w:val="Bibliography"/>
        <w:rPr>
          <w:lang w:val="en-GB"/>
        </w:rPr>
      </w:pPr>
      <w:r w:rsidRPr="00646D01">
        <w:rPr>
          <w:lang w:val="en-GB"/>
        </w:rPr>
        <w:t xml:space="preserve">Nilan, P., &amp; Maunati, Y. (2025). Wealth, Poverty and Health in Southeast Asia. In P. Nilan &amp; Y. Maunati (Eds.), </w:t>
      </w:r>
      <w:r w:rsidRPr="00646D01">
        <w:rPr>
          <w:i/>
          <w:iCs/>
          <w:lang w:val="en-GB"/>
        </w:rPr>
        <w:t>Decolonising Social Science Research in Southeast Asia: New Ways of Knowing</w:t>
      </w:r>
      <w:r w:rsidRPr="00646D01">
        <w:rPr>
          <w:lang w:val="en-GB"/>
        </w:rPr>
        <w:t xml:space="preserve"> (pp. 85–110). Springer Nature. https://doi.org/10.1007/978-981-96-4624-1_4</w:t>
      </w:r>
    </w:p>
    <w:p w14:paraId="63227E56" w14:textId="1F261E93" w:rsidR="00646D01" w:rsidRPr="00646D01" w:rsidRDefault="00646D01" w:rsidP="00646D01">
      <w:pPr>
        <w:pStyle w:val="Bibliography"/>
        <w:rPr>
          <w:lang w:val="en-GB"/>
        </w:rPr>
      </w:pPr>
      <w:r w:rsidRPr="00646D01">
        <w:rPr>
          <w:lang w:val="en-GB"/>
        </w:rPr>
        <w:lastRenderedPageBreak/>
        <w:t>Pham, A. T. Q., &amp; Mukhopadhaya, P. (2022). Multidimension</w:t>
      </w:r>
      <w:r w:rsidR="00A97E8E">
        <w:rPr>
          <w:lang w:val="en-GB"/>
        </w:rPr>
        <w:t>a</w:t>
      </w:r>
      <w:r w:rsidRPr="00646D01">
        <w:rPr>
          <w:lang w:val="en-GB"/>
        </w:rPr>
        <w:t xml:space="preserve">l Poverty and The Role of Social Capital in Poverty Alleviation Among Ethnic Groups in Rural Vietnam: A Multilevel Analysis. </w:t>
      </w:r>
      <w:r w:rsidRPr="00646D01">
        <w:rPr>
          <w:i/>
          <w:iCs/>
          <w:lang w:val="en-GB"/>
        </w:rPr>
        <w:t>Social Indicators Research</w:t>
      </w:r>
      <w:r w:rsidRPr="00646D01">
        <w:rPr>
          <w:lang w:val="en-GB"/>
        </w:rPr>
        <w:t xml:space="preserve">, </w:t>
      </w:r>
      <w:r w:rsidRPr="00646D01">
        <w:rPr>
          <w:i/>
          <w:iCs/>
          <w:lang w:val="en-GB"/>
        </w:rPr>
        <w:t>159</w:t>
      </w:r>
      <w:r w:rsidRPr="00646D01">
        <w:rPr>
          <w:lang w:val="en-GB"/>
        </w:rPr>
        <w:t>(1), 281–317. https://doi.org/10.1007/s11205-021-02747-y</w:t>
      </w:r>
    </w:p>
    <w:p w14:paraId="3D55948A" w14:textId="77777777" w:rsidR="00646D01" w:rsidRPr="00646D01" w:rsidRDefault="00646D01" w:rsidP="00646D01">
      <w:pPr>
        <w:pStyle w:val="Bibliography"/>
        <w:rPr>
          <w:lang w:val="en-GB"/>
        </w:rPr>
      </w:pPr>
      <w:r w:rsidRPr="00646D01">
        <w:rPr>
          <w:lang w:val="en-GB"/>
        </w:rPr>
        <w:t xml:space="preserve">Robinson, A. L. (2016). Internal Borders: Ethnic-Based Market Segmentation in Malawi. </w:t>
      </w:r>
      <w:r w:rsidRPr="00646D01">
        <w:rPr>
          <w:i/>
          <w:iCs/>
          <w:lang w:val="en-GB"/>
        </w:rPr>
        <w:t>World Development</w:t>
      </w:r>
      <w:r w:rsidRPr="00646D01">
        <w:rPr>
          <w:lang w:val="en-GB"/>
        </w:rPr>
        <w:t xml:space="preserve">, </w:t>
      </w:r>
      <w:r w:rsidRPr="00646D01">
        <w:rPr>
          <w:i/>
          <w:iCs/>
          <w:lang w:val="en-GB"/>
        </w:rPr>
        <w:t>87</w:t>
      </w:r>
      <w:r w:rsidRPr="00646D01">
        <w:rPr>
          <w:lang w:val="en-GB"/>
        </w:rPr>
        <w:t>, 371–384. https://doi.org/10.1016/j.worlddev.2016.07.006</w:t>
      </w:r>
    </w:p>
    <w:p w14:paraId="1730502C" w14:textId="77777777" w:rsidR="00646D01" w:rsidRPr="00646D01" w:rsidRDefault="00646D01" w:rsidP="00646D01">
      <w:pPr>
        <w:pStyle w:val="Bibliography"/>
        <w:rPr>
          <w:lang w:val="en-GB"/>
        </w:rPr>
      </w:pPr>
      <w:r w:rsidRPr="00646D01">
        <w:rPr>
          <w:lang w:val="en-GB"/>
        </w:rPr>
        <w:t xml:space="preserve">Schugurensky, D., &amp; Mook, L. (2024). Participatory budgeting and local development: Impacts, challenges, and prospects. </w:t>
      </w:r>
      <w:r w:rsidRPr="00646D01">
        <w:rPr>
          <w:i/>
          <w:iCs/>
          <w:lang w:val="en-GB"/>
        </w:rPr>
        <w:t>Local Development &amp; Society</w:t>
      </w:r>
      <w:r w:rsidRPr="00646D01">
        <w:rPr>
          <w:lang w:val="en-GB"/>
        </w:rPr>
        <w:t xml:space="preserve">, </w:t>
      </w:r>
      <w:r w:rsidRPr="00646D01">
        <w:rPr>
          <w:i/>
          <w:iCs/>
          <w:lang w:val="en-GB"/>
        </w:rPr>
        <w:t>5</w:t>
      </w:r>
      <w:r w:rsidRPr="00646D01">
        <w:rPr>
          <w:lang w:val="en-GB"/>
        </w:rPr>
        <w:t>(3), 433–445. https://doi.org/10.1080/26883597.2024.2391664</w:t>
      </w:r>
    </w:p>
    <w:p w14:paraId="338059E3" w14:textId="77777777" w:rsidR="00646D01" w:rsidRPr="00646D01" w:rsidRDefault="00646D01" w:rsidP="00646D01">
      <w:pPr>
        <w:pStyle w:val="Bibliography"/>
        <w:rPr>
          <w:lang w:val="en-GB"/>
        </w:rPr>
      </w:pPr>
      <w:r w:rsidRPr="00646D01">
        <w:rPr>
          <w:lang w:val="en-GB"/>
        </w:rPr>
        <w:t xml:space="preserve">Ton, G., Vellema, W., Desiere, S., Weituschat, S., &amp; D’Haese, M. (2018). Contract farming for improving smallholder incomes: What can we learn from effectiveness studies? </w:t>
      </w:r>
      <w:r w:rsidRPr="00646D01">
        <w:rPr>
          <w:i/>
          <w:iCs/>
          <w:lang w:val="en-GB"/>
        </w:rPr>
        <w:t>World Development</w:t>
      </w:r>
      <w:r w:rsidRPr="00646D01">
        <w:rPr>
          <w:lang w:val="en-GB"/>
        </w:rPr>
        <w:t xml:space="preserve">, </w:t>
      </w:r>
      <w:r w:rsidRPr="00646D01">
        <w:rPr>
          <w:i/>
          <w:iCs/>
          <w:lang w:val="en-GB"/>
        </w:rPr>
        <w:t>104</w:t>
      </w:r>
      <w:r w:rsidRPr="00646D01">
        <w:rPr>
          <w:lang w:val="en-GB"/>
        </w:rPr>
        <w:t>, 46–64. https://doi.org/10.1016/j.worlddev.2017.11.015</w:t>
      </w:r>
    </w:p>
    <w:p w14:paraId="5E053241" w14:textId="77777777" w:rsidR="00646D01" w:rsidRPr="00646D01" w:rsidRDefault="00646D01" w:rsidP="00646D01">
      <w:pPr>
        <w:pStyle w:val="Bibliography"/>
        <w:rPr>
          <w:lang w:val="en-GB"/>
        </w:rPr>
      </w:pPr>
      <w:r w:rsidRPr="00646D01">
        <w:rPr>
          <w:lang w:val="en-GB"/>
        </w:rPr>
        <w:t xml:space="preserve">Tuyen, T. Q. (2016). Income sources and inequality among ethnic minorities in the Northwest region, Vietnam. </w:t>
      </w:r>
      <w:r w:rsidRPr="00646D01">
        <w:rPr>
          <w:i/>
          <w:iCs/>
          <w:lang w:val="en-GB"/>
        </w:rPr>
        <w:t>Environment, Development and Sustainability</w:t>
      </w:r>
      <w:r w:rsidRPr="00646D01">
        <w:rPr>
          <w:lang w:val="en-GB"/>
        </w:rPr>
        <w:t xml:space="preserve">, </w:t>
      </w:r>
      <w:r w:rsidRPr="00646D01">
        <w:rPr>
          <w:i/>
          <w:iCs/>
          <w:lang w:val="en-GB"/>
        </w:rPr>
        <w:t>18</w:t>
      </w:r>
      <w:r w:rsidRPr="00646D01">
        <w:rPr>
          <w:lang w:val="en-GB"/>
        </w:rPr>
        <w:t>(4), 1239–1254. https://doi.org/10.1007/s10668-015-9700-8</w:t>
      </w:r>
    </w:p>
    <w:p w14:paraId="0865CAD2" w14:textId="77777777" w:rsidR="00646D01" w:rsidRPr="00646D01" w:rsidRDefault="00646D01" w:rsidP="00646D01">
      <w:pPr>
        <w:pStyle w:val="Bibliography"/>
        <w:rPr>
          <w:lang w:val="en-GB"/>
        </w:rPr>
      </w:pPr>
      <w:r w:rsidRPr="00646D01">
        <w:rPr>
          <w:lang w:val="en-GB"/>
        </w:rPr>
        <w:t xml:space="preserve">van de Walle, D., &amp; Gunewardena, D. (2001). Sources of ethnic inequality in Viet Nam. </w:t>
      </w:r>
      <w:r w:rsidRPr="00646D01">
        <w:rPr>
          <w:i/>
          <w:iCs/>
          <w:lang w:val="en-GB"/>
        </w:rPr>
        <w:t>Journal of Development Economics</w:t>
      </w:r>
      <w:r w:rsidRPr="00646D01">
        <w:rPr>
          <w:lang w:val="en-GB"/>
        </w:rPr>
        <w:t xml:space="preserve">, </w:t>
      </w:r>
      <w:r w:rsidRPr="00646D01">
        <w:rPr>
          <w:i/>
          <w:iCs/>
          <w:lang w:val="en-GB"/>
        </w:rPr>
        <w:t>65</w:t>
      </w:r>
      <w:r w:rsidRPr="00646D01">
        <w:rPr>
          <w:lang w:val="en-GB"/>
        </w:rPr>
        <w:t>(1), 177–207. https://doi.org/10.1016/S0304-3878(01)00133-X</w:t>
      </w:r>
    </w:p>
    <w:p w14:paraId="4422A0A6" w14:textId="77777777" w:rsidR="00646D01" w:rsidRPr="00646D01" w:rsidRDefault="00646D01" w:rsidP="00646D01">
      <w:pPr>
        <w:pStyle w:val="Bibliography"/>
        <w:rPr>
          <w:lang w:val="en-GB"/>
        </w:rPr>
      </w:pPr>
      <w:r w:rsidRPr="00646D01">
        <w:rPr>
          <w:lang w:val="en-GB"/>
        </w:rPr>
        <w:lastRenderedPageBreak/>
        <w:t xml:space="preserve">Yang, L. (2011). Cultural tourism in an ethnic theme park: Tourists’ views. </w:t>
      </w:r>
      <w:r w:rsidRPr="00646D01">
        <w:rPr>
          <w:i/>
          <w:iCs/>
          <w:lang w:val="en-GB"/>
        </w:rPr>
        <w:t>Journal of Tourism and Cultural Change</w:t>
      </w:r>
      <w:r w:rsidRPr="00646D01">
        <w:rPr>
          <w:lang w:val="en-GB"/>
        </w:rPr>
        <w:t xml:space="preserve">, </w:t>
      </w:r>
      <w:r w:rsidRPr="00646D01">
        <w:rPr>
          <w:i/>
          <w:iCs/>
          <w:lang w:val="en-GB"/>
        </w:rPr>
        <w:t>9</w:t>
      </w:r>
      <w:r w:rsidRPr="00646D01">
        <w:rPr>
          <w:lang w:val="en-GB"/>
        </w:rPr>
        <w:t>(4), 320–340. https://doi.org/10.1080/14766825.2011.628026</w:t>
      </w:r>
    </w:p>
    <w:p w14:paraId="4586CDFD" w14:textId="7F79C948" w:rsidR="0095137B" w:rsidRPr="008C0556" w:rsidRDefault="0095137B" w:rsidP="00646D01">
      <w:pPr>
        <w:pStyle w:val="Bibliography"/>
        <w:spacing w:before="120" w:after="120" w:line="288" w:lineRule="auto"/>
        <w:rPr>
          <w:rFonts w:asciiTheme="majorHAnsi" w:hAnsiTheme="majorHAnsi" w:cstheme="majorHAnsi"/>
          <w:lang w:val="de-DE"/>
        </w:rPr>
      </w:pPr>
      <w:r w:rsidRPr="008C0556">
        <w:rPr>
          <w:rFonts w:asciiTheme="majorHAnsi" w:hAnsiTheme="majorHAnsi" w:cstheme="majorHAnsi"/>
          <w:lang w:val="de-DE"/>
        </w:rPr>
        <w:fldChar w:fldCharType="end"/>
      </w:r>
    </w:p>
    <w:sectPr w:rsidR="0095137B" w:rsidRPr="008C055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63A538" w16cex:dateUtc="2025-09-23T00: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0823A" w14:textId="77777777" w:rsidR="002E2FD7" w:rsidRDefault="002E2FD7" w:rsidP="00EF7BFD">
      <w:r>
        <w:separator/>
      </w:r>
    </w:p>
  </w:endnote>
  <w:endnote w:type="continuationSeparator" w:id="0">
    <w:p w14:paraId="347EE1AA" w14:textId="77777777" w:rsidR="002E2FD7" w:rsidRDefault="002E2FD7" w:rsidP="00EF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71EBA" w14:textId="77777777" w:rsidR="004F62B4" w:rsidRDefault="004F6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588921"/>
      <w:docPartObj>
        <w:docPartGallery w:val="Page Numbers (Bottom of Page)"/>
        <w:docPartUnique/>
      </w:docPartObj>
    </w:sdtPr>
    <w:sdtEndPr>
      <w:rPr>
        <w:noProof/>
      </w:rPr>
    </w:sdtEndPr>
    <w:sdtContent>
      <w:p w14:paraId="39808AFC" w14:textId="77777777" w:rsidR="008C6ED0" w:rsidRDefault="008C6ED0">
        <w:pPr>
          <w:pStyle w:val="Footer"/>
          <w:jc w:val="center"/>
        </w:pPr>
        <w:r>
          <w:fldChar w:fldCharType="begin"/>
        </w:r>
        <w:r>
          <w:instrText xml:space="preserve"> PAGE   \* MERGEFORMAT </w:instrText>
        </w:r>
        <w:r>
          <w:fldChar w:fldCharType="separate"/>
        </w:r>
        <w:r w:rsidR="00A973B0">
          <w:rPr>
            <w:noProof/>
          </w:rPr>
          <w:t>12</w:t>
        </w:r>
        <w:r>
          <w:rPr>
            <w:noProof/>
          </w:rPr>
          <w:fldChar w:fldCharType="end"/>
        </w:r>
      </w:p>
    </w:sdtContent>
  </w:sdt>
  <w:p w14:paraId="1360AF81" w14:textId="77777777" w:rsidR="008C6ED0" w:rsidRDefault="008C6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106A4" w14:textId="77777777" w:rsidR="004F62B4" w:rsidRDefault="004F6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B71AA" w14:textId="77777777" w:rsidR="002E2FD7" w:rsidRDefault="002E2FD7" w:rsidP="00EF7BFD">
      <w:r>
        <w:separator/>
      </w:r>
    </w:p>
  </w:footnote>
  <w:footnote w:type="continuationSeparator" w:id="0">
    <w:p w14:paraId="712220BF" w14:textId="77777777" w:rsidR="002E2FD7" w:rsidRDefault="002E2FD7" w:rsidP="00EF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CE53" w14:textId="379012BA" w:rsidR="004F62B4" w:rsidRDefault="002E2FD7">
    <w:pPr>
      <w:pStyle w:val="Header"/>
    </w:pPr>
    <w:r>
      <w:rPr>
        <w:noProof/>
      </w:rPr>
      <w:pict w14:anchorId="31AA4C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15579" o:spid="_x0000_s2051"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EC1C" w14:textId="0A9EDFB2" w:rsidR="004F62B4" w:rsidRDefault="002E2FD7">
    <w:pPr>
      <w:pStyle w:val="Header"/>
    </w:pPr>
    <w:r>
      <w:rPr>
        <w:noProof/>
      </w:rPr>
      <w:pict w14:anchorId="24CF5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15580" o:spid="_x0000_s2050"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2005" w14:textId="2BC3E7BA" w:rsidR="004F62B4" w:rsidRDefault="002E2FD7">
    <w:pPr>
      <w:pStyle w:val="Header"/>
    </w:pPr>
    <w:r>
      <w:rPr>
        <w:noProof/>
      </w:rPr>
      <w:pict w14:anchorId="08C81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115578" o:spid="_x0000_s2049"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F41C84"/>
    <w:multiLevelType w:val="multilevel"/>
    <w:tmpl w:val="7380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MDWzMDU3szQ2MbFU0lEKTi0uzszPAykwrgUAxnIo2iwAAAA="/>
    <w:docVar w:name="EN.InstantFormat" w:val="&lt;ENInstantFormat&gt;&lt;Enabled&gt;1&lt;/Enabled&gt;&lt;ScanUnformatted&gt;1&lt;/ScanUnformatted&gt;&lt;ScanChanges&gt;1&lt;/ScanChanges&gt;&lt;Suspended&gt;0&lt;/Suspended&gt;&lt;/ENInstantFormat&gt;"/>
    <w:docVar w:name="EN.Layout" w:val="&lt;ENLayout&gt;&lt;Style&gt;Research Policy Copy&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F7BFD"/>
    <w:rsid w:val="0000445E"/>
    <w:rsid w:val="000215AF"/>
    <w:rsid w:val="00030700"/>
    <w:rsid w:val="00051C20"/>
    <w:rsid w:val="00057CE6"/>
    <w:rsid w:val="00083898"/>
    <w:rsid w:val="0008539E"/>
    <w:rsid w:val="00087A30"/>
    <w:rsid w:val="000912A8"/>
    <w:rsid w:val="001166E3"/>
    <w:rsid w:val="00130531"/>
    <w:rsid w:val="001354F4"/>
    <w:rsid w:val="00136276"/>
    <w:rsid w:val="00140E21"/>
    <w:rsid w:val="00145761"/>
    <w:rsid w:val="0014735E"/>
    <w:rsid w:val="0018515E"/>
    <w:rsid w:val="001A216D"/>
    <w:rsid w:val="001A29C6"/>
    <w:rsid w:val="001B0E21"/>
    <w:rsid w:val="001B1543"/>
    <w:rsid w:val="001C0332"/>
    <w:rsid w:val="001E1399"/>
    <w:rsid w:val="001E7717"/>
    <w:rsid w:val="001F0685"/>
    <w:rsid w:val="00227541"/>
    <w:rsid w:val="00290426"/>
    <w:rsid w:val="002933D8"/>
    <w:rsid w:val="002A745A"/>
    <w:rsid w:val="002C1E58"/>
    <w:rsid w:val="002E0792"/>
    <w:rsid w:val="002E13BD"/>
    <w:rsid w:val="002E2FD7"/>
    <w:rsid w:val="002E55AA"/>
    <w:rsid w:val="00327F8E"/>
    <w:rsid w:val="00332E0D"/>
    <w:rsid w:val="00336EEE"/>
    <w:rsid w:val="00341120"/>
    <w:rsid w:val="0034734A"/>
    <w:rsid w:val="00353461"/>
    <w:rsid w:val="003815C7"/>
    <w:rsid w:val="003A0251"/>
    <w:rsid w:val="003B3839"/>
    <w:rsid w:val="003B61C0"/>
    <w:rsid w:val="003B7725"/>
    <w:rsid w:val="003D0713"/>
    <w:rsid w:val="003D3C46"/>
    <w:rsid w:val="003E57BB"/>
    <w:rsid w:val="003E72AB"/>
    <w:rsid w:val="0040474F"/>
    <w:rsid w:val="00414CBD"/>
    <w:rsid w:val="004165FD"/>
    <w:rsid w:val="004514F8"/>
    <w:rsid w:val="00453FDA"/>
    <w:rsid w:val="0046413B"/>
    <w:rsid w:val="0046463C"/>
    <w:rsid w:val="00474EE7"/>
    <w:rsid w:val="004946AC"/>
    <w:rsid w:val="004A7763"/>
    <w:rsid w:val="004C45CE"/>
    <w:rsid w:val="004F62B4"/>
    <w:rsid w:val="00507DFF"/>
    <w:rsid w:val="005257FF"/>
    <w:rsid w:val="00556B67"/>
    <w:rsid w:val="00574C2E"/>
    <w:rsid w:val="005860CF"/>
    <w:rsid w:val="005A003B"/>
    <w:rsid w:val="005B4DF2"/>
    <w:rsid w:val="005E5710"/>
    <w:rsid w:val="00637B57"/>
    <w:rsid w:val="0064096A"/>
    <w:rsid w:val="00646D01"/>
    <w:rsid w:val="00653FB5"/>
    <w:rsid w:val="0066366A"/>
    <w:rsid w:val="006670E7"/>
    <w:rsid w:val="00675C5E"/>
    <w:rsid w:val="006838FB"/>
    <w:rsid w:val="006A0E4A"/>
    <w:rsid w:val="006E363F"/>
    <w:rsid w:val="006F37E3"/>
    <w:rsid w:val="00717332"/>
    <w:rsid w:val="007177BE"/>
    <w:rsid w:val="0073476D"/>
    <w:rsid w:val="007419F9"/>
    <w:rsid w:val="00743AB6"/>
    <w:rsid w:val="00755A62"/>
    <w:rsid w:val="00763BFA"/>
    <w:rsid w:val="007758F2"/>
    <w:rsid w:val="0078303C"/>
    <w:rsid w:val="007A3E17"/>
    <w:rsid w:val="007A4378"/>
    <w:rsid w:val="007D2EA1"/>
    <w:rsid w:val="007D3E27"/>
    <w:rsid w:val="007E27C0"/>
    <w:rsid w:val="007E4D4A"/>
    <w:rsid w:val="007F6B4A"/>
    <w:rsid w:val="0082005D"/>
    <w:rsid w:val="008704A9"/>
    <w:rsid w:val="00877CF9"/>
    <w:rsid w:val="00881623"/>
    <w:rsid w:val="008C0556"/>
    <w:rsid w:val="008C6ED0"/>
    <w:rsid w:val="008D12F6"/>
    <w:rsid w:val="008E374B"/>
    <w:rsid w:val="008E4651"/>
    <w:rsid w:val="008F6891"/>
    <w:rsid w:val="0095137B"/>
    <w:rsid w:val="00952B3B"/>
    <w:rsid w:val="00961C6B"/>
    <w:rsid w:val="00971DEE"/>
    <w:rsid w:val="009B2FE1"/>
    <w:rsid w:val="00A02B9B"/>
    <w:rsid w:val="00A04BF4"/>
    <w:rsid w:val="00A1250B"/>
    <w:rsid w:val="00A32071"/>
    <w:rsid w:val="00A32DFA"/>
    <w:rsid w:val="00A34A58"/>
    <w:rsid w:val="00A40455"/>
    <w:rsid w:val="00A539C8"/>
    <w:rsid w:val="00A5784B"/>
    <w:rsid w:val="00A973B0"/>
    <w:rsid w:val="00A97E8E"/>
    <w:rsid w:val="00AB0300"/>
    <w:rsid w:val="00AD1323"/>
    <w:rsid w:val="00AE68FE"/>
    <w:rsid w:val="00AF522A"/>
    <w:rsid w:val="00B5290C"/>
    <w:rsid w:val="00B55971"/>
    <w:rsid w:val="00B70F36"/>
    <w:rsid w:val="00B81FF2"/>
    <w:rsid w:val="00B907C7"/>
    <w:rsid w:val="00B921EE"/>
    <w:rsid w:val="00BA3988"/>
    <w:rsid w:val="00BD0865"/>
    <w:rsid w:val="00BE1D5B"/>
    <w:rsid w:val="00C160C2"/>
    <w:rsid w:val="00C33A33"/>
    <w:rsid w:val="00C35864"/>
    <w:rsid w:val="00C56943"/>
    <w:rsid w:val="00CA1529"/>
    <w:rsid w:val="00CB6153"/>
    <w:rsid w:val="00CB751E"/>
    <w:rsid w:val="00CD0CA7"/>
    <w:rsid w:val="00CE5C73"/>
    <w:rsid w:val="00D2634E"/>
    <w:rsid w:val="00D52EDD"/>
    <w:rsid w:val="00D726FB"/>
    <w:rsid w:val="00D74D93"/>
    <w:rsid w:val="00D879F4"/>
    <w:rsid w:val="00DB7ECB"/>
    <w:rsid w:val="00DC2794"/>
    <w:rsid w:val="00DE19D5"/>
    <w:rsid w:val="00E268B7"/>
    <w:rsid w:val="00E7359A"/>
    <w:rsid w:val="00E80CD6"/>
    <w:rsid w:val="00E86098"/>
    <w:rsid w:val="00E95B1C"/>
    <w:rsid w:val="00EB5AA0"/>
    <w:rsid w:val="00EB765E"/>
    <w:rsid w:val="00EF7BFD"/>
    <w:rsid w:val="00F219D9"/>
    <w:rsid w:val="00F2281F"/>
    <w:rsid w:val="00F230E6"/>
    <w:rsid w:val="00F901A6"/>
    <w:rsid w:val="00F950E9"/>
    <w:rsid w:val="00FD467C"/>
    <w:rsid w:val="00FE2F5F"/>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BE44C5"/>
  <w15:chartTrackingRefBased/>
  <w15:docId w15:val="{50FAEB7E-8ABC-4449-A094-F888FA9B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E0D"/>
    <w:pPr>
      <w:spacing w:after="0" w:line="240" w:lineRule="auto"/>
      <w:jc w:val="both"/>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BFD"/>
    <w:pPr>
      <w:spacing w:after="0" w:line="240" w:lineRule="auto"/>
    </w:pPr>
    <w:rPr>
      <w:rFonts w:eastAsiaTheme="minorEastAsia"/>
      <w:sz w:val="26"/>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7BFD"/>
    <w:rPr>
      <w:sz w:val="20"/>
      <w:szCs w:val="20"/>
    </w:rPr>
  </w:style>
  <w:style w:type="character" w:customStyle="1" w:styleId="FootnoteTextChar">
    <w:name w:val="Footnote Text Char"/>
    <w:basedOn w:val="DefaultParagraphFont"/>
    <w:link w:val="FootnoteText"/>
    <w:uiPriority w:val="99"/>
    <w:semiHidden/>
    <w:rsid w:val="00EF7BFD"/>
    <w:rPr>
      <w:rFonts w:eastAsia="Calibri" w:cs="Times New Roman"/>
      <w:sz w:val="20"/>
      <w:szCs w:val="20"/>
      <w:lang w:val="en-US"/>
    </w:rPr>
  </w:style>
  <w:style w:type="character" w:styleId="FootnoteReference">
    <w:name w:val="footnote reference"/>
    <w:basedOn w:val="DefaultParagraphFont"/>
    <w:uiPriority w:val="99"/>
    <w:semiHidden/>
    <w:unhideWhenUsed/>
    <w:rsid w:val="00EF7BFD"/>
    <w:rPr>
      <w:vertAlign w:val="superscript"/>
    </w:rPr>
  </w:style>
  <w:style w:type="paragraph" w:styleId="Footer">
    <w:name w:val="footer"/>
    <w:basedOn w:val="Normal"/>
    <w:link w:val="FooterChar"/>
    <w:uiPriority w:val="99"/>
    <w:unhideWhenUsed/>
    <w:rsid w:val="00EF7BFD"/>
    <w:pPr>
      <w:tabs>
        <w:tab w:val="center" w:pos="4513"/>
        <w:tab w:val="right" w:pos="9026"/>
      </w:tabs>
    </w:pPr>
  </w:style>
  <w:style w:type="character" w:customStyle="1" w:styleId="FooterChar">
    <w:name w:val="Footer Char"/>
    <w:basedOn w:val="DefaultParagraphFont"/>
    <w:link w:val="Footer"/>
    <w:uiPriority w:val="99"/>
    <w:rsid w:val="00EF7BFD"/>
    <w:rPr>
      <w:rFonts w:eastAsia="Calibri" w:cs="Times New Roman"/>
      <w:lang w:val="en-US"/>
    </w:rPr>
  </w:style>
  <w:style w:type="paragraph" w:customStyle="1" w:styleId="EndNoteBibliographyTitle">
    <w:name w:val="EndNote Bibliography Title"/>
    <w:basedOn w:val="Normal"/>
    <w:link w:val="EndNoteBibliographyTitleChar"/>
    <w:rsid w:val="00EF7BFD"/>
    <w:pPr>
      <w:jc w:val="center"/>
    </w:pPr>
    <w:rPr>
      <w:noProof/>
    </w:rPr>
  </w:style>
  <w:style w:type="character" w:customStyle="1" w:styleId="EndNoteBibliographyTitleChar">
    <w:name w:val="EndNote Bibliography Title Char"/>
    <w:basedOn w:val="DefaultParagraphFont"/>
    <w:link w:val="EndNoteBibliographyTitle"/>
    <w:rsid w:val="00EF7BFD"/>
    <w:rPr>
      <w:rFonts w:eastAsia="Calibri" w:cs="Times New Roman"/>
      <w:noProof/>
      <w:lang w:val="en-US"/>
    </w:rPr>
  </w:style>
  <w:style w:type="paragraph" w:customStyle="1" w:styleId="EndNoteBibliography">
    <w:name w:val="EndNote Bibliography"/>
    <w:basedOn w:val="Normal"/>
    <w:link w:val="EndNoteBibliographyChar"/>
    <w:rsid w:val="00EF7BFD"/>
    <w:rPr>
      <w:noProof/>
    </w:rPr>
  </w:style>
  <w:style w:type="character" w:customStyle="1" w:styleId="EndNoteBibliographyChar">
    <w:name w:val="EndNote Bibliography Char"/>
    <w:basedOn w:val="DefaultParagraphFont"/>
    <w:link w:val="EndNoteBibliography"/>
    <w:rsid w:val="00EF7BFD"/>
    <w:rPr>
      <w:rFonts w:eastAsia="Calibri" w:cs="Times New Roman"/>
      <w:noProof/>
      <w:lang w:val="en-US"/>
    </w:rPr>
  </w:style>
  <w:style w:type="character" w:styleId="Hyperlink">
    <w:name w:val="Hyperlink"/>
    <w:basedOn w:val="DefaultParagraphFont"/>
    <w:uiPriority w:val="99"/>
    <w:unhideWhenUsed/>
    <w:rsid w:val="00EF7BFD"/>
    <w:rPr>
      <w:color w:val="0563C1" w:themeColor="hyperlink"/>
      <w:u w:val="single"/>
    </w:rPr>
  </w:style>
  <w:style w:type="paragraph" w:styleId="Header">
    <w:name w:val="header"/>
    <w:basedOn w:val="Normal"/>
    <w:link w:val="HeaderChar"/>
    <w:uiPriority w:val="99"/>
    <w:unhideWhenUsed/>
    <w:rsid w:val="00DE19D5"/>
    <w:pPr>
      <w:tabs>
        <w:tab w:val="center" w:pos="4513"/>
        <w:tab w:val="right" w:pos="9026"/>
      </w:tabs>
    </w:pPr>
  </w:style>
  <w:style w:type="character" w:customStyle="1" w:styleId="HeaderChar">
    <w:name w:val="Header Char"/>
    <w:basedOn w:val="DefaultParagraphFont"/>
    <w:link w:val="Header"/>
    <w:uiPriority w:val="99"/>
    <w:rsid w:val="00DE19D5"/>
    <w:rPr>
      <w:rFonts w:eastAsia="Calibri" w:cs="Times New Roman"/>
      <w:lang w:val="en-US"/>
    </w:rPr>
  </w:style>
  <w:style w:type="character" w:styleId="UnresolvedMention">
    <w:name w:val="Unresolved Mention"/>
    <w:basedOn w:val="DefaultParagraphFont"/>
    <w:uiPriority w:val="99"/>
    <w:semiHidden/>
    <w:unhideWhenUsed/>
    <w:rsid w:val="007D3E27"/>
    <w:rPr>
      <w:color w:val="605E5C"/>
      <w:shd w:val="clear" w:color="auto" w:fill="E1DFDD"/>
    </w:rPr>
  </w:style>
  <w:style w:type="paragraph" w:styleId="Bibliography">
    <w:name w:val="Bibliography"/>
    <w:basedOn w:val="Normal"/>
    <w:next w:val="Normal"/>
    <w:uiPriority w:val="37"/>
    <w:unhideWhenUsed/>
    <w:rsid w:val="0095137B"/>
    <w:pPr>
      <w:spacing w:line="480" w:lineRule="auto"/>
      <w:ind w:left="720" w:hanging="720"/>
    </w:pPr>
  </w:style>
  <w:style w:type="paragraph" w:styleId="NormalWeb">
    <w:name w:val="Normal (Web)"/>
    <w:basedOn w:val="Normal"/>
    <w:uiPriority w:val="99"/>
    <w:unhideWhenUsed/>
    <w:rsid w:val="00A02B9B"/>
    <w:pPr>
      <w:spacing w:before="100" w:beforeAutospacing="1" w:after="100" w:afterAutospacing="1"/>
      <w:jc w:val="left"/>
    </w:pPr>
    <w:rPr>
      <w:rFonts w:eastAsia="Times New Roman"/>
      <w:sz w:val="24"/>
      <w:szCs w:val="24"/>
      <w:lang w:val="en-JM" w:eastAsia="en-GB"/>
    </w:rPr>
  </w:style>
  <w:style w:type="character" w:styleId="Strong">
    <w:name w:val="Strong"/>
    <w:basedOn w:val="DefaultParagraphFont"/>
    <w:uiPriority w:val="22"/>
    <w:qFormat/>
    <w:rsid w:val="00A02B9B"/>
    <w:rPr>
      <w:b/>
      <w:bCs/>
    </w:rPr>
  </w:style>
  <w:style w:type="character" w:styleId="CommentReference">
    <w:name w:val="annotation reference"/>
    <w:basedOn w:val="DefaultParagraphFont"/>
    <w:uiPriority w:val="99"/>
    <w:semiHidden/>
    <w:unhideWhenUsed/>
    <w:rsid w:val="004A7763"/>
    <w:rPr>
      <w:sz w:val="16"/>
      <w:szCs w:val="16"/>
    </w:rPr>
  </w:style>
  <w:style w:type="paragraph" w:styleId="CommentText">
    <w:name w:val="annotation text"/>
    <w:basedOn w:val="Normal"/>
    <w:link w:val="CommentTextChar"/>
    <w:uiPriority w:val="99"/>
    <w:semiHidden/>
    <w:unhideWhenUsed/>
    <w:rsid w:val="004A7763"/>
    <w:rPr>
      <w:sz w:val="20"/>
      <w:szCs w:val="20"/>
    </w:rPr>
  </w:style>
  <w:style w:type="character" w:customStyle="1" w:styleId="CommentTextChar">
    <w:name w:val="Comment Text Char"/>
    <w:basedOn w:val="DefaultParagraphFont"/>
    <w:link w:val="CommentText"/>
    <w:uiPriority w:val="99"/>
    <w:semiHidden/>
    <w:rsid w:val="004A7763"/>
    <w:rPr>
      <w:rFonts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A7763"/>
    <w:rPr>
      <w:b/>
      <w:bCs/>
    </w:rPr>
  </w:style>
  <w:style w:type="character" w:customStyle="1" w:styleId="CommentSubjectChar">
    <w:name w:val="Comment Subject Char"/>
    <w:basedOn w:val="CommentTextChar"/>
    <w:link w:val="CommentSubject"/>
    <w:uiPriority w:val="99"/>
    <w:semiHidden/>
    <w:rsid w:val="004A7763"/>
    <w:rPr>
      <w:rFonts w:eastAsia="Calibri" w:cs="Times New Roman"/>
      <w:b/>
      <w:bCs/>
      <w:sz w:val="20"/>
      <w:szCs w:val="20"/>
      <w:lang w:val="en-US"/>
    </w:rPr>
  </w:style>
  <w:style w:type="paragraph" w:styleId="Revision">
    <w:name w:val="Revision"/>
    <w:hidden/>
    <w:uiPriority w:val="99"/>
    <w:semiHidden/>
    <w:rsid w:val="002A745A"/>
    <w:pPr>
      <w:spacing w:after="0" w:line="240" w:lineRule="auto"/>
    </w:pPr>
    <w:rPr>
      <w:rFonts w:eastAsia="Calibri" w:cs="Times New Roman"/>
      <w:lang w:val="en-US"/>
    </w:rPr>
  </w:style>
  <w:style w:type="character" w:styleId="Emphasis">
    <w:name w:val="Emphasis"/>
    <w:basedOn w:val="DefaultParagraphFont"/>
    <w:uiPriority w:val="20"/>
    <w:qFormat/>
    <w:rsid w:val="00507DFF"/>
    <w:rPr>
      <w:i/>
      <w:iCs/>
    </w:rPr>
  </w:style>
  <w:style w:type="paragraph" w:styleId="BalloonText">
    <w:name w:val="Balloon Text"/>
    <w:basedOn w:val="Normal"/>
    <w:link w:val="BalloonTextChar"/>
    <w:uiPriority w:val="99"/>
    <w:semiHidden/>
    <w:unhideWhenUsed/>
    <w:rsid w:val="00451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4F8"/>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985742">
      <w:bodyDiv w:val="1"/>
      <w:marLeft w:val="0"/>
      <w:marRight w:val="0"/>
      <w:marTop w:val="0"/>
      <w:marBottom w:val="0"/>
      <w:divBdr>
        <w:top w:val="none" w:sz="0" w:space="0" w:color="auto"/>
        <w:left w:val="none" w:sz="0" w:space="0" w:color="auto"/>
        <w:bottom w:val="none" w:sz="0" w:space="0" w:color="auto"/>
        <w:right w:val="none" w:sz="0" w:space="0" w:color="auto"/>
      </w:divBdr>
    </w:div>
    <w:div w:id="375278578">
      <w:bodyDiv w:val="1"/>
      <w:marLeft w:val="0"/>
      <w:marRight w:val="0"/>
      <w:marTop w:val="0"/>
      <w:marBottom w:val="0"/>
      <w:divBdr>
        <w:top w:val="none" w:sz="0" w:space="0" w:color="auto"/>
        <w:left w:val="none" w:sz="0" w:space="0" w:color="auto"/>
        <w:bottom w:val="none" w:sz="0" w:space="0" w:color="auto"/>
        <w:right w:val="none" w:sz="0" w:space="0" w:color="auto"/>
      </w:divBdr>
    </w:div>
    <w:div w:id="587736468">
      <w:bodyDiv w:val="1"/>
      <w:marLeft w:val="0"/>
      <w:marRight w:val="0"/>
      <w:marTop w:val="0"/>
      <w:marBottom w:val="0"/>
      <w:divBdr>
        <w:top w:val="none" w:sz="0" w:space="0" w:color="auto"/>
        <w:left w:val="none" w:sz="0" w:space="0" w:color="auto"/>
        <w:bottom w:val="none" w:sz="0" w:space="0" w:color="auto"/>
        <w:right w:val="none" w:sz="0" w:space="0" w:color="auto"/>
      </w:divBdr>
    </w:div>
    <w:div w:id="758406067">
      <w:bodyDiv w:val="1"/>
      <w:marLeft w:val="0"/>
      <w:marRight w:val="0"/>
      <w:marTop w:val="0"/>
      <w:marBottom w:val="0"/>
      <w:divBdr>
        <w:top w:val="none" w:sz="0" w:space="0" w:color="auto"/>
        <w:left w:val="none" w:sz="0" w:space="0" w:color="auto"/>
        <w:bottom w:val="none" w:sz="0" w:space="0" w:color="auto"/>
        <w:right w:val="none" w:sz="0" w:space="0" w:color="auto"/>
      </w:divBdr>
      <w:divsChild>
        <w:div w:id="1944023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744374">
      <w:bodyDiv w:val="1"/>
      <w:marLeft w:val="0"/>
      <w:marRight w:val="0"/>
      <w:marTop w:val="0"/>
      <w:marBottom w:val="0"/>
      <w:divBdr>
        <w:top w:val="none" w:sz="0" w:space="0" w:color="auto"/>
        <w:left w:val="none" w:sz="0" w:space="0" w:color="auto"/>
        <w:bottom w:val="none" w:sz="0" w:space="0" w:color="auto"/>
        <w:right w:val="none" w:sz="0" w:space="0" w:color="auto"/>
      </w:divBdr>
    </w:div>
    <w:div w:id="1098215872">
      <w:bodyDiv w:val="1"/>
      <w:marLeft w:val="0"/>
      <w:marRight w:val="0"/>
      <w:marTop w:val="0"/>
      <w:marBottom w:val="0"/>
      <w:divBdr>
        <w:top w:val="none" w:sz="0" w:space="0" w:color="auto"/>
        <w:left w:val="none" w:sz="0" w:space="0" w:color="auto"/>
        <w:bottom w:val="none" w:sz="0" w:space="0" w:color="auto"/>
        <w:right w:val="none" w:sz="0" w:space="0" w:color="auto"/>
      </w:divBdr>
    </w:div>
    <w:div w:id="1182938514">
      <w:bodyDiv w:val="1"/>
      <w:marLeft w:val="0"/>
      <w:marRight w:val="0"/>
      <w:marTop w:val="0"/>
      <w:marBottom w:val="0"/>
      <w:divBdr>
        <w:top w:val="none" w:sz="0" w:space="0" w:color="auto"/>
        <w:left w:val="none" w:sz="0" w:space="0" w:color="auto"/>
        <w:bottom w:val="none" w:sz="0" w:space="0" w:color="auto"/>
        <w:right w:val="none" w:sz="0" w:space="0" w:color="auto"/>
      </w:divBdr>
    </w:div>
    <w:div w:id="1323004517">
      <w:bodyDiv w:val="1"/>
      <w:marLeft w:val="0"/>
      <w:marRight w:val="0"/>
      <w:marTop w:val="0"/>
      <w:marBottom w:val="0"/>
      <w:divBdr>
        <w:top w:val="none" w:sz="0" w:space="0" w:color="auto"/>
        <w:left w:val="none" w:sz="0" w:space="0" w:color="auto"/>
        <w:bottom w:val="none" w:sz="0" w:space="0" w:color="auto"/>
        <w:right w:val="none" w:sz="0" w:space="0" w:color="auto"/>
      </w:divBdr>
      <w:divsChild>
        <w:div w:id="1248730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049495">
      <w:bodyDiv w:val="1"/>
      <w:marLeft w:val="0"/>
      <w:marRight w:val="0"/>
      <w:marTop w:val="0"/>
      <w:marBottom w:val="0"/>
      <w:divBdr>
        <w:top w:val="none" w:sz="0" w:space="0" w:color="auto"/>
        <w:left w:val="none" w:sz="0" w:space="0" w:color="auto"/>
        <w:bottom w:val="none" w:sz="0" w:space="0" w:color="auto"/>
        <w:right w:val="none" w:sz="0" w:space="0" w:color="auto"/>
      </w:divBdr>
    </w:div>
    <w:div w:id="2031560376">
      <w:bodyDiv w:val="1"/>
      <w:marLeft w:val="0"/>
      <w:marRight w:val="0"/>
      <w:marTop w:val="0"/>
      <w:marBottom w:val="0"/>
      <w:divBdr>
        <w:top w:val="none" w:sz="0" w:space="0" w:color="auto"/>
        <w:left w:val="none" w:sz="0" w:space="0" w:color="auto"/>
        <w:bottom w:val="none" w:sz="0" w:space="0" w:color="auto"/>
        <w:right w:val="none" w:sz="0" w:space="0" w:color="auto"/>
      </w:divBdr>
    </w:div>
    <w:div w:id="204644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Users\nguyenngoctrung\Downloads\Figure1_Satisfaction_by_Ethnic_Grou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Hmong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Very satisfied</c:v>
                </c:pt>
                <c:pt idx="1">
                  <c:v>Satisfied</c:v>
                </c:pt>
                <c:pt idx="2">
                  <c:v>Dissatisfied</c:v>
                </c:pt>
              </c:strCache>
            </c:strRef>
          </c:cat>
          <c:val>
            <c:numRef>
              <c:f>Sheet1!$B$2:$B$4</c:f>
              <c:numCache>
                <c:formatCode>General</c:formatCode>
                <c:ptCount val="3"/>
                <c:pt idx="0">
                  <c:v>0.3</c:v>
                </c:pt>
                <c:pt idx="1">
                  <c:v>64</c:v>
                </c:pt>
                <c:pt idx="2">
                  <c:v>33</c:v>
                </c:pt>
              </c:numCache>
            </c:numRef>
          </c:val>
          <c:extLst>
            <c:ext xmlns:c16="http://schemas.microsoft.com/office/drawing/2014/chart" uri="{C3380CC4-5D6E-409C-BE32-E72D297353CC}">
              <c16:uniqueId val="{00000000-B2F8-F14B-97F6-123D366790A8}"/>
            </c:ext>
          </c:extLst>
        </c:ser>
        <c:ser>
          <c:idx val="1"/>
          <c:order val="1"/>
          <c:tx>
            <c:strRef>
              <c:f>Sheet1!$C$1</c:f>
              <c:strCache>
                <c:ptCount val="1"/>
                <c:pt idx="0">
                  <c:v>Tay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Very satisfied</c:v>
                </c:pt>
                <c:pt idx="1">
                  <c:v>Satisfied</c:v>
                </c:pt>
                <c:pt idx="2">
                  <c:v>Dissatisfied</c:v>
                </c:pt>
              </c:strCache>
            </c:strRef>
          </c:cat>
          <c:val>
            <c:numRef>
              <c:f>Sheet1!$C$2:$C$4</c:f>
              <c:numCache>
                <c:formatCode>General</c:formatCode>
                <c:ptCount val="3"/>
                <c:pt idx="0">
                  <c:v>0.8</c:v>
                </c:pt>
                <c:pt idx="1">
                  <c:v>61</c:v>
                </c:pt>
                <c:pt idx="2">
                  <c:v>29</c:v>
                </c:pt>
              </c:numCache>
            </c:numRef>
          </c:val>
          <c:extLst>
            <c:ext xmlns:c16="http://schemas.microsoft.com/office/drawing/2014/chart" uri="{C3380CC4-5D6E-409C-BE32-E72D297353CC}">
              <c16:uniqueId val="{00000001-B2F8-F14B-97F6-123D366790A8}"/>
            </c:ext>
          </c:extLst>
        </c:ser>
        <c:dLbls>
          <c:dLblPos val="inEnd"/>
          <c:showLegendKey val="0"/>
          <c:showVal val="1"/>
          <c:showCatName val="0"/>
          <c:showSerName val="0"/>
          <c:showPercent val="0"/>
          <c:showBubbleSize val="0"/>
        </c:dLbls>
        <c:gapWidth val="100"/>
        <c:overlap val="-24"/>
        <c:axId val="1302422144"/>
        <c:axId val="1302423792"/>
      </c:barChart>
      <c:catAx>
        <c:axId val="13024221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02423792"/>
        <c:crosses val="autoZero"/>
        <c:auto val="1"/>
        <c:lblAlgn val="ctr"/>
        <c:lblOffset val="100"/>
        <c:noMultiLvlLbl val="0"/>
      </c:catAx>
      <c:valAx>
        <c:axId val="13024237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0242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Sheet1!$J$13</c:f>
              <c:strCache>
                <c:ptCount val="1"/>
                <c:pt idx="0">
                  <c:v>Tay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Sheet1!$I$14:$I$17</c:f>
              <c:strCache>
                <c:ptCount val="4"/>
                <c:pt idx="0">
                  <c:v>Fully meets needs and allows for savings</c:v>
                </c:pt>
                <c:pt idx="1">
                  <c:v>Meets needs just sufficiently</c:v>
                </c:pt>
                <c:pt idx="2">
                  <c:v>Does not meet needs, causes difficulties</c:v>
                </c:pt>
                <c:pt idx="3">
                  <c:v>Does not meet needs, causes many difficulties</c:v>
                </c:pt>
              </c:strCache>
            </c:strRef>
          </c:cat>
          <c:val>
            <c:numRef>
              <c:f>Sheet1!$J$14:$J$17</c:f>
              <c:numCache>
                <c:formatCode>0.00%</c:formatCode>
                <c:ptCount val="4"/>
                <c:pt idx="0">
                  <c:v>0.08</c:v>
                </c:pt>
                <c:pt idx="1">
                  <c:v>0.56730000000000003</c:v>
                </c:pt>
                <c:pt idx="2">
                  <c:v>0.32269999999999999</c:v>
                </c:pt>
                <c:pt idx="3">
                  <c:v>0.03</c:v>
                </c:pt>
              </c:numCache>
            </c:numRef>
          </c:val>
          <c:extLst>
            <c:ext xmlns:c16="http://schemas.microsoft.com/office/drawing/2014/chart" uri="{C3380CC4-5D6E-409C-BE32-E72D297353CC}">
              <c16:uniqueId val="{00000000-D870-4605-A905-6D2B41AA07A4}"/>
            </c:ext>
          </c:extLst>
        </c:ser>
        <c:ser>
          <c:idx val="1"/>
          <c:order val="1"/>
          <c:tx>
            <c:strRef>
              <c:f>Sheet1!$K$13</c:f>
              <c:strCache>
                <c:ptCount val="1"/>
                <c:pt idx="0">
                  <c:v>Hmong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Sheet1!$I$14:$I$17</c:f>
              <c:strCache>
                <c:ptCount val="4"/>
                <c:pt idx="0">
                  <c:v>Fully meets needs and allows for savings</c:v>
                </c:pt>
                <c:pt idx="1">
                  <c:v>Meets needs just sufficiently</c:v>
                </c:pt>
                <c:pt idx="2">
                  <c:v>Does not meet needs, causes difficulties</c:v>
                </c:pt>
                <c:pt idx="3">
                  <c:v>Does not meet needs, causes many difficulties</c:v>
                </c:pt>
              </c:strCache>
            </c:strRef>
          </c:cat>
          <c:val>
            <c:numRef>
              <c:f>Sheet1!$K$14:$K$17</c:f>
              <c:numCache>
                <c:formatCode>0.00%</c:formatCode>
                <c:ptCount val="4"/>
                <c:pt idx="0">
                  <c:v>0</c:v>
                </c:pt>
                <c:pt idx="1">
                  <c:v>0.55730000000000002</c:v>
                </c:pt>
                <c:pt idx="2">
                  <c:v>0.31730000000000003</c:v>
                </c:pt>
                <c:pt idx="3">
                  <c:v>2.8799999999999999E-2</c:v>
                </c:pt>
              </c:numCache>
            </c:numRef>
          </c:val>
          <c:extLst>
            <c:ext xmlns:c16="http://schemas.microsoft.com/office/drawing/2014/chart" uri="{C3380CC4-5D6E-409C-BE32-E72D297353CC}">
              <c16:uniqueId val="{00000001-D870-4605-A905-6D2B41AA07A4}"/>
            </c:ext>
          </c:extLst>
        </c:ser>
        <c:dLbls>
          <c:dLblPos val="outEnd"/>
          <c:showLegendKey val="0"/>
          <c:showVal val="1"/>
          <c:showCatName val="0"/>
          <c:showSerName val="0"/>
          <c:showPercent val="0"/>
          <c:showBubbleSize val="0"/>
        </c:dLbls>
        <c:gapWidth val="219"/>
        <c:overlap val="-27"/>
        <c:axId val="1859170864"/>
        <c:axId val="1859163376"/>
      </c:barChart>
      <c:catAx>
        <c:axId val="185917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163376"/>
        <c:crosses val="autoZero"/>
        <c:auto val="1"/>
        <c:lblAlgn val="ctr"/>
        <c:lblOffset val="100"/>
        <c:noMultiLvlLbl val="0"/>
      </c:catAx>
      <c:valAx>
        <c:axId val="1859163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917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3615-1F86-4925-ABDF-4E02B9E7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23</Pages>
  <Words>14711</Words>
  <Characters>83858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Editor-11</cp:lastModifiedBy>
  <cp:revision>51</cp:revision>
  <dcterms:created xsi:type="dcterms:W3CDTF">2025-08-20T14:37:00Z</dcterms:created>
  <dcterms:modified xsi:type="dcterms:W3CDTF">2025-09-25T08:42:00Z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id="McZIHyXX"/&gt;&lt;style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