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6AFEB" w14:textId="77777777" w:rsidR="00FF3034" w:rsidRPr="003B1D3A" w:rsidRDefault="00FF3034" w:rsidP="003B1D3A">
      <w:pPr>
        <w:spacing w:before="100" w:beforeAutospacing="1" w:after="100" w:afterAutospacing="1"/>
        <w:jc w:val="both"/>
        <w:rPr>
          <w:rFonts w:ascii="Times New Roman" w:eastAsia="SimSun" w:hAnsi="Times New Roman" w:cs="Times New Roman"/>
          <w:sz w:val="24"/>
          <w:lang w:val="en-US"/>
        </w:rPr>
      </w:pPr>
      <w:proofErr w:type="gramStart"/>
      <w:r w:rsidRPr="003B1D3A">
        <w:rPr>
          <w:rFonts w:ascii="Times New Roman" w:eastAsia="SimSun" w:hAnsi="Times New Roman" w:cs="Times New Roman"/>
          <w:sz w:val="24"/>
          <w:lang w:val="en-US"/>
        </w:rPr>
        <w:t xml:space="preserve">“Agro-Economic Evaluation of Lime and </w:t>
      </w:r>
      <w:r w:rsidRPr="003B1D3A">
        <w:rPr>
          <w:rStyle w:val="Accentuation"/>
          <w:rFonts w:ascii="Times New Roman" w:eastAsia="SimSun" w:hAnsi="Times New Roman" w:cs="Times New Roman"/>
          <w:sz w:val="24"/>
          <w:lang w:val="en-US"/>
        </w:rPr>
        <w:t>Tithonia diversifolia</w:t>
      </w:r>
      <w:r w:rsidRPr="003B1D3A">
        <w:rPr>
          <w:rFonts w:ascii="Times New Roman" w:eastAsia="SimSun" w:hAnsi="Times New Roman" w:cs="Times New Roman"/>
          <w:sz w:val="24"/>
          <w:lang w:val="en-US"/>
        </w:rPr>
        <w:t xml:space="preserve"> Biomass for Reducing Empty Pods in Groundnut on Acidic </w:t>
      </w:r>
      <w:proofErr w:type="spellStart"/>
      <w:r w:rsidRPr="003B1D3A">
        <w:rPr>
          <w:rFonts w:ascii="Times New Roman" w:eastAsia="SimSun" w:hAnsi="Times New Roman" w:cs="Times New Roman"/>
          <w:sz w:val="24"/>
          <w:lang w:val="en-US"/>
        </w:rPr>
        <w:t>Ferralsols</w:t>
      </w:r>
      <w:proofErr w:type="spellEnd"/>
      <w:r w:rsidRPr="003B1D3A">
        <w:rPr>
          <w:rFonts w:ascii="Times New Roman" w:eastAsia="SimSun" w:hAnsi="Times New Roman" w:cs="Times New Roman"/>
          <w:sz w:val="24"/>
          <w:lang w:val="en-US"/>
        </w:rPr>
        <w:t xml:space="preserve"> of Kenge, DRC.”</w:t>
      </w:r>
      <w:proofErr w:type="gramEnd"/>
    </w:p>
    <w:p w14:paraId="0FBD20FF" w14:textId="54478ABC" w:rsidR="00EF0B57" w:rsidRPr="003B1D3A" w:rsidRDefault="00BD262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Abstract</w:t>
      </w:r>
    </w:p>
    <w:p w14:paraId="65A7962D" w14:textId="77777777" w:rsidR="00BD2627" w:rsidRPr="003B1D3A" w:rsidRDefault="00BD262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This study investigated the effects of lime and </w:t>
      </w:r>
      <w:r w:rsidRPr="003B1D3A">
        <w:rPr>
          <w:rFonts w:ascii="Times New Roman" w:eastAsia="Times New Roman" w:hAnsi="Times New Roman" w:cs="Times New Roman"/>
          <w:i/>
          <w:sz w:val="24"/>
          <w:szCs w:val="24"/>
          <w:lang w:val="en-US" w:eastAsia="fr-FR"/>
        </w:rPr>
        <w:t>Tithonia diversifolia</w:t>
      </w:r>
      <w:r w:rsidRPr="003B1D3A">
        <w:rPr>
          <w:rFonts w:ascii="Times New Roman" w:eastAsia="Times New Roman" w:hAnsi="Times New Roman" w:cs="Times New Roman"/>
          <w:sz w:val="24"/>
          <w:szCs w:val="24"/>
          <w:lang w:val="en-US" w:eastAsia="fr-FR"/>
        </w:rPr>
        <w:t xml:space="preserve"> leaf biomass on the reduction of empty pods in groundnut (</w:t>
      </w:r>
      <w:proofErr w:type="spellStart"/>
      <w:r w:rsidRPr="003B1D3A">
        <w:rPr>
          <w:rFonts w:ascii="Times New Roman" w:eastAsia="Times New Roman" w:hAnsi="Times New Roman" w:cs="Times New Roman"/>
          <w:sz w:val="24"/>
          <w:szCs w:val="24"/>
          <w:lang w:val="en-US" w:eastAsia="fr-FR"/>
        </w:rPr>
        <w:t>Arachis</w:t>
      </w:r>
      <w:proofErr w:type="spellEnd"/>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hypogaea</w:t>
      </w:r>
      <w:proofErr w:type="spellEnd"/>
      <w:r w:rsidRPr="003B1D3A">
        <w:rPr>
          <w:rFonts w:ascii="Times New Roman" w:eastAsia="Times New Roman" w:hAnsi="Times New Roman" w:cs="Times New Roman"/>
          <w:sz w:val="24"/>
          <w:szCs w:val="24"/>
          <w:lang w:val="en-US" w:eastAsia="fr-FR"/>
        </w:rPr>
        <w:t xml:space="preserve"> L.) grown on acidic sandy soils in the grassland savanna of Kenge, Democratic Republic of Congo. A 2 × 3 factorial split-plot design with three replicates was used. Factor 1 consisted of two groundnut varieties (Local and G17), and factor 2 included soil amendments: lime, </w:t>
      </w:r>
      <w:r w:rsidRPr="003B1D3A">
        <w:rPr>
          <w:rFonts w:ascii="Times New Roman" w:eastAsia="Times New Roman" w:hAnsi="Times New Roman" w:cs="Times New Roman"/>
          <w:i/>
          <w:sz w:val="24"/>
          <w:szCs w:val="24"/>
          <w:lang w:val="en-US" w:eastAsia="fr-FR"/>
        </w:rPr>
        <w:t>T. diversifolia</w:t>
      </w:r>
      <w:r w:rsidRPr="003B1D3A">
        <w:rPr>
          <w:rFonts w:ascii="Times New Roman" w:eastAsia="Times New Roman" w:hAnsi="Times New Roman" w:cs="Times New Roman"/>
          <w:sz w:val="24"/>
          <w:szCs w:val="24"/>
          <w:lang w:val="en-US" w:eastAsia="fr-FR"/>
        </w:rPr>
        <w:t xml:space="preserve"> leaves, and an untreated control. The experiment was conducted at the Faculty of Agronomic and Environmental Sciences, University of </w:t>
      </w:r>
      <w:proofErr w:type="spellStart"/>
      <w:r w:rsidRPr="003B1D3A">
        <w:rPr>
          <w:rFonts w:ascii="Times New Roman" w:eastAsia="Times New Roman" w:hAnsi="Times New Roman" w:cs="Times New Roman"/>
          <w:sz w:val="24"/>
          <w:szCs w:val="24"/>
          <w:lang w:val="en-US" w:eastAsia="fr-FR"/>
        </w:rPr>
        <w:t>Kwango</w:t>
      </w:r>
      <w:proofErr w:type="spellEnd"/>
      <w:r w:rsidRPr="003B1D3A">
        <w:rPr>
          <w:rFonts w:ascii="Times New Roman" w:eastAsia="Times New Roman" w:hAnsi="Times New Roman" w:cs="Times New Roman"/>
          <w:sz w:val="24"/>
          <w:szCs w:val="24"/>
          <w:lang w:val="en-US" w:eastAsia="fr-FR"/>
        </w:rPr>
        <w:t xml:space="preserve"> (4°50’10.4’’ S, 17°01’23.8’’ E; 532 m </w:t>
      </w:r>
      <w:proofErr w:type="spellStart"/>
      <w:r w:rsidRPr="003B1D3A">
        <w:rPr>
          <w:rFonts w:ascii="Times New Roman" w:eastAsia="Times New Roman" w:hAnsi="Times New Roman" w:cs="Times New Roman"/>
          <w:sz w:val="24"/>
          <w:szCs w:val="24"/>
          <w:lang w:val="en-US" w:eastAsia="fr-FR"/>
        </w:rPr>
        <w:t>a.s.l</w:t>
      </w:r>
      <w:proofErr w:type="spellEnd"/>
      <w:r w:rsidRPr="003B1D3A">
        <w:rPr>
          <w:rFonts w:ascii="Times New Roman" w:eastAsia="Times New Roman" w:hAnsi="Times New Roman" w:cs="Times New Roman"/>
          <w:sz w:val="24"/>
          <w:szCs w:val="24"/>
          <w:lang w:val="en-US" w:eastAsia="fr-FR"/>
        </w:rPr>
        <w:t>.).</w:t>
      </w:r>
    </w:p>
    <w:p w14:paraId="69391762" w14:textId="77777777" w:rsidR="00BD2627" w:rsidRPr="003B1D3A" w:rsidRDefault="00BD262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Results showed significant differences among treatments for dry pod yield, number of empty pods, 1000-seed weight, and dry seed yield. Dry pod yields were 4.0 t·ha⁻¹ with lime, 3.8 t·ha⁻¹ in the control, and 3.6 t·ha⁻¹ with Tithonia amendment (LSD₀.₀₅ = 0.66 t·ha⁻¹, P </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0.01, CV = 15.7%). Dry seed yields ranged from 2.4 t·ha⁻¹ to 2.5 t·ha⁻¹, with 2.5 t·ha⁻¹ for lime, and 2.4 t·ha⁻¹ for both control and Tithonia (LSD₀.₀₅ = 0.67 t·ha⁻¹, P </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0.05, CV = 23.9%). Empty pod formation averaged 5 pods per plant in the control, 0.5 with lime, and 3 with Tithonia (LSD₀.₀₅ = 0.33, P </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0.01, CV = 0.78).</w:t>
      </w:r>
    </w:p>
    <w:p w14:paraId="139987D1" w14:textId="7805887A" w:rsidR="00A75482" w:rsidRPr="003B1D3A" w:rsidRDefault="00A75482" w:rsidP="003B1D3A">
      <w:pPr>
        <w:spacing w:before="100" w:beforeAutospacing="1" w:after="100" w:afterAutospacing="1"/>
        <w:jc w:val="both"/>
        <w:rPr>
          <w:rFonts w:ascii="Times New Roman" w:hAnsi="Times New Roman" w:cs="Times New Roman"/>
          <w:sz w:val="24"/>
          <w:szCs w:val="24"/>
          <w:lang w:val="en-US"/>
        </w:rPr>
      </w:pPr>
      <w:r w:rsidRPr="003B1D3A">
        <w:rPr>
          <w:rFonts w:ascii="Times New Roman" w:hAnsi="Times New Roman" w:cs="Times New Roman"/>
          <w:sz w:val="24"/>
          <w:szCs w:val="24"/>
          <w:lang w:val="en-US"/>
        </w:rPr>
        <w:t>Economic analysis based on the marginal rate of return (MRR) and cost–benefit ratio (CBR) confirmed the advantage of lime application, with MRR values of 2.31 for the Local variety and 0.61 for G17, both exceeding the conventional adoption threshold of 0.5. Likewise, the cost–benefit ratio was most favorable for agricultural lime application in the Local variety, with a CBR equal to or greater than 1, demonstrating its economic viability. These findings clearly indicate that lime application not only reduces empty pod formation and increases groundnut yield but also provides a profitable return on investment, thereby supporting its recommendation for farmers cultivating groundnuts on acidic sandy soils.</w:t>
      </w:r>
    </w:p>
    <w:p w14:paraId="7B3F06CF" w14:textId="03FC102F" w:rsidR="00EF0B57" w:rsidRPr="003B1D3A" w:rsidRDefault="00EF0B57" w:rsidP="003B1D3A">
      <w:pPr>
        <w:spacing w:before="100" w:beforeAutospacing="1" w:after="100" w:afterAutospacing="1"/>
        <w:jc w:val="both"/>
        <w:rPr>
          <w:rFonts w:ascii="Times New Roman" w:eastAsia="Times New Roman" w:hAnsi="Times New Roman" w:cs="Times New Roman"/>
          <w:i/>
          <w:sz w:val="24"/>
          <w:szCs w:val="24"/>
          <w:lang w:val="en-US" w:eastAsia="fr-FR"/>
        </w:rPr>
      </w:pPr>
      <w:r w:rsidRPr="003B1D3A">
        <w:rPr>
          <w:rFonts w:ascii="Times New Roman" w:eastAsia="Times New Roman" w:hAnsi="Times New Roman" w:cs="Times New Roman"/>
          <w:i/>
          <w:sz w:val="24"/>
          <w:szCs w:val="24"/>
          <w:lang w:val="en-US" w:eastAsia="fr-FR"/>
        </w:rPr>
        <w:t>Key words: Lime, Tithonia diversifolia, acidic soil, calcium; peanut</w:t>
      </w:r>
    </w:p>
    <w:p w14:paraId="3BF52DC8" w14:textId="77777777" w:rsidR="00BD2627" w:rsidRPr="003B1D3A" w:rsidRDefault="00BD2627" w:rsidP="003B1D3A">
      <w:pPr>
        <w:pStyle w:val="Titre2"/>
        <w:spacing w:line="276" w:lineRule="auto"/>
        <w:jc w:val="both"/>
        <w:rPr>
          <w:sz w:val="24"/>
          <w:szCs w:val="24"/>
          <w:lang w:val="en-US"/>
        </w:rPr>
      </w:pPr>
      <w:r w:rsidRPr="003B1D3A">
        <w:rPr>
          <w:sz w:val="24"/>
          <w:szCs w:val="24"/>
          <w:lang w:val="en-US"/>
        </w:rPr>
        <w:t>Introduction</w:t>
      </w:r>
    </w:p>
    <w:p w14:paraId="47EA31CA" w14:textId="77777777" w:rsidR="00BD2627" w:rsidRPr="003B1D3A" w:rsidRDefault="00BD2627" w:rsidP="003B1D3A">
      <w:pPr>
        <w:pStyle w:val="NormalWeb"/>
        <w:spacing w:line="276" w:lineRule="auto"/>
        <w:jc w:val="both"/>
        <w:rPr>
          <w:lang w:val="en-US"/>
        </w:rPr>
      </w:pPr>
      <w:r w:rsidRPr="003B1D3A">
        <w:rPr>
          <w:lang w:val="en-US"/>
        </w:rPr>
        <w:t>Groundnut (</w:t>
      </w:r>
      <w:proofErr w:type="spellStart"/>
      <w:r w:rsidRPr="003B1D3A">
        <w:rPr>
          <w:lang w:val="en-US"/>
        </w:rPr>
        <w:t>Arachis</w:t>
      </w:r>
      <w:proofErr w:type="spellEnd"/>
      <w:r w:rsidRPr="003B1D3A">
        <w:rPr>
          <w:lang w:val="en-US"/>
        </w:rPr>
        <w:t xml:space="preserve"> </w:t>
      </w:r>
      <w:proofErr w:type="spellStart"/>
      <w:r w:rsidRPr="003B1D3A">
        <w:rPr>
          <w:lang w:val="en-US"/>
        </w:rPr>
        <w:t>hypogaea</w:t>
      </w:r>
      <w:proofErr w:type="spellEnd"/>
      <w:r w:rsidRPr="003B1D3A">
        <w:rPr>
          <w:lang w:val="en-US"/>
        </w:rPr>
        <w:t xml:space="preserve"> L.) is an oil-protein crop that plays a major role in global food security, particularly in developing countries. It is among the five most important oilseeds produced worldwide (Fletcher &amp; Shi, 2016). In 2020, the global shell production of groundnut averaged 53.6 million </w:t>
      </w:r>
      <w:proofErr w:type="spellStart"/>
      <w:r w:rsidRPr="003B1D3A">
        <w:rPr>
          <w:lang w:val="en-US"/>
        </w:rPr>
        <w:t>tonnes</w:t>
      </w:r>
      <w:proofErr w:type="spellEnd"/>
      <w:r w:rsidRPr="003B1D3A">
        <w:rPr>
          <w:lang w:val="en-US"/>
        </w:rPr>
        <w:t xml:space="preserve"> (FAO, 2022), with China being the largest producer, accounting for approximately 34% of the annual global output (Civil, 2022).</w:t>
      </w:r>
    </w:p>
    <w:p w14:paraId="7E84EDF1" w14:textId="2799B17E" w:rsidR="00BD2627" w:rsidRPr="003B1D3A" w:rsidRDefault="00BD2627" w:rsidP="003B1D3A">
      <w:pPr>
        <w:pStyle w:val="NormalWeb"/>
        <w:spacing w:line="276" w:lineRule="auto"/>
        <w:jc w:val="both"/>
        <w:rPr>
          <w:lang w:val="en-US"/>
        </w:rPr>
      </w:pPr>
      <w:r w:rsidRPr="003B1D3A">
        <w:rPr>
          <w:lang w:val="en-US"/>
        </w:rPr>
        <w:t xml:space="preserve">Groundnut is cultivated in over 100 countries across tropical, subtropical, and warm temperate regions (Sharma </w:t>
      </w:r>
      <w:r w:rsidRPr="003B1D3A">
        <w:rPr>
          <w:i/>
          <w:lang w:val="en-US"/>
        </w:rPr>
        <w:t>et al</w:t>
      </w:r>
      <w:r w:rsidRPr="003B1D3A">
        <w:rPr>
          <w:lang w:val="en-US"/>
        </w:rPr>
        <w:t xml:space="preserve">., 2006; </w:t>
      </w:r>
      <w:proofErr w:type="spellStart"/>
      <w:r w:rsidRPr="003B1D3A">
        <w:rPr>
          <w:lang w:val="en-US"/>
        </w:rPr>
        <w:t>Guchi</w:t>
      </w:r>
      <w:proofErr w:type="spellEnd"/>
      <w:r w:rsidRPr="003B1D3A">
        <w:rPr>
          <w:lang w:val="en-US"/>
        </w:rPr>
        <w:t xml:space="preserve"> </w:t>
      </w:r>
      <w:r w:rsidRPr="003B1D3A">
        <w:rPr>
          <w:i/>
          <w:lang w:val="en-US"/>
        </w:rPr>
        <w:t>et al</w:t>
      </w:r>
      <w:r w:rsidRPr="003B1D3A">
        <w:rPr>
          <w:lang w:val="en-US"/>
        </w:rPr>
        <w:t xml:space="preserve">., 2014). It is the fourth most important oilseed crop globally, both for domestic consumption and for trade (Christie </w:t>
      </w:r>
      <w:r w:rsidRPr="003B1D3A">
        <w:rPr>
          <w:i/>
          <w:lang w:val="en-US"/>
        </w:rPr>
        <w:t>et al</w:t>
      </w:r>
      <w:r w:rsidRPr="003B1D3A">
        <w:rPr>
          <w:lang w:val="en-US"/>
        </w:rPr>
        <w:t>., 201</w:t>
      </w:r>
      <w:r w:rsidR="00531C6D" w:rsidRPr="003B1D3A">
        <w:rPr>
          <w:lang w:val="en-US"/>
        </w:rPr>
        <w:t>5</w:t>
      </w:r>
      <w:r w:rsidRPr="003B1D3A">
        <w:rPr>
          <w:lang w:val="en-US"/>
        </w:rPr>
        <w:t>). In addition, by-products such as meal and haulms are widely used as animal feed (</w:t>
      </w:r>
      <w:proofErr w:type="spellStart"/>
      <w:r w:rsidRPr="003B1D3A">
        <w:rPr>
          <w:lang w:val="en-US"/>
        </w:rPr>
        <w:t>Marloire</w:t>
      </w:r>
      <w:proofErr w:type="spellEnd"/>
      <w:r w:rsidRPr="003B1D3A">
        <w:rPr>
          <w:lang w:val="en-US"/>
        </w:rPr>
        <w:t xml:space="preserve">, 2020). Groundnut also contributes to crop rotation systems due to its beneficial residual </w:t>
      </w:r>
      <w:r w:rsidRPr="003B1D3A">
        <w:rPr>
          <w:lang w:val="en-US"/>
        </w:rPr>
        <w:lastRenderedPageBreak/>
        <w:t>effects on soil fertility (</w:t>
      </w:r>
      <w:proofErr w:type="spellStart"/>
      <w:r w:rsidRPr="003B1D3A">
        <w:rPr>
          <w:lang w:val="en-US"/>
        </w:rPr>
        <w:t>Hamasselbe</w:t>
      </w:r>
      <w:proofErr w:type="spellEnd"/>
      <w:r w:rsidRPr="003B1D3A">
        <w:rPr>
          <w:lang w:val="en-US"/>
        </w:rPr>
        <w:t xml:space="preserve">, 2008). Global production of unshelled groundnut is estimated at 48.75 million </w:t>
      </w:r>
      <w:proofErr w:type="spellStart"/>
      <w:r w:rsidRPr="003B1D3A">
        <w:rPr>
          <w:lang w:val="en-US"/>
        </w:rPr>
        <w:t>tonnes</w:t>
      </w:r>
      <w:proofErr w:type="spellEnd"/>
      <w:r w:rsidRPr="003B1D3A">
        <w:rPr>
          <w:lang w:val="en-US"/>
        </w:rPr>
        <w:t>, with Africa and Asia accounting for 34.12% and 55.</w:t>
      </w:r>
      <w:r w:rsidR="00531C6D" w:rsidRPr="003B1D3A">
        <w:rPr>
          <w:lang w:val="en-US"/>
        </w:rPr>
        <w:t>89%, respectively (FAOSTAT, 2022</w:t>
      </w:r>
      <w:r w:rsidRPr="003B1D3A">
        <w:rPr>
          <w:lang w:val="en-US"/>
        </w:rPr>
        <w:t>).</w:t>
      </w:r>
    </w:p>
    <w:p w14:paraId="5D2F9E5D" w14:textId="58EB5D4C" w:rsidR="002B7797" w:rsidRPr="003B1D3A" w:rsidRDefault="00BD2627" w:rsidP="003B1D3A">
      <w:pPr>
        <w:spacing w:after="160"/>
        <w:jc w:val="both"/>
        <w:rPr>
          <w:rFonts w:ascii="Times New Roman" w:hAnsi="Times New Roman" w:cs="Times New Roman"/>
          <w:sz w:val="24"/>
          <w:szCs w:val="24"/>
          <w:lang w:val="en-US"/>
        </w:rPr>
      </w:pPr>
      <w:r w:rsidRPr="003B1D3A">
        <w:rPr>
          <w:rFonts w:ascii="Times New Roman" w:hAnsi="Times New Roman" w:cs="Times New Roman"/>
          <w:sz w:val="24"/>
          <w:szCs w:val="24"/>
          <w:lang w:val="en-US"/>
        </w:rPr>
        <w:t>Groundnut production is limited by multiple constraints, both biotic and abiotic. Among the biotic factors, viral diseases—such as peanut rosette—can cause yield losses up to 100%. Several other viral and bacterial infections also affect productivity. Abiotic constraints are generally linked to tropical soil conditions and are responsible for significant yield losses. Soil acidity negatively affects nodulation, leading to a reduction in nodule number and an increase in non-f</w:t>
      </w:r>
      <w:r w:rsidR="00531C6D" w:rsidRPr="003B1D3A">
        <w:rPr>
          <w:rFonts w:ascii="Times New Roman" w:hAnsi="Times New Roman" w:cs="Times New Roman"/>
          <w:sz w:val="24"/>
          <w:szCs w:val="24"/>
          <w:lang w:val="en-US"/>
        </w:rPr>
        <w:t>unctional nodules (</w:t>
      </w:r>
      <w:proofErr w:type="spellStart"/>
      <w:r w:rsidR="00531C6D" w:rsidRPr="003B1D3A">
        <w:rPr>
          <w:rFonts w:ascii="Times New Roman" w:hAnsi="Times New Roman" w:cs="Times New Roman"/>
          <w:sz w:val="24"/>
          <w:szCs w:val="24"/>
          <w:lang w:val="en-US"/>
        </w:rPr>
        <w:t>Halidou</w:t>
      </w:r>
      <w:proofErr w:type="spellEnd"/>
      <w:r w:rsidR="00531C6D" w:rsidRPr="003B1D3A">
        <w:rPr>
          <w:rFonts w:ascii="Times New Roman" w:hAnsi="Times New Roman" w:cs="Times New Roman"/>
          <w:sz w:val="24"/>
          <w:szCs w:val="24"/>
          <w:lang w:val="en-US"/>
        </w:rPr>
        <w:t>, 2012</w:t>
      </w:r>
      <w:r w:rsidRPr="003B1D3A">
        <w:rPr>
          <w:rFonts w:ascii="Times New Roman" w:hAnsi="Times New Roman" w:cs="Times New Roman"/>
          <w:sz w:val="24"/>
          <w:szCs w:val="24"/>
          <w:lang w:val="en-US"/>
        </w:rPr>
        <w:t>). Tropical soils are often highly acidic due to aggressive climate conditions characterized by intense rainfall, which causes significant leaching of mineral elements from the rhizosphere</w:t>
      </w:r>
      <w:r w:rsidR="002B7797" w:rsidRPr="003B1D3A">
        <w:rPr>
          <w:rFonts w:ascii="Times New Roman" w:hAnsi="Times New Roman" w:cs="Times New Roman"/>
          <w:sz w:val="24"/>
          <w:szCs w:val="24"/>
          <w:lang w:val="en-US"/>
        </w:rPr>
        <w:t>. Also,</w:t>
      </w:r>
      <w:r w:rsidRPr="003B1D3A">
        <w:rPr>
          <w:rFonts w:ascii="Times New Roman" w:hAnsi="Times New Roman" w:cs="Times New Roman"/>
          <w:sz w:val="24"/>
          <w:szCs w:val="24"/>
          <w:lang w:val="en-US"/>
        </w:rPr>
        <w:t xml:space="preserve"> high diurnal temperatures that accelerate organic matter mineralization (Ndonda, 2018)</w:t>
      </w:r>
      <w:r w:rsidR="002B7797" w:rsidRPr="003B1D3A">
        <w:rPr>
          <w:rFonts w:ascii="Times New Roman" w:hAnsi="Times New Roman" w:cs="Times New Roman"/>
          <w:sz w:val="24"/>
          <w:szCs w:val="24"/>
          <w:lang w:val="en-US"/>
        </w:rPr>
        <w:t xml:space="preserve"> and calcium is one of the important soil nutrients required by groundnuts (Hamza </w:t>
      </w:r>
      <w:r w:rsidR="002B7797" w:rsidRPr="003B1D3A">
        <w:rPr>
          <w:rFonts w:ascii="Times New Roman" w:hAnsi="Times New Roman" w:cs="Times New Roman"/>
          <w:i/>
          <w:sz w:val="24"/>
          <w:szCs w:val="24"/>
          <w:lang w:val="en-US"/>
        </w:rPr>
        <w:t>et al</w:t>
      </w:r>
      <w:r w:rsidR="002B7797" w:rsidRPr="003B1D3A">
        <w:rPr>
          <w:rFonts w:ascii="Times New Roman" w:hAnsi="Times New Roman" w:cs="Times New Roman"/>
          <w:sz w:val="24"/>
          <w:szCs w:val="24"/>
          <w:lang w:val="en-US"/>
        </w:rPr>
        <w:t>., 2023) and is needed for both vegetative growth and normal healthy pod development.</w:t>
      </w:r>
    </w:p>
    <w:p w14:paraId="12729E31" w14:textId="77777777" w:rsidR="00BD2627" w:rsidRPr="003B1D3A" w:rsidRDefault="00BD2627" w:rsidP="003B1D3A">
      <w:pPr>
        <w:pStyle w:val="NormalWeb"/>
        <w:spacing w:line="276" w:lineRule="auto"/>
        <w:jc w:val="both"/>
        <w:rPr>
          <w:lang w:val="en-US"/>
        </w:rPr>
      </w:pPr>
      <w:r w:rsidRPr="003B1D3A">
        <w:rPr>
          <w:lang w:val="en-US"/>
        </w:rPr>
        <w:t xml:space="preserve">In the DRC, groundnut seeds are mostly sold as dry pods, and quality is assessed based on seed size and the number of empty pods. The occurrence of empty pods becomes especially critical when groundnuts are shelled for sale as dry seeds. This study aims to establish a relationship between acidic tropical soils, as found in the Kenge region, and the prevalence of empty pods in groundnut. Lime was applied to correct soil pH and provide calcium, while organic amendment in the form of </w:t>
      </w:r>
      <w:r w:rsidRPr="003B1D3A">
        <w:rPr>
          <w:i/>
          <w:lang w:val="en-US"/>
        </w:rPr>
        <w:t>Tithonia diversifolia</w:t>
      </w:r>
      <w:r w:rsidRPr="003B1D3A">
        <w:rPr>
          <w:lang w:val="en-US"/>
        </w:rPr>
        <w:t xml:space="preserve"> leaf biomass was used to improve soil organic matter content.</w:t>
      </w:r>
    </w:p>
    <w:p w14:paraId="70342F9A" w14:textId="762B019E" w:rsidR="00291FE1" w:rsidRPr="003B1D3A" w:rsidRDefault="00291FE1" w:rsidP="003B1D3A">
      <w:pPr>
        <w:pStyle w:val="Titre2"/>
        <w:spacing w:line="276" w:lineRule="auto"/>
        <w:jc w:val="both"/>
        <w:rPr>
          <w:sz w:val="24"/>
          <w:szCs w:val="24"/>
          <w:lang w:val="en-US"/>
        </w:rPr>
      </w:pPr>
      <w:r w:rsidRPr="003B1D3A">
        <w:rPr>
          <w:sz w:val="24"/>
          <w:szCs w:val="24"/>
          <w:lang w:val="en-US"/>
        </w:rPr>
        <w:t>Materials, and Methods</w:t>
      </w:r>
    </w:p>
    <w:p w14:paraId="28B68771" w14:textId="77777777" w:rsidR="00291FE1" w:rsidRPr="003B1D3A" w:rsidRDefault="00BD2627" w:rsidP="003B1D3A">
      <w:pPr>
        <w:pStyle w:val="Titre2"/>
        <w:spacing w:line="276" w:lineRule="auto"/>
        <w:jc w:val="both"/>
        <w:rPr>
          <w:sz w:val="24"/>
          <w:szCs w:val="24"/>
          <w:lang w:val="en-US"/>
        </w:rPr>
      </w:pPr>
      <w:r w:rsidRPr="003B1D3A">
        <w:rPr>
          <w:sz w:val="24"/>
          <w:szCs w:val="24"/>
          <w:lang w:val="en-US"/>
        </w:rPr>
        <w:t xml:space="preserve">Study Area, </w:t>
      </w:r>
    </w:p>
    <w:p w14:paraId="683DDB9C" w14:textId="77777777" w:rsidR="00BD2627" w:rsidRPr="003B1D3A" w:rsidRDefault="00BD2627" w:rsidP="003B1D3A">
      <w:pPr>
        <w:pStyle w:val="NormalWeb"/>
        <w:spacing w:line="276" w:lineRule="auto"/>
        <w:jc w:val="both"/>
        <w:rPr>
          <w:lang w:val="en-US"/>
        </w:rPr>
      </w:pPr>
      <w:r w:rsidRPr="003B1D3A">
        <w:rPr>
          <w:lang w:val="en-US"/>
        </w:rPr>
        <w:t xml:space="preserve">The study was conducted in the experimental field of the Faculty of Agronomic and Environmental Sciences at the new site of the University of </w:t>
      </w:r>
      <w:proofErr w:type="spellStart"/>
      <w:r w:rsidRPr="003B1D3A">
        <w:rPr>
          <w:lang w:val="en-US"/>
        </w:rPr>
        <w:t>Kwango</w:t>
      </w:r>
      <w:proofErr w:type="spellEnd"/>
      <w:r w:rsidRPr="003B1D3A">
        <w:rPr>
          <w:lang w:val="en-US"/>
        </w:rPr>
        <w:t>. The geographical coordinates of this site are 4°50’10.4’’ S latitude and 17°01’23.795’’ E longitude, at an altitude of 532 m above sea level.</w:t>
      </w:r>
    </w:p>
    <w:p w14:paraId="281ED4D4" w14:textId="57A22942" w:rsidR="00BD2627" w:rsidRPr="003B1D3A" w:rsidRDefault="00BD2627" w:rsidP="003B1D3A">
      <w:pPr>
        <w:pStyle w:val="NormalWeb"/>
        <w:spacing w:line="276" w:lineRule="auto"/>
        <w:jc w:val="both"/>
        <w:rPr>
          <w:lang w:val="en-US"/>
        </w:rPr>
      </w:pPr>
      <w:r w:rsidRPr="003B1D3A">
        <w:rPr>
          <w:lang w:val="en-US"/>
        </w:rPr>
        <w:t>According to the Köppen classification, Kenge is located in a tropical humid climate zone of type AW3, characterized by two main seasons: a dry season from mid-May to mid-September and a rainy season from mid-September to mid-May. The rainy season is interrupted by a short dry period between January and February. The average annual temperature ranges from 23 to 27 °C, with maximum temperatures around 30 °C and</w:t>
      </w:r>
      <w:r w:rsidR="00371758" w:rsidRPr="003B1D3A">
        <w:rPr>
          <w:lang w:val="en-US"/>
        </w:rPr>
        <w:t xml:space="preserve"> minimum temperatures of 19 °C.</w:t>
      </w:r>
      <w:r w:rsidR="00FF3034" w:rsidRPr="003B1D3A">
        <w:rPr>
          <w:lang w:val="en-US"/>
        </w:rPr>
        <w:t xml:space="preserve"> </w:t>
      </w:r>
      <w:r w:rsidRPr="003B1D3A">
        <w:rPr>
          <w:lang w:val="en-US"/>
        </w:rPr>
        <w:t xml:space="preserve">The average annual rainfall is approximately 1,600 mm (FAO – </w:t>
      </w:r>
      <w:proofErr w:type="spellStart"/>
      <w:r w:rsidRPr="003B1D3A">
        <w:rPr>
          <w:lang w:val="en-US"/>
        </w:rPr>
        <w:t>New_LocClim</w:t>
      </w:r>
      <w:proofErr w:type="spellEnd"/>
      <w:r w:rsidRPr="003B1D3A">
        <w:rPr>
          <w:lang w:val="en-US"/>
        </w:rPr>
        <w:t xml:space="preserve"> estimator). The prevailing winds are the constant trade winds blowing from east to west (</w:t>
      </w:r>
      <w:proofErr w:type="spellStart"/>
      <w:r w:rsidRPr="003B1D3A">
        <w:rPr>
          <w:lang w:val="en-US"/>
        </w:rPr>
        <w:t>Mitianga</w:t>
      </w:r>
      <w:proofErr w:type="spellEnd"/>
      <w:r w:rsidRPr="003B1D3A">
        <w:rPr>
          <w:lang w:val="en-US"/>
        </w:rPr>
        <w:t>, 2022).</w:t>
      </w:r>
    </w:p>
    <w:p w14:paraId="41D784BC" w14:textId="77777777" w:rsidR="00BD2627" w:rsidRPr="003B1D3A" w:rsidRDefault="00BD2627" w:rsidP="003B1D3A">
      <w:pPr>
        <w:pStyle w:val="NormalWeb"/>
        <w:spacing w:line="276" w:lineRule="auto"/>
        <w:jc w:val="both"/>
        <w:rPr>
          <w:lang w:val="en-US"/>
        </w:rPr>
      </w:pPr>
      <w:r w:rsidRPr="003B1D3A">
        <w:rPr>
          <w:lang w:val="en-US"/>
        </w:rPr>
        <w:t xml:space="preserve">Soils in Kenge are predominantly sandy (ranging from sandy-loam to sandy-clay) with </w:t>
      </w:r>
      <w:proofErr w:type="gramStart"/>
      <w:r w:rsidRPr="003B1D3A">
        <w:rPr>
          <w:lang w:val="en-US"/>
        </w:rPr>
        <w:t>an</w:t>
      </w:r>
      <w:proofErr w:type="gramEnd"/>
      <w:r w:rsidRPr="003B1D3A">
        <w:rPr>
          <w:lang w:val="en-US"/>
        </w:rPr>
        <w:t xml:space="preserve"> clay content below 20%. They are light-textured soils, with a loose, poorly cohesive structure, unstable aggregates, and high susceptibility to erosion. These soils are highly porous and permeable, allowing good infiltration but with low water retention capacity. They are red to reddish-brown in color due to iron oxide accumulation (</w:t>
      </w:r>
      <w:proofErr w:type="spellStart"/>
      <w:r w:rsidRPr="003B1D3A">
        <w:rPr>
          <w:lang w:val="en-US"/>
        </w:rPr>
        <w:t>laterization</w:t>
      </w:r>
      <w:proofErr w:type="spellEnd"/>
      <w:r w:rsidRPr="003B1D3A">
        <w:rPr>
          <w:lang w:val="en-US"/>
        </w:rPr>
        <w:t xml:space="preserve">) and are generally deep (several meters). However, the upper horizons are depleted due to leaching. The soils are acidic to very acidic, with pH values ranging from 4.5 to 5.5. They are typical </w:t>
      </w:r>
      <w:proofErr w:type="spellStart"/>
      <w:r w:rsidRPr="003B1D3A">
        <w:rPr>
          <w:lang w:val="en-US"/>
        </w:rPr>
        <w:t>Ferralsols</w:t>
      </w:r>
      <w:proofErr w:type="spellEnd"/>
      <w:r w:rsidRPr="003B1D3A">
        <w:rPr>
          <w:lang w:val="en-US"/>
        </w:rPr>
        <w:t xml:space="preserve"> with low cation exchange capacity (CEC </w:t>
      </w:r>
      <w:r w:rsidR="00DD05EB" w:rsidRPr="003B1D3A">
        <w:rPr>
          <w:lang w:val="en-US"/>
        </w:rPr>
        <w:t>=</w:t>
      </w:r>
      <w:r w:rsidRPr="003B1D3A">
        <w:rPr>
          <w:lang w:val="en-US"/>
        </w:rPr>
        <w:t>10 </w:t>
      </w:r>
      <w:proofErr w:type="spellStart"/>
      <w:r w:rsidRPr="003B1D3A">
        <w:rPr>
          <w:lang w:val="en-US"/>
        </w:rPr>
        <w:t>meq</w:t>
      </w:r>
      <w:proofErr w:type="spellEnd"/>
      <w:r w:rsidRPr="003B1D3A">
        <w:rPr>
          <w:lang w:val="en-US"/>
        </w:rPr>
        <w:t xml:space="preserve">/100 g of soil) and are relatively nutrient-poor. Organic matter content is low (often </w:t>
      </w:r>
      <w:r w:rsidR="00DD05EB" w:rsidRPr="003B1D3A">
        <w:rPr>
          <w:lang w:val="en-US"/>
        </w:rPr>
        <w:t>=</w:t>
      </w:r>
      <w:r w:rsidRPr="003B1D3A">
        <w:rPr>
          <w:lang w:val="en-US"/>
        </w:rPr>
        <w:t>2% in the surface horizon) due to rapid mineralization under hot and humid conditions. These soils are deficient in nitrogen (N), phosphorus (P), and potassium (K), but rich in iron (Fe) and aluminum (Al), which can reach toxic concentrations. Calcium (Ca), magnesium (Mg), and exchangeable bases are low, and base saturation is below 30%.</w:t>
      </w:r>
    </w:p>
    <w:p w14:paraId="531D8A45" w14:textId="6A6DA459" w:rsidR="00D90235" w:rsidRPr="003B1D3A" w:rsidRDefault="00D90235" w:rsidP="003B1D3A">
      <w:pPr>
        <w:pStyle w:val="NormalWeb"/>
        <w:spacing w:line="276" w:lineRule="auto"/>
        <w:jc w:val="both"/>
        <w:rPr>
          <w:rStyle w:val="lev"/>
          <w:b w:val="0"/>
          <w:lang w:val="en-US"/>
        </w:rPr>
      </w:pPr>
      <w:r w:rsidRPr="003B1D3A">
        <w:rPr>
          <w:lang w:val="en-US"/>
        </w:rPr>
        <w:t>The soil data collected prior to the experiment are presented in Table 1 below.</w:t>
      </w:r>
    </w:p>
    <w:p w14:paraId="2DA12170" w14:textId="2F4E505C" w:rsidR="009107EF" w:rsidRPr="003B1D3A" w:rsidRDefault="00D90235" w:rsidP="003B1D3A">
      <w:pPr>
        <w:pStyle w:val="NormalWeb"/>
        <w:spacing w:line="276" w:lineRule="auto"/>
        <w:jc w:val="both"/>
        <w:rPr>
          <w:lang w:val="en-US"/>
        </w:rPr>
      </w:pPr>
      <w:proofErr w:type="gramStart"/>
      <w:r w:rsidRPr="003B1D3A">
        <w:rPr>
          <w:rStyle w:val="lev"/>
          <w:b w:val="0"/>
          <w:lang w:val="en-US"/>
        </w:rPr>
        <w:t>Table 1.</w:t>
      </w:r>
      <w:proofErr w:type="gramEnd"/>
      <w:r w:rsidRPr="003B1D3A">
        <w:rPr>
          <w:rStyle w:val="lev"/>
          <w:b w:val="0"/>
          <w:lang w:val="en-US"/>
        </w:rPr>
        <w:t xml:space="preserve"> </w:t>
      </w:r>
      <w:proofErr w:type="spellStart"/>
      <w:r w:rsidRPr="003B1D3A">
        <w:rPr>
          <w:rStyle w:val="lev"/>
          <w:b w:val="0"/>
          <w:lang w:val="en-US"/>
        </w:rPr>
        <w:t>Physico</w:t>
      </w:r>
      <w:proofErr w:type="spellEnd"/>
      <w:r w:rsidRPr="003B1D3A">
        <w:rPr>
          <w:rStyle w:val="lev"/>
          <w:b w:val="0"/>
          <w:lang w:val="en-US"/>
        </w:rPr>
        <w:t>-chemical properties of the experimental site soil before the start of the trial.</w:t>
      </w:r>
    </w:p>
    <w:tbl>
      <w:tblPr>
        <w:tblW w:w="907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5"/>
        <w:gridCol w:w="621"/>
        <w:gridCol w:w="761"/>
        <w:gridCol w:w="700"/>
        <w:gridCol w:w="766"/>
        <w:gridCol w:w="720"/>
        <w:gridCol w:w="720"/>
        <w:gridCol w:w="990"/>
        <w:gridCol w:w="720"/>
        <w:gridCol w:w="540"/>
        <w:gridCol w:w="540"/>
        <w:gridCol w:w="630"/>
      </w:tblGrid>
      <w:tr w:rsidR="00D90235" w:rsidRPr="003B1D3A" w14:paraId="54BC92BA" w14:textId="77777777" w:rsidTr="00D90235">
        <w:trPr>
          <w:trHeight w:val="1860"/>
        </w:trPr>
        <w:tc>
          <w:tcPr>
            <w:tcW w:w="1365" w:type="dxa"/>
            <w:shd w:val="clear" w:color="auto" w:fill="auto"/>
            <w:vAlign w:val="center"/>
            <w:hideMark/>
          </w:tcPr>
          <w:p w14:paraId="17A746B8" w14:textId="77777777" w:rsidR="00D90235" w:rsidRPr="003B1D3A" w:rsidRDefault="00D90235" w:rsidP="003B1D3A">
            <w:pPr>
              <w:spacing w:after="0"/>
              <w:jc w:val="center"/>
              <w:rPr>
                <w:rFonts w:ascii="Times New Roman" w:eastAsia="Times New Roman" w:hAnsi="Times New Roman" w:cs="Times New Roman"/>
                <w:b/>
                <w:bCs/>
                <w:color w:val="000000"/>
                <w:sz w:val="18"/>
                <w:szCs w:val="24"/>
                <w:lang w:val="en-US" w:eastAsia="fr-FR"/>
              </w:rPr>
            </w:pPr>
            <w:r w:rsidRPr="003B1D3A">
              <w:rPr>
                <w:rFonts w:ascii="Times New Roman" w:eastAsia="Times New Roman" w:hAnsi="Times New Roman" w:cs="Times New Roman"/>
                <w:b/>
                <w:bCs/>
                <w:color w:val="000000"/>
                <w:sz w:val="18"/>
                <w:szCs w:val="24"/>
                <w:lang w:val="en-US" w:eastAsia="fr-FR"/>
              </w:rPr>
              <w:t>Parameter</w:t>
            </w:r>
          </w:p>
        </w:tc>
        <w:tc>
          <w:tcPr>
            <w:tcW w:w="621" w:type="dxa"/>
            <w:shd w:val="clear" w:color="auto" w:fill="auto"/>
            <w:vAlign w:val="center"/>
            <w:hideMark/>
          </w:tcPr>
          <w:p w14:paraId="0750B7B2" w14:textId="0B3730C0"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pH (H₂O)</w:t>
            </w:r>
          </w:p>
        </w:tc>
        <w:tc>
          <w:tcPr>
            <w:tcW w:w="761" w:type="dxa"/>
            <w:shd w:val="clear" w:color="auto" w:fill="auto"/>
            <w:vAlign w:val="center"/>
            <w:hideMark/>
          </w:tcPr>
          <w:p w14:paraId="3EA3D9A4"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Cation Exchange Capacity (CEC) cmol(+) kg⁻¹</w:t>
            </w:r>
          </w:p>
        </w:tc>
        <w:tc>
          <w:tcPr>
            <w:tcW w:w="700" w:type="dxa"/>
            <w:shd w:val="clear" w:color="auto" w:fill="auto"/>
            <w:vAlign w:val="center"/>
            <w:hideMark/>
          </w:tcPr>
          <w:p w14:paraId="2EE14856"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 Total Nitrogen (N)</w:t>
            </w:r>
          </w:p>
        </w:tc>
        <w:tc>
          <w:tcPr>
            <w:tcW w:w="766" w:type="dxa"/>
            <w:shd w:val="clear" w:color="auto" w:fill="auto"/>
            <w:vAlign w:val="center"/>
            <w:hideMark/>
          </w:tcPr>
          <w:p w14:paraId="13A0EA54"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Available Phosphorus (P) - ppm</w:t>
            </w:r>
          </w:p>
        </w:tc>
        <w:tc>
          <w:tcPr>
            <w:tcW w:w="720" w:type="dxa"/>
            <w:shd w:val="clear" w:color="auto" w:fill="auto"/>
            <w:vAlign w:val="center"/>
            <w:hideMark/>
          </w:tcPr>
          <w:p w14:paraId="1F4A5F40"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Exchangeable Potassium (K) cmol(+) kg⁻¹</w:t>
            </w:r>
          </w:p>
        </w:tc>
        <w:tc>
          <w:tcPr>
            <w:tcW w:w="720" w:type="dxa"/>
            <w:shd w:val="clear" w:color="auto" w:fill="auto"/>
            <w:vAlign w:val="center"/>
            <w:hideMark/>
          </w:tcPr>
          <w:p w14:paraId="0334DFB6"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Exchangeable Calcium (Ca) cmol(+) kg⁻¹</w:t>
            </w:r>
          </w:p>
        </w:tc>
        <w:tc>
          <w:tcPr>
            <w:tcW w:w="990" w:type="dxa"/>
            <w:shd w:val="clear" w:color="auto" w:fill="auto"/>
            <w:vAlign w:val="center"/>
            <w:hideMark/>
          </w:tcPr>
          <w:p w14:paraId="1E770B35"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Exchangeable Magnesium (Mg) cmol(+) kg⁻¹</w:t>
            </w:r>
          </w:p>
        </w:tc>
        <w:tc>
          <w:tcPr>
            <w:tcW w:w="720" w:type="dxa"/>
            <w:shd w:val="clear" w:color="auto" w:fill="auto"/>
            <w:vAlign w:val="center"/>
            <w:hideMark/>
          </w:tcPr>
          <w:p w14:paraId="57F5ABAC"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Exchangeable Sodium (Na) cmol(+) kg⁻¹</w:t>
            </w:r>
          </w:p>
        </w:tc>
        <w:tc>
          <w:tcPr>
            <w:tcW w:w="540" w:type="dxa"/>
            <w:shd w:val="clear" w:color="auto" w:fill="auto"/>
            <w:vAlign w:val="center"/>
            <w:hideMark/>
          </w:tcPr>
          <w:p w14:paraId="06C7D7E7"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Clay</w:t>
            </w:r>
          </w:p>
        </w:tc>
        <w:tc>
          <w:tcPr>
            <w:tcW w:w="540" w:type="dxa"/>
            <w:shd w:val="clear" w:color="auto" w:fill="auto"/>
            <w:vAlign w:val="center"/>
            <w:hideMark/>
          </w:tcPr>
          <w:p w14:paraId="3BB27A68"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Silt</w:t>
            </w:r>
          </w:p>
        </w:tc>
        <w:tc>
          <w:tcPr>
            <w:tcW w:w="630" w:type="dxa"/>
            <w:shd w:val="clear" w:color="auto" w:fill="auto"/>
            <w:vAlign w:val="center"/>
            <w:hideMark/>
          </w:tcPr>
          <w:p w14:paraId="490EB82E"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Sand</w:t>
            </w:r>
          </w:p>
        </w:tc>
      </w:tr>
      <w:tr w:rsidR="00D90235" w:rsidRPr="003B1D3A" w14:paraId="6CB9F3B4" w14:textId="77777777" w:rsidTr="00D90235">
        <w:trPr>
          <w:trHeight w:val="620"/>
        </w:trPr>
        <w:tc>
          <w:tcPr>
            <w:tcW w:w="1365" w:type="dxa"/>
            <w:shd w:val="clear" w:color="auto" w:fill="auto"/>
            <w:vAlign w:val="center"/>
            <w:hideMark/>
          </w:tcPr>
          <w:p w14:paraId="6155D77D" w14:textId="77777777" w:rsidR="00D90235" w:rsidRPr="003B1D3A" w:rsidRDefault="00D90235" w:rsidP="003B1D3A">
            <w:pPr>
              <w:spacing w:after="0"/>
              <w:jc w:val="center"/>
              <w:rPr>
                <w:rFonts w:ascii="Times New Roman" w:eastAsia="Times New Roman" w:hAnsi="Times New Roman" w:cs="Times New Roman"/>
                <w:b/>
                <w:bCs/>
                <w:color w:val="000000"/>
                <w:sz w:val="18"/>
                <w:szCs w:val="24"/>
                <w:lang w:val="en-US" w:eastAsia="fr-FR"/>
              </w:rPr>
            </w:pPr>
            <w:r w:rsidRPr="003B1D3A">
              <w:rPr>
                <w:rFonts w:ascii="Times New Roman" w:eastAsia="Times New Roman" w:hAnsi="Times New Roman" w:cs="Times New Roman"/>
                <w:b/>
                <w:bCs/>
                <w:color w:val="000000"/>
                <w:sz w:val="18"/>
                <w:szCs w:val="24"/>
                <w:lang w:val="en-US" w:eastAsia="fr-FR"/>
              </w:rPr>
              <w:t>Value</w:t>
            </w:r>
          </w:p>
        </w:tc>
        <w:tc>
          <w:tcPr>
            <w:tcW w:w="621" w:type="dxa"/>
            <w:shd w:val="clear" w:color="auto" w:fill="auto"/>
            <w:vAlign w:val="center"/>
            <w:hideMark/>
          </w:tcPr>
          <w:p w14:paraId="3538C228" w14:textId="5E67FB40" w:rsidR="00D90235" w:rsidRPr="003B1D3A" w:rsidRDefault="003B1D3A" w:rsidP="003B1D3A">
            <w:pPr>
              <w:spacing w:after="0"/>
              <w:jc w:val="center"/>
              <w:rPr>
                <w:rFonts w:ascii="Times New Roman" w:eastAsia="Times New Roman" w:hAnsi="Times New Roman" w:cs="Times New Roman"/>
                <w:color w:val="000000"/>
                <w:sz w:val="18"/>
                <w:szCs w:val="24"/>
                <w:lang w:val="en-US" w:eastAsia="fr-FR"/>
              </w:rPr>
            </w:pPr>
            <w:r>
              <w:rPr>
                <w:rFonts w:ascii="Times New Roman" w:eastAsia="Times New Roman" w:hAnsi="Times New Roman" w:cs="Times New Roman"/>
                <w:color w:val="000000"/>
                <w:sz w:val="18"/>
                <w:szCs w:val="24"/>
                <w:lang w:val="en-US" w:eastAsia="fr-FR"/>
              </w:rPr>
              <w:t xml:space="preserve">5 </w:t>
            </w:r>
          </w:p>
        </w:tc>
        <w:tc>
          <w:tcPr>
            <w:tcW w:w="761" w:type="dxa"/>
            <w:shd w:val="clear" w:color="auto" w:fill="auto"/>
            <w:vAlign w:val="center"/>
            <w:hideMark/>
          </w:tcPr>
          <w:p w14:paraId="5D7D5A03"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15</w:t>
            </w:r>
          </w:p>
        </w:tc>
        <w:tc>
          <w:tcPr>
            <w:tcW w:w="700" w:type="dxa"/>
            <w:shd w:val="clear" w:color="auto" w:fill="auto"/>
            <w:vAlign w:val="center"/>
            <w:hideMark/>
          </w:tcPr>
          <w:p w14:paraId="2CF30AFE"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0.1</w:t>
            </w:r>
          </w:p>
        </w:tc>
        <w:tc>
          <w:tcPr>
            <w:tcW w:w="766" w:type="dxa"/>
            <w:shd w:val="clear" w:color="auto" w:fill="auto"/>
            <w:vAlign w:val="center"/>
            <w:hideMark/>
          </w:tcPr>
          <w:p w14:paraId="02F98D51"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3.5</w:t>
            </w:r>
          </w:p>
        </w:tc>
        <w:tc>
          <w:tcPr>
            <w:tcW w:w="720" w:type="dxa"/>
            <w:shd w:val="clear" w:color="auto" w:fill="auto"/>
            <w:vAlign w:val="center"/>
            <w:hideMark/>
          </w:tcPr>
          <w:p w14:paraId="3AAF0423"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0.17</w:t>
            </w:r>
          </w:p>
        </w:tc>
        <w:tc>
          <w:tcPr>
            <w:tcW w:w="720" w:type="dxa"/>
            <w:shd w:val="clear" w:color="auto" w:fill="auto"/>
            <w:vAlign w:val="center"/>
            <w:hideMark/>
          </w:tcPr>
          <w:p w14:paraId="673E96E5"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3.2</w:t>
            </w:r>
          </w:p>
        </w:tc>
        <w:tc>
          <w:tcPr>
            <w:tcW w:w="990" w:type="dxa"/>
            <w:shd w:val="clear" w:color="auto" w:fill="auto"/>
            <w:vAlign w:val="center"/>
            <w:hideMark/>
          </w:tcPr>
          <w:p w14:paraId="672FBA69"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1.5</w:t>
            </w:r>
          </w:p>
        </w:tc>
        <w:tc>
          <w:tcPr>
            <w:tcW w:w="720" w:type="dxa"/>
            <w:shd w:val="clear" w:color="auto" w:fill="auto"/>
            <w:vAlign w:val="center"/>
            <w:hideMark/>
          </w:tcPr>
          <w:p w14:paraId="2D0F4B93"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0.05</w:t>
            </w:r>
          </w:p>
        </w:tc>
        <w:tc>
          <w:tcPr>
            <w:tcW w:w="540" w:type="dxa"/>
            <w:shd w:val="clear" w:color="auto" w:fill="auto"/>
            <w:vAlign w:val="center"/>
            <w:hideMark/>
          </w:tcPr>
          <w:p w14:paraId="3ED322CA"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20</w:t>
            </w:r>
          </w:p>
        </w:tc>
        <w:tc>
          <w:tcPr>
            <w:tcW w:w="540" w:type="dxa"/>
            <w:shd w:val="clear" w:color="auto" w:fill="auto"/>
            <w:vAlign w:val="center"/>
            <w:hideMark/>
          </w:tcPr>
          <w:p w14:paraId="44EA77CC"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20</w:t>
            </w:r>
          </w:p>
        </w:tc>
        <w:tc>
          <w:tcPr>
            <w:tcW w:w="630" w:type="dxa"/>
            <w:shd w:val="clear" w:color="auto" w:fill="auto"/>
            <w:vAlign w:val="center"/>
            <w:hideMark/>
          </w:tcPr>
          <w:p w14:paraId="7202B3D5"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60</w:t>
            </w:r>
          </w:p>
        </w:tc>
      </w:tr>
    </w:tbl>
    <w:p w14:paraId="040BF139" w14:textId="77777777" w:rsidR="00BD2627" w:rsidRPr="003B1D3A" w:rsidRDefault="00BD2627" w:rsidP="003B1D3A">
      <w:pPr>
        <w:pStyle w:val="NormalWeb"/>
        <w:spacing w:line="276" w:lineRule="auto"/>
        <w:jc w:val="both"/>
        <w:rPr>
          <w:lang w:val="en-US"/>
        </w:rPr>
      </w:pPr>
      <w:r w:rsidRPr="003B1D3A">
        <w:rPr>
          <w:lang w:val="en-US"/>
        </w:rPr>
        <w:t xml:space="preserve">The Kenge region is dominated by two main types of vegetation: grassland savanna and shrub savanna. The grassland savanna mainly consists of perennial grasses such as </w:t>
      </w:r>
      <w:proofErr w:type="spellStart"/>
      <w:r w:rsidRPr="003B1D3A">
        <w:rPr>
          <w:rStyle w:val="Accentuation"/>
          <w:lang w:val="en-US"/>
        </w:rPr>
        <w:t>Panicum</w:t>
      </w:r>
      <w:proofErr w:type="spellEnd"/>
      <w:r w:rsidRPr="003B1D3A">
        <w:rPr>
          <w:lang w:val="en-US"/>
        </w:rPr>
        <w:t xml:space="preserve"> sp.,</w:t>
      </w:r>
      <w:r w:rsidR="007F052B" w:rsidRPr="003B1D3A">
        <w:rPr>
          <w:lang w:val="en-US"/>
        </w:rPr>
        <w:t xml:space="preserve"> </w:t>
      </w:r>
      <w:proofErr w:type="spellStart"/>
      <w:r w:rsidRPr="003B1D3A">
        <w:rPr>
          <w:rStyle w:val="Accentuation"/>
          <w:lang w:val="en-US"/>
        </w:rPr>
        <w:t>Hyparrhenia</w:t>
      </w:r>
      <w:proofErr w:type="spellEnd"/>
      <w:r w:rsidRPr="003B1D3A">
        <w:rPr>
          <w:lang w:val="en-US"/>
        </w:rPr>
        <w:t xml:space="preserve"> sp., and </w:t>
      </w:r>
      <w:proofErr w:type="spellStart"/>
      <w:r w:rsidRPr="003B1D3A">
        <w:rPr>
          <w:rStyle w:val="Accentuation"/>
          <w:lang w:val="en-US"/>
        </w:rPr>
        <w:t>Loudetia</w:t>
      </w:r>
      <w:proofErr w:type="spellEnd"/>
      <w:r w:rsidRPr="003B1D3A">
        <w:rPr>
          <w:rStyle w:val="Accentuation"/>
          <w:lang w:val="en-US"/>
        </w:rPr>
        <w:t xml:space="preserve"> simplex</w:t>
      </w:r>
      <w:r w:rsidRPr="003B1D3A">
        <w:rPr>
          <w:lang w:val="en-US"/>
        </w:rPr>
        <w:t xml:space="preserve">, while the shrub savanna includes species like </w:t>
      </w:r>
      <w:proofErr w:type="spellStart"/>
      <w:r w:rsidRPr="003B1D3A">
        <w:rPr>
          <w:rStyle w:val="Accentuation"/>
          <w:lang w:val="en-US"/>
        </w:rPr>
        <w:t>Hymenocardia</w:t>
      </w:r>
      <w:proofErr w:type="spellEnd"/>
      <w:r w:rsidRPr="003B1D3A">
        <w:rPr>
          <w:rStyle w:val="Accentuation"/>
          <w:lang w:val="en-US"/>
        </w:rPr>
        <w:t xml:space="preserve"> </w:t>
      </w:r>
      <w:proofErr w:type="spellStart"/>
      <w:r w:rsidRPr="003B1D3A">
        <w:rPr>
          <w:rStyle w:val="Accentuation"/>
          <w:lang w:val="en-US"/>
        </w:rPr>
        <w:t>acida</w:t>
      </w:r>
      <w:proofErr w:type="spellEnd"/>
      <w:r w:rsidRPr="003B1D3A">
        <w:rPr>
          <w:lang w:val="en-US"/>
        </w:rPr>
        <w:t xml:space="preserve"> and </w:t>
      </w:r>
      <w:r w:rsidRPr="003B1D3A">
        <w:rPr>
          <w:rStyle w:val="Accentuation"/>
          <w:lang w:val="en-US"/>
        </w:rPr>
        <w:t xml:space="preserve">Annona </w:t>
      </w:r>
      <w:proofErr w:type="spellStart"/>
      <w:r w:rsidRPr="003B1D3A">
        <w:rPr>
          <w:rStyle w:val="Accentuation"/>
          <w:lang w:val="en-US"/>
        </w:rPr>
        <w:t>senegalensis</w:t>
      </w:r>
      <w:proofErr w:type="spellEnd"/>
      <w:r w:rsidRPr="003B1D3A">
        <w:rPr>
          <w:lang w:val="en-US"/>
        </w:rPr>
        <w:t xml:space="preserve"> (</w:t>
      </w:r>
      <w:proofErr w:type="spellStart"/>
      <w:r w:rsidRPr="003B1D3A">
        <w:rPr>
          <w:lang w:val="en-US"/>
        </w:rPr>
        <w:t>Lunga</w:t>
      </w:r>
      <w:proofErr w:type="spellEnd"/>
      <w:r w:rsidRPr="003B1D3A">
        <w:rPr>
          <w:lang w:val="en-US"/>
        </w:rPr>
        <w:t xml:space="preserve">, cited by </w:t>
      </w:r>
      <w:proofErr w:type="spellStart"/>
      <w:r w:rsidRPr="003B1D3A">
        <w:rPr>
          <w:lang w:val="en-US"/>
        </w:rPr>
        <w:t>Mitianga</w:t>
      </w:r>
      <w:proofErr w:type="spellEnd"/>
      <w:r w:rsidRPr="003B1D3A">
        <w:rPr>
          <w:lang w:val="en-US"/>
        </w:rPr>
        <w:t>, 2022).</w:t>
      </w:r>
    </w:p>
    <w:p w14:paraId="5931D1C6" w14:textId="77777777" w:rsidR="00BD2627" w:rsidRPr="003B1D3A" w:rsidRDefault="00BD2627" w:rsidP="003B1D3A">
      <w:pPr>
        <w:pStyle w:val="NormalWeb"/>
        <w:spacing w:line="276" w:lineRule="auto"/>
        <w:jc w:val="both"/>
        <w:rPr>
          <w:lang w:val="en-US"/>
        </w:rPr>
      </w:pPr>
      <w:r w:rsidRPr="003B1D3A">
        <w:rPr>
          <w:lang w:val="en-US"/>
        </w:rPr>
        <w:t xml:space="preserve">The city is bordered by two rivers, </w:t>
      </w:r>
      <w:proofErr w:type="spellStart"/>
      <w:r w:rsidRPr="003B1D3A">
        <w:rPr>
          <w:lang w:val="en-US"/>
        </w:rPr>
        <w:t>Wamba</w:t>
      </w:r>
      <w:proofErr w:type="spellEnd"/>
      <w:r w:rsidRPr="003B1D3A">
        <w:rPr>
          <w:lang w:val="en-US"/>
        </w:rPr>
        <w:t xml:space="preserve"> and </w:t>
      </w:r>
      <w:proofErr w:type="spellStart"/>
      <w:r w:rsidRPr="003B1D3A">
        <w:rPr>
          <w:lang w:val="en-US"/>
        </w:rPr>
        <w:t>Bakali</w:t>
      </w:r>
      <w:proofErr w:type="spellEnd"/>
      <w:r w:rsidRPr="003B1D3A">
        <w:rPr>
          <w:lang w:val="en-US"/>
        </w:rPr>
        <w:t xml:space="preserve">, which flow along the north-south slope of the plateau. In addition to these main rivers, several tributaries flow through deep valleys, including </w:t>
      </w:r>
      <w:proofErr w:type="spellStart"/>
      <w:r w:rsidRPr="003B1D3A">
        <w:rPr>
          <w:lang w:val="en-US"/>
        </w:rPr>
        <w:t>Yete</w:t>
      </w:r>
      <w:proofErr w:type="spellEnd"/>
      <w:r w:rsidRPr="003B1D3A">
        <w:rPr>
          <w:lang w:val="en-US"/>
        </w:rPr>
        <w:t xml:space="preserve">, </w:t>
      </w:r>
      <w:proofErr w:type="spellStart"/>
      <w:r w:rsidRPr="003B1D3A">
        <w:rPr>
          <w:lang w:val="en-US"/>
        </w:rPr>
        <w:t>Manioka</w:t>
      </w:r>
      <w:proofErr w:type="spellEnd"/>
      <w:r w:rsidRPr="003B1D3A">
        <w:rPr>
          <w:lang w:val="en-US"/>
        </w:rPr>
        <w:t xml:space="preserve">, </w:t>
      </w:r>
      <w:proofErr w:type="spellStart"/>
      <w:r w:rsidRPr="003B1D3A">
        <w:rPr>
          <w:lang w:val="en-US"/>
        </w:rPr>
        <w:t>Mbangi</w:t>
      </w:r>
      <w:proofErr w:type="spellEnd"/>
      <w:r w:rsidRPr="003B1D3A">
        <w:rPr>
          <w:lang w:val="en-US"/>
        </w:rPr>
        <w:t xml:space="preserve">, </w:t>
      </w:r>
      <w:proofErr w:type="spellStart"/>
      <w:r w:rsidRPr="003B1D3A">
        <w:rPr>
          <w:lang w:val="en-US"/>
        </w:rPr>
        <w:t>Biyembi</w:t>
      </w:r>
      <w:proofErr w:type="spellEnd"/>
      <w:r w:rsidRPr="003B1D3A">
        <w:rPr>
          <w:lang w:val="en-US"/>
        </w:rPr>
        <w:t>, and Susa, which discharge their waters into the main rivers (</w:t>
      </w:r>
      <w:proofErr w:type="spellStart"/>
      <w:r w:rsidRPr="003B1D3A">
        <w:rPr>
          <w:lang w:val="en-US"/>
        </w:rPr>
        <w:t>Devred</w:t>
      </w:r>
      <w:proofErr w:type="spellEnd"/>
      <w:r w:rsidRPr="003B1D3A">
        <w:rPr>
          <w:lang w:val="en-US"/>
        </w:rPr>
        <w:t xml:space="preserve"> and Hardy, cited by </w:t>
      </w:r>
      <w:proofErr w:type="spellStart"/>
      <w:r w:rsidRPr="003B1D3A">
        <w:rPr>
          <w:lang w:val="en-US"/>
        </w:rPr>
        <w:t>Mitianga</w:t>
      </w:r>
      <w:proofErr w:type="spellEnd"/>
      <w:r w:rsidRPr="003B1D3A">
        <w:rPr>
          <w:lang w:val="en-US"/>
        </w:rPr>
        <w:t>, 2022).</w:t>
      </w:r>
    </w:p>
    <w:p w14:paraId="6749905D" w14:textId="77777777" w:rsidR="00BD2627" w:rsidRPr="003B1D3A" w:rsidRDefault="007F052B" w:rsidP="003B1D3A">
      <w:pPr>
        <w:pStyle w:val="NormalWeb"/>
        <w:spacing w:line="276" w:lineRule="auto"/>
        <w:jc w:val="both"/>
        <w:rPr>
          <w:lang w:val="en-US"/>
        </w:rPr>
      </w:pPr>
      <w:r w:rsidRPr="003B1D3A">
        <w:rPr>
          <w:noProof/>
          <w:lang w:val="en-US"/>
        </w:rPr>
        <w:drawing>
          <wp:inline distT="0" distB="0" distL="0" distR="0" wp14:anchorId="66B6ACF4" wp14:editId="0915ECB4">
            <wp:extent cx="5200650" cy="5295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00650" cy="5295900"/>
                    </a:xfrm>
                    <a:prstGeom prst="rect">
                      <a:avLst/>
                    </a:prstGeom>
                  </pic:spPr>
                </pic:pic>
              </a:graphicData>
            </a:graphic>
          </wp:inline>
        </w:drawing>
      </w:r>
    </w:p>
    <w:p w14:paraId="0C342E28" w14:textId="77777777" w:rsidR="007F052B"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Figure 1:</w:t>
      </w:r>
      <w:r w:rsidRPr="003B1D3A">
        <w:rPr>
          <w:rFonts w:ascii="Times New Roman" w:eastAsia="Times New Roman" w:hAnsi="Times New Roman" w:cs="Times New Roman"/>
          <w:sz w:val="24"/>
          <w:szCs w:val="24"/>
          <w:lang w:val="en-US" w:eastAsia="fr-FR"/>
        </w:rPr>
        <w:t xml:space="preserve"> Map of the new experimental site of the University of </w:t>
      </w:r>
      <w:proofErr w:type="spellStart"/>
      <w:r w:rsidRPr="003B1D3A">
        <w:rPr>
          <w:rFonts w:ascii="Times New Roman" w:eastAsia="Times New Roman" w:hAnsi="Times New Roman" w:cs="Times New Roman"/>
          <w:sz w:val="24"/>
          <w:szCs w:val="24"/>
          <w:lang w:val="en-US" w:eastAsia="fr-FR"/>
        </w:rPr>
        <w:t>Kwango</w:t>
      </w:r>
      <w:proofErr w:type="spellEnd"/>
      <w:r w:rsidRPr="003B1D3A">
        <w:rPr>
          <w:rFonts w:ascii="Times New Roman" w:eastAsia="Times New Roman" w:hAnsi="Times New Roman" w:cs="Times New Roman"/>
          <w:sz w:val="24"/>
          <w:szCs w:val="24"/>
          <w:lang w:val="en-US" w:eastAsia="fr-FR"/>
        </w:rPr>
        <w:t xml:space="preserve"> in Kenge</w:t>
      </w:r>
      <w:r w:rsidRPr="003B1D3A">
        <w:rPr>
          <w:rFonts w:ascii="Times New Roman" w:eastAsia="Times New Roman" w:hAnsi="Times New Roman" w:cs="Times New Roman"/>
          <w:sz w:val="24"/>
          <w:szCs w:val="24"/>
          <w:lang w:val="en-US" w:eastAsia="fr-FR"/>
        </w:rPr>
        <w:br/>
        <w:t>Created with Google My Maps</w:t>
      </w:r>
    </w:p>
    <w:p w14:paraId="48DB7D5D" w14:textId="77777777" w:rsidR="006134C7" w:rsidRPr="003B1D3A" w:rsidRDefault="007F052B"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S</w:t>
      </w:r>
      <w:r w:rsidR="006134C7" w:rsidRPr="003B1D3A">
        <w:rPr>
          <w:rFonts w:ascii="Times New Roman" w:eastAsia="Times New Roman" w:hAnsi="Times New Roman" w:cs="Times New Roman"/>
          <w:sz w:val="24"/>
          <w:szCs w:val="24"/>
          <w:lang w:val="en-US" w:eastAsia="fr-FR"/>
        </w:rPr>
        <w:t xml:space="preserve">ource: </w:t>
      </w:r>
      <w:proofErr w:type="spellStart"/>
      <w:r w:rsidR="006134C7" w:rsidRPr="003B1D3A">
        <w:rPr>
          <w:rFonts w:ascii="Times New Roman" w:eastAsia="Times New Roman" w:hAnsi="Times New Roman" w:cs="Times New Roman"/>
          <w:sz w:val="24"/>
          <w:szCs w:val="24"/>
          <w:lang w:val="en-US" w:eastAsia="fr-FR"/>
        </w:rPr>
        <w:t>Kwango</w:t>
      </w:r>
      <w:proofErr w:type="spellEnd"/>
      <w:r w:rsidR="006134C7" w:rsidRPr="003B1D3A">
        <w:rPr>
          <w:rFonts w:ascii="Times New Roman" w:eastAsia="Times New Roman" w:hAnsi="Times New Roman" w:cs="Times New Roman"/>
          <w:sz w:val="24"/>
          <w:szCs w:val="24"/>
          <w:lang w:val="en-US" w:eastAsia="fr-FR"/>
        </w:rPr>
        <w:t xml:space="preserve"> Province Monograph – Image Research</w:t>
      </w:r>
    </w:p>
    <w:p w14:paraId="2765218B"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Climatic conditions during the trial</w:t>
      </w:r>
    </w:p>
    <w:p w14:paraId="6DC49348" w14:textId="77777777" w:rsidR="00A92DFD" w:rsidRPr="003B1D3A" w:rsidRDefault="0006432B" w:rsidP="003B1D3A">
      <w:pPr>
        <w:spacing w:before="100" w:beforeAutospacing="1" w:after="100" w:afterAutospacing="1"/>
        <w:jc w:val="both"/>
        <w:rPr>
          <w:rFonts w:ascii="Times New Roman" w:eastAsia="Times New Roman" w:hAnsi="Times New Roman" w:cs="Times New Roman"/>
          <w:b/>
          <w:bCs/>
          <w:sz w:val="24"/>
          <w:szCs w:val="24"/>
          <w:lang w:val="en-US" w:eastAsia="fr-FR"/>
        </w:rPr>
      </w:pPr>
      <w:r w:rsidRPr="003B1D3A">
        <w:rPr>
          <w:rFonts w:ascii="Times New Roman" w:hAnsi="Times New Roman" w:cs="Times New Roman"/>
          <w:noProof/>
          <w:color w:val="000000" w:themeColor="text1"/>
          <w:sz w:val="24"/>
          <w:szCs w:val="24"/>
          <w:lang w:val="en-US" w:eastAsia="fr-FR"/>
        </w:rPr>
        <w:drawing>
          <wp:inline distT="0" distB="0" distL="0" distR="0" wp14:anchorId="292663A0" wp14:editId="40C8A760">
            <wp:extent cx="5082988" cy="274320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82988" cy="2743200"/>
                    </a:xfrm>
                    <a:prstGeom prst="rect">
                      <a:avLst/>
                    </a:prstGeom>
                  </pic:spPr>
                </pic:pic>
              </a:graphicData>
            </a:graphic>
          </wp:inline>
        </w:drawing>
      </w:r>
    </w:p>
    <w:p w14:paraId="29531D6E" w14:textId="6AE9EF79"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Figure 2:</w:t>
      </w:r>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Ombrothermic</w:t>
      </w:r>
      <w:proofErr w:type="spellEnd"/>
      <w:r w:rsidRPr="003B1D3A">
        <w:rPr>
          <w:rFonts w:ascii="Times New Roman" w:eastAsia="Times New Roman" w:hAnsi="Times New Roman" w:cs="Times New Roman"/>
          <w:sz w:val="24"/>
          <w:szCs w:val="24"/>
          <w:lang w:val="en-US" w:eastAsia="fr-FR"/>
        </w:rPr>
        <w:t xml:space="preserve"> curve of rainfall and potential evapotranspiration (mm) from January to December</w:t>
      </w:r>
      <w:r w:rsidR="006C2A7F" w:rsidRPr="003B1D3A">
        <w:rPr>
          <w:rFonts w:ascii="Times New Roman" w:eastAsia="Times New Roman" w:hAnsi="Times New Roman" w:cs="Times New Roman"/>
          <w:sz w:val="24"/>
          <w:szCs w:val="24"/>
          <w:lang w:val="en-US" w:eastAsia="fr-FR"/>
        </w:rPr>
        <w:t xml:space="preserve"> 2024</w:t>
      </w:r>
    </w:p>
    <w:p w14:paraId="749CCA91" w14:textId="77777777" w:rsidR="00A92DFD" w:rsidRPr="003B1D3A" w:rsidRDefault="00A92DFD"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hAnsi="Times New Roman" w:cs="Times New Roman"/>
          <w:noProof/>
          <w:color w:val="000000" w:themeColor="text1"/>
          <w:sz w:val="24"/>
          <w:szCs w:val="24"/>
          <w:lang w:val="en-US" w:eastAsia="fr-FR"/>
        </w:rPr>
        <w:drawing>
          <wp:inline distT="0" distB="0" distL="0" distR="0" wp14:anchorId="6CC9D4D4" wp14:editId="15F6C9BF">
            <wp:extent cx="5078437" cy="2795044"/>
            <wp:effectExtent l="0" t="0" r="8255"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78437" cy="2795044"/>
                    </a:xfrm>
                    <a:prstGeom prst="rect">
                      <a:avLst/>
                    </a:prstGeom>
                  </pic:spPr>
                </pic:pic>
              </a:graphicData>
            </a:graphic>
          </wp:inline>
        </w:drawing>
      </w:r>
    </w:p>
    <w:p w14:paraId="3E141310" w14:textId="77777777" w:rsidR="00A92DFD" w:rsidRPr="003B1D3A" w:rsidRDefault="00A92DFD" w:rsidP="003B1D3A">
      <w:pPr>
        <w:pStyle w:val="Titre2"/>
        <w:spacing w:line="276" w:lineRule="auto"/>
        <w:jc w:val="both"/>
        <w:rPr>
          <w:rStyle w:val="lev"/>
          <w:sz w:val="24"/>
          <w:szCs w:val="24"/>
          <w:lang w:val="en-US"/>
        </w:rPr>
      </w:pPr>
      <w:r w:rsidRPr="003B1D3A">
        <w:rPr>
          <w:rStyle w:val="lev"/>
          <w:sz w:val="24"/>
          <w:szCs w:val="24"/>
          <w:lang w:val="en-US"/>
        </w:rPr>
        <w:t xml:space="preserve">Figure 3: </w:t>
      </w:r>
      <w:proofErr w:type="spellStart"/>
      <w:r w:rsidRPr="003B1D3A">
        <w:rPr>
          <w:rStyle w:val="lev"/>
          <w:sz w:val="24"/>
          <w:szCs w:val="24"/>
          <w:lang w:val="en-US"/>
        </w:rPr>
        <w:t>Ombrothermic</w:t>
      </w:r>
      <w:proofErr w:type="spellEnd"/>
      <w:r w:rsidRPr="003B1D3A">
        <w:rPr>
          <w:rStyle w:val="lev"/>
          <w:sz w:val="24"/>
          <w:szCs w:val="24"/>
          <w:lang w:val="en-US"/>
        </w:rPr>
        <w:t xml:space="preserve"> curve of temperatures (°C) from January to December 2024 at the experimental site</w:t>
      </w:r>
    </w:p>
    <w:p w14:paraId="232C265B" w14:textId="77777777" w:rsidR="006134C7" w:rsidRPr="003B1D3A" w:rsidRDefault="00A92DFD" w:rsidP="003B1D3A">
      <w:pPr>
        <w:pStyle w:val="Titre2"/>
        <w:spacing w:line="276" w:lineRule="auto"/>
        <w:jc w:val="both"/>
        <w:rPr>
          <w:b w:val="0"/>
          <w:sz w:val="24"/>
          <w:szCs w:val="24"/>
          <w:lang w:val="en-US"/>
        </w:rPr>
      </w:pPr>
      <w:r w:rsidRPr="003B1D3A">
        <w:rPr>
          <w:rStyle w:val="lev"/>
          <w:sz w:val="24"/>
          <w:szCs w:val="24"/>
          <w:lang w:val="en-US"/>
        </w:rPr>
        <w:t>Source: New Loc_Clim estimator software (FAO)</w:t>
      </w:r>
    </w:p>
    <w:p w14:paraId="6FC826DB" w14:textId="77777777" w:rsidR="006134C7" w:rsidRPr="003B1D3A" w:rsidRDefault="006134C7" w:rsidP="003B1D3A">
      <w:pPr>
        <w:pStyle w:val="Titre2"/>
        <w:spacing w:line="276" w:lineRule="auto"/>
        <w:jc w:val="both"/>
        <w:rPr>
          <w:sz w:val="24"/>
          <w:szCs w:val="24"/>
          <w:lang w:val="en-US"/>
        </w:rPr>
      </w:pPr>
      <w:r w:rsidRPr="003B1D3A">
        <w:rPr>
          <w:sz w:val="24"/>
          <w:szCs w:val="24"/>
          <w:lang w:val="en-US"/>
        </w:rPr>
        <w:t>Experimental Design and Treatments</w:t>
      </w:r>
    </w:p>
    <w:p w14:paraId="6C87896E" w14:textId="3BB7E54F" w:rsidR="006134C7" w:rsidRPr="003B1D3A" w:rsidRDefault="006134C7" w:rsidP="003B1D3A">
      <w:pPr>
        <w:pStyle w:val="NormalWeb"/>
        <w:spacing w:line="276" w:lineRule="auto"/>
        <w:jc w:val="both"/>
        <w:rPr>
          <w:lang w:val="en-US"/>
        </w:rPr>
      </w:pPr>
      <w:r w:rsidRPr="003B1D3A">
        <w:rPr>
          <w:lang w:val="en-US"/>
        </w:rPr>
        <w:t xml:space="preserve">The experimental design adopted was a 2 × 3 factorial arranged in a split-plot design with three replications. Factor 1 consisted of two groundnut varieties: the local variety and the improved variety G17, obtained from the National Legume Research Center. Factor 2 comprised soil amendments: application of agricultural lime at a rate of 10 t ha⁻¹ (T1), incorporation of </w:t>
      </w:r>
      <w:r w:rsidRPr="003B1D3A">
        <w:rPr>
          <w:rStyle w:val="Accentuation"/>
          <w:lang w:val="en-US"/>
        </w:rPr>
        <w:t>Tithonia diversifolia</w:t>
      </w:r>
      <w:r w:rsidRPr="003B1D3A">
        <w:rPr>
          <w:lang w:val="en-US"/>
        </w:rPr>
        <w:t xml:space="preserve"> leaf biomass at 20 t ha⁻¹ (T2), and an untreated control (T0). The elementary plot measured 4 m².</w:t>
      </w:r>
      <w:r w:rsidR="00435341" w:rsidRPr="003B1D3A">
        <w:rPr>
          <w:lang w:val="en-US"/>
        </w:rPr>
        <w:t xml:space="preserve"> </w:t>
      </w:r>
      <w:r w:rsidR="00435341" w:rsidRPr="003B1D3A">
        <w:rPr>
          <w:lang w:val="en-US"/>
        </w:rPr>
        <w:t>Tithonia</w:t>
      </w:r>
      <w:r w:rsidR="00435341" w:rsidRPr="003B1D3A">
        <w:rPr>
          <w:lang w:val="en-US"/>
        </w:rPr>
        <w:t xml:space="preserve"> diversifolia </w:t>
      </w:r>
      <w:r w:rsidR="00435341" w:rsidRPr="003B1D3A">
        <w:rPr>
          <w:lang w:val="en-US"/>
        </w:rPr>
        <w:t>leaf biomass was incorporated into the top 10 cm of soil as surface mulch one week before groundnut sowing</w:t>
      </w:r>
      <w:r w:rsidR="00435341" w:rsidRPr="003B1D3A">
        <w:rPr>
          <w:lang w:val="en-US"/>
        </w:rPr>
        <w:t>.</w:t>
      </w:r>
    </w:p>
    <w:p w14:paraId="26B03421" w14:textId="77777777" w:rsidR="006134C7" w:rsidRPr="003B1D3A" w:rsidRDefault="006134C7" w:rsidP="003B1D3A">
      <w:pPr>
        <w:pStyle w:val="NormalWeb"/>
        <w:spacing w:line="276" w:lineRule="auto"/>
        <w:jc w:val="both"/>
        <w:rPr>
          <w:lang w:val="en-US"/>
        </w:rPr>
      </w:pPr>
      <w:r w:rsidRPr="003B1D3A">
        <w:rPr>
          <w:lang w:val="en-US"/>
        </w:rPr>
        <w:t>Measurements were taken throughout the growth period and at harvest. The following software tools were used: FieldBook for in-field data collection, which helps minimize errors due to inattention; GenStat Discovery (latest edition) and PAST for statistical analyses; New Loc_Clim estimator for climatic data; and Google My Maps for mapping the experimental site.</w:t>
      </w:r>
    </w:p>
    <w:p w14:paraId="50CC9082" w14:textId="77777777" w:rsidR="006134C7" w:rsidRPr="003B1D3A" w:rsidRDefault="006134C7" w:rsidP="003B1D3A">
      <w:pPr>
        <w:pStyle w:val="Titre2"/>
        <w:spacing w:line="276" w:lineRule="auto"/>
        <w:jc w:val="both"/>
        <w:rPr>
          <w:sz w:val="24"/>
          <w:szCs w:val="24"/>
          <w:lang w:val="en-US"/>
        </w:rPr>
      </w:pPr>
      <w:r w:rsidRPr="003B1D3A">
        <w:rPr>
          <w:sz w:val="24"/>
          <w:szCs w:val="24"/>
          <w:lang w:val="en-US"/>
        </w:rPr>
        <w:t>Results and Discussion</w:t>
      </w:r>
    </w:p>
    <w:p w14:paraId="52D09FBF" w14:textId="77777777" w:rsidR="006134C7" w:rsidRPr="003B1D3A" w:rsidRDefault="006134C7" w:rsidP="003B1D3A">
      <w:pPr>
        <w:pStyle w:val="Titre3"/>
        <w:spacing w:line="276" w:lineRule="auto"/>
        <w:jc w:val="both"/>
        <w:rPr>
          <w:sz w:val="24"/>
          <w:szCs w:val="24"/>
          <w:lang w:val="en-US"/>
        </w:rPr>
      </w:pPr>
      <w:r w:rsidRPr="003B1D3A">
        <w:rPr>
          <w:sz w:val="24"/>
          <w:szCs w:val="24"/>
          <w:lang w:val="en-US"/>
        </w:rPr>
        <w:t>Results</w:t>
      </w:r>
    </w:p>
    <w:p w14:paraId="288D3808" w14:textId="3DDD4F9F" w:rsidR="006134C7" w:rsidRPr="003B1D3A" w:rsidRDefault="006134C7" w:rsidP="003B1D3A">
      <w:pPr>
        <w:pStyle w:val="NormalWeb"/>
        <w:spacing w:line="276" w:lineRule="auto"/>
        <w:jc w:val="both"/>
        <w:rPr>
          <w:lang w:val="en-US"/>
        </w:rPr>
      </w:pPr>
      <w:r w:rsidRPr="003B1D3A">
        <w:rPr>
          <w:lang w:val="en-US"/>
        </w:rPr>
        <w:t xml:space="preserve">Data on groundnut growth, incidence of rosette disease, and harvest parameters were collected and analyzed using a two-way analysis of variance, comparing the two groundnut varieties subjected to three treatments: application of agricultural lime, incorporation of </w:t>
      </w:r>
      <w:r w:rsidRPr="003B1D3A">
        <w:rPr>
          <w:rStyle w:val="Accentuation"/>
          <w:lang w:val="en-US"/>
        </w:rPr>
        <w:t>Tithonia diversifolia</w:t>
      </w:r>
      <w:r w:rsidRPr="003B1D3A">
        <w:rPr>
          <w:lang w:val="en-US"/>
        </w:rPr>
        <w:t xml:space="preserve"> leaf biomass, and the untreated control. The summarized results are presented in Tabl</w:t>
      </w:r>
      <w:r w:rsidR="00AD32F4" w:rsidRPr="003B1D3A">
        <w:rPr>
          <w:lang w:val="en-US"/>
        </w:rPr>
        <w:t>e 2</w:t>
      </w:r>
      <w:r w:rsidRPr="003B1D3A">
        <w:rPr>
          <w:lang w:val="en-US"/>
        </w:rPr>
        <w:t xml:space="preserve"> below.</w:t>
      </w:r>
    </w:p>
    <w:p w14:paraId="4CAB55FC" w14:textId="77777777" w:rsidR="00A92DFD" w:rsidRPr="003B1D3A" w:rsidRDefault="00A92DFD" w:rsidP="003B1D3A">
      <w:pPr>
        <w:pStyle w:val="NormalWeb"/>
        <w:spacing w:line="276" w:lineRule="auto"/>
        <w:jc w:val="both"/>
        <w:rPr>
          <w:rStyle w:val="lev"/>
          <w:lang w:val="en-US"/>
        </w:rPr>
        <w:sectPr w:rsidR="00A92DFD" w:rsidRPr="003B1D3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20" w:footer="720" w:gutter="0"/>
          <w:cols w:space="720"/>
          <w:docGrid w:linePitch="360"/>
        </w:sectPr>
      </w:pPr>
    </w:p>
    <w:p w14:paraId="640E7E89" w14:textId="3B1DA30C" w:rsidR="006134C7" w:rsidRPr="003B1D3A" w:rsidRDefault="00AD32F4" w:rsidP="003B1D3A">
      <w:pPr>
        <w:pStyle w:val="NormalWeb"/>
        <w:spacing w:line="276" w:lineRule="auto"/>
        <w:jc w:val="both"/>
        <w:rPr>
          <w:lang w:val="en-US"/>
        </w:rPr>
      </w:pPr>
      <w:proofErr w:type="gramStart"/>
      <w:r w:rsidRPr="003B1D3A">
        <w:rPr>
          <w:rStyle w:val="lev"/>
          <w:lang w:val="en-US"/>
        </w:rPr>
        <w:t>Table 2</w:t>
      </w:r>
      <w:r w:rsidR="006134C7" w:rsidRPr="003B1D3A">
        <w:rPr>
          <w:rStyle w:val="lev"/>
          <w:lang w:val="en-US"/>
        </w:rPr>
        <w:t>.</w:t>
      </w:r>
      <w:proofErr w:type="gramEnd"/>
      <w:r w:rsidR="006134C7" w:rsidRPr="003B1D3A">
        <w:rPr>
          <w:rStyle w:val="lev"/>
          <w:lang w:val="en-US"/>
        </w:rPr>
        <w:t xml:space="preserve"> Agronomic performance of groundnut subjected to applications of agricultural lime and </w:t>
      </w:r>
      <w:r w:rsidR="006134C7" w:rsidRPr="003B1D3A">
        <w:rPr>
          <w:rStyle w:val="Accentuation"/>
          <w:b/>
          <w:bCs/>
          <w:lang w:val="en-US"/>
        </w:rPr>
        <w:t>Tithonia diversifolia</w:t>
      </w:r>
      <w:r w:rsidR="006134C7" w:rsidRPr="003B1D3A">
        <w:rPr>
          <w:rStyle w:val="lev"/>
          <w:lang w:val="en-US"/>
        </w:rPr>
        <w:t xml:space="preserve"> leaf biomass</w:t>
      </w:r>
    </w:p>
    <w:tbl>
      <w:tblPr>
        <w:tblW w:w="4783" w:type="pct"/>
        <w:tblLayout w:type="fixed"/>
        <w:tblCellMar>
          <w:left w:w="70" w:type="dxa"/>
          <w:right w:w="70" w:type="dxa"/>
        </w:tblCellMar>
        <w:tblLook w:val="04A0" w:firstRow="1" w:lastRow="0" w:firstColumn="1" w:lastColumn="0" w:noHBand="0" w:noVBand="1"/>
      </w:tblPr>
      <w:tblGrid>
        <w:gridCol w:w="1269"/>
        <w:gridCol w:w="3930"/>
        <w:gridCol w:w="1081"/>
        <w:gridCol w:w="991"/>
        <w:gridCol w:w="1528"/>
        <w:gridCol w:w="894"/>
        <w:gridCol w:w="894"/>
        <w:gridCol w:w="1105"/>
        <w:gridCol w:w="750"/>
        <w:gridCol w:w="1100"/>
      </w:tblGrid>
      <w:tr w:rsidR="00945A29" w:rsidRPr="003B1D3A" w14:paraId="711A665A" w14:textId="77777777" w:rsidTr="00371758">
        <w:trPr>
          <w:trHeight w:val="1200"/>
        </w:trPr>
        <w:tc>
          <w:tcPr>
            <w:tcW w:w="469" w:type="pct"/>
            <w:tcBorders>
              <w:top w:val="single" w:sz="4" w:space="0" w:color="auto"/>
              <w:left w:val="nil"/>
              <w:bottom w:val="single" w:sz="4" w:space="0" w:color="auto"/>
              <w:right w:val="nil"/>
            </w:tcBorders>
            <w:vAlign w:val="center"/>
            <w:hideMark/>
          </w:tcPr>
          <w:p w14:paraId="1B192D61"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Peanut Varieties</w:t>
            </w:r>
          </w:p>
        </w:tc>
        <w:tc>
          <w:tcPr>
            <w:tcW w:w="1451" w:type="pct"/>
            <w:tcBorders>
              <w:top w:val="single" w:sz="4" w:space="0" w:color="auto"/>
              <w:left w:val="nil"/>
              <w:bottom w:val="single" w:sz="4" w:space="0" w:color="auto"/>
              <w:right w:val="nil"/>
            </w:tcBorders>
            <w:vAlign w:val="center"/>
            <w:hideMark/>
          </w:tcPr>
          <w:p w14:paraId="2FEEB363"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Soil Amendment</w:t>
            </w:r>
          </w:p>
        </w:tc>
        <w:tc>
          <w:tcPr>
            <w:tcW w:w="399" w:type="pct"/>
            <w:tcBorders>
              <w:top w:val="single" w:sz="4" w:space="0" w:color="auto"/>
              <w:left w:val="nil"/>
              <w:bottom w:val="single" w:sz="4" w:space="0" w:color="auto"/>
              <w:right w:val="nil"/>
            </w:tcBorders>
            <w:vAlign w:val="center"/>
            <w:hideMark/>
          </w:tcPr>
          <w:p w14:paraId="7364ABF0"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Emerged Plants (/30)</w:t>
            </w:r>
          </w:p>
        </w:tc>
        <w:tc>
          <w:tcPr>
            <w:tcW w:w="366" w:type="pct"/>
            <w:tcBorders>
              <w:top w:val="single" w:sz="4" w:space="0" w:color="auto"/>
              <w:left w:val="nil"/>
              <w:bottom w:val="single" w:sz="4" w:space="0" w:color="auto"/>
              <w:right w:val="nil"/>
            </w:tcBorders>
            <w:vAlign w:val="center"/>
            <w:hideMark/>
          </w:tcPr>
          <w:p w14:paraId="78250142"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Plant Height Before Harvest (cm)</w:t>
            </w:r>
          </w:p>
        </w:tc>
        <w:tc>
          <w:tcPr>
            <w:tcW w:w="564" w:type="pct"/>
            <w:tcBorders>
              <w:top w:val="single" w:sz="4" w:space="0" w:color="auto"/>
              <w:left w:val="nil"/>
              <w:bottom w:val="single" w:sz="4" w:space="0" w:color="auto"/>
              <w:right w:val="nil"/>
            </w:tcBorders>
            <w:vAlign w:val="center"/>
            <w:hideMark/>
          </w:tcPr>
          <w:p w14:paraId="3EAE308C"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Rosette Incidence (infected plants/30 per plot)</w:t>
            </w:r>
          </w:p>
        </w:tc>
        <w:tc>
          <w:tcPr>
            <w:tcW w:w="330" w:type="pct"/>
            <w:tcBorders>
              <w:top w:val="single" w:sz="4" w:space="0" w:color="auto"/>
              <w:left w:val="nil"/>
              <w:bottom w:val="single" w:sz="4" w:space="0" w:color="auto"/>
              <w:right w:val="nil"/>
            </w:tcBorders>
            <w:vAlign w:val="center"/>
            <w:hideMark/>
          </w:tcPr>
          <w:p w14:paraId="3B89302B"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Number of Pods per Plant</w:t>
            </w:r>
          </w:p>
        </w:tc>
        <w:tc>
          <w:tcPr>
            <w:tcW w:w="330" w:type="pct"/>
            <w:tcBorders>
              <w:top w:val="single" w:sz="4" w:space="0" w:color="auto"/>
              <w:left w:val="nil"/>
              <w:bottom w:val="single" w:sz="4" w:space="0" w:color="auto"/>
              <w:right w:val="nil"/>
            </w:tcBorders>
            <w:vAlign w:val="center"/>
            <w:hideMark/>
          </w:tcPr>
          <w:p w14:paraId="1909BC23"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Number of Empty Pods per Plant</w:t>
            </w:r>
          </w:p>
        </w:tc>
        <w:tc>
          <w:tcPr>
            <w:tcW w:w="408" w:type="pct"/>
            <w:tcBorders>
              <w:top w:val="single" w:sz="4" w:space="0" w:color="auto"/>
              <w:left w:val="nil"/>
              <w:bottom w:val="single" w:sz="4" w:space="0" w:color="auto"/>
              <w:right w:val="nil"/>
            </w:tcBorders>
            <w:vAlign w:val="center"/>
            <w:hideMark/>
          </w:tcPr>
          <w:p w14:paraId="25834E6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Dry Pod Yield (t·ha⁻¹)</w:t>
            </w:r>
          </w:p>
        </w:tc>
        <w:tc>
          <w:tcPr>
            <w:tcW w:w="277" w:type="pct"/>
            <w:tcBorders>
              <w:top w:val="single" w:sz="4" w:space="0" w:color="auto"/>
              <w:left w:val="nil"/>
              <w:bottom w:val="single" w:sz="4" w:space="0" w:color="auto"/>
              <w:right w:val="nil"/>
            </w:tcBorders>
            <w:vAlign w:val="center"/>
            <w:hideMark/>
          </w:tcPr>
          <w:p w14:paraId="3962938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1000-Seed Weight (g)</w:t>
            </w:r>
          </w:p>
        </w:tc>
        <w:tc>
          <w:tcPr>
            <w:tcW w:w="406" w:type="pct"/>
            <w:tcBorders>
              <w:top w:val="single" w:sz="4" w:space="0" w:color="auto"/>
              <w:left w:val="nil"/>
              <w:bottom w:val="single" w:sz="4" w:space="0" w:color="auto"/>
              <w:right w:val="nil"/>
            </w:tcBorders>
            <w:vAlign w:val="center"/>
            <w:hideMark/>
          </w:tcPr>
          <w:p w14:paraId="15C2E6B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Dry Seed Yield (t·ha⁻¹)</w:t>
            </w:r>
          </w:p>
        </w:tc>
      </w:tr>
      <w:tr w:rsidR="00945A29" w:rsidRPr="003B1D3A" w14:paraId="20073D71" w14:textId="77777777" w:rsidTr="00371758">
        <w:trPr>
          <w:trHeight w:val="290"/>
        </w:trPr>
        <w:tc>
          <w:tcPr>
            <w:tcW w:w="469" w:type="pct"/>
            <w:vMerge w:val="restart"/>
            <w:tcBorders>
              <w:top w:val="nil"/>
              <w:left w:val="nil"/>
              <w:bottom w:val="single" w:sz="4" w:space="0" w:color="000000"/>
              <w:right w:val="nil"/>
            </w:tcBorders>
            <w:noWrap/>
            <w:vAlign w:val="center"/>
            <w:hideMark/>
          </w:tcPr>
          <w:p w14:paraId="1CD5836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Local variety</w:t>
            </w:r>
          </w:p>
        </w:tc>
        <w:tc>
          <w:tcPr>
            <w:tcW w:w="1451" w:type="pct"/>
            <w:tcBorders>
              <w:top w:val="nil"/>
              <w:left w:val="nil"/>
              <w:bottom w:val="nil"/>
              <w:right w:val="nil"/>
            </w:tcBorders>
            <w:vAlign w:val="center"/>
            <w:hideMark/>
          </w:tcPr>
          <w:p w14:paraId="461EF83C"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No Amendment</w:t>
            </w:r>
          </w:p>
        </w:tc>
        <w:tc>
          <w:tcPr>
            <w:tcW w:w="399" w:type="pct"/>
            <w:tcBorders>
              <w:top w:val="nil"/>
              <w:left w:val="nil"/>
              <w:bottom w:val="nil"/>
              <w:right w:val="nil"/>
            </w:tcBorders>
            <w:noWrap/>
            <w:vAlign w:val="center"/>
            <w:hideMark/>
          </w:tcPr>
          <w:p w14:paraId="2D25EC4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26</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366" w:type="pct"/>
            <w:tcBorders>
              <w:top w:val="nil"/>
              <w:left w:val="nil"/>
              <w:bottom w:val="nil"/>
              <w:right w:val="nil"/>
            </w:tcBorders>
            <w:noWrap/>
            <w:vAlign w:val="center"/>
            <w:hideMark/>
          </w:tcPr>
          <w:p w14:paraId="22E5B7B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52</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564" w:type="pct"/>
            <w:tcBorders>
              <w:top w:val="nil"/>
              <w:left w:val="nil"/>
              <w:bottom w:val="nil"/>
              <w:right w:val="nil"/>
            </w:tcBorders>
            <w:noWrap/>
            <w:vAlign w:val="center"/>
            <w:hideMark/>
          </w:tcPr>
          <w:p w14:paraId="61C56DC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13</w:t>
            </w:r>
          </w:p>
        </w:tc>
        <w:tc>
          <w:tcPr>
            <w:tcW w:w="330" w:type="pct"/>
            <w:tcBorders>
              <w:top w:val="nil"/>
              <w:left w:val="nil"/>
              <w:bottom w:val="nil"/>
              <w:right w:val="nil"/>
            </w:tcBorders>
            <w:noWrap/>
            <w:vAlign w:val="center"/>
            <w:hideMark/>
          </w:tcPr>
          <w:p w14:paraId="6E1128A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17</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330" w:type="pct"/>
            <w:tcBorders>
              <w:top w:val="single" w:sz="4" w:space="0" w:color="auto"/>
              <w:left w:val="nil"/>
              <w:bottom w:val="nil"/>
              <w:right w:val="nil"/>
            </w:tcBorders>
            <w:noWrap/>
            <w:vAlign w:val="center"/>
            <w:hideMark/>
          </w:tcPr>
          <w:p w14:paraId="2351AC2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w:t>
            </w:r>
            <w:r w:rsidRPr="003B1D3A">
              <w:rPr>
                <w:rFonts w:ascii="Times New Roman" w:eastAsia="Times New Roman" w:hAnsi="Times New Roman" w:cs="Times New Roman"/>
                <w:color w:val="000000" w:themeColor="text1"/>
                <w:sz w:val="24"/>
                <w:szCs w:val="24"/>
                <w:vertAlign w:val="superscript"/>
                <w:lang w:val="en-US" w:eastAsia="fr-FR"/>
              </w:rPr>
              <w:t>d</w:t>
            </w:r>
          </w:p>
        </w:tc>
        <w:tc>
          <w:tcPr>
            <w:tcW w:w="408" w:type="pct"/>
            <w:tcBorders>
              <w:top w:val="single" w:sz="4" w:space="0" w:color="auto"/>
              <w:left w:val="nil"/>
              <w:bottom w:val="nil"/>
              <w:right w:val="nil"/>
            </w:tcBorders>
            <w:noWrap/>
            <w:vAlign w:val="center"/>
            <w:hideMark/>
          </w:tcPr>
          <w:p w14:paraId="0F46C04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277" w:type="pct"/>
            <w:tcBorders>
              <w:top w:val="single" w:sz="4" w:space="0" w:color="auto"/>
              <w:left w:val="nil"/>
              <w:bottom w:val="nil"/>
              <w:right w:val="nil"/>
            </w:tcBorders>
            <w:noWrap/>
            <w:vAlign w:val="center"/>
            <w:hideMark/>
          </w:tcPr>
          <w:p w14:paraId="284AD7F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260.7</w:t>
            </w:r>
          </w:p>
        </w:tc>
        <w:tc>
          <w:tcPr>
            <w:tcW w:w="406" w:type="pct"/>
            <w:tcBorders>
              <w:top w:val="single" w:sz="4" w:space="0" w:color="auto"/>
              <w:left w:val="nil"/>
              <w:bottom w:val="nil"/>
              <w:right w:val="nil"/>
            </w:tcBorders>
            <w:noWrap/>
            <w:vAlign w:val="center"/>
            <w:hideMark/>
          </w:tcPr>
          <w:p w14:paraId="5A4B910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2.2</w:t>
            </w:r>
            <w:r w:rsidRPr="003B1D3A">
              <w:rPr>
                <w:rFonts w:ascii="Times New Roman" w:eastAsia="Times New Roman" w:hAnsi="Times New Roman" w:cs="Times New Roman"/>
                <w:color w:val="000000" w:themeColor="text1"/>
                <w:sz w:val="24"/>
                <w:szCs w:val="24"/>
                <w:vertAlign w:val="superscript"/>
                <w:lang w:val="en-US" w:eastAsia="fr-FR"/>
              </w:rPr>
              <w:t>a</w:t>
            </w:r>
          </w:p>
        </w:tc>
      </w:tr>
      <w:tr w:rsidR="00945A29" w:rsidRPr="003B1D3A" w14:paraId="711D7283" w14:textId="77777777" w:rsidTr="00371758">
        <w:trPr>
          <w:trHeight w:val="290"/>
        </w:trPr>
        <w:tc>
          <w:tcPr>
            <w:tcW w:w="469" w:type="pct"/>
            <w:vMerge/>
            <w:tcBorders>
              <w:top w:val="nil"/>
              <w:left w:val="nil"/>
              <w:bottom w:val="single" w:sz="4" w:space="0" w:color="000000"/>
              <w:right w:val="nil"/>
            </w:tcBorders>
            <w:vAlign w:val="center"/>
            <w:hideMark/>
          </w:tcPr>
          <w:p w14:paraId="50CCDC9C"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vAlign w:val="center"/>
            <w:hideMark/>
          </w:tcPr>
          <w:p w14:paraId="5E382E3A"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Agricultural Lime</w:t>
            </w:r>
          </w:p>
        </w:tc>
        <w:tc>
          <w:tcPr>
            <w:tcW w:w="399" w:type="pct"/>
            <w:tcBorders>
              <w:top w:val="nil"/>
              <w:left w:val="nil"/>
              <w:bottom w:val="nil"/>
              <w:right w:val="nil"/>
            </w:tcBorders>
            <w:noWrap/>
            <w:vAlign w:val="center"/>
            <w:hideMark/>
          </w:tcPr>
          <w:p w14:paraId="2C5253F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27</w:t>
            </w:r>
            <w:r w:rsidRPr="003B1D3A">
              <w:rPr>
                <w:rFonts w:ascii="Times New Roman" w:eastAsia="Times New Roman" w:hAnsi="Times New Roman" w:cs="Times New Roman"/>
                <w:color w:val="000000" w:themeColor="text1"/>
                <w:sz w:val="24"/>
                <w:szCs w:val="24"/>
                <w:vertAlign w:val="superscript"/>
                <w:lang w:val="en-US" w:eastAsia="fr-FR"/>
              </w:rPr>
              <w:t>bc</w:t>
            </w:r>
          </w:p>
        </w:tc>
        <w:tc>
          <w:tcPr>
            <w:tcW w:w="366" w:type="pct"/>
            <w:tcBorders>
              <w:top w:val="nil"/>
              <w:left w:val="nil"/>
              <w:bottom w:val="nil"/>
              <w:right w:val="nil"/>
            </w:tcBorders>
            <w:noWrap/>
            <w:vAlign w:val="center"/>
            <w:hideMark/>
          </w:tcPr>
          <w:p w14:paraId="6D6B1B7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564" w:type="pct"/>
            <w:tcBorders>
              <w:top w:val="nil"/>
              <w:left w:val="nil"/>
              <w:bottom w:val="nil"/>
              <w:right w:val="nil"/>
            </w:tcBorders>
            <w:noWrap/>
            <w:vAlign w:val="center"/>
            <w:hideMark/>
          </w:tcPr>
          <w:p w14:paraId="4109990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12</w:t>
            </w:r>
          </w:p>
        </w:tc>
        <w:tc>
          <w:tcPr>
            <w:tcW w:w="330" w:type="pct"/>
            <w:tcBorders>
              <w:top w:val="nil"/>
              <w:left w:val="nil"/>
              <w:bottom w:val="nil"/>
              <w:right w:val="nil"/>
            </w:tcBorders>
            <w:noWrap/>
            <w:vAlign w:val="center"/>
            <w:hideMark/>
          </w:tcPr>
          <w:p w14:paraId="28411BB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18</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330" w:type="pct"/>
            <w:tcBorders>
              <w:top w:val="nil"/>
              <w:left w:val="nil"/>
              <w:bottom w:val="nil"/>
              <w:right w:val="nil"/>
            </w:tcBorders>
            <w:noWrap/>
            <w:vAlign w:val="center"/>
            <w:hideMark/>
          </w:tcPr>
          <w:p w14:paraId="64D19B8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408" w:type="pct"/>
            <w:tcBorders>
              <w:top w:val="nil"/>
              <w:left w:val="nil"/>
              <w:bottom w:val="nil"/>
              <w:right w:val="nil"/>
            </w:tcBorders>
            <w:noWrap/>
            <w:vAlign w:val="center"/>
            <w:hideMark/>
          </w:tcPr>
          <w:p w14:paraId="5847F4D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4.9</w:t>
            </w:r>
            <w:r w:rsidRPr="003B1D3A">
              <w:rPr>
                <w:rFonts w:ascii="Times New Roman" w:eastAsia="Times New Roman" w:hAnsi="Times New Roman" w:cs="Times New Roman"/>
                <w:color w:val="000000" w:themeColor="text1"/>
                <w:sz w:val="24"/>
                <w:szCs w:val="24"/>
                <w:vertAlign w:val="superscript"/>
                <w:lang w:val="en-US" w:eastAsia="fr-FR"/>
              </w:rPr>
              <w:t>c</w:t>
            </w:r>
          </w:p>
        </w:tc>
        <w:tc>
          <w:tcPr>
            <w:tcW w:w="277" w:type="pct"/>
            <w:tcBorders>
              <w:top w:val="nil"/>
              <w:left w:val="nil"/>
              <w:bottom w:val="nil"/>
              <w:right w:val="nil"/>
            </w:tcBorders>
            <w:noWrap/>
            <w:vAlign w:val="center"/>
            <w:hideMark/>
          </w:tcPr>
          <w:p w14:paraId="5B88A66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265.7</w:t>
            </w:r>
          </w:p>
        </w:tc>
        <w:tc>
          <w:tcPr>
            <w:tcW w:w="406" w:type="pct"/>
            <w:tcBorders>
              <w:top w:val="nil"/>
              <w:left w:val="nil"/>
              <w:bottom w:val="nil"/>
              <w:right w:val="nil"/>
            </w:tcBorders>
            <w:noWrap/>
            <w:vAlign w:val="center"/>
            <w:hideMark/>
          </w:tcPr>
          <w:p w14:paraId="2465D15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2.9</w:t>
            </w:r>
            <w:r w:rsidRPr="003B1D3A">
              <w:rPr>
                <w:rFonts w:ascii="Times New Roman" w:eastAsia="Times New Roman" w:hAnsi="Times New Roman" w:cs="Times New Roman"/>
                <w:color w:val="000000" w:themeColor="text1"/>
                <w:sz w:val="24"/>
                <w:szCs w:val="24"/>
                <w:vertAlign w:val="superscript"/>
                <w:lang w:val="en-US" w:eastAsia="fr-FR"/>
              </w:rPr>
              <w:t>b</w:t>
            </w:r>
          </w:p>
        </w:tc>
      </w:tr>
      <w:tr w:rsidR="00945A29" w:rsidRPr="003B1D3A" w14:paraId="515BD742" w14:textId="77777777" w:rsidTr="00371758">
        <w:trPr>
          <w:trHeight w:val="290"/>
        </w:trPr>
        <w:tc>
          <w:tcPr>
            <w:tcW w:w="469" w:type="pct"/>
            <w:vMerge/>
            <w:tcBorders>
              <w:top w:val="nil"/>
              <w:left w:val="nil"/>
              <w:bottom w:val="single" w:sz="4" w:space="0" w:color="000000"/>
              <w:right w:val="nil"/>
            </w:tcBorders>
            <w:vAlign w:val="center"/>
            <w:hideMark/>
          </w:tcPr>
          <w:p w14:paraId="11BEFF5B"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single" w:sz="4" w:space="0" w:color="auto"/>
              <w:right w:val="nil"/>
            </w:tcBorders>
            <w:vAlign w:val="center"/>
            <w:hideMark/>
          </w:tcPr>
          <w:p w14:paraId="675711F5"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i/>
                <w:sz w:val="24"/>
                <w:szCs w:val="24"/>
                <w:lang w:val="en-US"/>
              </w:rPr>
              <w:t>Tithonia diversifolia</w:t>
            </w:r>
            <w:r w:rsidRPr="003B1D3A">
              <w:rPr>
                <w:rFonts w:ascii="Times New Roman" w:hAnsi="Times New Roman" w:cs="Times New Roman"/>
                <w:sz w:val="24"/>
                <w:szCs w:val="24"/>
                <w:lang w:val="en-US"/>
              </w:rPr>
              <w:t xml:space="preserve"> Leaf Biomass</w:t>
            </w:r>
          </w:p>
        </w:tc>
        <w:tc>
          <w:tcPr>
            <w:tcW w:w="399" w:type="pct"/>
            <w:tcBorders>
              <w:top w:val="nil"/>
              <w:left w:val="nil"/>
              <w:bottom w:val="single" w:sz="4" w:space="0" w:color="auto"/>
              <w:right w:val="nil"/>
            </w:tcBorders>
            <w:noWrap/>
            <w:vAlign w:val="center"/>
            <w:hideMark/>
          </w:tcPr>
          <w:p w14:paraId="1258E44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66" w:type="pct"/>
            <w:tcBorders>
              <w:top w:val="nil"/>
              <w:left w:val="nil"/>
              <w:bottom w:val="single" w:sz="4" w:space="0" w:color="auto"/>
              <w:right w:val="nil"/>
            </w:tcBorders>
            <w:noWrap/>
            <w:vAlign w:val="center"/>
            <w:hideMark/>
          </w:tcPr>
          <w:p w14:paraId="773A76C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53</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564" w:type="pct"/>
            <w:tcBorders>
              <w:top w:val="nil"/>
              <w:left w:val="nil"/>
              <w:bottom w:val="single" w:sz="4" w:space="0" w:color="auto"/>
              <w:right w:val="nil"/>
            </w:tcBorders>
            <w:noWrap/>
            <w:vAlign w:val="center"/>
            <w:hideMark/>
          </w:tcPr>
          <w:p w14:paraId="18EC456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w:t>
            </w:r>
          </w:p>
        </w:tc>
        <w:tc>
          <w:tcPr>
            <w:tcW w:w="330" w:type="pct"/>
            <w:tcBorders>
              <w:top w:val="nil"/>
              <w:left w:val="nil"/>
              <w:bottom w:val="single" w:sz="4" w:space="0" w:color="auto"/>
              <w:right w:val="nil"/>
            </w:tcBorders>
            <w:noWrap/>
            <w:vAlign w:val="center"/>
            <w:hideMark/>
          </w:tcPr>
          <w:p w14:paraId="3B2E68F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16</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30" w:type="pct"/>
            <w:tcBorders>
              <w:top w:val="nil"/>
              <w:left w:val="nil"/>
              <w:bottom w:val="single" w:sz="4" w:space="0" w:color="auto"/>
              <w:right w:val="nil"/>
            </w:tcBorders>
            <w:noWrap/>
            <w:vAlign w:val="center"/>
            <w:hideMark/>
          </w:tcPr>
          <w:p w14:paraId="7E7E881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w:t>
            </w:r>
            <w:r w:rsidRPr="003B1D3A">
              <w:rPr>
                <w:rFonts w:ascii="Times New Roman" w:eastAsia="Times New Roman" w:hAnsi="Times New Roman" w:cs="Times New Roman"/>
                <w:color w:val="000000" w:themeColor="text1"/>
                <w:sz w:val="24"/>
                <w:szCs w:val="24"/>
                <w:vertAlign w:val="superscript"/>
                <w:lang w:val="en-US" w:eastAsia="fr-FR"/>
              </w:rPr>
              <w:t>c</w:t>
            </w:r>
          </w:p>
        </w:tc>
        <w:tc>
          <w:tcPr>
            <w:tcW w:w="408" w:type="pct"/>
            <w:tcBorders>
              <w:top w:val="nil"/>
              <w:left w:val="nil"/>
              <w:bottom w:val="single" w:sz="4" w:space="0" w:color="auto"/>
              <w:right w:val="nil"/>
            </w:tcBorders>
            <w:noWrap/>
            <w:vAlign w:val="center"/>
            <w:hideMark/>
          </w:tcPr>
          <w:p w14:paraId="57373CC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277" w:type="pct"/>
            <w:tcBorders>
              <w:top w:val="nil"/>
              <w:left w:val="nil"/>
              <w:bottom w:val="single" w:sz="4" w:space="0" w:color="auto"/>
              <w:right w:val="nil"/>
            </w:tcBorders>
            <w:noWrap/>
            <w:vAlign w:val="center"/>
            <w:hideMark/>
          </w:tcPr>
          <w:p w14:paraId="7D22C20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256.3</w:t>
            </w:r>
          </w:p>
        </w:tc>
        <w:tc>
          <w:tcPr>
            <w:tcW w:w="406" w:type="pct"/>
            <w:tcBorders>
              <w:top w:val="nil"/>
              <w:left w:val="nil"/>
              <w:bottom w:val="single" w:sz="4" w:space="0" w:color="auto"/>
              <w:right w:val="nil"/>
            </w:tcBorders>
            <w:noWrap/>
            <w:vAlign w:val="center"/>
            <w:hideMark/>
          </w:tcPr>
          <w:p w14:paraId="397B7C4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2.3</w:t>
            </w:r>
            <w:r w:rsidRPr="003B1D3A">
              <w:rPr>
                <w:rFonts w:ascii="Times New Roman" w:eastAsia="Times New Roman" w:hAnsi="Times New Roman" w:cs="Times New Roman"/>
                <w:color w:val="000000" w:themeColor="text1"/>
                <w:sz w:val="24"/>
                <w:szCs w:val="24"/>
                <w:vertAlign w:val="superscript"/>
                <w:lang w:val="en-US" w:eastAsia="fr-FR"/>
              </w:rPr>
              <w:t>a</w:t>
            </w:r>
          </w:p>
        </w:tc>
      </w:tr>
      <w:tr w:rsidR="00945A29" w:rsidRPr="003B1D3A" w14:paraId="639EB274" w14:textId="77777777" w:rsidTr="00371758">
        <w:trPr>
          <w:trHeight w:val="290"/>
        </w:trPr>
        <w:tc>
          <w:tcPr>
            <w:tcW w:w="469" w:type="pct"/>
            <w:vMerge w:val="restart"/>
            <w:tcBorders>
              <w:top w:val="nil"/>
              <w:left w:val="nil"/>
              <w:bottom w:val="single" w:sz="4" w:space="0" w:color="000000"/>
              <w:right w:val="nil"/>
            </w:tcBorders>
            <w:noWrap/>
            <w:vAlign w:val="center"/>
            <w:hideMark/>
          </w:tcPr>
          <w:p w14:paraId="4B5DD78B"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Improved variety (G17)</w:t>
            </w:r>
          </w:p>
        </w:tc>
        <w:tc>
          <w:tcPr>
            <w:tcW w:w="1451" w:type="pct"/>
            <w:tcBorders>
              <w:top w:val="nil"/>
              <w:left w:val="nil"/>
              <w:bottom w:val="nil"/>
              <w:right w:val="nil"/>
            </w:tcBorders>
            <w:vAlign w:val="center"/>
            <w:hideMark/>
          </w:tcPr>
          <w:p w14:paraId="6A22BDCB"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No Amendment</w:t>
            </w:r>
          </w:p>
        </w:tc>
        <w:tc>
          <w:tcPr>
            <w:tcW w:w="399" w:type="pct"/>
            <w:tcBorders>
              <w:top w:val="nil"/>
              <w:left w:val="nil"/>
              <w:bottom w:val="nil"/>
              <w:right w:val="nil"/>
            </w:tcBorders>
            <w:noWrap/>
            <w:vAlign w:val="center"/>
            <w:hideMark/>
          </w:tcPr>
          <w:p w14:paraId="51D80DD4"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66" w:type="pct"/>
            <w:tcBorders>
              <w:top w:val="nil"/>
              <w:left w:val="nil"/>
              <w:bottom w:val="nil"/>
              <w:right w:val="nil"/>
            </w:tcBorders>
            <w:noWrap/>
            <w:vAlign w:val="center"/>
            <w:hideMark/>
          </w:tcPr>
          <w:p w14:paraId="68976C3C"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52</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564" w:type="pct"/>
            <w:tcBorders>
              <w:top w:val="nil"/>
              <w:left w:val="nil"/>
              <w:bottom w:val="nil"/>
              <w:right w:val="nil"/>
            </w:tcBorders>
            <w:noWrap/>
            <w:vAlign w:val="center"/>
            <w:hideMark/>
          </w:tcPr>
          <w:p w14:paraId="14201B0F"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13</w:t>
            </w:r>
          </w:p>
        </w:tc>
        <w:tc>
          <w:tcPr>
            <w:tcW w:w="330" w:type="pct"/>
            <w:tcBorders>
              <w:top w:val="nil"/>
              <w:left w:val="nil"/>
              <w:bottom w:val="nil"/>
              <w:right w:val="nil"/>
            </w:tcBorders>
            <w:noWrap/>
            <w:vAlign w:val="center"/>
            <w:hideMark/>
          </w:tcPr>
          <w:p w14:paraId="2EBAB916"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17</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330" w:type="pct"/>
            <w:tcBorders>
              <w:top w:val="nil"/>
              <w:left w:val="nil"/>
              <w:bottom w:val="nil"/>
              <w:right w:val="nil"/>
            </w:tcBorders>
            <w:noWrap/>
            <w:vAlign w:val="center"/>
            <w:hideMark/>
          </w:tcPr>
          <w:p w14:paraId="4C5B4208"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6</w:t>
            </w:r>
            <w:r w:rsidRPr="003B1D3A">
              <w:rPr>
                <w:rFonts w:ascii="Times New Roman" w:eastAsia="Times New Roman" w:hAnsi="Times New Roman" w:cs="Times New Roman"/>
                <w:color w:val="000000" w:themeColor="text1"/>
                <w:sz w:val="24"/>
                <w:szCs w:val="24"/>
                <w:vertAlign w:val="superscript"/>
                <w:lang w:val="en-US" w:eastAsia="fr-FR"/>
              </w:rPr>
              <w:t>e</w:t>
            </w:r>
          </w:p>
        </w:tc>
        <w:tc>
          <w:tcPr>
            <w:tcW w:w="408" w:type="pct"/>
            <w:tcBorders>
              <w:top w:val="nil"/>
              <w:left w:val="nil"/>
              <w:bottom w:val="nil"/>
              <w:right w:val="nil"/>
            </w:tcBorders>
            <w:noWrap/>
            <w:vAlign w:val="center"/>
            <w:hideMark/>
          </w:tcPr>
          <w:p w14:paraId="6400F9DB"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277" w:type="pct"/>
            <w:tcBorders>
              <w:top w:val="nil"/>
              <w:left w:val="nil"/>
              <w:bottom w:val="nil"/>
              <w:right w:val="nil"/>
            </w:tcBorders>
            <w:noWrap/>
            <w:vAlign w:val="center"/>
            <w:hideMark/>
          </w:tcPr>
          <w:p w14:paraId="147E354E"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253.0</w:t>
            </w:r>
          </w:p>
        </w:tc>
        <w:tc>
          <w:tcPr>
            <w:tcW w:w="406" w:type="pct"/>
            <w:tcBorders>
              <w:top w:val="nil"/>
              <w:left w:val="nil"/>
              <w:bottom w:val="nil"/>
              <w:right w:val="nil"/>
            </w:tcBorders>
            <w:noWrap/>
            <w:vAlign w:val="center"/>
            <w:hideMark/>
          </w:tcPr>
          <w:p w14:paraId="48CFB6A5"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2.1</w:t>
            </w:r>
            <w:r w:rsidRPr="003B1D3A">
              <w:rPr>
                <w:rFonts w:ascii="Times New Roman" w:eastAsia="Times New Roman" w:hAnsi="Times New Roman" w:cs="Times New Roman"/>
                <w:color w:val="000000" w:themeColor="text1"/>
                <w:sz w:val="24"/>
                <w:szCs w:val="24"/>
                <w:vertAlign w:val="superscript"/>
                <w:lang w:val="en-US" w:eastAsia="fr-FR"/>
              </w:rPr>
              <w:t>a</w:t>
            </w:r>
          </w:p>
        </w:tc>
      </w:tr>
      <w:tr w:rsidR="00945A29" w:rsidRPr="003B1D3A" w14:paraId="5259F91D" w14:textId="77777777" w:rsidTr="00371758">
        <w:trPr>
          <w:trHeight w:val="290"/>
        </w:trPr>
        <w:tc>
          <w:tcPr>
            <w:tcW w:w="469" w:type="pct"/>
            <w:vMerge/>
            <w:tcBorders>
              <w:top w:val="nil"/>
              <w:left w:val="nil"/>
              <w:bottom w:val="single" w:sz="4" w:space="0" w:color="000000"/>
              <w:right w:val="nil"/>
            </w:tcBorders>
            <w:vAlign w:val="center"/>
            <w:hideMark/>
          </w:tcPr>
          <w:p w14:paraId="5A30F62A"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vAlign w:val="center"/>
            <w:hideMark/>
          </w:tcPr>
          <w:p w14:paraId="236083EC"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Agricultural Lime</w:t>
            </w:r>
          </w:p>
        </w:tc>
        <w:tc>
          <w:tcPr>
            <w:tcW w:w="399" w:type="pct"/>
            <w:tcBorders>
              <w:top w:val="nil"/>
              <w:left w:val="nil"/>
              <w:bottom w:val="nil"/>
              <w:right w:val="nil"/>
            </w:tcBorders>
            <w:noWrap/>
            <w:vAlign w:val="center"/>
            <w:hideMark/>
          </w:tcPr>
          <w:p w14:paraId="48B1C655"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29</w:t>
            </w:r>
            <w:r w:rsidRPr="003B1D3A">
              <w:rPr>
                <w:rFonts w:ascii="Times New Roman" w:eastAsia="Times New Roman" w:hAnsi="Times New Roman" w:cs="Times New Roman"/>
                <w:color w:val="000000" w:themeColor="text1"/>
                <w:sz w:val="24"/>
                <w:szCs w:val="24"/>
                <w:vertAlign w:val="superscript"/>
                <w:lang w:val="en-US" w:eastAsia="fr-FR"/>
              </w:rPr>
              <w:t>c</w:t>
            </w:r>
          </w:p>
        </w:tc>
        <w:tc>
          <w:tcPr>
            <w:tcW w:w="366" w:type="pct"/>
            <w:tcBorders>
              <w:top w:val="nil"/>
              <w:left w:val="nil"/>
              <w:bottom w:val="nil"/>
              <w:right w:val="nil"/>
            </w:tcBorders>
            <w:noWrap/>
            <w:vAlign w:val="center"/>
            <w:hideMark/>
          </w:tcPr>
          <w:p w14:paraId="67127D4C"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564" w:type="pct"/>
            <w:tcBorders>
              <w:top w:val="nil"/>
              <w:left w:val="nil"/>
              <w:bottom w:val="nil"/>
              <w:right w:val="nil"/>
            </w:tcBorders>
            <w:noWrap/>
            <w:vAlign w:val="center"/>
            <w:hideMark/>
          </w:tcPr>
          <w:p w14:paraId="4B5DC552"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11</w:t>
            </w:r>
          </w:p>
        </w:tc>
        <w:tc>
          <w:tcPr>
            <w:tcW w:w="330" w:type="pct"/>
            <w:tcBorders>
              <w:top w:val="nil"/>
              <w:left w:val="nil"/>
              <w:bottom w:val="nil"/>
              <w:right w:val="nil"/>
            </w:tcBorders>
            <w:noWrap/>
            <w:vAlign w:val="center"/>
            <w:hideMark/>
          </w:tcPr>
          <w:p w14:paraId="6767A62A"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14</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30" w:type="pct"/>
            <w:tcBorders>
              <w:top w:val="nil"/>
              <w:left w:val="nil"/>
              <w:bottom w:val="nil"/>
              <w:right w:val="nil"/>
            </w:tcBorders>
            <w:noWrap/>
            <w:vAlign w:val="center"/>
            <w:hideMark/>
          </w:tcPr>
          <w:p w14:paraId="0E5E8F20"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0</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408" w:type="pct"/>
            <w:tcBorders>
              <w:top w:val="nil"/>
              <w:left w:val="nil"/>
              <w:bottom w:val="nil"/>
              <w:right w:val="nil"/>
            </w:tcBorders>
            <w:noWrap/>
            <w:vAlign w:val="center"/>
            <w:hideMark/>
          </w:tcPr>
          <w:p w14:paraId="5CA56762"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4.2</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277" w:type="pct"/>
            <w:tcBorders>
              <w:top w:val="nil"/>
              <w:left w:val="nil"/>
              <w:bottom w:val="nil"/>
              <w:right w:val="nil"/>
            </w:tcBorders>
            <w:noWrap/>
            <w:vAlign w:val="center"/>
            <w:hideMark/>
          </w:tcPr>
          <w:p w14:paraId="507C139C"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270.3</w:t>
            </w:r>
          </w:p>
        </w:tc>
        <w:tc>
          <w:tcPr>
            <w:tcW w:w="406" w:type="pct"/>
            <w:tcBorders>
              <w:top w:val="nil"/>
              <w:left w:val="nil"/>
              <w:bottom w:val="nil"/>
              <w:right w:val="nil"/>
            </w:tcBorders>
            <w:noWrap/>
            <w:vAlign w:val="center"/>
            <w:hideMark/>
          </w:tcPr>
          <w:p w14:paraId="43092EEC"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2.8</w:t>
            </w:r>
            <w:r w:rsidRPr="003B1D3A">
              <w:rPr>
                <w:rFonts w:ascii="Times New Roman" w:eastAsia="Times New Roman" w:hAnsi="Times New Roman" w:cs="Times New Roman"/>
                <w:color w:val="000000" w:themeColor="text1"/>
                <w:sz w:val="24"/>
                <w:szCs w:val="24"/>
                <w:vertAlign w:val="superscript"/>
                <w:lang w:val="en-US" w:eastAsia="fr-FR"/>
              </w:rPr>
              <w:t>b</w:t>
            </w:r>
          </w:p>
        </w:tc>
      </w:tr>
      <w:tr w:rsidR="00945A29" w:rsidRPr="003B1D3A" w14:paraId="1A6324D4" w14:textId="77777777" w:rsidTr="00371758">
        <w:trPr>
          <w:trHeight w:val="290"/>
        </w:trPr>
        <w:tc>
          <w:tcPr>
            <w:tcW w:w="469" w:type="pct"/>
            <w:vMerge/>
            <w:tcBorders>
              <w:top w:val="nil"/>
              <w:left w:val="nil"/>
              <w:bottom w:val="single" w:sz="4" w:space="0" w:color="000000"/>
              <w:right w:val="nil"/>
            </w:tcBorders>
            <w:vAlign w:val="center"/>
            <w:hideMark/>
          </w:tcPr>
          <w:p w14:paraId="60B69E28"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single" w:sz="4" w:space="0" w:color="auto"/>
              <w:right w:val="nil"/>
            </w:tcBorders>
            <w:vAlign w:val="center"/>
            <w:hideMark/>
          </w:tcPr>
          <w:p w14:paraId="58DE4F74"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i/>
                <w:sz w:val="24"/>
                <w:szCs w:val="24"/>
                <w:lang w:val="en-US"/>
              </w:rPr>
              <w:t>Tithonia diversifolia</w:t>
            </w:r>
            <w:r w:rsidRPr="003B1D3A">
              <w:rPr>
                <w:rFonts w:ascii="Times New Roman" w:hAnsi="Times New Roman" w:cs="Times New Roman"/>
                <w:sz w:val="24"/>
                <w:szCs w:val="24"/>
                <w:lang w:val="en-US"/>
              </w:rPr>
              <w:t xml:space="preserve"> Leaf Biomass</w:t>
            </w:r>
          </w:p>
        </w:tc>
        <w:tc>
          <w:tcPr>
            <w:tcW w:w="399" w:type="pct"/>
            <w:tcBorders>
              <w:top w:val="nil"/>
              <w:left w:val="nil"/>
              <w:bottom w:val="single" w:sz="4" w:space="0" w:color="auto"/>
              <w:right w:val="nil"/>
            </w:tcBorders>
            <w:noWrap/>
            <w:vAlign w:val="center"/>
            <w:hideMark/>
          </w:tcPr>
          <w:p w14:paraId="639AF6B2"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66" w:type="pct"/>
            <w:tcBorders>
              <w:top w:val="nil"/>
              <w:left w:val="nil"/>
              <w:bottom w:val="single" w:sz="4" w:space="0" w:color="auto"/>
              <w:right w:val="nil"/>
            </w:tcBorders>
            <w:noWrap/>
            <w:vAlign w:val="center"/>
            <w:hideMark/>
          </w:tcPr>
          <w:p w14:paraId="4AF6F789"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46</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564" w:type="pct"/>
            <w:tcBorders>
              <w:top w:val="nil"/>
              <w:left w:val="nil"/>
              <w:bottom w:val="single" w:sz="4" w:space="0" w:color="auto"/>
              <w:right w:val="nil"/>
            </w:tcBorders>
            <w:noWrap/>
            <w:vAlign w:val="center"/>
            <w:hideMark/>
          </w:tcPr>
          <w:p w14:paraId="7F8319AF"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13</w:t>
            </w:r>
          </w:p>
        </w:tc>
        <w:tc>
          <w:tcPr>
            <w:tcW w:w="330" w:type="pct"/>
            <w:tcBorders>
              <w:top w:val="nil"/>
              <w:left w:val="nil"/>
              <w:bottom w:val="single" w:sz="4" w:space="0" w:color="auto"/>
              <w:right w:val="nil"/>
            </w:tcBorders>
            <w:noWrap/>
            <w:vAlign w:val="center"/>
            <w:hideMark/>
          </w:tcPr>
          <w:p w14:paraId="637D4363"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30" w:type="pct"/>
            <w:tcBorders>
              <w:top w:val="nil"/>
              <w:left w:val="nil"/>
              <w:bottom w:val="single" w:sz="4" w:space="0" w:color="auto"/>
              <w:right w:val="nil"/>
            </w:tcBorders>
            <w:noWrap/>
            <w:vAlign w:val="center"/>
            <w:hideMark/>
          </w:tcPr>
          <w:p w14:paraId="578F0DB2"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w:t>
            </w:r>
            <w:r w:rsidRPr="003B1D3A">
              <w:rPr>
                <w:rFonts w:ascii="Times New Roman" w:eastAsia="Times New Roman" w:hAnsi="Times New Roman" w:cs="Times New Roman"/>
                <w:color w:val="000000" w:themeColor="text1"/>
                <w:sz w:val="24"/>
                <w:szCs w:val="24"/>
                <w:vertAlign w:val="superscript"/>
                <w:lang w:val="en-US" w:eastAsia="fr-FR"/>
              </w:rPr>
              <w:t>c</w:t>
            </w:r>
          </w:p>
        </w:tc>
        <w:tc>
          <w:tcPr>
            <w:tcW w:w="408" w:type="pct"/>
            <w:tcBorders>
              <w:top w:val="nil"/>
              <w:left w:val="nil"/>
              <w:bottom w:val="single" w:sz="4" w:space="0" w:color="auto"/>
              <w:right w:val="nil"/>
            </w:tcBorders>
            <w:noWrap/>
            <w:vAlign w:val="center"/>
            <w:hideMark/>
          </w:tcPr>
          <w:p w14:paraId="260D529D"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277" w:type="pct"/>
            <w:tcBorders>
              <w:top w:val="nil"/>
              <w:left w:val="nil"/>
              <w:bottom w:val="single" w:sz="4" w:space="0" w:color="auto"/>
              <w:right w:val="nil"/>
            </w:tcBorders>
            <w:noWrap/>
            <w:vAlign w:val="center"/>
            <w:hideMark/>
          </w:tcPr>
          <w:p w14:paraId="6827088E"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258.3</w:t>
            </w:r>
          </w:p>
        </w:tc>
        <w:tc>
          <w:tcPr>
            <w:tcW w:w="406" w:type="pct"/>
            <w:tcBorders>
              <w:top w:val="nil"/>
              <w:left w:val="nil"/>
              <w:bottom w:val="single" w:sz="4" w:space="0" w:color="auto"/>
              <w:right w:val="nil"/>
            </w:tcBorders>
            <w:noWrap/>
            <w:vAlign w:val="center"/>
            <w:hideMark/>
          </w:tcPr>
          <w:p w14:paraId="3C802047"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2.3</w:t>
            </w:r>
            <w:r w:rsidRPr="003B1D3A">
              <w:rPr>
                <w:rFonts w:ascii="Times New Roman" w:eastAsia="Times New Roman" w:hAnsi="Times New Roman" w:cs="Times New Roman"/>
                <w:color w:val="000000" w:themeColor="text1"/>
                <w:sz w:val="24"/>
                <w:szCs w:val="24"/>
                <w:vertAlign w:val="superscript"/>
                <w:lang w:val="en-US" w:eastAsia="fr-FR"/>
              </w:rPr>
              <w:t>a</w:t>
            </w:r>
          </w:p>
        </w:tc>
      </w:tr>
      <w:tr w:rsidR="00945A29" w:rsidRPr="003B1D3A" w14:paraId="723C37E5" w14:textId="77777777" w:rsidTr="00371758">
        <w:trPr>
          <w:trHeight w:val="290"/>
        </w:trPr>
        <w:tc>
          <w:tcPr>
            <w:tcW w:w="469" w:type="pct"/>
            <w:tcBorders>
              <w:top w:val="nil"/>
              <w:left w:val="nil"/>
              <w:bottom w:val="nil"/>
              <w:right w:val="nil"/>
            </w:tcBorders>
            <w:noWrap/>
            <w:vAlign w:val="bottom"/>
            <w:hideMark/>
          </w:tcPr>
          <w:p w14:paraId="6888951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single" w:sz="4" w:space="0" w:color="auto"/>
              <w:right w:val="nil"/>
            </w:tcBorders>
            <w:vAlign w:val="center"/>
          </w:tcPr>
          <w:p w14:paraId="5ACD2092" w14:textId="77777777" w:rsidR="00A92DFD" w:rsidRPr="003B1D3A" w:rsidRDefault="00F85A32" w:rsidP="003B1D3A">
            <w:pPr>
              <w:spacing w:after="0"/>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Overall Mean</w:t>
            </w:r>
          </w:p>
        </w:tc>
        <w:tc>
          <w:tcPr>
            <w:tcW w:w="399" w:type="pct"/>
            <w:tcBorders>
              <w:top w:val="nil"/>
              <w:left w:val="nil"/>
              <w:bottom w:val="single" w:sz="4" w:space="0" w:color="auto"/>
              <w:right w:val="nil"/>
            </w:tcBorders>
            <w:noWrap/>
            <w:vAlign w:val="center"/>
            <w:hideMark/>
          </w:tcPr>
          <w:p w14:paraId="0A67733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single" w:sz="4" w:space="0" w:color="auto"/>
              <w:right w:val="nil"/>
            </w:tcBorders>
            <w:noWrap/>
            <w:vAlign w:val="center"/>
            <w:hideMark/>
          </w:tcPr>
          <w:p w14:paraId="3DBC716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48</w:t>
            </w:r>
          </w:p>
        </w:tc>
        <w:tc>
          <w:tcPr>
            <w:tcW w:w="564" w:type="pct"/>
            <w:tcBorders>
              <w:top w:val="nil"/>
              <w:left w:val="nil"/>
              <w:bottom w:val="single" w:sz="4" w:space="0" w:color="auto"/>
              <w:right w:val="nil"/>
            </w:tcBorders>
            <w:noWrap/>
            <w:vAlign w:val="center"/>
            <w:hideMark/>
          </w:tcPr>
          <w:p w14:paraId="0156730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10</w:t>
            </w:r>
          </w:p>
        </w:tc>
        <w:tc>
          <w:tcPr>
            <w:tcW w:w="330" w:type="pct"/>
            <w:tcBorders>
              <w:top w:val="nil"/>
              <w:left w:val="nil"/>
              <w:bottom w:val="single" w:sz="4" w:space="0" w:color="auto"/>
              <w:right w:val="nil"/>
            </w:tcBorders>
            <w:noWrap/>
            <w:vAlign w:val="center"/>
            <w:hideMark/>
          </w:tcPr>
          <w:p w14:paraId="6C869BE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16</w:t>
            </w:r>
          </w:p>
        </w:tc>
        <w:tc>
          <w:tcPr>
            <w:tcW w:w="330" w:type="pct"/>
            <w:tcBorders>
              <w:top w:val="nil"/>
              <w:left w:val="nil"/>
              <w:bottom w:val="single" w:sz="4" w:space="0" w:color="auto"/>
              <w:right w:val="nil"/>
            </w:tcBorders>
            <w:noWrap/>
            <w:vAlign w:val="center"/>
            <w:hideMark/>
          </w:tcPr>
          <w:p w14:paraId="0317725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single" w:sz="4" w:space="0" w:color="auto"/>
              <w:right w:val="nil"/>
            </w:tcBorders>
            <w:noWrap/>
            <w:vAlign w:val="center"/>
            <w:hideMark/>
          </w:tcPr>
          <w:p w14:paraId="35894F7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w:t>
            </w:r>
          </w:p>
        </w:tc>
        <w:tc>
          <w:tcPr>
            <w:tcW w:w="277" w:type="pct"/>
            <w:tcBorders>
              <w:top w:val="nil"/>
              <w:left w:val="nil"/>
              <w:bottom w:val="single" w:sz="4" w:space="0" w:color="auto"/>
              <w:right w:val="nil"/>
            </w:tcBorders>
            <w:noWrap/>
            <w:vAlign w:val="center"/>
            <w:hideMark/>
          </w:tcPr>
          <w:p w14:paraId="6FB9568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260.7</w:t>
            </w:r>
          </w:p>
        </w:tc>
        <w:tc>
          <w:tcPr>
            <w:tcW w:w="406" w:type="pct"/>
            <w:tcBorders>
              <w:top w:val="nil"/>
              <w:left w:val="nil"/>
              <w:bottom w:val="single" w:sz="4" w:space="0" w:color="auto"/>
              <w:right w:val="nil"/>
            </w:tcBorders>
            <w:noWrap/>
            <w:vAlign w:val="center"/>
            <w:hideMark/>
          </w:tcPr>
          <w:p w14:paraId="3438630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283008E2" w14:textId="77777777" w:rsidTr="00371758">
        <w:trPr>
          <w:trHeight w:val="310"/>
        </w:trPr>
        <w:tc>
          <w:tcPr>
            <w:tcW w:w="469" w:type="pct"/>
            <w:tcBorders>
              <w:top w:val="nil"/>
              <w:left w:val="nil"/>
              <w:bottom w:val="nil"/>
              <w:right w:val="nil"/>
            </w:tcBorders>
            <w:noWrap/>
            <w:vAlign w:val="bottom"/>
            <w:hideMark/>
          </w:tcPr>
          <w:p w14:paraId="0B392E0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2BA864E4"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the Local Variety</w:t>
            </w:r>
          </w:p>
        </w:tc>
        <w:tc>
          <w:tcPr>
            <w:tcW w:w="399" w:type="pct"/>
            <w:tcBorders>
              <w:top w:val="nil"/>
              <w:left w:val="nil"/>
              <w:bottom w:val="nil"/>
              <w:right w:val="nil"/>
            </w:tcBorders>
            <w:noWrap/>
            <w:vAlign w:val="center"/>
            <w:hideMark/>
          </w:tcPr>
          <w:p w14:paraId="7633533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nil"/>
              <w:right w:val="nil"/>
            </w:tcBorders>
            <w:noWrap/>
            <w:vAlign w:val="center"/>
            <w:hideMark/>
          </w:tcPr>
          <w:p w14:paraId="2A0B933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49</w:t>
            </w:r>
          </w:p>
        </w:tc>
        <w:tc>
          <w:tcPr>
            <w:tcW w:w="564" w:type="pct"/>
            <w:tcBorders>
              <w:top w:val="nil"/>
              <w:left w:val="nil"/>
              <w:bottom w:val="nil"/>
              <w:right w:val="nil"/>
            </w:tcBorders>
            <w:noWrap/>
            <w:vAlign w:val="center"/>
            <w:hideMark/>
          </w:tcPr>
          <w:p w14:paraId="191C383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9</w:t>
            </w:r>
          </w:p>
        </w:tc>
        <w:tc>
          <w:tcPr>
            <w:tcW w:w="330" w:type="pct"/>
            <w:tcBorders>
              <w:top w:val="nil"/>
              <w:left w:val="nil"/>
              <w:bottom w:val="nil"/>
              <w:right w:val="nil"/>
            </w:tcBorders>
            <w:noWrap/>
            <w:vAlign w:val="center"/>
            <w:hideMark/>
          </w:tcPr>
          <w:p w14:paraId="6AA4900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17</w:t>
            </w:r>
          </w:p>
        </w:tc>
        <w:tc>
          <w:tcPr>
            <w:tcW w:w="330" w:type="pct"/>
            <w:tcBorders>
              <w:top w:val="nil"/>
              <w:left w:val="nil"/>
              <w:bottom w:val="nil"/>
              <w:right w:val="nil"/>
            </w:tcBorders>
            <w:noWrap/>
            <w:vAlign w:val="center"/>
            <w:hideMark/>
          </w:tcPr>
          <w:p w14:paraId="46357F4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nil"/>
              <w:right w:val="nil"/>
            </w:tcBorders>
            <w:noWrap/>
            <w:vAlign w:val="center"/>
            <w:hideMark/>
          </w:tcPr>
          <w:p w14:paraId="0D5FDB5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3.9</w:t>
            </w:r>
          </w:p>
        </w:tc>
        <w:tc>
          <w:tcPr>
            <w:tcW w:w="277" w:type="pct"/>
            <w:tcBorders>
              <w:top w:val="nil"/>
              <w:left w:val="nil"/>
              <w:bottom w:val="nil"/>
              <w:right w:val="nil"/>
            </w:tcBorders>
            <w:noWrap/>
            <w:vAlign w:val="center"/>
            <w:hideMark/>
          </w:tcPr>
          <w:p w14:paraId="316EAD0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260.9</w:t>
            </w:r>
          </w:p>
        </w:tc>
        <w:tc>
          <w:tcPr>
            <w:tcW w:w="406" w:type="pct"/>
            <w:tcBorders>
              <w:top w:val="nil"/>
              <w:left w:val="nil"/>
              <w:bottom w:val="nil"/>
              <w:right w:val="nil"/>
            </w:tcBorders>
            <w:noWrap/>
            <w:vAlign w:val="center"/>
            <w:hideMark/>
          </w:tcPr>
          <w:p w14:paraId="7DF12BF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r>
      <w:tr w:rsidR="00945A29" w:rsidRPr="003B1D3A" w14:paraId="57923F9E" w14:textId="77777777" w:rsidTr="00371758">
        <w:trPr>
          <w:trHeight w:val="310"/>
        </w:trPr>
        <w:tc>
          <w:tcPr>
            <w:tcW w:w="469" w:type="pct"/>
            <w:tcBorders>
              <w:top w:val="nil"/>
              <w:left w:val="nil"/>
              <w:bottom w:val="nil"/>
              <w:right w:val="nil"/>
            </w:tcBorders>
            <w:noWrap/>
            <w:vAlign w:val="bottom"/>
            <w:hideMark/>
          </w:tcPr>
          <w:p w14:paraId="55D1867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62205E31"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the G17 Variety</w:t>
            </w:r>
          </w:p>
        </w:tc>
        <w:tc>
          <w:tcPr>
            <w:tcW w:w="399" w:type="pct"/>
            <w:tcBorders>
              <w:top w:val="nil"/>
              <w:left w:val="nil"/>
              <w:bottom w:val="nil"/>
              <w:right w:val="nil"/>
            </w:tcBorders>
            <w:noWrap/>
            <w:vAlign w:val="center"/>
            <w:hideMark/>
          </w:tcPr>
          <w:p w14:paraId="0ECA6B4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nil"/>
              <w:right w:val="nil"/>
            </w:tcBorders>
            <w:noWrap/>
            <w:vAlign w:val="center"/>
            <w:hideMark/>
          </w:tcPr>
          <w:p w14:paraId="06821E5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48</w:t>
            </w:r>
          </w:p>
        </w:tc>
        <w:tc>
          <w:tcPr>
            <w:tcW w:w="564" w:type="pct"/>
            <w:tcBorders>
              <w:top w:val="nil"/>
              <w:left w:val="nil"/>
              <w:bottom w:val="nil"/>
              <w:right w:val="nil"/>
            </w:tcBorders>
            <w:noWrap/>
            <w:vAlign w:val="center"/>
            <w:hideMark/>
          </w:tcPr>
          <w:p w14:paraId="48D3CFF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11</w:t>
            </w:r>
          </w:p>
        </w:tc>
        <w:tc>
          <w:tcPr>
            <w:tcW w:w="330" w:type="pct"/>
            <w:tcBorders>
              <w:top w:val="nil"/>
              <w:left w:val="nil"/>
              <w:bottom w:val="nil"/>
              <w:right w:val="nil"/>
            </w:tcBorders>
            <w:noWrap/>
            <w:vAlign w:val="center"/>
            <w:hideMark/>
          </w:tcPr>
          <w:p w14:paraId="00DF26E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15</w:t>
            </w:r>
          </w:p>
        </w:tc>
        <w:tc>
          <w:tcPr>
            <w:tcW w:w="330" w:type="pct"/>
            <w:tcBorders>
              <w:top w:val="nil"/>
              <w:left w:val="nil"/>
              <w:bottom w:val="nil"/>
              <w:right w:val="nil"/>
            </w:tcBorders>
            <w:noWrap/>
            <w:vAlign w:val="center"/>
            <w:hideMark/>
          </w:tcPr>
          <w:p w14:paraId="0BE5424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nil"/>
              <w:right w:val="nil"/>
            </w:tcBorders>
            <w:noWrap/>
            <w:vAlign w:val="center"/>
            <w:hideMark/>
          </w:tcPr>
          <w:p w14:paraId="752C015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3.7</w:t>
            </w:r>
          </w:p>
        </w:tc>
        <w:tc>
          <w:tcPr>
            <w:tcW w:w="277" w:type="pct"/>
            <w:tcBorders>
              <w:top w:val="nil"/>
              <w:left w:val="nil"/>
              <w:bottom w:val="nil"/>
              <w:right w:val="nil"/>
            </w:tcBorders>
            <w:noWrap/>
            <w:vAlign w:val="center"/>
            <w:hideMark/>
          </w:tcPr>
          <w:p w14:paraId="343B8B3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260.6</w:t>
            </w:r>
          </w:p>
        </w:tc>
        <w:tc>
          <w:tcPr>
            <w:tcW w:w="406" w:type="pct"/>
            <w:tcBorders>
              <w:top w:val="nil"/>
              <w:left w:val="nil"/>
              <w:bottom w:val="nil"/>
              <w:right w:val="nil"/>
            </w:tcBorders>
            <w:noWrap/>
            <w:vAlign w:val="center"/>
            <w:hideMark/>
          </w:tcPr>
          <w:p w14:paraId="6B592FF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55B52E62" w14:textId="77777777" w:rsidTr="00371758">
        <w:trPr>
          <w:trHeight w:val="290"/>
        </w:trPr>
        <w:tc>
          <w:tcPr>
            <w:tcW w:w="469" w:type="pct"/>
            <w:tcBorders>
              <w:top w:val="nil"/>
              <w:left w:val="nil"/>
              <w:bottom w:val="nil"/>
              <w:right w:val="nil"/>
            </w:tcBorders>
            <w:noWrap/>
            <w:vAlign w:val="bottom"/>
            <w:hideMark/>
          </w:tcPr>
          <w:p w14:paraId="209F7A6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single" w:sz="4" w:space="0" w:color="auto"/>
              <w:right w:val="nil"/>
            </w:tcBorders>
            <w:noWrap/>
            <w:vAlign w:val="center"/>
          </w:tcPr>
          <w:p w14:paraId="21285BE6"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Varieties</w:t>
            </w:r>
          </w:p>
        </w:tc>
        <w:tc>
          <w:tcPr>
            <w:tcW w:w="399" w:type="pct"/>
            <w:tcBorders>
              <w:top w:val="nil"/>
              <w:left w:val="nil"/>
              <w:bottom w:val="single" w:sz="4" w:space="0" w:color="auto"/>
              <w:right w:val="nil"/>
            </w:tcBorders>
            <w:noWrap/>
            <w:vAlign w:val="center"/>
            <w:hideMark/>
          </w:tcPr>
          <w:p w14:paraId="245A582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single" w:sz="4" w:space="0" w:color="auto"/>
              <w:right w:val="nil"/>
            </w:tcBorders>
            <w:noWrap/>
            <w:vAlign w:val="center"/>
            <w:hideMark/>
          </w:tcPr>
          <w:p w14:paraId="38F4A29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48</w:t>
            </w:r>
          </w:p>
        </w:tc>
        <w:tc>
          <w:tcPr>
            <w:tcW w:w="564" w:type="pct"/>
            <w:tcBorders>
              <w:top w:val="nil"/>
              <w:left w:val="nil"/>
              <w:bottom w:val="single" w:sz="4" w:space="0" w:color="auto"/>
              <w:right w:val="nil"/>
            </w:tcBorders>
            <w:noWrap/>
            <w:vAlign w:val="center"/>
            <w:hideMark/>
          </w:tcPr>
          <w:p w14:paraId="1C0E4D3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10</w:t>
            </w:r>
          </w:p>
        </w:tc>
        <w:tc>
          <w:tcPr>
            <w:tcW w:w="330" w:type="pct"/>
            <w:tcBorders>
              <w:top w:val="nil"/>
              <w:left w:val="nil"/>
              <w:bottom w:val="single" w:sz="4" w:space="0" w:color="auto"/>
              <w:right w:val="nil"/>
            </w:tcBorders>
            <w:noWrap/>
            <w:vAlign w:val="center"/>
            <w:hideMark/>
          </w:tcPr>
          <w:p w14:paraId="6BB48F4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16</w:t>
            </w:r>
          </w:p>
        </w:tc>
        <w:tc>
          <w:tcPr>
            <w:tcW w:w="330" w:type="pct"/>
            <w:tcBorders>
              <w:top w:val="nil"/>
              <w:left w:val="nil"/>
              <w:bottom w:val="single" w:sz="4" w:space="0" w:color="auto"/>
              <w:right w:val="nil"/>
            </w:tcBorders>
            <w:noWrap/>
            <w:vAlign w:val="center"/>
            <w:hideMark/>
          </w:tcPr>
          <w:p w14:paraId="08E9199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single" w:sz="4" w:space="0" w:color="auto"/>
              <w:right w:val="nil"/>
            </w:tcBorders>
            <w:noWrap/>
            <w:vAlign w:val="center"/>
            <w:hideMark/>
          </w:tcPr>
          <w:p w14:paraId="71869ED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w:t>
            </w:r>
          </w:p>
        </w:tc>
        <w:tc>
          <w:tcPr>
            <w:tcW w:w="277" w:type="pct"/>
            <w:tcBorders>
              <w:top w:val="nil"/>
              <w:left w:val="nil"/>
              <w:bottom w:val="single" w:sz="4" w:space="0" w:color="auto"/>
              <w:right w:val="nil"/>
            </w:tcBorders>
            <w:noWrap/>
            <w:vAlign w:val="center"/>
            <w:hideMark/>
          </w:tcPr>
          <w:p w14:paraId="5489D0F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260.7</w:t>
            </w:r>
          </w:p>
        </w:tc>
        <w:tc>
          <w:tcPr>
            <w:tcW w:w="406" w:type="pct"/>
            <w:tcBorders>
              <w:top w:val="nil"/>
              <w:left w:val="nil"/>
              <w:bottom w:val="single" w:sz="4" w:space="0" w:color="auto"/>
              <w:right w:val="nil"/>
            </w:tcBorders>
            <w:noWrap/>
            <w:vAlign w:val="center"/>
            <w:hideMark/>
          </w:tcPr>
          <w:p w14:paraId="46235D0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40444E80" w14:textId="77777777" w:rsidTr="00371758">
        <w:trPr>
          <w:trHeight w:val="290"/>
        </w:trPr>
        <w:tc>
          <w:tcPr>
            <w:tcW w:w="469" w:type="pct"/>
            <w:tcBorders>
              <w:top w:val="nil"/>
              <w:left w:val="nil"/>
              <w:bottom w:val="nil"/>
              <w:right w:val="nil"/>
            </w:tcBorders>
            <w:noWrap/>
            <w:vAlign w:val="bottom"/>
            <w:hideMark/>
          </w:tcPr>
          <w:p w14:paraId="22C1591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6E82B77E"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Controls</w:t>
            </w:r>
          </w:p>
        </w:tc>
        <w:tc>
          <w:tcPr>
            <w:tcW w:w="399" w:type="pct"/>
            <w:tcBorders>
              <w:top w:val="nil"/>
              <w:left w:val="nil"/>
              <w:bottom w:val="nil"/>
              <w:right w:val="nil"/>
            </w:tcBorders>
            <w:noWrap/>
            <w:vAlign w:val="center"/>
            <w:hideMark/>
          </w:tcPr>
          <w:p w14:paraId="27C6403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c>
          <w:tcPr>
            <w:tcW w:w="366" w:type="pct"/>
            <w:tcBorders>
              <w:top w:val="nil"/>
              <w:left w:val="nil"/>
              <w:bottom w:val="nil"/>
              <w:right w:val="nil"/>
            </w:tcBorders>
            <w:noWrap/>
            <w:vAlign w:val="center"/>
            <w:hideMark/>
          </w:tcPr>
          <w:p w14:paraId="7B99E63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50</w:t>
            </w:r>
          </w:p>
        </w:tc>
        <w:tc>
          <w:tcPr>
            <w:tcW w:w="564" w:type="pct"/>
            <w:tcBorders>
              <w:top w:val="nil"/>
              <w:left w:val="nil"/>
              <w:bottom w:val="nil"/>
              <w:right w:val="nil"/>
            </w:tcBorders>
            <w:noWrap/>
            <w:vAlign w:val="center"/>
            <w:hideMark/>
          </w:tcPr>
          <w:p w14:paraId="5A22290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10</w:t>
            </w:r>
          </w:p>
        </w:tc>
        <w:tc>
          <w:tcPr>
            <w:tcW w:w="330" w:type="pct"/>
            <w:tcBorders>
              <w:top w:val="nil"/>
              <w:left w:val="nil"/>
              <w:bottom w:val="nil"/>
              <w:right w:val="nil"/>
            </w:tcBorders>
            <w:noWrap/>
            <w:vAlign w:val="center"/>
            <w:hideMark/>
          </w:tcPr>
          <w:p w14:paraId="6B8C78A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17</w:t>
            </w:r>
          </w:p>
        </w:tc>
        <w:tc>
          <w:tcPr>
            <w:tcW w:w="330" w:type="pct"/>
            <w:tcBorders>
              <w:top w:val="nil"/>
              <w:left w:val="nil"/>
              <w:bottom w:val="nil"/>
              <w:right w:val="nil"/>
            </w:tcBorders>
            <w:noWrap/>
            <w:vAlign w:val="center"/>
            <w:hideMark/>
          </w:tcPr>
          <w:p w14:paraId="06FDCF0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5</w:t>
            </w:r>
          </w:p>
        </w:tc>
        <w:tc>
          <w:tcPr>
            <w:tcW w:w="408" w:type="pct"/>
            <w:tcBorders>
              <w:top w:val="nil"/>
              <w:left w:val="nil"/>
              <w:bottom w:val="nil"/>
              <w:right w:val="nil"/>
            </w:tcBorders>
            <w:noWrap/>
            <w:vAlign w:val="center"/>
            <w:hideMark/>
          </w:tcPr>
          <w:p w14:paraId="51FCEFA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w:t>
            </w:r>
          </w:p>
        </w:tc>
        <w:tc>
          <w:tcPr>
            <w:tcW w:w="277" w:type="pct"/>
            <w:tcBorders>
              <w:top w:val="nil"/>
              <w:left w:val="nil"/>
              <w:bottom w:val="nil"/>
              <w:right w:val="nil"/>
            </w:tcBorders>
            <w:noWrap/>
            <w:vAlign w:val="center"/>
            <w:hideMark/>
          </w:tcPr>
          <w:p w14:paraId="6F83A46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258.9</w:t>
            </w:r>
          </w:p>
        </w:tc>
        <w:tc>
          <w:tcPr>
            <w:tcW w:w="406" w:type="pct"/>
            <w:tcBorders>
              <w:top w:val="nil"/>
              <w:left w:val="nil"/>
              <w:bottom w:val="nil"/>
              <w:right w:val="nil"/>
            </w:tcBorders>
            <w:noWrap/>
            <w:vAlign w:val="center"/>
            <w:hideMark/>
          </w:tcPr>
          <w:p w14:paraId="2846D41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7A0337CA" w14:textId="77777777" w:rsidTr="00371758">
        <w:trPr>
          <w:trHeight w:val="290"/>
        </w:trPr>
        <w:tc>
          <w:tcPr>
            <w:tcW w:w="469" w:type="pct"/>
            <w:tcBorders>
              <w:top w:val="nil"/>
              <w:left w:val="nil"/>
              <w:bottom w:val="nil"/>
              <w:right w:val="nil"/>
            </w:tcBorders>
            <w:noWrap/>
            <w:vAlign w:val="bottom"/>
            <w:hideMark/>
          </w:tcPr>
          <w:p w14:paraId="178468E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4DB94F0B"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Calcium Amendments</w:t>
            </w:r>
          </w:p>
        </w:tc>
        <w:tc>
          <w:tcPr>
            <w:tcW w:w="399" w:type="pct"/>
            <w:tcBorders>
              <w:top w:val="nil"/>
              <w:left w:val="nil"/>
              <w:bottom w:val="nil"/>
              <w:right w:val="nil"/>
            </w:tcBorders>
            <w:noWrap/>
            <w:vAlign w:val="center"/>
            <w:hideMark/>
          </w:tcPr>
          <w:p w14:paraId="591A2CC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nil"/>
              <w:right w:val="nil"/>
            </w:tcBorders>
            <w:noWrap/>
            <w:vAlign w:val="center"/>
            <w:hideMark/>
          </w:tcPr>
          <w:p w14:paraId="5C3437E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48</w:t>
            </w:r>
          </w:p>
        </w:tc>
        <w:tc>
          <w:tcPr>
            <w:tcW w:w="564" w:type="pct"/>
            <w:tcBorders>
              <w:top w:val="nil"/>
              <w:left w:val="nil"/>
              <w:bottom w:val="nil"/>
              <w:right w:val="nil"/>
            </w:tcBorders>
            <w:noWrap/>
            <w:vAlign w:val="center"/>
            <w:hideMark/>
          </w:tcPr>
          <w:p w14:paraId="5A50F3C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9</w:t>
            </w:r>
          </w:p>
        </w:tc>
        <w:tc>
          <w:tcPr>
            <w:tcW w:w="330" w:type="pct"/>
            <w:tcBorders>
              <w:top w:val="nil"/>
              <w:left w:val="nil"/>
              <w:bottom w:val="nil"/>
              <w:right w:val="nil"/>
            </w:tcBorders>
            <w:noWrap/>
            <w:vAlign w:val="center"/>
            <w:hideMark/>
          </w:tcPr>
          <w:p w14:paraId="6EA4095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16</w:t>
            </w:r>
          </w:p>
        </w:tc>
        <w:tc>
          <w:tcPr>
            <w:tcW w:w="330" w:type="pct"/>
            <w:tcBorders>
              <w:top w:val="nil"/>
              <w:left w:val="nil"/>
              <w:bottom w:val="nil"/>
              <w:right w:val="nil"/>
            </w:tcBorders>
            <w:noWrap/>
            <w:vAlign w:val="center"/>
            <w:hideMark/>
          </w:tcPr>
          <w:p w14:paraId="2607C48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0.5</w:t>
            </w:r>
          </w:p>
        </w:tc>
        <w:tc>
          <w:tcPr>
            <w:tcW w:w="408" w:type="pct"/>
            <w:tcBorders>
              <w:top w:val="nil"/>
              <w:left w:val="nil"/>
              <w:bottom w:val="nil"/>
              <w:right w:val="nil"/>
            </w:tcBorders>
            <w:noWrap/>
            <w:vAlign w:val="center"/>
            <w:hideMark/>
          </w:tcPr>
          <w:p w14:paraId="130B01D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4.0</w:t>
            </w:r>
          </w:p>
        </w:tc>
        <w:tc>
          <w:tcPr>
            <w:tcW w:w="277" w:type="pct"/>
            <w:tcBorders>
              <w:top w:val="nil"/>
              <w:left w:val="nil"/>
              <w:bottom w:val="nil"/>
              <w:right w:val="nil"/>
            </w:tcBorders>
            <w:noWrap/>
            <w:vAlign w:val="center"/>
            <w:hideMark/>
          </w:tcPr>
          <w:p w14:paraId="2852D26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261.3</w:t>
            </w:r>
          </w:p>
        </w:tc>
        <w:tc>
          <w:tcPr>
            <w:tcW w:w="406" w:type="pct"/>
            <w:tcBorders>
              <w:top w:val="nil"/>
              <w:left w:val="nil"/>
              <w:bottom w:val="nil"/>
              <w:right w:val="nil"/>
            </w:tcBorders>
            <w:noWrap/>
            <w:vAlign w:val="center"/>
            <w:hideMark/>
          </w:tcPr>
          <w:p w14:paraId="0C5D7FF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r>
      <w:tr w:rsidR="00945A29" w:rsidRPr="003B1D3A" w14:paraId="3D8D2BF3" w14:textId="77777777" w:rsidTr="00371758">
        <w:trPr>
          <w:trHeight w:val="290"/>
        </w:trPr>
        <w:tc>
          <w:tcPr>
            <w:tcW w:w="469" w:type="pct"/>
            <w:tcBorders>
              <w:top w:val="nil"/>
              <w:left w:val="nil"/>
              <w:bottom w:val="nil"/>
              <w:right w:val="nil"/>
            </w:tcBorders>
            <w:noWrap/>
            <w:vAlign w:val="bottom"/>
            <w:hideMark/>
          </w:tcPr>
          <w:p w14:paraId="6880336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1940A301"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 xml:space="preserve">Mean of </w:t>
            </w:r>
            <w:r w:rsidRPr="003B1D3A">
              <w:rPr>
                <w:rFonts w:ascii="Times New Roman" w:hAnsi="Times New Roman" w:cs="Times New Roman"/>
                <w:i/>
                <w:sz w:val="24"/>
                <w:szCs w:val="24"/>
                <w:lang w:val="en-US"/>
              </w:rPr>
              <w:t>Tithonia diversifolia</w:t>
            </w:r>
            <w:r w:rsidRPr="003B1D3A">
              <w:rPr>
                <w:rFonts w:ascii="Times New Roman" w:hAnsi="Times New Roman" w:cs="Times New Roman"/>
                <w:sz w:val="24"/>
                <w:szCs w:val="24"/>
                <w:lang w:val="en-US"/>
              </w:rPr>
              <w:t xml:space="preserve"> Biomass Amendments</w:t>
            </w:r>
          </w:p>
        </w:tc>
        <w:tc>
          <w:tcPr>
            <w:tcW w:w="399" w:type="pct"/>
            <w:tcBorders>
              <w:top w:val="nil"/>
              <w:left w:val="nil"/>
              <w:bottom w:val="nil"/>
              <w:right w:val="nil"/>
            </w:tcBorders>
            <w:noWrap/>
            <w:vAlign w:val="center"/>
            <w:hideMark/>
          </w:tcPr>
          <w:p w14:paraId="5FBA13C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c>
          <w:tcPr>
            <w:tcW w:w="366" w:type="pct"/>
            <w:tcBorders>
              <w:top w:val="nil"/>
              <w:left w:val="nil"/>
              <w:bottom w:val="nil"/>
              <w:right w:val="nil"/>
            </w:tcBorders>
            <w:noWrap/>
            <w:vAlign w:val="center"/>
            <w:hideMark/>
          </w:tcPr>
          <w:p w14:paraId="0094F4B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49</w:t>
            </w:r>
          </w:p>
        </w:tc>
        <w:tc>
          <w:tcPr>
            <w:tcW w:w="564" w:type="pct"/>
            <w:tcBorders>
              <w:top w:val="nil"/>
              <w:left w:val="nil"/>
              <w:bottom w:val="nil"/>
              <w:right w:val="nil"/>
            </w:tcBorders>
            <w:noWrap/>
            <w:vAlign w:val="center"/>
            <w:hideMark/>
          </w:tcPr>
          <w:p w14:paraId="6D7DA26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8</w:t>
            </w:r>
          </w:p>
        </w:tc>
        <w:tc>
          <w:tcPr>
            <w:tcW w:w="330" w:type="pct"/>
            <w:tcBorders>
              <w:top w:val="nil"/>
              <w:left w:val="nil"/>
              <w:bottom w:val="nil"/>
              <w:right w:val="nil"/>
            </w:tcBorders>
            <w:noWrap/>
            <w:vAlign w:val="center"/>
            <w:hideMark/>
          </w:tcPr>
          <w:p w14:paraId="07CCBFB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15</w:t>
            </w:r>
          </w:p>
        </w:tc>
        <w:tc>
          <w:tcPr>
            <w:tcW w:w="330" w:type="pct"/>
            <w:tcBorders>
              <w:top w:val="nil"/>
              <w:left w:val="nil"/>
              <w:bottom w:val="nil"/>
              <w:right w:val="nil"/>
            </w:tcBorders>
            <w:noWrap/>
            <w:vAlign w:val="center"/>
            <w:hideMark/>
          </w:tcPr>
          <w:p w14:paraId="54E36A3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nil"/>
              <w:right w:val="nil"/>
            </w:tcBorders>
            <w:noWrap/>
            <w:vAlign w:val="center"/>
            <w:hideMark/>
          </w:tcPr>
          <w:p w14:paraId="336F2D5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3.6</w:t>
            </w:r>
          </w:p>
        </w:tc>
        <w:tc>
          <w:tcPr>
            <w:tcW w:w="277" w:type="pct"/>
            <w:tcBorders>
              <w:top w:val="nil"/>
              <w:left w:val="nil"/>
              <w:bottom w:val="nil"/>
              <w:right w:val="nil"/>
            </w:tcBorders>
            <w:noWrap/>
            <w:vAlign w:val="center"/>
            <w:hideMark/>
          </w:tcPr>
          <w:p w14:paraId="4B2BC05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259.5</w:t>
            </w:r>
          </w:p>
        </w:tc>
        <w:tc>
          <w:tcPr>
            <w:tcW w:w="406" w:type="pct"/>
            <w:tcBorders>
              <w:top w:val="nil"/>
              <w:left w:val="nil"/>
              <w:bottom w:val="nil"/>
              <w:right w:val="nil"/>
            </w:tcBorders>
            <w:noWrap/>
            <w:vAlign w:val="center"/>
            <w:hideMark/>
          </w:tcPr>
          <w:p w14:paraId="687DCF7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77310BDB" w14:textId="77777777" w:rsidTr="00371758">
        <w:trPr>
          <w:trHeight w:val="290"/>
        </w:trPr>
        <w:tc>
          <w:tcPr>
            <w:tcW w:w="469" w:type="pct"/>
            <w:tcBorders>
              <w:top w:val="nil"/>
              <w:left w:val="nil"/>
              <w:bottom w:val="single" w:sz="4" w:space="0" w:color="auto"/>
              <w:right w:val="nil"/>
            </w:tcBorders>
            <w:noWrap/>
            <w:vAlign w:val="bottom"/>
            <w:hideMark/>
          </w:tcPr>
          <w:p w14:paraId="6BDBDEB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 </w:t>
            </w:r>
          </w:p>
        </w:tc>
        <w:tc>
          <w:tcPr>
            <w:tcW w:w="1451" w:type="pct"/>
            <w:tcBorders>
              <w:top w:val="nil"/>
              <w:left w:val="nil"/>
              <w:bottom w:val="single" w:sz="4" w:space="0" w:color="auto"/>
              <w:right w:val="nil"/>
            </w:tcBorders>
            <w:noWrap/>
            <w:vAlign w:val="center"/>
          </w:tcPr>
          <w:p w14:paraId="6CFB2F33"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Treatments</w:t>
            </w:r>
          </w:p>
        </w:tc>
        <w:tc>
          <w:tcPr>
            <w:tcW w:w="399" w:type="pct"/>
            <w:tcBorders>
              <w:top w:val="nil"/>
              <w:left w:val="nil"/>
              <w:bottom w:val="single" w:sz="4" w:space="0" w:color="auto"/>
              <w:right w:val="nil"/>
            </w:tcBorders>
            <w:noWrap/>
            <w:vAlign w:val="center"/>
            <w:hideMark/>
          </w:tcPr>
          <w:p w14:paraId="7B4E9DF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c>
          <w:tcPr>
            <w:tcW w:w="366" w:type="pct"/>
            <w:tcBorders>
              <w:top w:val="nil"/>
              <w:left w:val="nil"/>
              <w:bottom w:val="single" w:sz="4" w:space="0" w:color="auto"/>
              <w:right w:val="nil"/>
            </w:tcBorders>
            <w:noWrap/>
            <w:vAlign w:val="center"/>
            <w:hideMark/>
          </w:tcPr>
          <w:p w14:paraId="120E7F2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49</w:t>
            </w:r>
          </w:p>
        </w:tc>
        <w:tc>
          <w:tcPr>
            <w:tcW w:w="564" w:type="pct"/>
            <w:tcBorders>
              <w:top w:val="nil"/>
              <w:left w:val="nil"/>
              <w:bottom w:val="single" w:sz="4" w:space="0" w:color="auto"/>
              <w:right w:val="nil"/>
            </w:tcBorders>
            <w:noWrap/>
            <w:vAlign w:val="center"/>
            <w:hideMark/>
          </w:tcPr>
          <w:p w14:paraId="5131734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9</w:t>
            </w:r>
          </w:p>
        </w:tc>
        <w:tc>
          <w:tcPr>
            <w:tcW w:w="330" w:type="pct"/>
            <w:tcBorders>
              <w:top w:val="nil"/>
              <w:left w:val="nil"/>
              <w:bottom w:val="single" w:sz="4" w:space="0" w:color="auto"/>
              <w:right w:val="nil"/>
            </w:tcBorders>
            <w:noWrap/>
            <w:vAlign w:val="center"/>
            <w:hideMark/>
          </w:tcPr>
          <w:p w14:paraId="711F6E4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16</w:t>
            </w:r>
          </w:p>
        </w:tc>
        <w:tc>
          <w:tcPr>
            <w:tcW w:w="330" w:type="pct"/>
            <w:tcBorders>
              <w:top w:val="nil"/>
              <w:left w:val="nil"/>
              <w:bottom w:val="single" w:sz="4" w:space="0" w:color="auto"/>
              <w:right w:val="nil"/>
            </w:tcBorders>
            <w:noWrap/>
            <w:vAlign w:val="center"/>
            <w:hideMark/>
          </w:tcPr>
          <w:p w14:paraId="5DD5DE8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single" w:sz="4" w:space="0" w:color="auto"/>
              <w:right w:val="nil"/>
            </w:tcBorders>
            <w:noWrap/>
            <w:vAlign w:val="center"/>
            <w:hideMark/>
          </w:tcPr>
          <w:p w14:paraId="70C6A0F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w:t>
            </w:r>
          </w:p>
        </w:tc>
        <w:tc>
          <w:tcPr>
            <w:tcW w:w="277" w:type="pct"/>
            <w:tcBorders>
              <w:top w:val="nil"/>
              <w:left w:val="nil"/>
              <w:bottom w:val="single" w:sz="4" w:space="0" w:color="auto"/>
              <w:right w:val="nil"/>
            </w:tcBorders>
            <w:noWrap/>
            <w:vAlign w:val="center"/>
            <w:hideMark/>
          </w:tcPr>
          <w:p w14:paraId="0F19AE8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259.9</w:t>
            </w:r>
          </w:p>
        </w:tc>
        <w:tc>
          <w:tcPr>
            <w:tcW w:w="406" w:type="pct"/>
            <w:tcBorders>
              <w:top w:val="nil"/>
              <w:left w:val="nil"/>
              <w:bottom w:val="single" w:sz="4" w:space="0" w:color="auto"/>
              <w:right w:val="nil"/>
            </w:tcBorders>
            <w:noWrap/>
            <w:vAlign w:val="center"/>
            <w:hideMark/>
          </w:tcPr>
          <w:p w14:paraId="6749042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1A47B378" w14:textId="77777777" w:rsidTr="00371758">
        <w:trPr>
          <w:trHeight w:val="290"/>
        </w:trPr>
        <w:tc>
          <w:tcPr>
            <w:tcW w:w="469" w:type="pct"/>
            <w:tcBorders>
              <w:top w:val="nil"/>
              <w:left w:val="nil"/>
              <w:bottom w:val="nil"/>
              <w:right w:val="nil"/>
            </w:tcBorders>
            <w:noWrap/>
            <w:vAlign w:val="bottom"/>
            <w:hideMark/>
          </w:tcPr>
          <w:p w14:paraId="2FA0B98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vAlign w:val="center"/>
            <w:hideMark/>
          </w:tcPr>
          <w:p w14:paraId="43FA82AD" w14:textId="382DA4FE" w:rsidR="00A92DFD" w:rsidRPr="003B1D3A" w:rsidRDefault="00A92DFD" w:rsidP="003726D8">
            <w:pPr>
              <w:spacing w:after="0"/>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LSD.05 vari</w:t>
            </w:r>
            <w:r w:rsidR="00F85A32" w:rsidRPr="003B1D3A">
              <w:rPr>
                <w:rFonts w:ascii="Times New Roman" w:eastAsia="Times New Roman" w:hAnsi="Times New Roman" w:cs="Times New Roman"/>
                <w:color w:val="000000" w:themeColor="text1"/>
                <w:sz w:val="24"/>
                <w:szCs w:val="24"/>
                <w:lang w:val="en-US" w:eastAsia="fr-FR"/>
              </w:rPr>
              <w:t>eties</w:t>
            </w:r>
            <w:r w:rsidRPr="003B1D3A">
              <w:rPr>
                <w:rFonts w:ascii="Times New Roman" w:eastAsia="Times New Roman" w:hAnsi="Times New Roman" w:cs="Times New Roman"/>
                <w:color w:val="000000" w:themeColor="text1"/>
                <w:sz w:val="24"/>
                <w:szCs w:val="24"/>
                <w:lang w:val="en-US" w:eastAsia="fr-FR"/>
              </w:rPr>
              <w:t xml:space="preserve"> (</w:t>
            </w:r>
            <w:r w:rsidR="003726D8">
              <w:rPr>
                <w:rFonts w:ascii="Times New Roman" w:eastAsia="Times New Roman" w:hAnsi="Times New Roman" w:cs="Times New Roman"/>
                <w:color w:val="000000" w:themeColor="text1"/>
                <w:sz w:val="24"/>
                <w:szCs w:val="24"/>
                <w:lang w:val="en-US" w:eastAsia="fr-FR"/>
              </w:rPr>
              <w:t>Principal factor = A</w:t>
            </w:r>
            <w:r w:rsidRPr="003B1D3A">
              <w:rPr>
                <w:rFonts w:ascii="Times New Roman" w:eastAsia="Times New Roman" w:hAnsi="Times New Roman" w:cs="Times New Roman"/>
                <w:color w:val="000000" w:themeColor="text1"/>
                <w:sz w:val="24"/>
                <w:szCs w:val="24"/>
                <w:lang w:val="en-US" w:eastAsia="fr-FR"/>
              </w:rPr>
              <w:t>)</w:t>
            </w:r>
          </w:p>
        </w:tc>
        <w:tc>
          <w:tcPr>
            <w:tcW w:w="399" w:type="pct"/>
            <w:tcBorders>
              <w:top w:val="nil"/>
              <w:left w:val="nil"/>
              <w:bottom w:val="nil"/>
              <w:right w:val="nil"/>
            </w:tcBorders>
            <w:noWrap/>
            <w:vAlign w:val="center"/>
            <w:hideMark/>
          </w:tcPr>
          <w:p w14:paraId="7C7412B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66" w:type="pct"/>
            <w:tcBorders>
              <w:top w:val="nil"/>
              <w:left w:val="nil"/>
              <w:bottom w:val="nil"/>
              <w:right w:val="nil"/>
            </w:tcBorders>
            <w:noWrap/>
            <w:vAlign w:val="center"/>
            <w:hideMark/>
          </w:tcPr>
          <w:p w14:paraId="0BFFF27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564" w:type="pct"/>
            <w:tcBorders>
              <w:top w:val="nil"/>
              <w:left w:val="nil"/>
              <w:bottom w:val="nil"/>
              <w:right w:val="nil"/>
            </w:tcBorders>
            <w:noWrap/>
            <w:vAlign w:val="center"/>
            <w:hideMark/>
          </w:tcPr>
          <w:p w14:paraId="7504B6C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30" w:type="pct"/>
            <w:tcBorders>
              <w:top w:val="nil"/>
              <w:left w:val="nil"/>
              <w:bottom w:val="nil"/>
              <w:right w:val="nil"/>
            </w:tcBorders>
            <w:noWrap/>
            <w:vAlign w:val="center"/>
            <w:hideMark/>
          </w:tcPr>
          <w:p w14:paraId="50E51FC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2.20</w:t>
            </w:r>
          </w:p>
        </w:tc>
        <w:tc>
          <w:tcPr>
            <w:tcW w:w="330" w:type="pct"/>
            <w:tcBorders>
              <w:top w:val="nil"/>
              <w:left w:val="nil"/>
              <w:bottom w:val="nil"/>
              <w:right w:val="nil"/>
            </w:tcBorders>
            <w:noWrap/>
            <w:vAlign w:val="center"/>
            <w:hideMark/>
          </w:tcPr>
          <w:p w14:paraId="0100D85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0.27</w:t>
            </w:r>
          </w:p>
        </w:tc>
        <w:tc>
          <w:tcPr>
            <w:tcW w:w="408" w:type="pct"/>
            <w:tcBorders>
              <w:top w:val="nil"/>
              <w:left w:val="nil"/>
              <w:bottom w:val="nil"/>
              <w:right w:val="nil"/>
            </w:tcBorders>
            <w:noWrap/>
            <w:vAlign w:val="center"/>
            <w:hideMark/>
          </w:tcPr>
          <w:p w14:paraId="1878E45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277" w:type="pct"/>
            <w:tcBorders>
              <w:top w:val="nil"/>
              <w:left w:val="nil"/>
              <w:bottom w:val="nil"/>
              <w:right w:val="nil"/>
            </w:tcBorders>
            <w:noWrap/>
            <w:vAlign w:val="center"/>
            <w:hideMark/>
          </w:tcPr>
          <w:p w14:paraId="70DCA9C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406" w:type="pct"/>
            <w:tcBorders>
              <w:top w:val="nil"/>
              <w:left w:val="nil"/>
              <w:bottom w:val="nil"/>
              <w:right w:val="nil"/>
            </w:tcBorders>
            <w:noWrap/>
            <w:vAlign w:val="center"/>
            <w:hideMark/>
          </w:tcPr>
          <w:p w14:paraId="5C6B452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r>
      <w:tr w:rsidR="00945A29" w:rsidRPr="003B1D3A" w14:paraId="691AEE5C" w14:textId="77777777" w:rsidTr="00371758">
        <w:trPr>
          <w:trHeight w:val="290"/>
        </w:trPr>
        <w:tc>
          <w:tcPr>
            <w:tcW w:w="469" w:type="pct"/>
            <w:tcBorders>
              <w:top w:val="nil"/>
              <w:left w:val="nil"/>
              <w:bottom w:val="nil"/>
              <w:right w:val="nil"/>
            </w:tcBorders>
            <w:noWrap/>
            <w:vAlign w:val="bottom"/>
            <w:hideMark/>
          </w:tcPr>
          <w:p w14:paraId="4BBCCA1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vAlign w:val="center"/>
            <w:hideMark/>
          </w:tcPr>
          <w:p w14:paraId="24A11FAF" w14:textId="4A1F6EC0"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 xml:space="preserve">LSD.05 </w:t>
            </w:r>
            <w:r w:rsidR="00945A29" w:rsidRPr="003B1D3A">
              <w:rPr>
                <w:rFonts w:ascii="Times New Roman" w:eastAsia="Times New Roman" w:hAnsi="Times New Roman" w:cs="Times New Roman"/>
                <w:color w:val="000000" w:themeColor="text1"/>
                <w:sz w:val="24"/>
                <w:szCs w:val="24"/>
                <w:lang w:val="en-US" w:eastAsia="fr-FR"/>
              </w:rPr>
              <w:t>Treatments</w:t>
            </w:r>
            <w:r w:rsidRPr="003B1D3A">
              <w:rPr>
                <w:rFonts w:ascii="Times New Roman" w:eastAsia="Times New Roman" w:hAnsi="Times New Roman" w:cs="Times New Roman"/>
                <w:color w:val="000000" w:themeColor="text1"/>
                <w:sz w:val="24"/>
                <w:szCs w:val="24"/>
                <w:lang w:val="en-US" w:eastAsia="fr-FR"/>
              </w:rPr>
              <w:t xml:space="preserve"> (</w:t>
            </w:r>
            <w:r w:rsidR="003726D8">
              <w:rPr>
                <w:rFonts w:ascii="Times New Roman" w:eastAsia="Times New Roman" w:hAnsi="Times New Roman" w:cs="Times New Roman"/>
                <w:color w:val="000000" w:themeColor="text1"/>
                <w:sz w:val="24"/>
                <w:szCs w:val="24"/>
                <w:lang w:val="en-US" w:eastAsia="fr-FR"/>
              </w:rPr>
              <w:t xml:space="preserve">Secondary factor = </w:t>
            </w:r>
            <w:r w:rsidRPr="003B1D3A">
              <w:rPr>
                <w:rFonts w:ascii="Times New Roman" w:eastAsia="Times New Roman" w:hAnsi="Times New Roman" w:cs="Times New Roman"/>
                <w:color w:val="000000" w:themeColor="text1"/>
                <w:sz w:val="24"/>
                <w:szCs w:val="24"/>
                <w:lang w:val="en-US" w:eastAsia="fr-FR"/>
              </w:rPr>
              <w:t>B)</w:t>
            </w:r>
          </w:p>
        </w:tc>
        <w:tc>
          <w:tcPr>
            <w:tcW w:w="399" w:type="pct"/>
            <w:tcBorders>
              <w:top w:val="nil"/>
              <w:left w:val="nil"/>
              <w:bottom w:val="nil"/>
              <w:right w:val="nil"/>
            </w:tcBorders>
            <w:noWrap/>
            <w:vAlign w:val="center"/>
            <w:hideMark/>
          </w:tcPr>
          <w:p w14:paraId="54493BD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2.33</w:t>
            </w:r>
          </w:p>
        </w:tc>
        <w:tc>
          <w:tcPr>
            <w:tcW w:w="366" w:type="pct"/>
            <w:tcBorders>
              <w:top w:val="nil"/>
              <w:left w:val="nil"/>
              <w:bottom w:val="nil"/>
              <w:right w:val="nil"/>
            </w:tcBorders>
            <w:noWrap/>
            <w:vAlign w:val="center"/>
            <w:hideMark/>
          </w:tcPr>
          <w:p w14:paraId="1888801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4.01</w:t>
            </w:r>
          </w:p>
        </w:tc>
        <w:tc>
          <w:tcPr>
            <w:tcW w:w="564" w:type="pct"/>
            <w:tcBorders>
              <w:top w:val="nil"/>
              <w:left w:val="nil"/>
              <w:bottom w:val="nil"/>
              <w:right w:val="nil"/>
            </w:tcBorders>
            <w:noWrap/>
            <w:vAlign w:val="center"/>
            <w:hideMark/>
          </w:tcPr>
          <w:p w14:paraId="47A6D0E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30" w:type="pct"/>
            <w:tcBorders>
              <w:top w:val="nil"/>
              <w:left w:val="nil"/>
              <w:bottom w:val="nil"/>
              <w:right w:val="nil"/>
            </w:tcBorders>
            <w:noWrap/>
            <w:vAlign w:val="center"/>
            <w:hideMark/>
          </w:tcPr>
          <w:p w14:paraId="65A983B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30" w:type="pct"/>
            <w:tcBorders>
              <w:top w:val="nil"/>
              <w:left w:val="nil"/>
              <w:bottom w:val="nil"/>
              <w:right w:val="nil"/>
            </w:tcBorders>
            <w:noWrap/>
            <w:vAlign w:val="center"/>
            <w:hideMark/>
          </w:tcPr>
          <w:p w14:paraId="332DD93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0.33</w:t>
            </w:r>
          </w:p>
        </w:tc>
        <w:tc>
          <w:tcPr>
            <w:tcW w:w="408" w:type="pct"/>
            <w:tcBorders>
              <w:top w:val="nil"/>
              <w:left w:val="nil"/>
              <w:bottom w:val="nil"/>
              <w:right w:val="nil"/>
            </w:tcBorders>
            <w:noWrap/>
            <w:vAlign w:val="center"/>
            <w:hideMark/>
          </w:tcPr>
          <w:p w14:paraId="00F4055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0.66</w:t>
            </w:r>
          </w:p>
        </w:tc>
        <w:tc>
          <w:tcPr>
            <w:tcW w:w="277" w:type="pct"/>
            <w:tcBorders>
              <w:top w:val="nil"/>
              <w:left w:val="nil"/>
              <w:bottom w:val="nil"/>
              <w:right w:val="nil"/>
            </w:tcBorders>
            <w:noWrap/>
            <w:vAlign w:val="center"/>
            <w:hideMark/>
          </w:tcPr>
          <w:p w14:paraId="2C7E21C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406" w:type="pct"/>
            <w:tcBorders>
              <w:top w:val="nil"/>
              <w:left w:val="nil"/>
              <w:bottom w:val="nil"/>
              <w:right w:val="nil"/>
            </w:tcBorders>
            <w:noWrap/>
            <w:vAlign w:val="center"/>
            <w:hideMark/>
          </w:tcPr>
          <w:p w14:paraId="7DE22E6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0.67</w:t>
            </w:r>
          </w:p>
        </w:tc>
      </w:tr>
      <w:tr w:rsidR="00945A29" w:rsidRPr="003B1D3A" w14:paraId="1EB8C3A0" w14:textId="77777777" w:rsidTr="00371758">
        <w:trPr>
          <w:trHeight w:val="290"/>
        </w:trPr>
        <w:tc>
          <w:tcPr>
            <w:tcW w:w="469" w:type="pct"/>
            <w:tcBorders>
              <w:top w:val="nil"/>
              <w:left w:val="nil"/>
              <w:bottom w:val="nil"/>
              <w:right w:val="nil"/>
            </w:tcBorders>
            <w:noWrap/>
            <w:vAlign w:val="bottom"/>
            <w:hideMark/>
          </w:tcPr>
          <w:p w14:paraId="493725D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hideMark/>
          </w:tcPr>
          <w:p w14:paraId="63B3DB48"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LSD.05 A x B</w:t>
            </w:r>
          </w:p>
        </w:tc>
        <w:tc>
          <w:tcPr>
            <w:tcW w:w="399" w:type="pct"/>
            <w:tcBorders>
              <w:top w:val="nil"/>
              <w:left w:val="nil"/>
              <w:bottom w:val="nil"/>
              <w:right w:val="nil"/>
            </w:tcBorders>
            <w:noWrap/>
            <w:vAlign w:val="center"/>
            <w:hideMark/>
          </w:tcPr>
          <w:p w14:paraId="05F0571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3.30</w:t>
            </w:r>
          </w:p>
        </w:tc>
        <w:tc>
          <w:tcPr>
            <w:tcW w:w="366" w:type="pct"/>
            <w:tcBorders>
              <w:top w:val="nil"/>
              <w:left w:val="nil"/>
              <w:bottom w:val="nil"/>
              <w:right w:val="nil"/>
            </w:tcBorders>
            <w:noWrap/>
            <w:vAlign w:val="center"/>
            <w:hideMark/>
          </w:tcPr>
          <w:p w14:paraId="704AB3F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5.67</w:t>
            </w:r>
          </w:p>
        </w:tc>
        <w:tc>
          <w:tcPr>
            <w:tcW w:w="564" w:type="pct"/>
            <w:tcBorders>
              <w:top w:val="nil"/>
              <w:left w:val="nil"/>
              <w:bottom w:val="nil"/>
              <w:right w:val="nil"/>
            </w:tcBorders>
            <w:noWrap/>
            <w:vAlign w:val="center"/>
            <w:hideMark/>
          </w:tcPr>
          <w:p w14:paraId="7CE7396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30" w:type="pct"/>
            <w:tcBorders>
              <w:top w:val="nil"/>
              <w:left w:val="nil"/>
              <w:bottom w:val="nil"/>
              <w:right w:val="nil"/>
            </w:tcBorders>
            <w:noWrap/>
            <w:vAlign w:val="center"/>
            <w:hideMark/>
          </w:tcPr>
          <w:p w14:paraId="4D91746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3.81</w:t>
            </w:r>
          </w:p>
        </w:tc>
        <w:tc>
          <w:tcPr>
            <w:tcW w:w="330" w:type="pct"/>
            <w:tcBorders>
              <w:top w:val="nil"/>
              <w:left w:val="nil"/>
              <w:bottom w:val="nil"/>
              <w:right w:val="nil"/>
            </w:tcBorders>
            <w:noWrap/>
            <w:vAlign w:val="center"/>
            <w:hideMark/>
          </w:tcPr>
          <w:p w14:paraId="602AE9A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0.47</w:t>
            </w:r>
          </w:p>
        </w:tc>
        <w:tc>
          <w:tcPr>
            <w:tcW w:w="408" w:type="pct"/>
            <w:tcBorders>
              <w:top w:val="nil"/>
              <w:left w:val="nil"/>
              <w:bottom w:val="nil"/>
              <w:right w:val="nil"/>
            </w:tcBorders>
            <w:noWrap/>
            <w:vAlign w:val="center"/>
            <w:hideMark/>
          </w:tcPr>
          <w:p w14:paraId="6953B1B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277" w:type="pct"/>
            <w:tcBorders>
              <w:top w:val="nil"/>
              <w:left w:val="nil"/>
              <w:bottom w:val="nil"/>
              <w:right w:val="nil"/>
            </w:tcBorders>
            <w:noWrap/>
            <w:vAlign w:val="center"/>
            <w:hideMark/>
          </w:tcPr>
          <w:p w14:paraId="4AD6B7B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406" w:type="pct"/>
            <w:tcBorders>
              <w:top w:val="nil"/>
              <w:left w:val="nil"/>
              <w:bottom w:val="nil"/>
              <w:right w:val="nil"/>
            </w:tcBorders>
            <w:noWrap/>
            <w:vAlign w:val="center"/>
            <w:hideMark/>
          </w:tcPr>
          <w:p w14:paraId="2A51C9D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r>
      <w:tr w:rsidR="00945A29" w:rsidRPr="003B1D3A" w14:paraId="146981D5" w14:textId="77777777" w:rsidTr="00371758">
        <w:trPr>
          <w:trHeight w:val="290"/>
        </w:trPr>
        <w:tc>
          <w:tcPr>
            <w:tcW w:w="469" w:type="pct"/>
            <w:tcBorders>
              <w:top w:val="nil"/>
              <w:left w:val="nil"/>
              <w:bottom w:val="single" w:sz="4" w:space="0" w:color="auto"/>
              <w:right w:val="nil"/>
            </w:tcBorders>
            <w:noWrap/>
            <w:vAlign w:val="bottom"/>
            <w:hideMark/>
          </w:tcPr>
          <w:p w14:paraId="3135A36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 </w:t>
            </w:r>
          </w:p>
        </w:tc>
        <w:tc>
          <w:tcPr>
            <w:tcW w:w="1451" w:type="pct"/>
            <w:tcBorders>
              <w:top w:val="nil"/>
              <w:left w:val="nil"/>
              <w:bottom w:val="single" w:sz="4" w:space="0" w:color="auto"/>
              <w:right w:val="nil"/>
            </w:tcBorders>
            <w:vAlign w:val="center"/>
            <w:hideMark/>
          </w:tcPr>
          <w:p w14:paraId="71CA4476"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CV%</w:t>
            </w:r>
          </w:p>
        </w:tc>
        <w:tc>
          <w:tcPr>
            <w:tcW w:w="399" w:type="pct"/>
            <w:tcBorders>
              <w:top w:val="nil"/>
              <w:left w:val="nil"/>
              <w:bottom w:val="single" w:sz="4" w:space="0" w:color="auto"/>
              <w:right w:val="nil"/>
            </w:tcBorders>
            <w:noWrap/>
            <w:vAlign w:val="center"/>
            <w:hideMark/>
          </w:tcPr>
          <w:p w14:paraId="77B15CD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7.91</w:t>
            </w:r>
          </w:p>
        </w:tc>
        <w:tc>
          <w:tcPr>
            <w:tcW w:w="366" w:type="pct"/>
            <w:tcBorders>
              <w:top w:val="nil"/>
              <w:left w:val="nil"/>
              <w:bottom w:val="single" w:sz="4" w:space="0" w:color="auto"/>
              <w:right w:val="nil"/>
            </w:tcBorders>
            <w:noWrap/>
            <w:vAlign w:val="center"/>
            <w:hideMark/>
          </w:tcPr>
          <w:p w14:paraId="6A43E5F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7.22</w:t>
            </w:r>
          </w:p>
        </w:tc>
        <w:tc>
          <w:tcPr>
            <w:tcW w:w="564" w:type="pct"/>
            <w:tcBorders>
              <w:top w:val="nil"/>
              <w:left w:val="nil"/>
              <w:bottom w:val="single" w:sz="4" w:space="0" w:color="auto"/>
              <w:right w:val="nil"/>
            </w:tcBorders>
            <w:noWrap/>
            <w:vAlign w:val="center"/>
            <w:hideMark/>
          </w:tcPr>
          <w:p w14:paraId="49D94B2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73.76</w:t>
            </w:r>
          </w:p>
        </w:tc>
        <w:tc>
          <w:tcPr>
            <w:tcW w:w="330" w:type="pct"/>
            <w:tcBorders>
              <w:top w:val="nil"/>
              <w:left w:val="nil"/>
              <w:bottom w:val="single" w:sz="4" w:space="0" w:color="auto"/>
              <w:right w:val="nil"/>
            </w:tcBorders>
            <w:noWrap/>
            <w:vAlign w:val="center"/>
            <w:hideMark/>
          </w:tcPr>
          <w:p w14:paraId="302519F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14.81</w:t>
            </w:r>
          </w:p>
        </w:tc>
        <w:tc>
          <w:tcPr>
            <w:tcW w:w="330" w:type="pct"/>
            <w:tcBorders>
              <w:top w:val="nil"/>
              <w:left w:val="nil"/>
              <w:bottom w:val="single" w:sz="4" w:space="0" w:color="auto"/>
              <w:right w:val="nil"/>
            </w:tcBorders>
            <w:noWrap/>
            <w:vAlign w:val="center"/>
            <w:hideMark/>
          </w:tcPr>
          <w:p w14:paraId="1A6304A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9.78</w:t>
            </w:r>
          </w:p>
        </w:tc>
        <w:tc>
          <w:tcPr>
            <w:tcW w:w="408" w:type="pct"/>
            <w:tcBorders>
              <w:top w:val="nil"/>
              <w:left w:val="nil"/>
              <w:bottom w:val="single" w:sz="4" w:space="0" w:color="auto"/>
              <w:right w:val="nil"/>
            </w:tcBorders>
            <w:noWrap/>
            <w:vAlign w:val="center"/>
            <w:hideMark/>
          </w:tcPr>
          <w:p w14:paraId="63B683A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15.7</w:t>
            </w:r>
          </w:p>
        </w:tc>
        <w:tc>
          <w:tcPr>
            <w:tcW w:w="277" w:type="pct"/>
            <w:tcBorders>
              <w:top w:val="nil"/>
              <w:left w:val="nil"/>
              <w:bottom w:val="single" w:sz="4" w:space="0" w:color="auto"/>
              <w:right w:val="nil"/>
            </w:tcBorders>
            <w:noWrap/>
            <w:vAlign w:val="center"/>
            <w:hideMark/>
          </w:tcPr>
          <w:p w14:paraId="6BE4DF8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4.97</w:t>
            </w:r>
          </w:p>
        </w:tc>
        <w:tc>
          <w:tcPr>
            <w:tcW w:w="406" w:type="pct"/>
            <w:tcBorders>
              <w:top w:val="nil"/>
              <w:left w:val="nil"/>
              <w:bottom w:val="single" w:sz="4" w:space="0" w:color="auto"/>
              <w:right w:val="nil"/>
            </w:tcBorders>
            <w:noWrap/>
            <w:vAlign w:val="center"/>
            <w:hideMark/>
          </w:tcPr>
          <w:p w14:paraId="46610E2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23.92</w:t>
            </w:r>
          </w:p>
        </w:tc>
      </w:tr>
    </w:tbl>
    <w:p w14:paraId="2EA685AC" w14:textId="77777777" w:rsidR="00A92DFD" w:rsidRPr="003B1D3A" w:rsidRDefault="00A92DFD" w:rsidP="003B1D3A">
      <w:pPr>
        <w:jc w:val="both"/>
        <w:rPr>
          <w:rFonts w:ascii="Times New Roman" w:hAnsi="Times New Roman" w:cs="Times New Roman"/>
          <w:sz w:val="24"/>
          <w:szCs w:val="24"/>
          <w:lang w:val="en-US"/>
        </w:rPr>
        <w:sectPr w:rsidR="00A92DFD" w:rsidRPr="003B1D3A" w:rsidSect="00A92DFD">
          <w:pgSz w:w="16838" w:h="11906" w:orient="landscape"/>
          <w:pgMar w:top="1411" w:right="1411" w:bottom="1411" w:left="1411" w:header="720" w:footer="720" w:gutter="0"/>
          <w:cols w:space="720"/>
          <w:docGrid w:linePitch="360"/>
        </w:sectPr>
      </w:pPr>
      <w:r w:rsidRPr="003B1D3A">
        <w:rPr>
          <w:rFonts w:ascii="Times New Roman" w:hAnsi="Times New Roman" w:cs="Times New Roman"/>
          <w:sz w:val="24"/>
          <w:szCs w:val="24"/>
          <w:lang w:val="en-US"/>
        </w:rPr>
        <w:t xml:space="preserve"> </w:t>
      </w:r>
    </w:p>
    <w:p w14:paraId="4562E14A"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Elaborate analyses of the observed parameters indicated that groundnut emergence was significantly influenced by the application of agricultural lime. The average number of emerged plants was 29 and 27 per 30 for the local variety and G17, respectively. Emergence was relatively lower in the G17 control with 23 plants per 30 and in the </w:t>
      </w:r>
      <w:r w:rsidRPr="003B1D3A">
        <w:rPr>
          <w:rFonts w:ascii="Times New Roman" w:eastAsia="Times New Roman" w:hAnsi="Times New Roman" w:cs="Times New Roman"/>
          <w:i/>
          <w:iCs/>
          <w:sz w:val="24"/>
          <w:szCs w:val="24"/>
          <w:lang w:val="en-US" w:eastAsia="fr-FR"/>
        </w:rPr>
        <w:t>Tithonia diversifolia</w:t>
      </w:r>
      <w:r w:rsidRPr="003B1D3A">
        <w:rPr>
          <w:rFonts w:ascii="Times New Roman" w:eastAsia="Times New Roman" w:hAnsi="Times New Roman" w:cs="Times New Roman"/>
          <w:sz w:val="24"/>
          <w:szCs w:val="24"/>
          <w:lang w:val="en-US" w:eastAsia="fr-FR"/>
        </w:rPr>
        <w:t xml:space="preserve"> treatment with 25 plants per 30, irrespective of the variety (LSD.05 = 2.33 plants, p</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0.05, CV% = 7.91).</w:t>
      </w:r>
    </w:p>
    <w:p w14:paraId="7D69AA7F"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Plant height was also significantly affected by the treatments. The tallest plants were recorded in the control, averaging 52 cm for both varieties. Heights under lime application averaged 43 cm for the local variety and 45 cm for G17. In the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treatment, plant height was higher in the local variety (53 cm) compared to G17 (46 cm). No statistically significant differences were observed among treatments for rosette disease incidence, although a high coefficient of variation was noted for this parameter (CV% = 73.76).</w:t>
      </w:r>
    </w:p>
    <w:p w14:paraId="59BEC970"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The number of empty pods per plant varied according to treatment. The control had the highest number of empty pods, averaging 5 per plant for both varieties. Lime application substantially reduced empty pods, with an average of 0.5 per plant across varieties. In the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treatment, empty pods averaged 3 per plant (LSD.05 = 0.33, p</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0.05, CV% = 9.78). Total yield in pods and seeds was influenced by the prevalence of empty pods, suggesting a relationship between acidic soil conditions and pod filling. Dry pod yields were 4 t·ha⁻¹ with lime, 3.8 t·ha⁻¹ in the control, and 3.6 t·ha⁻¹ with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(LSD.05 = 0.66 t·ha⁻¹, p</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0.05, CV% = 15.7). Seed size was not significantly affected by the treatments, with 1000-seed weight averaging around 260 g. Dry seed yields followed a similar pattern, averaging 2.5 t·ha⁻¹ for lime, and 2.4 t·ha⁻¹ for the control and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treatments (LSD.05 = 0.67 t·ha⁻¹, p</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0.05, CV% = 23.9). Lime application significantly minimized the number of empty pods, effectively recovering up to 5 pods per plant.</w:t>
      </w:r>
    </w:p>
    <w:p w14:paraId="0742BEE8" w14:textId="77777777" w:rsidR="0006432B" w:rsidRPr="003B1D3A" w:rsidRDefault="006134C7" w:rsidP="003B1D3A">
      <w:pPr>
        <w:spacing w:before="100" w:beforeAutospacing="1" w:after="100" w:afterAutospacing="1"/>
        <w:jc w:val="both"/>
        <w:rPr>
          <w:rFonts w:ascii="Times New Roman" w:eastAsia="Times New Roman" w:hAnsi="Times New Roman" w:cs="Times New Roman"/>
          <w:b/>
          <w:bCs/>
          <w:sz w:val="24"/>
          <w:szCs w:val="24"/>
          <w:lang w:val="en-US" w:eastAsia="fr-FR"/>
        </w:rPr>
      </w:pPr>
      <w:r w:rsidRPr="003B1D3A">
        <w:rPr>
          <w:rFonts w:ascii="Times New Roman" w:eastAsia="Times New Roman" w:hAnsi="Times New Roman" w:cs="Times New Roman"/>
          <w:b/>
          <w:bCs/>
          <w:sz w:val="24"/>
          <w:szCs w:val="24"/>
          <w:lang w:val="en-US" w:eastAsia="fr-FR"/>
        </w:rPr>
        <w:t>Estimation of seed loss due to empty pods</w:t>
      </w:r>
    </w:p>
    <w:p w14:paraId="26A28F5E" w14:textId="5FE223F8"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Planted at 0.4 × 0.2 m spacing, groundnut density was 125,000 plants per hectare. Both the local variety and G17 averaged 2 seeds per pod. With 125,000 plants per hectare and 5 empty pods per plant, an estimated 625,000 pods per hectare were recovered through lime application. Assuming 2 seeds per pod, this corresponds to 1,250,000 seeds per hectare. With a 1000-seed weight of </w:t>
      </w:r>
      <w:r w:rsidR="003726D8">
        <w:rPr>
          <w:rFonts w:ascii="Times New Roman" w:eastAsia="Times New Roman" w:hAnsi="Times New Roman" w:cs="Times New Roman"/>
          <w:sz w:val="24"/>
          <w:szCs w:val="24"/>
          <w:lang w:val="en-US" w:eastAsia="fr-FR"/>
        </w:rPr>
        <w:t>260</w:t>
      </w:r>
      <w:r w:rsidRPr="003B1D3A">
        <w:rPr>
          <w:rFonts w:ascii="Times New Roman" w:eastAsia="Times New Roman" w:hAnsi="Times New Roman" w:cs="Times New Roman"/>
          <w:sz w:val="24"/>
          <w:szCs w:val="24"/>
          <w:lang w:val="en-US" w:eastAsia="fr-FR"/>
        </w:rPr>
        <w:t xml:space="preserve"> </w:t>
      </w:r>
      <w:r w:rsidR="003726D8">
        <w:rPr>
          <w:rFonts w:ascii="Times New Roman" w:eastAsia="Times New Roman" w:hAnsi="Times New Roman" w:cs="Times New Roman"/>
          <w:sz w:val="24"/>
          <w:szCs w:val="24"/>
          <w:lang w:val="en-US" w:eastAsia="fr-FR"/>
        </w:rPr>
        <w:t>g, approximately 325</w:t>
      </w:r>
      <w:r w:rsidRPr="003B1D3A">
        <w:rPr>
          <w:rFonts w:ascii="Times New Roman" w:eastAsia="Times New Roman" w:hAnsi="Times New Roman" w:cs="Times New Roman"/>
          <w:sz w:val="24"/>
          <w:szCs w:val="24"/>
          <w:lang w:val="en-US" w:eastAsia="fr-FR"/>
        </w:rPr>
        <w:t xml:space="preserve"> kg of seeds per hectare were recovered by applying lime.</w:t>
      </w:r>
    </w:p>
    <w:p w14:paraId="4562CEC2" w14:textId="1924AE3A" w:rsidR="00945A29" w:rsidRPr="003B1D3A" w:rsidRDefault="0070203E" w:rsidP="003B1D3A">
      <w:pPr>
        <w:pStyle w:val="Titre1"/>
        <w:spacing w:line="276" w:lineRule="auto"/>
        <w:rPr>
          <w:sz w:val="24"/>
          <w:szCs w:val="24"/>
          <w:lang w:val="en-US"/>
        </w:rPr>
      </w:pPr>
      <w:r w:rsidRPr="003B1D3A">
        <w:rPr>
          <w:noProof/>
          <w:lang w:val="en-US"/>
        </w:rPr>
        <w:drawing>
          <wp:inline distT="0" distB="0" distL="0" distR="0" wp14:anchorId="2F3CA4E3" wp14:editId="7599346B">
            <wp:extent cx="5760720" cy="3958887"/>
            <wp:effectExtent l="0" t="0" r="11430" b="2286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A2B87F" w14:textId="77777777" w:rsidR="00945A29" w:rsidRPr="003B1D3A" w:rsidRDefault="00945A2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hAnsi="Times New Roman" w:cs="Times New Roman"/>
          <w:sz w:val="24"/>
          <w:szCs w:val="24"/>
          <w:lang w:val="en-US"/>
        </w:rPr>
        <w:t>Figure 4: Number of Empty Pods as a Proportion of Total Pods According to Peanut Varieties and Applied Treatments</w:t>
      </w:r>
    </w:p>
    <w:p w14:paraId="4F8CE00A"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Partial Budget and Marginal Rate of Return</w:t>
      </w:r>
    </w:p>
    <w:p w14:paraId="6A7BBBDE" w14:textId="662ABFFA"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The partial budget analysis of the experimental treatments revealed that the application of agricultural lime resulted in the highest net benefit compared to the control and the </w:t>
      </w:r>
      <w:r w:rsidRPr="003B1D3A">
        <w:rPr>
          <w:rFonts w:ascii="Times New Roman" w:eastAsia="Times New Roman" w:hAnsi="Times New Roman" w:cs="Times New Roman"/>
          <w:i/>
          <w:iCs/>
          <w:sz w:val="24"/>
          <w:szCs w:val="24"/>
          <w:lang w:val="en-US" w:eastAsia="fr-FR"/>
        </w:rPr>
        <w:t>Tithonia diversifolia</w:t>
      </w:r>
      <w:r w:rsidRPr="003B1D3A">
        <w:rPr>
          <w:rFonts w:ascii="Times New Roman" w:eastAsia="Times New Roman" w:hAnsi="Times New Roman" w:cs="Times New Roman"/>
          <w:sz w:val="24"/>
          <w:szCs w:val="24"/>
          <w:lang w:val="en-US" w:eastAsia="fr-FR"/>
        </w:rPr>
        <w:t xml:space="preserve"> treatment</w:t>
      </w:r>
      <w:r w:rsidR="00AD32F4" w:rsidRPr="003B1D3A">
        <w:rPr>
          <w:rFonts w:ascii="Times New Roman" w:eastAsia="Times New Roman" w:hAnsi="Times New Roman" w:cs="Times New Roman"/>
          <w:sz w:val="24"/>
          <w:szCs w:val="24"/>
          <w:lang w:val="en-US" w:eastAsia="fr-FR"/>
        </w:rPr>
        <w:t xml:space="preserve"> (table 3)</w:t>
      </w:r>
      <w:r w:rsidRPr="003B1D3A">
        <w:rPr>
          <w:rFonts w:ascii="Times New Roman" w:eastAsia="Times New Roman" w:hAnsi="Times New Roman" w:cs="Times New Roman"/>
          <w:sz w:val="24"/>
          <w:szCs w:val="24"/>
          <w:lang w:val="en-US" w:eastAsia="fr-FR"/>
        </w:rPr>
        <w:t xml:space="preserve">. The total variable costs included inputs such as lime,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biomass, labor for application, and land preparation.</w:t>
      </w:r>
    </w:p>
    <w:p w14:paraId="27E3247E" w14:textId="4DF90B13" w:rsidR="00945A29" w:rsidRPr="003B1D3A" w:rsidRDefault="00945A29" w:rsidP="003B1D3A">
      <w:pPr>
        <w:spacing w:before="100" w:beforeAutospacing="1" w:after="100" w:afterAutospacing="1"/>
        <w:rPr>
          <w:rFonts w:ascii="Times New Roman" w:eastAsia="Times New Roman" w:hAnsi="Times New Roman" w:cs="Times New Roman"/>
          <w:sz w:val="24"/>
          <w:szCs w:val="24"/>
          <w:lang w:val="en-US" w:eastAsia="fr-FR"/>
        </w:rPr>
      </w:pPr>
      <w:proofErr w:type="gramStart"/>
      <w:r w:rsidRPr="003B1D3A">
        <w:rPr>
          <w:rFonts w:ascii="Times New Roman" w:eastAsia="Times New Roman" w:hAnsi="Times New Roman" w:cs="Times New Roman"/>
          <w:b/>
          <w:bCs/>
          <w:sz w:val="24"/>
          <w:szCs w:val="24"/>
          <w:lang w:val="en-US" w:eastAsia="fr-FR"/>
        </w:rPr>
        <w:t xml:space="preserve">Table </w:t>
      </w:r>
      <w:r w:rsidR="00AD32F4" w:rsidRPr="003B1D3A">
        <w:rPr>
          <w:rFonts w:ascii="Times New Roman" w:eastAsia="Times New Roman" w:hAnsi="Times New Roman" w:cs="Times New Roman"/>
          <w:b/>
          <w:bCs/>
          <w:sz w:val="24"/>
          <w:szCs w:val="24"/>
          <w:lang w:val="en-US" w:eastAsia="fr-FR"/>
        </w:rPr>
        <w:t>3</w:t>
      </w:r>
      <w:r w:rsidRPr="003B1D3A">
        <w:rPr>
          <w:rFonts w:ascii="Times New Roman" w:eastAsia="Times New Roman" w:hAnsi="Times New Roman" w:cs="Times New Roman"/>
          <w:b/>
          <w:bCs/>
          <w:sz w:val="24"/>
          <w:szCs w:val="24"/>
          <w:lang w:val="en-US" w:eastAsia="fr-FR"/>
        </w:rPr>
        <w:t>.</w:t>
      </w:r>
      <w:proofErr w:type="gramEnd"/>
      <w:r w:rsidRPr="003B1D3A">
        <w:rPr>
          <w:rFonts w:ascii="Times New Roman" w:eastAsia="Times New Roman" w:hAnsi="Times New Roman" w:cs="Times New Roman"/>
          <w:b/>
          <w:bCs/>
          <w:sz w:val="24"/>
          <w:szCs w:val="24"/>
          <w:lang w:val="en-US" w:eastAsia="fr-FR"/>
        </w:rPr>
        <w:t xml:space="preserve"> Partial budget for peanut production under agricultural lime and </w:t>
      </w:r>
      <w:r w:rsidRPr="003B1D3A">
        <w:rPr>
          <w:rFonts w:ascii="Times New Roman" w:eastAsia="Times New Roman" w:hAnsi="Times New Roman" w:cs="Times New Roman"/>
          <w:b/>
          <w:bCs/>
          <w:i/>
          <w:sz w:val="24"/>
          <w:szCs w:val="24"/>
          <w:lang w:val="en-US" w:eastAsia="fr-FR"/>
        </w:rPr>
        <w:t>Tithonia diversifolia</w:t>
      </w:r>
      <w:r w:rsidRPr="003B1D3A">
        <w:rPr>
          <w:rFonts w:ascii="Times New Roman" w:eastAsia="Times New Roman" w:hAnsi="Times New Roman" w:cs="Times New Roman"/>
          <w:b/>
          <w:bCs/>
          <w:sz w:val="24"/>
          <w:szCs w:val="24"/>
          <w:lang w:val="en-US" w:eastAsia="fr-FR"/>
        </w:rPr>
        <w:t xml:space="preserve"> applications in Kenge conditions</w:t>
      </w:r>
    </w:p>
    <w:tbl>
      <w:tblPr>
        <w:tblW w:w="5000" w:type="pct"/>
        <w:tblCellMar>
          <w:left w:w="70" w:type="dxa"/>
          <w:right w:w="70" w:type="dxa"/>
        </w:tblCellMar>
        <w:tblLook w:val="04A0" w:firstRow="1" w:lastRow="0" w:firstColumn="1" w:lastColumn="0" w:noHBand="0" w:noVBand="1"/>
      </w:tblPr>
      <w:tblGrid>
        <w:gridCol w:w="2868"/>
        <w:gridCol w:w="813"/>
        <w:gridCol w:w="1216"/>
        <w:gridCol w:w="1143"/>
        <w:gridCol w:w="813"/>
        <w:gridCol w:w="1216"/>
        <w:gridCol w:w="1143"/>
      </w:tblGrid>
      <w:tr w:rsidR="00BD1823" w:rsidRPr="003B1D3A" w14:paraId="227BD0F5" w14:textId="77777777" w:rsidTr="00AD32F4">
        <w:trPr>
          <w:trHeight w:val="320"/>
        </w:trPr>
        <w:tc>
          <w:tcPr>
            <w:tcW w:w="1847" w:type="pct"/>
            <w:vMerge w:val="restart"/>
            <w:tcBorders>
              <w:top w:val="single" w:sz="4" w:space="0" w:color="auto"/>
              <w:left w:val="nil"/>
              <w:bottom w:val="nil"/>
            </w:tcBorders>
            <w:shd w:val="clear" w:color="auto" w:fill="auto"/>
            <w:noWrap/>
            <w:vAlign w:val="bottom"/>
            <w:hideMark/>
          </w:tcPr>
          <w:p w14:paraId="52C16DD4" w14:textId="77777777" w:rsidR="00956C1E" w:rsidRPr="003B1D3A" w:rsidRDefault="00956C1E"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w:t>
            </w:r>
          </w:p>
        </w:tc>
        <w:tc>
          <w:tcPr>
            <w:tcW w:w="1723" w:type="pct"/>
            <w:gridSpan w:val="3"/>
            <w:tcBorders>
              <w:top w:val="single" w:sz="4" w:space="0" w:color="auto"/>
              <w:bottom w:val="single" w:sz="4" w:space="0" w:color="auto"/>
            </w:tcBorders>
            <w:shd w:val="clear" w:color="auto" w:fill="auto"/>
            <w:noWrap/>
            <w:vAlign w:val="center"/>
            <w:hideMark/>
          </w:tcPr>
          <w:p w14:paraId="619F46D7" w14:textId="7D8A377E" w:rsidR="00956C1E"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Local groundnut variety</w:t>
            </w:r>
          </w:p>
        </w:tc>
        <w:tc>
          <w:tcPr>
            <w:tcW w:w="1431" w:type="pct"/>
            <w:gridSpan w:val="3"/>
            <w:tcBorders>
              <w:top w:val="single" w:sz="4" w:space="0" w:color="auto"/>
              <w:bottom w:val="single" w:sz="4" w:space="0" w:color="auto"/>
            </w:tcBorders>
            <w:shd w:val="clear" w:color="auto" w:fill="auto"/>
            <w:noWrap/>
            <w:vAlign w:val="center"/>
            <w:hideMark/>
          </w:tcPr>
          <w:p w14:paraId="366D845E" w14:textId="1B01DD9A" w:rsidR="00956C1E"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Improved groundnut variety</w:t>
            </w:r>
          </w:p>
        </w:tc>
      </w:tr>
      <w:tr w:rsidR="00BD1823" w:rsidRPr="003B1D3A" w14:paraId="715998A5" w14:textId="77777777" w:rsidTr="00AD32F4">
        <w:trPr>
          <w:trHeight w:val="460"/>
        </w:trPr>
        <w:tc>
          <w:tcPr>
            <w:tcW w:w="1847" w:type="pct"/>
            <w:vMerge/>
            <w:tcBorders>
              <w:top w:val="single" w:sz="4" w:space="0" w:color="auto"/>
              <w:left w:val="nil"/>
              <w:bottom w:val="single" w:sz="4" w:space="0" w:color="auto"/>
            </w:tcBorders>
            <w:shd w:val="clear" w:color="auto" w:fill="auto"/>
            <w:vAlign w:val="center"/>
            <w:hideMark/>
          </w:tcPr>
          <w:p w14:paraId="030C136F" w14:textId="77777777" w:rsidR="00BD1823" w:rsidRPr="003B1D3A" w:rsidRDefault="00BD1823" w:rsidP="003B1D3A">
            <w:pPr>
              <w:spacing w:after="0"/>
              <w:rPr>
                <w:rFonts w:ascii="Times New Roman" w:eastAsia="Times New Roman" w:hAnsi="Times New Roman" w:cs="Times New Roman"/>
                <w:color w:val="000000"/>
                <w:szCs w:val="24"/>
                <w:lang w:val="en-US" w:eastAsia="fr-FR"/>
              </w:rPr>
            </w:pPr>
          </w:p>
        </w:tc>
        <w:tc>
          <w:tcPr>
            <w:tcW w:w="442" w:type="pct"/>
            <w:tcBorders>
              <w:top w:val="single" w:sz="4" w:space="0" w:color="auto"/>
              <w:bottom w:val="single" w:sz="4" w:space="0" w:color="auto"/>
            </w:tcBorders>
            <w:shd w:val="clear" w:color="auto" w:fill="auto"/>
            <w:vAlign w:val="center"/>
            <w:hideMark/>
          </w:tcPr>
          <w:p w14:paraId="0152474B" w14:textId="1A65F61C"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Control</w:t>
            </w:r>
          </w:p>
        </w:tc>
        <w:tc>
          <w:tcPr>
            <w:tcW w:w="660" w:type="pct"/>
            <w:tcBorders>
              <w:top w:val="single" w:sz="4" w:space="0" w:color="auto"/>
              <w:bottom w:val="single" w:sz="4" w:space="0" w:color="auto"/>
            </w:tcBorders>
            <w:shd w:val="clear" w:color="auto" w:fill="auto"/>
            <w:vAlign w:val="center"/>
            <w:hideMark/>
          </w:tcPr>
          <w:p w14:paraId="4C85C40A" w14:textId="05AC0455"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Agricultural lime</w:t>
            </w:r>
          </w:p>
        </w:tc>
        <w:tc>
          <w:tcPr>
            <w:tcW w:w="620" w:type="pct"/>
            <w:tcBorders>
              <w:top w:val="single" w:sz="4" w:space="0" w:color="auto"/>
              <w:bottom w:val="single" w:sz="4" w:space="0" w:color="auto"/>
            </w:tcBorders>
            <w:shd w:val="clear" w:color="auto" w:fill="auto"/>
            <w:vAlign w:val="center"/>
            <w:hideMark/>
          </w:tcPr>
          <w:p w14:paraId="42BEA285" w14:textId="50182DDD" w:rsidR="00BD1823" w:rsidRPr="003B1D3A" w:rsidRDefault="00BD1823" w:rsidP="003B1D3A">
            <w:pPr>
              <w:spacing w:after="0"/>
              <w:jc w:val="center"/>
              <w:rPr>
                <w:rFonts w:ascii="Times New Roman" w:eastAsia="Times New Roman" w:hAnsi="Times New Roman" w:cs="Times New Roman"/>
                <w:i/>
                <w:color w:val="000000"/>
                <w:szCs w:val="24"/>
                <w:lang w:val="en-US" w:eastAsia="fr-FR"/>
              </w:rPr>
            </w:pPr>
            <w:r w:rsidRPr="003B1D3A">
              <w:rPr>
                <w:rFonts w:ascii="Times New Roman" w:eastAsia="Times New Roman" w:hAnsi="Times New Roman" w:cs="Times New Roman"/>
                <w:i/>
                <w:color w:val="000000"/>
                <w:szCs w:val="24"/>
                <w:lang w:val="en-US" w:eastAsia="fr-FR"/>
              </w:rPr>
              <w:t>Tithonia diversifolia</w:t>
            </w:r>
          </w:p>
        </w:tc>
        <w:tc>
          <w:tcPr>
            <w:tcW w:w="474" w:type="pct"/>
            <w:tcBorders>
              <w:top w:val="single" w:sz="4" w:space="0" w:color="auto"/>
              <w:bottom w:val="single" w:sz="4" w:space="0" w:color="auto"/>
            </w:tcBorders>
            <w:shd w:val="clear" w:color="auto" w:fill="auto"/>
            <w:vAlign w:val="center"/>
            <w:hideMark/>
          </w:tcPr>
          <w:p w14:paraId="266DAED2" w14:textId="39FAB2EF"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Control</w:t>
            </w:r>
          </w:p>
        </w:tc>
        <w:tc>
          <w:tcPr>
            <w:tcW w:w="475" w:type="pct"/>
            <w:tcBorders>
              <w:top w:val="single" w:sz="4" w:space="0" w:color="auto"/>
              <w:bottom w:val="single" w:sz="4" w:space="0" w:color="auto"/>
            </w:tcBorders>
            <w:shd w:val="clear" w:color="auto" w:fill="auto"/>
            <w:vAlign w:val="center"/>
            <w:hideMark/>
          </w:tcPr>
          <w:p w14:paraId="58D87459" w14:textId="1C9AE317"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Agricultural lime</w:t>
            </w:r>
          </w:p>
        </w:tc>
        <w:tc>
          <w:tcPr>
            <w:tcW w:w="481" w:type="pct"/>
            <w:tcBorders>
              <w:top w:val="single" w:sz="4" w:space="0" w:color="auto"/>
              <w:bottom w:val="single" w:sz="4" w:space="0" w:color="auto"/>
            </w:tcBorders>
            <w:shd w:val="clear" w:color="auto" w:fill="auto"/>
            <w:vAlign w:val="center"/>
            <w:hideMark/>
          </w:tcPr>
          <w:p w14:paraId="02F44DCE" w14:textId="038D141B"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i/>
                <w:color w:val="000000"/>
                <w:szCs w:val="24"/>
                <w:lang w:val="en-US" w:eastAsia="fr-FR"/>
              </w:rPr>
              <w:t>Tithonia diversifolia</w:t>
            </w:r>
          </w:p>
        </w:tc>
      </w:tr>
      <w:tr w:rsidR="00BD1823" w:rsidRPr="003B1D3A" w14:paraId="731C5903" w14:textId="77777777" w:rsidTr="00AD32F4">
        <w:trPr>
          <w:trHeight w:val="310"/>
        </w:trPr>
        <w:tc>
          <w:tcPr>
            <w:tcW w:w="1847" w:type="pct"/>
            <w:tcBorders>
              <w:top w:val="single" w:sz="4" w:space="0" w:color="auto"/>
            </w:tcBorders>
            <w:shd w:val="clear" w:color="auto" w:fill="auto"/>
            <w:hideMark/>
          </w:tcPr>
          <w:p w14:paraId="1541F6B8" w14:textId="1D670DE9"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Mean yield (t ha⁻¹)</w:t>
            </w:r>
          </w:p>
        </w:tc>
        <w:tc>
          <w:tcPr>
            <w:tcW w:w="442" w:type="pct"/>
            <w:tcBorders>
              <w:top w:val="single" w:sz="4" w:space="0" w:color="auto"/>
            </w:tcBorders>
            <w:shd w:val="clear" w:color="auto" w:fill="auto"/>
            <w:noWrap/>
            <w:vAlign w:val="center"/>
            <w:hideMark/>
          </w:tcPr>
          <w:p w14:paraId="1EA2B62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3.3</w:t>
            </w:r>
          </w:p>
        </w:tc>
        <w:tc>
          <w:tcPr>
            <w:tcW w:w="660" w:type="pct"/>
            <w:tcBorders>
              <w:top w:val="single" w:sz="4" w:space="0" w:color="auto"/>
            </w:tcBorders>
            <w:shd w:val="clear" w:color="auto" w:fill="auto"/>
            <w:noWrap/>
            <w:vAlign w:val="center"/>
            <w:hideMark/>
          </w:tcPr>
          <w:p w14:paraId="6332D0AE"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4.9</w:t>
            </w:r>
          </w:p>
        </w:tc>
        <w:tc>
          <w:tcPr>
            <w:tcW w:w="620" w:type="pct"/>
            <w:tcBorders>
              <w:top w:val="single" w:sz="4" w:space="0" w:color="auto"/>
            </w:tcBorders>
            <w:shd w:val="clear" w:color="auto" w:fill="auto"/>
            <w:noWrap/>
            <w:vAlign w:val="center"/>
            <w:hideMark/>
          </w:tcPr>
          <w:p w14:paraId="2F7C8D3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3.5</w:t>
            </w:r>
          </w:p>
        </w:tc>
        <w:tc>
          <w:tcPr>
            <w:tcW w:w="474" w:type="pct"/>
            <w:tcBorders>
              <w:top w:val="single" w:sz="4" w:space="0" w:color="auto"/>
            </w:tcBorders>
            <w:shd w:val="clear" w:color="auto" w:fill="auto"/>
            <w:noWrap/>
            <w:vAlign w:val="center"/>
            <w:hideMark/>
          </w:tcPr>
          <w:p w14:paraId="5843117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3.3</w:t>
            </w:r>
          </w:p>
        </w:tc>
        <w:tc>
          <w:tcPr>
            <w:tcW w:w="475" w:type="pct"/>
            <w:tcBorders>
              <w:top w:val="single" w:sz="4" w:space="0" w:color="auto"/>
            </w:tcBorders>
            <w:shd w:val="clear" w:color="auto" w:fill="auto"/>
            <w:noWrap/>
            <w:vAlign w:val="center"/>
            <w:hideMark/>
          </w:tcPr>
          <w:p w14:paraId="2001AD77"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4.2</w:t>
            </w:r>
          </w:p>
        </w:tc>
        <w:tc>
          <w:tcPr>
            <w:tcW w:w="481" w:type="pct"/>
            <w:tcBorders>
              <w:top w:val="single" w:sz="4" w:space="0" w:color="auto"/>
            </w:tcBorders>
            <w:shd w:val="clear" w:color="auto" w:fill="auto"/>
            <w:noWrap/>
            <w:vAlign w:val="center"/>
            <w:hideMark/>
          </w:tcPr>
          <w:p w14:paraId="7B6880A6"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3.5</w:t>
            </w:r>
          </w:p>
        </w:tc>
      </w:tr>
      <w:tr w:rsidR="00BD1823" w:rsidRPr="003B1D3A" w14:paraId="515DCF7A" w14:textId="77777777" w:rsidTr="00AD32F4">
        <w:trPr>
          <w:trHeight w:val="310"/>
        </w:trPr>
        <w:tc>
          <w:tcPr>
            <w:tcW w:w="1847" w:type="pct"/>
            <w:tcBorders>
              <w:top w:val="nil"/>
            </w:tcBorders>
            <w:shd w:val="clear" w:color="auto" w:fill="auto"/>
            <w:hideMark/>
          </w:tcPr>
          <w:p w14:paraId="218FB9E8" w14:textId="4964DCF6"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Adjusted mean yield (t ha⁻¹)</w:t>
            </w:r>
          </w:p>
        </w:tc>
        <w:tc>
          <w:tcPr>
            <w:tcW w:w="442" w:type="pct"/>
            <w:tcBorders>
              <w:top w:val="nil"/>
            </w:tcBorders>
            <w:shd w:val="clear" w:color="auto" w:fill="auto"/>
            <w:noWrap/>
            <w:vAlign w:val="center"/>
            <w:hideMark/>
          </w:tcPr>
          <w:p w14:paraId="21DBCFD3"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2.6</w:t>
            </w:r>
          </w:p>
        </w:tc>
        <w:tc>
          <w:tcPr>
            <w:tcW w:w="660" w:type="pct"/>
            <w:tcBorders>
              <w:top w:val="nil"/>
            </w:tcBorders>
            <w:shd w:val="clear" w:color="auto" w:fill="auto"/>
            <w:noWrap/>
            <w:vAlign w:val="center"/>
            <w:hideMark/>
          </w:tcPr>
          <w:p w14:paraId="08C0A3A1"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3.9</w:t>
            </w:r>
          </w:p>
        </w:tc>
        <w:tc>
          <w:tcPr>
            <w:tcW w:w="620" w:type="pct"/>
            <w:tcBorders>
              <w:top w:val="nil"/>
            </w:tcBorders>
            <w:shd w:val="clear" w:color="auto" w:fill="auto"/>
            <w:noWrap/>
            <w:vAlign w:val="center"/>
            <w:hideMark/>
          </w:tcPr>
          <w:p w14:paraId="61520006"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2.8</w:t>
            </w:r>
          </w:p>
        </w:tc>
        <w:tc>
          <w:tcPr>
            <w:tcW w:w="474" w:type="pct"/>
            <w:tcBorders>
              <w:top w:val="nil"/>
            </w:tcBorders>
            <w:shd w:val="clear" w:color="auto" w:fill="auto"/>
            <w:noWrap/>
            <w:vAlign w:val="center"/>
            <w:hideMark/>
          </w:tcPr>
          <w:p w14:paraId="21D7CA49"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2.7</w:t>
            </w:r>
          </w:p>
        </w:tc>
        <w:tc>
          <w:tcPr>
            <w:tcW w:w="475" w:type="pct"/>
            <w:tcBorders>
              <w:top w:val="nil"/>
            </w:tcBorders>
            <w:shd w:val="clear" w:color="auto" w:fill="auto"/>
            <w:noWrap/>
            <w:vAlign w:val="center"/>
            <w:hideMark/>
          </w:tcPr>
          <w:p w14:paraId="6E781FC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3.4</w:t>
            </w:r>
          </w:p>
        </w:tc>
        <w:tc>
          <w:tcPr>
            <w:tcW w:w="481" w:type="pct"/>
            <w:tcBorders>
              <w:top w:val="nil"/>
            </w:tcBorders>
            <w:shd w:val="clear" w:color="auto" w:fill="auto"/>
            <w:noWrap/>
            <w:vAlign w:val="center"/>
            <w:hideMark/>
          </w:tcPr>
          <w:p w14:paraId="1167ACD3"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2.8</w:t>
            </w:r>
          </w:p>
        </w:tc>
      </w:tr>
      <w:tr w:rsidR="00BD1823" w:rsidRPr="003B1D3A" w14:paraId="1EF6678B" w14:textId="77777777" w:rsidTr="00AD32F4">
        <w:trPr>
          <w:trHeight w:val="310"/>
        </w:trPr>
        <w:tc>
          <w:tcPr>
            <w:tcW w:w="1847" w:type="pct"/>
            <w:tcBorders>
              <w:top w:val="nil"/>
            </w:tcBorders>
            <w:shd w:val="clear" w:color="auto" w:fill="auto"/>
            <w:hideMark/>
          </w:tcPr>
          <w:p w14:paraId="16ED5756" w14:textId="21197A1B"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Gross field benefits (USD ha⁻¹)</w:t>
            </w:r>
          </w:p>
        </w:tc>
        <w:tc>
          <w:tcPr>
            <w:tcW w:w="442" w:type="pct"/>
            <w:tcBorders>
              <w:top w:val="nil"/>
            </w:tcBorders>
            <w:shd w:val="clear" w:color="auto" w:fill="auto"/>
            <w:noWrap/>
            <w:vAlign w:val="center"/>
            <w:hideMark/>
          </w:tcPr>
          <w:p w14:paraId="2A3C33D1"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3960</w:t>
            </w:r>
          </w:p>
        </w:tc>
        <w:tc>
          <w:tcPr>
            <w:tcW w:w="660" w:type="pct"/>
            <w:tcBorders>
              <w:top w:val="nil"/>
            </w:tcBorders>
            <w:shd w:val="clear" w:color="auto" w:fill="auto"/>
            <w:noWrap/>
            <w:vAlign w:val="center"/>
            <w:hideMark/>
          </w:tcPr>
          <w:p w14:paraId="629CADE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5872</w:t>
            </w:r>
          </w:p>
        </w:tc>
        <w:tc>
          <w:tcPr>
            <w:tcW w:w="620" w:type="pct"/>
            <w:tcBorders>
              <w:top w:val="nil"/>
            </w:tcBorders>
            <w:shd w:val="clear" w:color="auto" w:fill="auto"/>
            <w:noWrap/>
            <w:vAlign w:val="center"/>
            <w:hideMark/>
          </w:tcPr>
          <w:p w14:paraId="2FC8034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4200</w:t>
            </w:r>
          </w:p>
        </w:tc>
        <w:tc>
          <w:tcPr>
            <w:tcW w:w="474" w:type="pct"/>
            <w:tcBorders>
              <w:top w:val="nil"/>
            </w:tcBorders>
            <w:shd w:val="clear" w:color="auto" w:fill="auto"/>
            <w:noWrap/>
            <w:vAlign w:val="center"/>
            <w:hideMark/>
          </w:tcPr>
          <w:p w14:paraId="2732B9E0"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4000</w:t>
            </w:r>
          </w:p>
        </w:tc>
        <w:tc>
          <w:tcPr>
            <w:tcW w:w="475" w:type="pct"/>
            <w:tcBorders>
              <w:top w:val="nil"/>
            </w:tcBorders>
            <w:shd w:val="clear" w:color="auto" w:fill="auto"/>
            <w:noWrap/>
            <w:vAlign w:val="center"/>
            <w:hideMark/>
          </w:tcPr>
          <w:p w14:paraId="60117C3F"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5040</w:t>
            </w:r>
          </w:p>
        </w:tc>
        <w:tc>
          <w:tcPr>
            <w:tcW w:w="481" w:type="pct"/>
            <w:tcBorders>
              <w:top w:val="nil"/>
            </w:tcBorders>
            <w:shd w:val="clear" w:color="auto" w:fill="auto"/>
            <w:noWrap/>
            <w:vAlign w:val="center"/>
            <w:hideMark/>
          </w:tcPr>
          <w:p w14:paraId="19D86DBB"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4160</w:t>
            </w:r>
          </w:p>
        </w:tc>
      </w:tr>
      <w:tr w:rsidR="00BD1823" w:rsidRPr="003B1D3A" w14:paraId="2D3DC49B" w14:textId="77777777" w:rsidTr="00AD32F4">
        <w:trPr>
          <w:trHeight w:val="310"/>
        </w:trPr>
        <w:tc>
          <w:tcPr>
            <w:tcW w:w="1847" w:type="pct"/>
            <w:tcBorders>
              <w:top w:val="nil"/>
            </w:tcBorders>
            <w:shd w:val="clear" w:color="auto" w:fill="auto"/>
            <w:hideMark/>
          </w:tcPr>
          <w:p w14:paraId="6DEEF358" w14:textId="5B448547"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Seed cost (USD ha⁻¹)</w:t>
            </w:r>
          </w:p>
        </w:tc>
        <w:tc>
          <w:tcPr>
            <w:tcW w:w="442" w:type="pct"/>
            <w:tcBorders>
              <w:top w:val="nil"/>
            </w:tcBorders>
            <w:shd w:val="clear" w:color="auto" w:fill="auto"/>
            <w:noWrap/>
            <w:vAlign w:val="center"/>
            <w:hideMark/>
          </w:tcPr>
          <w:p w14:paraId="02FA6B7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240</w:t>
            </w:r>
          </w:p>
        </w:tc>
        <w:tc>
          <w:tcPr>
            <w:tcW w:w="660" w:type="pct"/>
            <w:tcBorders>
              <w:top w:val="nil"/>
            </w:tcBorders>
            <w:shd w:val="clear" w:color="auto" w:fill="auto"/>
            <w:noWrap/>
            <w:vAlign w:val="center"/>
            <w:hideMark/>
          </w:tcPr>
          <w:p w14:paraId="5BFA38E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240</w:t>
            </w:r>
          </w:p>
        </w:tc>
        <w:tc>
          <w:tcPr>
            <w:tcW w:w="620" w:type="pct"/>
            <w:tcBorders>
              <w:top w:val="nil"/>
            </w:tcBorders>
            <w:shd w:val="clear" w:color="auto" w:fill="auto"/>
            <w:noWrap/>
            <w:vAlign w:val="center"/>
            <w:hideMark/>
          </w:tcPr>
          <w:p w14:paraId="2965F35A"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240</w:t>
            </w:r>
          </w:p>
        </w:tc>
        <w:tc>
          <w:tcPr>
            <w:tcW w:w="474" w:type="pct"/>
            <w:tcBorders>
              <w:top w:val="nil"/>
            </w:tcBorders>
            <w:shd w:val="clear" w:color="auto" w:fill="auto"/>
            <w:noWrap/>
            <w:vAlign w:val="center"/>
            <w:hideMark/>
          </w:tcPr>
          <w:p w14:paraId="473590B9"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300</w:t>
            </w:r>
          </w:p>
        </w:tc>
        <w:tc>
          <w:tcPr>
            <w:tcW w:w="475" w:type="pct"/>
            <w:tcBorders>
              <w:top w:val="nil"/>
            </w:tcBorders>
            <w:shd w:val="clear" w:color="auto" w:fill="auto"/>
            <w:noWrap/>
            <w:vAlign w:val="center"/>
            <w:hideMark/>
          </w:tcPr>
          <w:p w14:paraId="6CFDD88E"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300</w:t>
            </w:r>
          </w:p>
        </w:tc>
        <w:tc>
          <w:tcPr>
            <w:tcW w:w="481" w:type="pct"/>
            <w:tcBorders>
              <w:top w:val="nil"/>
            </w:tcBorders>
            <w:shd w:val="clear" w:color="auto" w:fill="auto"/>
            <w:noWrap/>
            <w:vAlign w:val="center"/>
            <w:hideMark/>
          </w:tcPr>
          <w:p w14:paraId="6169A723"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300</w:t>
            </w:r>
          </w:p>
        </w:tc>
      </w:tr>
      <w:tr w:rsidR="00BD1823" w:rsidRPr="003B1D3A" w14:paraId="05A1721B" w14:textId="77777777" w:rsidTr="00AD32F4">
        <w:trPr>
          <w:trHeight w:val="580"/>
        </w:trPr>
        <w:tc>
          <w:tcPr>
            <w:tcW w:w="1847" w:type="pct"/>
            <w:tcBorders>
              <w:top w:val="nil"/>
            </w:tcBorders>
            <w:shd w:val="clear" w:color="auto" w:fill="auto"/>
            <w:hideMark/>
          </w:tcPr>
          <w:p w14:paraId="35AC2E73" w14:textId="35CE3C6D"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Cost of T. diversifolia leaf biomass (USD ha⁻¹)</w:t>
            </w:r>
          </w:p>
        </w:tc>
        <w:tc>
          <w:tcPr>
            <w:tcW w:w="442" w:type="pct"/>
            <w:tcBorders>
              <w:top w:val="nil"/>
            </w:tcBorders>
            <w:shd w:val="clear" w:color="auto" w:fill="auto"/>
            <w:noWrap/>
            <w:vAlign w:val="center"/>
            <w:hideMark/>
          </w:tcPr>
          <w:p w14:paraId="297EB7D6"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660" w:type="pct"/>
            <w:tcBorders>
              <w:top w:val="nil"/>
            </w:tcBorders>
            <w:shd w:val="clear" w:color="auto" w:fill="auto"/>
            <w:noWrap/>
            <w:vAlign w:val="center"/>
            <w:hideMark/>
          </w:tcPr>
          <w:p w14:paraId="7D5F603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620" w:type="pct"/>
            <w:tcBorders>
              <w:top w:val="nil"/>
            </w:tcBorders>
            <w:shd w:val="clear" w:color="auto" w:fill="auto"/>
            <w:noWrap/>
            <w:vAlign w:val="center"/>
            <w:hideMark/>
          </w:tcPr>
          <w:p w14:paraId="4EFADECB"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400</w:t>
            </w:r>
          </w:p>
        </w:tc>
        <w:tc>
          <w:tcPr>
            <w:tcW w:w="474" w:type="pct"/>
            <w:tcBorders>
              <w:top w:val="nil"/>
            </w:tcBorders>
            <w:shd w:val="clear" w:color="auto" w:fill="auto"/>
            <w:noWrap/>
            <w:vAlign w:val="center"/>
            <w:hideMark/>
          </w:tcPr>
          <w:p w14:paraId="0941F03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475" w:type="pct"/>
            <w:tcBorders>
              <w:top w:val="nil"/>
            </w:tcBorders>
            <w:shd w:val="clear" w:color="auto" w:fill="auto"/>
            <w:noWrap/>
            <w:vAlign w:val="center"/>
            <w:hideMark/>
          </w:tcPr>
          <w:p w14:paraId="41A9E32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481" w:type="pct"/>
            <w:tcBorders>
              <w:top w:val="nil"/>
            </w:tcBorders>
            <w:shd w:val="clear" w:color="auto" w:fill="auto"/>
            <w:noWrap/>
            <w:vAlign w:val="center"/>
            <w:hideMark/>
          </w:tcPr>
          <w:p w14:paraId="2D7BE8DF"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400</w:t>
            </w:r>
          </w:p>
        </w:tc>
      </w:tr>
      <w:tr w:rsidR="00BD1823" w:rsidRPr="003B1D3A" w14:paraId="1A003D98" w14:textId="77777777" w:rsidTr="00AD32F4">
        <w:trPr>
          <w:trHeight w:val="310"/>
        </w:trPr>
        <w:tc>
          <w:tcPr>
            <w:tcW w:w="1847" w:type="pct"/>
            <w:tcBorders>
              <w:top w:val="nil"/>
            </w:tcBorders>
            <w:shd w:val="clear" w:color="auto" w:fill="auto"/>
            <w:hideMark/>
          </w:tcPr>
          <w:p w14:paraId="1DA3270A" w14:textId="07BAD660"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Cost of agricultural lime (USD ha⁻¹)</w:t>
            </w:r>
          </w:p>
        </w:tc>
        <w:tc>
          <w:tcPr>
            <w:tcW w:w="442" w:type="pct"/>
            <w:tcBorders>
              <w:top w:val="nil"/>
            </w:tcBorders>
            <w:shd w:val="clear" w:color="auto" w:fill="auto"/>
            <w:noWrap/>
            <w:vAlign w:val="center"/>
            <w:hideMark/>
          </w:tcPr>
          <w:p w14:paraId="171D6B13"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660" w:type="pct"/>
            <w:tcBorders>
              <w:top w:val="nil"/>
            </w:tcBorders>
            <w:shd w:val="clear" w:color="auto" w:fill="auto"/>
            <w:noWrap/>
            <w:vAlign w:val="center"/>
            <w:hideMark/>
          </w:tcPr>
          <w:p w14:paraId="5EA1737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510</w:t>
            </w:r>
          </w:p>
        </w:tc>
        <w:tc>
          <w:tcPr>
            <w:tcW w:w="620" w:type="pct"/>
            <w:tcBorders>
              <w:top w:val="nil"/>
            </w:tcBorders>
            <w:shd w:val="clear" w:color="auto" w:fill="auto"/>
            <w:noWrap/>
            <w:vAlign w:val="center"/>
            <w:hideMark/>
          </w:tcPr>
          <w:p w14:paraId="72D7ABF1"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474" w:type="pct"/>
            <w:tcBorders>
              <w:top w:val="nil"/>
            </w:tcBorders>
            <w:shd w:val="clear" w:color="auto" w:fill="auto"/>
            <w:noWrap/>
            <w:vAlign w:val="center"/>
            <w:hideMark/>
          </w:tcPr>
          <w:p w14:paraId="56EC2539"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475" w:type="pct"/>
            <w:tcBorders>
              <w:top w:val="nil"/>
            </w:tcBorders>
            <w:shd w:val="clear" w:color="auto" w:fill="auto"/>
            <w:noWrap/>
            <w:vAlign w:val="center"/>
            <w:hideMark/>
          </w:tcPr>
          <w:p w14:paraId="3C5CF27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510</w:t>
            </w:r>
          </w:p>
        </w:tc>
        <w:tc>
          <w:tcPr>
            <w:tcW w:w="481" w:type="pct"/>
            <w:tcBorders>
              <w:top w:val="nil"/>
            </w:tcBorders>
            <w:shd w:val="clear" w:color="auto" w:fill="auto"/>
            <w:noWrap/>
            <w:vAlign w:val="center"/>
            <w:hideMark/>
          </w:tcPr>
          <w:p w14:paraId="54CEBB9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r>
      <w:tr w:rsidR="00BD1823" w:rsidRPr="003B1D3A" w14:paraId="37F6F9A1" w14:textId="77777777" w:rsidTr="00AD32F4">
        <w:trPr>
          <w:trHeight w:val="310"/>
        </w:trPr>
        <w:tc>
          <w:tcPr>
            <w:tcW w:w="1847" w:type="pct"/>
            <w:tcBorders>
              <w:top w:val="nil"/>
            </w:tcBorders>
            <w:shd w:val="clear" w:color="auto" w:fill="auto"/>
            <w:hideMark/>
          </w:tcPr>
          <w:p w14:paraId="1647B59B" w14:textId="1A434D4F"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Labor cost (USD ha⁻¹)</w:t>
            </w:r>
          </w:p>
        </w:tc>
        <w:tc>
          <w:tcPr>
            <w:tcW w:w="442" w:type="pct"/>
            <w:tcBorders>
              <w:top w:val="nil"/>
            </w:tcBorders>
            <w:shd w:val="clear" w:color="auto" w:fill="auto"/>
            <w:noWrap/>
            <w:vAlign w:val="center"/>
            <w:hideMark/>
          </w:tcPr>
          <w:p w14:paraId="580EB66D"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660" w:type="pct"/>
            <w:tcBorders>
              <w:top w:val="nil"/>
            </w:tcBorders>
            <w:shd w:val="clear" w:color="auto" w:fill="auto"/>
            <w:noWrap/>
            <w:vAlign w:val="center"/>
            <w:hideMark/>
          </w:tcPr>
          <w:p w14:paraId="47795980"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620" w:type="pct"/>
            <w:tcBorders>
              <w:top w:val="nil"/>
            </w:tcBorders>
            <w:shd w:val="clear" w:color="auto" w:fill="auto"/>
            <w:noWrap/>
            <w:vAlign w:val="center"/>
            <w:hideMark/>
          </w:tcPr>
          <w:p w14:paraId="156B5E8A"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474" w:type="pct"/>
            <w:tcBorders>
              <w:top w:val="nil"/>
            </w:tcBorders>
            <w:shd w:val="clear" w:color="auto" w:fill="auto"/>
            <w:noWrap/>
            <w:vAlign w:val="center"/>
            <w:hideMark/>
          </w:tcPr>
          <w:p w14:paraId="5316A23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475" w:type="pct"/>
            <w:tcBorders>
              <w:top w:val="nil"/>
            </w:tcBorders>
            <w:shd w:val="clear" w:color="auto" w:fill="auto"/>
            <w:noWrap/>
            <w:vAlign w:val="center"/>
            <w:hideMark/>
          </w:tcPr>
          <w:p w14:paraId="2659AF6F"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481" w:type="pct"/>
            <w:tcBorders>
              <w:top w:val="nil"/>
            </w:tcBorders>
            <w:shd w:val="clear" w:color="auto" w:fill="auto"/>
            <w:noWrap/>
            <w:vAlign w:val="center"/>
            <w:hideMark/>
          </w:tcPr>
          <w:p w14:paraId="59AC098B"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r>
      <w:tr w:rsidR="00BD1823" w:rsidRPr="003B1D3A" w14:paraId="68126AEE" w14:textId="77777777" w:rsidTr="00AD32F4">
        <w:trPr>
          <w:trHeight w:val="580"/>
        </w:trPr>
        <w:tc>
          <w:tcPr>
            <w:tcW w:w="1847" w:type="pct"/>
            <w:tcBorders>
              <w:top w:val="nil"/>
            </w:tcBorders>
            <w:shd w:val="clear" w:color="auto" w:fill="auto"/>
            <w:hideMark/>
          </w:tcPr>
          <w:p w14:paraId="18D3710E" w14:textId="40E989FE"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Labor cost for lime application (USD ha⁻¹)</w:t>
            </w:r>
          </w:p>
        </w:tc>
        <w:tc>
          <w:tcPr>
            <w:tcW w:w="442" w:type="pct"/>
            <w:tcBorders>
              <w:top w:val="nil"/>
            </w:tcBorders>
            <w:shd w:val="clear" w:color="auto" w:fill="auto"/>
            <w:noWrap/>
            <w:vAlign w:val="center"/>
            <w:hideMark/>
          </w:tcPr>
          <w:p w14:paraId="02A4D838" w14:textId="1F36655C"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0</w:t>
            </w:r>
          </w:p>
        </w:tc>
        <w:tc>
          <w:tcPr>
            <w:tcW w:w="660" w:type="pct"/>
            <w:tcBorders>
              <w:top w:val="nil"/>
            </w:tcBorders>
            <w:shd w:val="clear" w:color="auto" w:fill="auto"/>
            <w:noWrap/>
            <w:vAlign w:val="center"/>
            <w:hideMark/>
          </w:tcPr>
          <w:p w14:paraId="09077D51"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100</w:t>
            </w:r>
          </w:p>
        </w:tc>
        <w:tc>
          <w:tcPr>
            <w:tcW w:w="620" w:type="pct"/>
            <w:tcBorders>
              <w:top w:val="nil"/>
            </w:tcBorders>
            <w:shd w:val="clear" w:color="auto" w:fill="auto"/>
            <w:noWrap/>
            <w:vAlign w:val="center"/>
            <w:hideMark/>
          </w:tcPr>
          <w:p w14:paraId="7F5F3CE7" w14:textId="04DB3A7D"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0 </w:t>
            </w:r>
          </w:p>
        </w:tc>
        <w:tc>
          <w:tcPr>
            <w:tcW w:w="474" w:type="pct"/>
            <w:tcBorders>
              <w:top w:val="nil"/>
            </w:tcBorders>
            <w:shd w:val="clear" w:color="auto" w:fill="auto"/>
            <w:noWrap/>
            <w:vAlign w:val="center"/>
            <w:hideMark/>
          </w:tcPr>
          <w:p w14:paraId="03B06EC3" w14:textId="695F8C7F"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0 </w:t>
            </w:r>
          </w:p>
        </w:tc>
        <w:tc>
          <w:tcPr>
            <w:tcW w:w="475" w:type="pct"/>
            <w:tcBorders>
              <w:top w:val="nil"/>
            </w:tcBorders>
            <w:shd w:val="clear" w:color="auto" w:fill="auto"/>
            <w:noWrap/>
            <w:vAlign w:val="center"/>
            <w:hideMark/>
          </w:tcPr>
          <w:p w14:paraId="2295D4FB"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100</w:t>
            </w:r>
          </w:p>
        </w:tc>
        <w:tc>
          <w:tcPr>
            <w:tcW w:w="481" w:type="pct"/>
            <w:tcBorders>
              <w:top w:val="nil"/>
            </w:tcBorders>
            <w:shd w:val="clear" w:color="auto" w:fill="auto"/>
            <w:noWrap/>
            <w:vAlign w:val="center"/>
            <w:hideMark/>
          </w:tcPr>
          <w:p w14:paraId="6918661E" w14:textId="119DE218"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0 </w:t>
            </w:r>
          </w:p>
        </w:tc>
      </w:tr>
      <w:tr w:rsidR="00BD1823" w:rsidRPr="003B1D3A" w14:paraId="3F69673D" w14:textId="77777777" w:rsidTr="00AD32F4">
        <w:trPr>
          <w:trHeight w:val="870"/>
        </w:trPr>
        <w:tc>
          <w:tcPr>
            <w:tcW w:w="1847" w:type="pct"/>
            <w:tcBorders>
              <w:top w:val="nil"/>
            </w:tcBorders>
            <w:shd w:val="clear" w:color="auto" w:fill="auto"/>
            <w:hideMark/>
          </w:tcPr>
          <w:p w14:paraId="259D2B17" w14:textId="54336B80"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Labor cost for T. diversifolia biomass application (USD ha⁻¹)</w:t>
            </w:r>
          </w:p>
        </w:tc>
        <w:tc>
          <w:tcPr>
            <w:tcW w:w="442" w:type="pct"/>
            <w:tcBorders>
              <w:top w:val="nil"/>
            </w:tcBorders>
            <w:shd w:val="clear" w:color="auto" w:fill="auto"/>
            <w:noWrap/>
            <w:vAlign w:val="center"/>
            <w:hideMark/>
          </w:tcPr>
          <w:p w14:paraId="198AEA26" w14:textId="70F77328"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0</w:t>
            </w:r>
          </w:p>
        </w:tc>
        <w:tc>
          <w:tcPr>
            <w:tcW w:w="660" w:type="pct"/>
            <w:tcBorders>
              <w:top w:val="nil"/>
            </w:tcBorders>
            <w:shd w:val="clear" w:color="auto" w:fill="auto"/>
            <w:noWrap/>
            <w:vAlign w:val="center"/>
            <w:hideMark/>
          </w:tcPr>
          <w:p w14:paraId="014570A7" w14:textId="6009A776"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0</w:t>
            </w:r>
          </w:p>
        </w:tc>
        <w:tc>
          <w:tcPr>
            <w:tcW w:w="620" w:type="pct"/>
            <w:tcBorders>
              <w:top w:val="nil"/>
            </w:tcBorders>
            <w:shd w:val="clear" w:color="auto" w:fill="auto"/>
            <w:noWrap/>
            <w:vAlign w:val="center"/>
            <w:hideMark/>
          </w:tcPr>
          <w:p w14:paraId="5FFF56A9"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125</w:t>
            </w:r>
          </w:p>
        </w:tc>
        <w:tc>
          <w:tcPr>
            <w:tcW w:w="474" w:type="pct"/>
            <w:tcBorders>
              <w:top w:val="nil"/>
            </w:tcBorders>
            <w:shd w:val="clear" w:color="auto" w:fill="auto"/>
            <w:noWrap/>
            <w:vAlign w:val="center"/>
            <w:hideMark/>
          </w:tcPr>
          <w:p w14:paraId="61AC80BD" w14:textId="6D6A434A"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0 </w:t>
            </w:r>
          </w:p>
        </w:tc>
        <w:tc>
          <w:tcPr>
            <w:tcW w:w="475" w:type="pct"/>
            <w:tcBorders>
              <w:top w:val="nil"/>
            </w:tcBorders>
            <w:shd w:val="clear" w:color="auto" w:fill="auto"/>
            <w:noWrap/>
            <w:vAlign w:val="center"/>
            <w:hideMark/>
          </w:tcPr>
          <w:p w14:paraId="31D3B4D1" w14:textId="20A45D8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0</w:t>
            </w:r>
          </w:p>
        </w:tc>
        <w:tc>
          <w:tcPr>
            <w:tcW w:w="481" w:type="pct"/>
            <w:tcBorders>
              <w:top w:val="nil"/>
            </w:tcBorders>
            <w:shd w:val="clear" w:color="auto" w:fill="auto"/>
            <w:noWrap/>
            <w:vAlign w:val="center"/>
            <w:hideMark/>
          </w:tcPr>
          <w:p w14:paraId="21CC8DD2"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125</w:t>
            </w:r>
          </w:p>
        </w:tc>
      </w:tr>
      <w:tr w:rsidR="00BD1823" w:rsidRPr="003B1D3A" w14:paraId="27E89B51" w14:textId="77777777" w:rsidTr="00AD32F4">
        <w:trPr>
          <w:trHeight w:val="310"/>
        </w:trPr>
        <w:tc>
          <w:tcPr>
            <w:tcW w:w="1847" w:type="pct"/>
            <w:tcBorders>
              <w:top w:val="nil"/>
            </w:tcBorders>
            <w:shd w:val="clear" w:color="auto" w:fill="auto"/>
            <w:hideMark/>
          </w:tcPr>
          <w:p w14:paraId="49AA609B" w14:textId="6075ED71"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Total variable costs (USD ha⁻¹)</w:t>
            </w:r>
          </w:p>
        </w:tc>
        <w:tc>
          <w:tcPr>
            <w:tcW w:w="442" w:type="pct"/>
            <w:tcBorders>
              <w:top w:val="nil"/>
            </w:tcBorders>
            <w:shd w:val="clear" w:color="auto" w:fill="auto"/>
            <w:noWrap/>
            <w:vAlign w:val="center"/>
            <w:hideMark/>
          </w:tcPr>
          <w:p w14:paraId="2849052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2240</w:t>
            </w:r>
          </w:p>
        </w:tc>
        <w:tc>
          <w:tcPr>
            <w:tcW w:w="660" w:type="pct"/>
            <w:tcBorders>
              <w:top w:val="nil"/>
            </w:tcBorders>
            <w:shd w:val="clear" w:color="auto" w:fill="auto"/>
            <w:noWrap/>
            <w:vAlign w:val="center"/>
            <w:hideMark/>
          </w:tcPr>
          <w:p w14:paraId="1457AA1F"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2850</w:t>
            </w:r>
          </w:p>
        </w:tc>
        <w:tc>
          <w:tcPr>
            <w:tcW w:w="620" w:type="pct"/>
            <w:tcBorders>
              <w:top w:val="nil"/>
            </w:tcBorders>
            <w:shd w:val="clear" w:color="auto" w:fill="auto"/>
            <w:noWrap/>
            <w:vAlign w:val="center"/>
            <w:hideMark/>
          </w:tcPr>
          <w:p w14:paraId="022631E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2765</w:t>
            </w:r>
          </w:p>
        </w:tc>
        <w:tc>
          <w:tcPr>
            <w:tcW w:w="474" w:type="pct"/>
            <w:tcBorders>
              <w:top w:val="nil"/>
            </w:tcBorders>
            <w:shd w:val="clear" w:color="auto" w:fill="auto"/>
            <w:noWrap/>
            <w:vAlign w:val="center"/>
            <w:hideMark/>
          </w:tcPr>
          <w:p w14:paraId="0E54CE60"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2300</w:t>
            </w:r>
          </w:p>
        </w:tc>
        <w:tc>
          <w:tcPr>
            <w:tcW w:w="475" w:type="pct"/>
            <w:tcBorders>
              <w:top w:val="nil"/>
            </w:tcBorders>
            <w:shd w:val="clear" w:color="auto" w:fill="auto"/>
            <w:noWrap/>
            <w:vAlign w:val="center"/>
            <w:hideMark/>
          </w:tcPr>
          <w:p w14:paraId="667DE47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2910</w:t>
            </w:r>
          </w:p>
        </w:tc>
        <w:tc>
          <w:tcPr>
            <w:tcW w:w="481" w:type="pct"/>
            <w:tcBorders>
              <w:top w:val="nil"/>
            </w:tcBorders>
            <w:shd w:val="clear" w:color="auto" w:fill="auto"/>
            <w:noWrap/>
            <w:vAlign w:val="center"/>
            <w:hideMark/>
          </w:tcPr>
          <w:p w14:paraId="06B34EF4"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2825</w:t>
            </w:r>
          </w:p>
        </w:tc>
      </w:tr>
      <w:tr w:rsidR="00BD1823" w:rsidRPr="003B1D3A" w14:paraId="08E5AE43" w14:textId="77777777" w:rsidTr="00AD32F4">
        <w:trPr>
          <w:trHeight w:val="310"/>
        </w:trPr>
        <w:tc>
          <w:tcPr>
            <w:tcW w:w="1847" w:type="pct"/>
            <w:tcBorders>
              <w:top w:val="nil"/>
              <w:bottom w:val="single" w:sz="4" w:space="0" w:color="auto"/>
            </w:tcBorders>
            <w:shd w:val="clear" w:color="auto" w:fill="auto"/>
            <w:hideMark/>
          </w:tcPr>
          <w:p w14:paraId="219B4081" w14:textId="45E21B19"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Net benefits (USD ha⁻¹)</w:t>
            </w:r>
          </w:p>
        </w:tc>
        <w:tc>
          <w:tcPr>
            <w:tcW w:w="442" w:type="pct"/>
            <w:tcBorders>
              <w:top w:val="nil"/>
              <w:bottom w:val="single" w:sz="4" w:space="0" w:color="auto"/>
            </w:tcBorders>
            <w:shd w:val="clear" w:color="auto" w:fill="auto"/>
            <w:noWrap/>
            <w:vAlign w:val="center"/>
            <w:hideMark/>
          </w:tcPr>
          <w:p w14:paraId="5C0652AE"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1720</w:t>
            </w:r>
          </w:p>
        </w:tc>
        <w:tc>
          <w:tcPr>
            <w:tcW w:w="660" w:type="pct"/>
            <w:tcBorders>
              <w:top w:val="nil"/>
              <w:bottom w:val="single" w:sz="4" w:space="0" w:color="auto"/>
            </w:tcBorders>
            <w:shd w:val="clear" w:color="auto" w:fill="auto"/>
            <w:noWrap/>
            <w:vAlign w:val="center"/>
            <w:hideMark/>
          </w:tcPr>
          <w:p w14:paraId="799EB16D"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3022</w:t>
            </w:r>
          </w:p>
        </w:tc>
        <w:tc>
          <w:tcPr>
            <w:tcW w:w="620" w:type="pct"/>
            <w:tcBorders>
              <w:top w:val="nil"/>
              <w:bottom w:val="single" w:sz="4" w:space="0" w:color="auto"/>
            </w:tcBorders>
            <w:shd w:val="clear" w:color="auto" w:fill="auto"/>
            <w:noWrap/>
            <w:vAlign w:val="center"/>
            <w:hideMark/>
          </w:tcPr>
          <w:p w14:paraId="5809A91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1435</w:t>
            </w:r>
          </w:p>
        </w:tc>
        <w:tc>
          <w:tcPr>
            <w:tcW w:w="474" w:type="pct"/>
            <w:tcBorders>
              <w:top w:val="nil"/>
              <w:bottom w:val="single" w:sz="4" w:space="0" w:color="auto"/>
            </w:tcBorders>
            <w:shd w:val="clear" w:color="auto" w:fill="auto"/>
            <w:noWrap/>
            <w:vAlign w:val="center"/>
            <w:hideMark/>
          </w:tcPr>
          <w:p w14:paraId="05A8D95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1700</w:t>
            </w:r>
          </w:p>
        </w:tc>
        <w:tc>
          <w:tcPr>
            <w:tcW w:w="475" w:type="pct"/>
            <w:tcBorders>
              <w:top w:val="nil"/>
              <w:bottom w:val="single" w:sz="4" w:space="0" w:color="auto"/>
            </w:tcBorders>
            <w:shd w:val="clear" w:color="auto" w:fill="auto"/>
            <w:noWrap/>
            <w:vAlign w:val="center"/>
            <w:hideMark/>
          </w:tcPr>
          <w:p w14:paraId="39A7578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2130</w:t>
            </w:r>
          </w:p>
        </w:tc>
        <w:tc>
          <w:tcPr>
            <w:tcW w:w="481" w:type="pct"/>
            <w:tcBorders>
              <w:top w:val="nil"/>
              <w:bottom w:val="single" w:sz="4" w:space="0" w:color="auto"/>
            </w:tcBorders>
            <w:shd w:val="clear" w:color="auto" w:fill="auto"/>
            <w:noWrap/>
            <w:vAlign w:val="center"/>
            <w:hideMark/>
          </w:tcPr>
          <w:p w14:paraId="63D54C86"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1335</w:t>
            </w:r>
          </w:p>
        </w:tc>
      </w:tr>
    </w:tbl>
    <w:p w14:paraId="17C1FF13" w14:textId="28A63853" w:rsidR="00945A29" w:rsidRPr="003B1D3A" w:rsidRDefault="00945A29" w:rsidP="003B1D3A">
      <w:pPr>
        <w:spacing w:before="100" w:beforeAutospacing="1" w:after="100" w:afterAutospacing="1"/>
        <w:jc w:val="both"/>
        <w:rPr>
          <w:rFonts w:ascii="Times New Roman" w:hAnsi="Times New Roman" w:cs="Times New Roman"/>
          <w:sz w:val="24"/>
          <w:szCs w:val="24"/>
          <w:lang w:val="en-US"/>
        </w:rPr>
      </w:pPr>
      <w:r w:rsidRPr="003B1D3A">
        <w:rPr>
          <w:rStyle w:val="lev"/>
          <w:rFonts w:ascii="Times New Roman" w:hAnsi="Times New Roman" w:cs="Times New Roman"/>
          <w:b w:val="0"/>
          <w:sz w:val="24"/>
          <w:szCs w:val="24"/>
          <w:lang w:val="en-US"/>
        </w:rPr>
        <w:t>Selling price:</w:t>
      </w:r>
      <w:r w:rsidRPr="003B1D3A">
        <w:rPr>
          <w:rFonts w:ascii="Times New Roman" w:hAnsi="Times New Roman" w:cs="Times New Roman"/>
          <w:sz w:val="24"/>
          <w:szCs w:val="24"/>
          <w:lang w:val="en-US"/>
        </w:rPr>
        <w:t xml:space="preserve"> 2 </w:t>
      </w:r>
      <w:r w:rsidR="00863DBA" w:rsidRPr="003B1D3A">
        <w:rPr>
          <w:rFonts w:ascii="Times New Roman" w:hAnsi="Times New Roman" w:cs="Times New Roman"/>
          <w:sz w:val="24"/>
          <w:szCs w:val="24"/>
          <w:lang w:val="en-US"/>
        </w:rPr>
        <w:t>$ Kg</w:t>
      </w:r>
      <w:r w:rsidR="00863DBA" w:rsidRPr="003B1D3A">
        <w:rPr>
          <w:rFonts w:ascii="Times New Roman" w:hAnsi="Times New Roman" w:cs="Times New Roman"/>
          <w:sz w:val="24"/>
          <w:szCs w:val="24"/>
          <w:vertAlign w:val="superscript"/>
          <w:lang w:val="en-US"/>
        </w:rPr>
        <w:t>-1</w:t>
      </w:r>
      <w:r w:rsidR="00863DBA" w:rsidRPr="003B1D3A">
        <w:rPr>
          <w:rFonts w:ascii="Times New Roman" w:hAnsi="Times New Roman" w:cs="Times New Roman"/>
          <w:sz w:val="24"/>
          <w:szCs w:val="24"/>
          <w:lang w:val="en-US"/>
        </w:rPr>
        <w:t xml:space="preserve"> </w:t>
      </w:r>
      <w:r w:rsidRPr="003B1D3A">
        <w:rPr>
          <w:rFonts w:ascii="Times New Roman" w:hAnsi="Times New Roman" w:cs="Times New Roman"/>
          <w:sz w:val="24"/>
          <w:szCs w:val="24"/>
          <w:lang w:val="en-US"/>
        </w:rPr>
        <w:t>of peanuts in dry pods</w:t>
      </w:r>
      <w:r w:rsidR="00F34602" w:rsidRPr="003B1D3A">
        <w:rPr>
          <w:rFonts w:ascii="Times New Roman" w:hAnsi="Times New Roman" w:cs="Times New Roman"/>
          <w:sz w:val="24"/>
          <w:szCs w:val="24"/>
          <w:lang w:val="en-US"/>
        </w:rPr>
        <w:t xml:space="preserve"> for local variety and 2.5 $ Kg</w:t>
      </w:r>
      <w:r w:rsidR="00F34602" w:rsidRPr="003B1D3A">
        <w:rPr>
          <w:rFonts w:ascii="Times New Roman" w:hAnsi="Times New Roman" w:cs="Times New Roman"/>
          <w:sz w:val="24"/>
          <w:szCs w:val="24"/>
          <w:vertAlign w:val="superscript"/>
          <w:lang w:val="en-US"/>
        </w:rPr>
        <w:t>-1</w:t>
      </w:r>
      <w:r w:rsidR="00F34602" w:rsidRPr="003B1D3A">
        <w:rPr>
          <w:rFonts w:ascii="Times New Roman" w:hAnsi="Times New Roman" w:cs="Times New Roman"/>
          <w:sz w:val="24"/>
          <w:szCs w:val="24"/>
          <w:lang w:val="en-US"/>
        </w:rPr>
        <w:t xml:space="preserve"> for </w:t>
      </w:r>
      <w:r w:rsidR="00863DBA" w:rsidRPr="003B1D3A">
        <w:rPr>
          <w:rFonts w:ascii="Times New Roman" w:hAnsi="Times New Roman" w:cs="Times New Roman"/>
          <w:sz w:val="24"/>
          <w:szCs w:val="24"/>
          <w:lang w:val="en-US"/>
        </w:rPr>
        <w:t>improved variety (G17)</w:t>
      </w:r>
      <w:r w:rsidRPr="003B1D3A">
        <w:rPr>
          <w:rFonts w:ascii="Times New Roman" w:hAnsi="Times New Roman" w:cs="Times New Roman"/>
          <w:sz w:val="24"/>
          <w:szCs w:val="24"/>
          <w:lang w:val="en-US"/>
        </w:rPr>
        <w:t>.</w:t>
      </w:r>
    </w:p>
    <w:p w14:paraId="5F45D79C" w14:textId="2ECED1EC"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The gross benefit was calculated based on the market value of dry pods obtained per hectare. The net benefit (gross benefit minus variable costs) was highest for the lime treatment, followed by the control and the </w:t>
      </w:r>
      <w:r w:rsidRPr="003B1D3A">
        <w:rPr>
          <w:rFonts w:ascii="Times New Roman" w:eastAsia="Times New Roman" w:hAnsi="Times New Roman" w:cs="Times New Roman"/>
          <w:i/>
          <w:iCs/>
          <w:sz w:val="24"/>
          <w:szCs w:val="24"/>
          <w:lang w:val="en-US" w:eastAsia="fr-FR"/>
        </w:rPr>
        <w:t>Tithonia</w:t>
      </w:r>
      <w:r w:rsidR="003C468D" w:rsidRPr="003B1D3A">
        <w:rPr>
          <w:rFonts w:ascii="Times New Roman" w:eastAsia="Times New Roman" w:hAnsi="Times New Roman" w:cs="Times New Roman"/>
          <w:i/>
          <w:iCs/>
          <w:sz w:val="24"/>
          <w:szCs w:val="24"/>
          <w:lang w:val="en-US" w:eastAsia="fr-FR"/>
        </w:rPr>
        <w:t xml:space="preserve"> </w:t>
      </w:r>
      <w:proofErr w:type="spellStart"/>
      <w:r w:rsidR="003C468D" w:rsidRPr="003B1D3A">
        <w:rPr>
          <w:rFonts w:ascii="Times New Roman" w:eastAsia="Times New Roman" w:hAnsi="Times New Roman" w:cs="Times New Roman"/>
          <w:i/>
          <w:iCs/>
          <w:sz w:val="24"/>
          <w:szCs w:val="24"/>
          <w:lang w:val="en-US" w:eastAsia="fr-FR"/>
        </w:rPr>
        <w:t>sp</w:t>
      </w:r>
      <w:proofErr w:type="spellEnd"/>
      <w:r w:rsidRPr="003B1D3A">
        <w:rPr>
          <w:rFonts w:ascii="Times New Roman" w:eastAsia="Times New Roman" w:hAnsi="Times New Roman" w:cs="Times New Roman"/>
          <w:sz w:val="24"/>
          <w:szCs w:val="24"/>
          <w:lang w:val="en-US" w:eastAsia="fr-FR"/>
        </w:rPr>
        <w:t xml:space="preserve"> treatment.</w:t>
      </w:r>
    </w:p>
    <w:p w14:paraId="156D573D" w14:textId="4657BBDC"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The Marginal Rate of Return (MRR) was determined to evaluate the profitability of the treatments</w:t>
      </w:r>
      <w:r w:rsidR="00AD32F4" w:rsidRPr="003B1D3A">
        <w:rPr>
          <w:rFonts w:ascii="Times New Roman" w:eastAsia="Times New Roman" w:hAnsi="Times New Roman" w:cs="Times New Roman"/>
          <w:sz w:val="24"/>
          <w:szCs w:val="24"/>
          <w:lang w:val="en-US" w:eastAsia="fr-FR"/>
        </w:rPr>
        <w:t xml:space="preserve"> (table 4)</w:t>
      </w:r>
      <w:r w:rsidRPr="003B1D3A">
        <w:rPr>
          <w:rFonts w:ascii="Times New Roman" w:eastAsia="Times New Roman" w:hAnsi="Times New Roman" w:cs="Times New Roman"/>
          <w:sz w:val="24"/>
          <w:szCs w:val="24"/>
          <w:lang w:val="en-US" w:eastAsia="fr-FR"/>
        </w:rPr>
        <w:t xml:space="preserve">. Lime application recorded the highest MRR, indicating that each additional unit invested in lime returned a significantly higher benefit compared to other treatments. The MRR for lime exceeded 100%, demonstrating high economic efficiency, whereas the MRR for the </w:t>
      </w:r>
      <w:r w:rsidRPr="003B1D3A">
        <w:rPr>
          <w:rFonts w:ascii="Times New Roman" w:eastAsia="Times New Roman" w:hAnsi="Times New Roman" w:cs="Times New Roman"/>
          <w:i/>
          <w:iCs/>
          <w:sz w:val="24"/>
          <w:szCs w:val="24"/>
          <w:lang w:val="en-US" w:eastAsia="fr-FR"/>
        </w:rPr>
        <w:t>Tithonia</w:t>
      </w:r>
      <w:r w:rsidR="003C468D" w:rsidRPr="003B1D3A">
        <w:rPr>
          <w:rFonts w:ascii="Times New Roman" w:eastAsia="Times New Roman" w:hAnsi="Times New Roman" w:cs="Times New Roman"/>
          <w:i/>
          <w:iCs/>
          <w:sz w:val="24"/>
          <w:szCs w:val="24"/>
          <w:lang w:val="en-US" w:eastAsia="fr-FR"/>
        </w:rPr>
        <w:t xml:space="preserve"> </w:t>
      </w:r>
      <w:proofErr w:type="spellStart"/>
      <w:r w:rsidR="003C468D" w:rsidRPr="003B1D3A">
        <w:rPr>
          <w:rFonts w:ascii="Times New Roman" w:eastAsia="Times New Roman" w:hAnsi="Times New Roman" w:cs="Times New Roman"/>
          <w:i/>
          <w:iCs/>
          <w:sz w:val="24"/>
          <w:szCs w:val="24"/>
          <w:lang w:val="en-US" w:eastAsia="fr-FR"/>
        </w:rPr>
        <w:t>sp</w:t>
      </w:r>
      <w:proofErr w:type="spellEnd"/>
      <w:r w:rsidRPr="003B1D3A">
        <w:rPr>
          <w:rFonts w:ascii="Times New Roman" w:eastAsia="Times New Roman" w:hAnsi="Times New Roman" w:cs="Times New Roman"/>
          <w:sz w:val="24"/>
          <w:szCs w:val="24"/>
          <w:lang w:val="en-US" w:eastAsia="fr-FR"/>
        </w:rPr>
        <w:t xml:space="preserve"> treatment and the control were lower but still positive.</w:t>
      </w:r>
    </w:p>
    <w:p w14:paraId="1EB8714A" w14:textId="77777777" w:rsidR="0006432B"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These results suggest that the application of agricultural lime is not only </w:t>
      </w:r>
      <w:proofErr w:type="spellStart"/>
      <w:r w:rsidRPr="003B1D3A">
        <w:rPr>
          <w:rFonts w:ascii="Times New Roman" w:eastAsia="Times New Roman" w:hAnsi="Times New Roman" w:cs="Times New Roman"/>
          <w:sz w:val="24"/>
          <w:szCs w:val="24"/>
          <w:lang w:val="en-US" w:eastAsia="fr-FR"/>
        </w:rPr>
        <w:t>agronomically</w:t>
      </w:r>
      <w:proofErr w:type="spellEnd"/>
      <w:r w:rsidRPr="003B1D3A">
        <w:rPr>
          <w:rFonts w:ascii="Times New Roman" w:eastAsia="Times New Roman" w:hAnsi="Times New Roman" w:cs="Times New Roman"/>
          <w:sz w:val="24"/>
          <w:szCs w:val="24"/>
          <w:lang w:val="en-US" w:eastAsia="fr-FR"/>
        </w:rPr>
        <w:t xml:space="preserve"> effective in reducing empty pods and increasing yield but also economically advantageous for groundnut production under the acidic soil conditions of Kenge.</w:t>
      </w:r>
    </w:p>
    <w:p w14:paraId="33AA255D" w14:textId="0A1CAAD7" w:rsidR="00956C1E" w:rsidRPr="003B1D3A" w:rsidRDefault="00AD32F4" w:rsidP="003B1D3A">
      <w:pPr>
        <w:spacing w:before="100" w:beforeAutospacing="1" w:after="100" w:afterAutospacing="1"/>
        <w:jc w:val="both"/>
        <w:rPr>
          <w:rFonts w:ascii="Times New Roman" w:hAnsi="Times New Roman" w:cs="Times New Roman"/>
          <w:sz w:val="24"/>
          <w:szCs w:val="24"/>
          <w:lang w:val="en-US"/>
        </w:rPr>
      </w:pPr>
      <w:proofErr w:type="gramStart"/>
      <w:r w:rsidRPr="003B1D3A">
        <w:rPr>
          <w:rFonts w:ascii="Times New Roman" w:hAnsi="Times New Roman" w:cs="Times New Roman"/>
          <w:sz w:val="24"/>
          <w:szCs w:val="24"/>
          <w:lang w:val="en-US"/>
        </w:rPr>
        <w:t>Table 4</w:t>
      </w:r>
      <w:r w:rsidR="0006432B" w:rsidRPr="003B1D3A">
        <w:rPr>
          <w:rFonts w:ascii="Times New Roman" w:hAnsi="Times New Roman" w:cs="Times New Roman"/>
          <w:sz w:val="24"/>
          <w:szCs w:val="24"/>
          <w:lang w:val="en-US"/>
        </w:rPr>
        <w:t>.</w:t>
      </w:r>
      <w:proofErr w:type="gramEnd"/>
      <w:r w:rsidR="0006432B" w:rsidRPr="003B1D3A">
        <w:rPr>
          <w:rFonts w:ascii="Times New Roman" w:hAnsi="Times New Roman" w:cs="Times New Roman"/>
          <w:sz w:val="24"/>
          <w:szCs w:val="24"/>
          <w:lang w:val="en-US"/>
        </w:rPr>
        <w:t xml:space="preserve"> </w:t>
      </w:r>
      <w:proofErr w:type="gramStart"/>
      <w:r w:rsidR="0006432B" w:rsidRPr="003B1D3A">
        <w:rPr>
          <w:rFonts w:ascii="Times New Roman" w:hAnsi="Times New Roman" w:cs="Times New Roman"/>
          <w:sz w:val="24"/>
          <w:szCs w:val="24"/>
          <w:lang w:val="en-US"/>
        </w:rPr>
        <w:t xml:space="preserve">Calculation of the Marginal Rate of Return of Agricultural Lime and </w:t>
      </w:r>
      <w:r w:rsidR="0006432B" w:rsidRPr="003B1D3A">
        <w:rPr>
          <w:rFonts w:ascii="Times New Roman" w:hAnsi="Times New Roman" w:cs="Times New Roman"/>
          <w:i/>
          <w:sz w:val="24"/>
          <w:szCs w:val="24"/>
          <w:lang w:val="en-US"/>
        </w:rPr>
        <w:t>Tithonia diversifolia</w:t>
      </w:r>
      <w:r w:rsidR="0006432B" w:rsidRPr="003B1D3A">
        <w:rPr>
          <w:rFonts w:ascii="Times New Roman" w:hAnsi="Times New Roman" w:cs="Times New Roman"/>
          <w:sz w:val="24"/>
          <w:szCs w:val="24"/>
          <w:lang w:val="en-US"/>
        </w:rPr>
        <w:t xml:space="preserve"> Applications on Groundnut</w:t>
      </w:r>
      <w:r w:rsidR="00956C1E" w:rsidRPr="003B1D3A">
        <w:rPr>
          <w:rFonts w:ascii="Times New Roman" w:hAnsi="Times New Roman" w:cs="Times New Roman"/>
          <w:sz w:val="24"/>
          <w:szCs w:val="24"/>
          <w:lang w:val="en-US"/>
        </w:rPr>
        <w:t>.</w:t>
      </w:r>
      <w:proofErr w:type="gramEnd"/>
    </w:p>
    <w:tbl>
      <w:tblPr>
        <w:tblW w:w="5000" w:type="pct"/>
        <w:tblCellMar>
          <w:left w:w="70" w:type="dxa"/>
          <w:right w:w="70" w:type="dxa"/>
        </w:tblCellMar>
        <w:tblLook w:val="04A0" w:firstRow="1" w:lastRow="0" w:firstColumn="1" w:lastColumn="0" w:noHBand="0" w:noVBand="1"/>
      </w:tblPr>
      <w:tblGrid>
        <w:gridCol w:w="3430"/>
        <w:gridCol w:w="844"/>
        <w:gridCol w:w="1216"/>
        <w:gridCol w:w="1143"/>
        <w:gridCol w:w="844"/>
        <w:gridCol w:w="849"/>
        <w:gridCol w:w="886"/>
      </w:tblGrid>
      <w:tr w:rsidR="00BD1823" w:rsidRPr="003B1D3A" w14:paraId="7E46CD82" w14:textId="77777777" w:rsidTr="00AD32F4">
        <w:trPr>
          <w:trHeight w:val="310"/>
        </w:trPr>
        <w:tc>
          <w:tcPr>
            <w:tcW w:w="1862" w:type="pct"/>
            <w:vMerge w:val="restart"/>
            <w:tcBorders>
              <w:top w:val="single" w:sz="4" w:space="0" w:color="auto"/>
              <w:left w:val="nil"/>
            </w:tcBorders>
            <w:shd w:val="clear" w:color="auto" w:fill="auto"/>
            <w:vAlign w:val="bottom"/>
            <w:hideMark/>
          </w:tcPr>
          <w:p w14:paraId="62025694"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 </w:t>
            </w:r>
          </w:p>
        </w:tc>
        <w:tc>
          <w:tcPr>
            <w:tcW w:w="1738" w:type="pct"/>
            <w:gridSpan w:val="3"/>
            <w:tcBorders>
              <w:top w:val="single" w:sz="4" w:space="0" w:color="auto"/>
              <w:bottom w:val="single" w:sz="4" w:space="0" w:color="auto"/>
            </w:tcBorders>
            <w:shd w:val="clear" w:color="auto" w:fill="auto"/>
            <w:noWrap/>
            <w:vAlign w:val="center"/>
            <w:hideMark/>
          </w:tcPr>
          <w:p w14:paraId="0EC06899" w14:textId="2D4C337F"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Control</w:t>
            </w:r>
          </w:p>
        </w:tc>
        <w:tc>
          <w:tcPr>
            <w:tcW w:w="1400" w:type="pct"/>
            <w:gridSpan w:val="3"/>
            <w:tcBorders>
              <w:top w:val="single" w:sz="4" w:space="0" w:color="auto"/>
              <w:bottom w:val="single" w:sz="4" w:space="0" w:color="auto"/>
            </w:tcBorders>
            <w:shd w:val="clear" w:color="auto" w:fill="auto"/>
            <w:noWrap/>
            <w:vAlign w:val="center"/>
            <w:hideMark/>
          </w:tcPr>
          <w:p w14:paraId="06798097" w14:textId="10BC2F9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Agricultural lime</w:t>
            </w:r>
          </w:p>
        </w:tc>
      </w:tr>
      <w:tr w:rsidR="00BD1823" w:rsidRPr="003B1D3A" w14:paraId="4106C33B" w14:textId="77777777" w:rsidTr="00AD32F4">
        <w:trPr>
          <w:trHeight w:val="460"/>
        </w:trPr>
        <w:tc>
          <w:tcPr>
            <w:tcW w:w="1862" w:type="pct"/>
            <w:vMerge/>
            <w:tcBorders>
              <w:left w:val="nil"/>
              <w:bottom w:val="single" w:sz="4" w:space="0" w:color="auto"/>
            </w:tcBorders>
            <w:shd w:val="clear" w:color="auto" w:fill="auto"/>
            <w:vAlign w:val="center"/>
            <w:hideMark/>
          </w:tcPr>
          <w:p w14:paraId="7D46FE51" w14:textId="77777777" w:rsidR="00BD1823" w:rsidRPr="003B1D3A" w:rsidRDefault="00BD1823" w:rsidP="003B1D3A">
            <w:pPr>
              <w:spacing w:after="0"/>
              <w:rPr>
                <w:rFonts w:ascii="Times New Roman" w:eastAsia="Times New Roman" w:hAnsi="Times New Roman" w:cs="Times New Roman"/>
                <w:color w:val="000000"/>
                <w:lang w:val="en-US" w:eastAsia="fr-FR"/>
              </w:rPr>
            </w:pPr>
          </w:p>
        </w:tc>
        <w:tc>
          <w:tcPr>
            <w:tcW w:w="458" w:type="pct"/>
            <w:tcBorders>
              <w:top w:val="single" w:sz="4" w:space="0" w:color="auto"/>
              <w:bottom w:val="single" w:sz="4" w:space="0" w:color="auto"/>
            </w:tcBorders>
            <w:shd w:val="clear" w:color="auto" w:fill="auto"/>
            <w:vAlign w:val="center"/>
            <w:hideMark/>
          </w:tcPr>
          <w:p w14:paraId="279760A3" w14:textId="5A36C9E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Control</w:t>
            </w:r>
          </w:p>
        </w:tc>
        <w:tc>
          <w:tcPr>
            <w:tcW w:w="660" w:type="pct"/>
            <w:tcBorders>
              <w:top w:val="single" w:sz="4" w:space="0" w:color="auto"/>
              <w:bottom w:val="single" w:sz="4" w:space="0" w:color="auto"/>
            </w:tcBorders>
            <w:shd w:val="clear" w:color="auto" w:fill="auto"/>
            <w:vAlign w:val="center"/>
            <w:hideMark/>
          </w:tcPr>
          <w:p w14:paraId="756326C0" w14:textId="456C90CC"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Agricultural lime</w:t>
            </w:r>
          </w:p>
        </w:tc>
        <w:tc>
          <w:tcPr>
            <w:tcW w:w="620" w:type="pct"/>
            <w:tcBorders>
              <w:top w:val="single" w:sz="4" w:space="0" w:color="auto"/>
              <w:bottom w:val="single" w:sz="4" w:space="0" w:color="auto"/>
            </w:tcBorders>
            <w:shd w:val="clear" w:color="auto" w:fill="auto"/>
            <w:vAlign w:val="center"/>
            <w:hideMark/>
          </w:tcPr>
          <w:p w14:paraId="77D29646" w14:textId="01ABC162"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i/>
                <w:color w:val="000000"/>
                <w:szCs w:val="24"/>
                <w:lang w:val="en-US" w:eastAsia="fr-FR"/>
              </w:rPr>
              <w:t>Tithonia diversifolia</w:t>
            </w:r>
          </w:p>
        </w:tc>
        <w:tc>
          <w:tcPr>
            <w:tcW w:w="458" w:type="pct"/>
            <w:tcBorders>
              <w:top w:val="single" w:sz="4" w:space="0" w:color="auto"/>
              <w:bottom w:val="single" w:sz="4" w:space="0" w:color="auto"/>
            </w:tcBorders>
            <w:shd w:val="clear" w:color="auto" w:fill="auto"/>
            <w:vAlign w:val="center"/>
            <w:hideMark/>
          </w:tcPr>
          <w:p w14:paraId="64DBE54D" w14:textId="20379A83"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Control</w:t>
            </w:r>
          </w:p>
        </w:tc>
        <w:tc>
          <w:tcPr>
            <w:tcW w:w="461" w:type="pct"/>
            <w:tcBorders>
              <w:top w:val="single" w:sz="4" w:space="0" w:color="auto"/>
              <w:bottom w:val="single" w:sz="4" w:space="0" w:color="auto"/>
            </w:tcBorders>
            <w:shd w:val="clear" w:color="auto" w:fill="auto"/>
            <w:vAlign w:val="center"/>
            <w:hideMark/>
          </w:tcPr>
          <w:p w14:paraId="62F8AE23"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proofErr w:type="spellStart"/>
            <w:r w:rsidRPr="003B1D3A">
              <w:rPr>
                <w:rFonts w:ascii="Times New Roman" w:eastAsia="Times New Roman" w:hAnsi="Times New Roman" w:cs="Times New Roman"/>
                <w:color w:val="000000"/>
                <w:lang w:val="en-US" w:eastAsia="fr-FR"/>
              </w:rPr>
              <w:t>Chaux</w:t>
            </w:r>
            <w:proofErr w:type="spellEnd"/>
            <w:r w:rsidRPr="003B1D3A">
              <w:rPr>
                <w:rFonts w:ascii="Times New Roman" w:eastAsia="Times New Roman" w:hAnsi="Times New Roman" w:cs="Times New Roman"/>
                <w:color w:val="000000"/>
                <w:lang w:val="en-US" w:eastAsia="fr-FR"/>
              </w:rPr>
              <w:t xml:space="preserve"> </w:t>
            </w:r>
            <w:proofErr w:type="spellStart"/>
            <w:r w:rsidRPr="003B1D3A">
              <w:rPr>
                <w:rFonts w:ascii="Times New Roman" w:eastAsia="Times New Roman" w:hAnsi="Times New Roman" w:cs="Times New Roman"/>
                <w:color w:val="000000"/>
                <w:lang w:val="en-US" w:eastAsia="fr-FR"/>
              </w:rPr>
              <w:t>agricole</w:t>
            </w:r>
            <w:proofErr w:type="spellEnd"/>
          </w:p>
        </w:tc>
        <w:tc>
          <w:tcPr>
            <w:tcW w:w="481" w:type="pct"/>
            <w:tcBorders>
              <w:top w:val="single" w:sz="4" w:space="0" w:color="auto"/>
              <w:bottom w:val="single" w:sz="4" w:space="0" w:color="auto"/>
            </w:tcBorders>
            <w:shd w:val="clear" w:color="auto" w:fill="auto"/>
            <w:vAlign w:val="center"/>
            <w:hideMark/>
          </w:tcPr>
          <w:p w14:paraId="793D5585"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 xml:space="preserve">Tithonia </w:t>
            </w:r>
            <w:proofErr w:type="spellStart"/>
            <w:r w:rsidRPr="003B1D3A">
              <w:rPr>
                <w:rFonts w:ascii="Times New Roman" w:eastAsia="Times New Roman" w:hAnsi="Times New Roman" w:cs="Times New Roman"/>
                <w:color w:val="000000"/>
                <w:lang w:val="en-US" w:eastAsia="fr-FR"/>
              </w:rPr>
              <w:t>sp</w:t>
            </w:r>
            <w:proofErr w:type="spellEnd"/>
          </w:p>
        </w:tc>
      </w:tr>
      <w:tr w:rsidR="00BD1823" w:rsidRPr="003B1D3A" w14:paraId="0234F527" w14:textId="77777777" w:rsidTr="00AD32F4">
        <w:trPr>
          <w:trHeight w:val="310"/>
        </w:trPr>
        <w:tc>
          <w:tcPr>
            <w:tcW w:w="1862" w:type="pct"/>
            <w:tcBorders>
              <w:top w:val="single" w:sz="4" w:space="0" w:color="auto"/>
            </w:tcBorders>
            <w:shd w:val="clear" w:color="auto" w:fill="auto"/>
            <w:hideMark/>
          </w:tcPr>
          <w:p w14:paraId="3B7C8846" w14:textId="17ABA1E0" w:rsidR="00BD1823" w:rsidRPr="003B1D3A" w:rsidRDefault="00BD1823"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Marginal cost (USD ha⁻¹)</w:t>
            </w:r>
          </w:p>
        </w:tc>
        <w:tc>
          <w:tcPr>
            <w:tcW w:w="458" w:type="pct"/>
            <w:tcBorders>
              <w:top w:val="single" w:sz="4" w:space="0" w:color="auto"/>
            </w:tcBorders>
            <w:shd w:val="clear" w:color="auto" w:fill="auto"/>
            <w:noWrap/>
            <w:vAlign w:val="center"/>
            <w:hideMark/>
          </w:tcPr>
          <w:p w14:paraId="3384B71A"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w:t>
            </w:r>
          </w:p>
        </w:tc>
        <w:tc>
          <w:tcPr>
            <w:tcW w:w="660" w:type="pct"/>
            <w:tcBorders>
              <w:top w:val="single" w:sz="4" w:space="0" w:color="auto"/>
            </w:tcBorders>
            <w:shd w:val="clear" w:color="auto" w:fill="auto"/>
            <w:noWrap/>
            <w:vAlign w:val="center"/>
            <w:hideMark/>
          </w:tcPr>
          <w:p w14:paraId="057139D7"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610</w:t>
            </w:r>
          </w:p>
        </w:tc>
        <w:tc>
          <w:tcPr>
            <w:tcW w:w="620" w:type="pct"/>
            <w:tcBorders>
              <w:top w:val="single" w:sz="4" w:space="0" w:color="auto"/>
            </w:tcBorders>
            <w:shd w:val="clear" w:color="auto" w:fill="auto"/>
            <w:noWrap/>
            <w:vAlign w:val="center"/>
            <w:hideMark/>
          </w:tcPr>
          <w:p w14:paraId="63C494F7"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525</w:t>
            </w:r>
          </w:p>
        </w:tc>
        <w:tc>
          <w:tcPr>
            <w:tcW w:w="458" w:type="pct"/>
            <w:tcBorders>
              <w:top w:val="single" w:sz="4" w:space="0" w:color="auto"/>
            </w:tcBorders>
            <w:shd w:val="clear" w:color="auto" w:fill="auto"/>
            <w:noWrap/>
            <w:vAlign w:val="center"/>
            <w:hideMark/>
          </w:tcPr>
          <w:p w14:paraId="0793B9DA"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60</w:t>
            </w:r>
          </w:p>
        </w:tc>
        <w:tc>
          <w:tcPr>
            <w:tcW w:w="461" w:type="pct"/>
            <w:tcBorders>
              <w:top w:val="single" w:sz="4" w:space="0" w:color="auto"/>
            </w:tcBorders>
            <w:shd w:val="clear" w:color="auto" w:fill="auto"/>
            <w:noWrap/>
            <w:vAlign w:val="center"/>
            <w:hideMark/>
          </w:tcPr>
          <w:p w14:paraId="494D85CF"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670</w:t>
            </w:r>
          </w:p>
        </w:tc>
        <w:tc>
          <w:tcPr>
            <w:tcW w:w="481" w:type="pct"/>
            <w:tcBorders>
              <w:top w:val="single" w:sz="4" w:space="0" w:color="auto"/>
            </w:tcBorders>
            <w:shd w:val="clear" w:color="auto" w:fill="auto"/>
            <w:noWrap/>
            <w:vAlign w:val="center"/>
            <w:hideMark/>
          </w:tcPr>
          <w:p w14:paraId="3E133715"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585</w:t>
            </w:r>
          </w:p>
        </w:tc>
      </w:tr>
      <w:tr w:rsidR="00BD1823" w:rsidRPr="003B1D3A" w14:paraId="34945ABB" w14:textId="77777777" w:rsidTr="00AD32F4">
        <w:trPr>
          <w:trHeight w:val="310"/>
        </w:trPr>
        <w:tc>
          <w:tcPr>
            <w:tcW w:w="1862" w:type="pct"/>
            <w:shd w:val="clear" w:color="auto" w:fill="auto"/>
            <w:hideMark/>
          </w:tcPr>
          <w:p w14:paraId="44AD8873" w14:textId="0C50ED48" w:rsidR="00BD1823" w:rsidRPr="003B1D3A" w:rsidRDefault="00BD1823"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Marginal net benefit (USD ha⁻¹)</w:t>
            </w:r>
          </w:p>
        </w:tc>
        <w:tc>
          <w:tcPr>
            <w:tcW w:w="458" w:type="pct"/>
            <w:shd w:val="clear" w:color="auto" w:fill="auto"/>
            <w:noWrap/>
            <w:vAlign w:val="center"/>
            <w:hideMark/>
          </w:tcPr>
          <w:p w14:paraId="50586EDB"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w:t>
            </w:r>
          </w:p>
        </w:tc>
        <w:tc>
          <w:tcPr>
            <w:tcW w:w="660" w:type="pct"/>
            <w:shd w:val="clear" w:color="auto" w:fill="auto"/>
            <w:noWrap/>
            <w:vAlign w:val="center"/>
            <w:hideMark/>
          </w:tcPr>
          <w:p w14:paraId="6BA1B88C"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1302</w:t>
            </w:r>
          </w:p>
        </w:tc>
        <w:tc>
          <w:tcPr>
            <w:tcW w:w="620" w:type="pct"/>
            <w:shd w:val="clear" w:color="auto" w:fill="auto"/>
            <w:noWrap/>
            <w:vAlign w:val="center"/>
            <w:hideMark/>
          </w:tcPr>
          <w:p w14:paraId="3631CFC4"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-285</w:t>
            </w:r>
          </w:p>
        </w:tc>
        <w:tc>
          <w:tcPr>
            <w:tcW w:w="458" w:type="pct"/>
            <w:shd w:val="clear" w:color="auto" w:fill="auto"/>
            <w:noWrap/>
            <w:vAlign w:val="center"/>
            <w:hideMark/>
          </w:tcPr>
          <w:p w14:paraId="2FFC6440"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-20</w:t>
            </w:r>
          </w:p>
        </w:tc>
        <w:tc>
          <w:tcPr>
            <w:tcW w:w="461" w:type="pct"/>
            <w:shd w:val="clear" w:color="auto" w:fill="auto"/>
            <w:noWrap/>
            <w:vAlign w:val="center"/>
            <w:hideMark/>
          </w:tcPr>
          <w:p w14:paraId="009EC11F"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410</w:t>
            </w:r>
          </w:p>
        </w:tc>
        <w:tc>
          <w:tcPr>
            <w:tcW w:w="481" w:type="pct"/>
            <w:shd w:val="clear" w:color="auto" w:fill="auto"/>
            <w:noWrap/>
            <w:vAlign w:val="center"/>
            <w:hideMark/>
          </w:tcPr>
          <w:p w14:paraId="65637BE1"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-385</w:t>
            </w:r>
          </w:p>
        </w:tc>
      </w:tr>
      <w:tr w:rsidR="00BD1823" w:rsidRPr="003B1D3A" w14:paraId="083BE22F" w14:textId="77777777" w:rsidTr="00AD32F4">
        <w:trPr>
          <w:trHeight w:val="310"/>
        </w:trPr>
        <w:tc>
          <w:tcPr>
            <w:tcW w:w="1862" w:type="pct"/>
            <w:shd w:val="clear" w:color="auto" w:fill="auto"/>
            <w:hideMark/>
          </w:tcPr>
          <w:p w14:paraId="3A697DC4" w14:textId="23CD0BF8" w:rsidR="00BD1823" w:rsidRPr="003B1D3A" w:rsidRDefault="00BD1823"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Marginal rate of return (MRR)</w:t>
            </w:r>
          </w:p>
        </w:tc>
        <w:tc>
          <w:tcPr>
            <w:tcW w:w="458" w:type="pct"/>
            <w:shd w:val="clear" w:color="auto" w:fill="auto"/>
            <w:noWrap/>
            <w:vAlign w:val="center"/>
            <w:hideMark/>
          </w:tcPr>
          <w:p w14:paraId="7C0AAD21"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w:t>
            </w:r>
          </w:p>
        </w:tc>
        <w:tc>
          <w:tcPr>
            <w:tcW w:w="660" w:type="pct"/>
            <w:shd w:val="clear" w:color="auto" w:fill="auto"/>
            <w:noWrap/>
            <w:vAlign w:val="center"/>
            <w:hideMark/>
          </w:tcPr>
          <w:p w14:paraId="40A0BE87"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2.13</w:t>
            </w:r>
          </w:p>
        </w:tc>
        <w:tc>
          <w:tcPr>
            <w:tcW w:w="620" w:type="pct"/>
            <w:shd w:val="clear" w:color="auto" w:fill="auto"/>
            <w:noWrap/>
            <w:vAlign w:val="center"/>
            <w:hideMark/>
          </w:tcPr>
          <w:p w14:paraId="71BA1E53"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-0.54</w:t>
            </w:r>
          </w:p>
        </w:tc>
        <w:tc>
          <w:tcPr>
            <w:tcW w:w="458" w:type="pct"/>
            <w:shd w:val="clear" w:color="auto" w:fill="auto"/>
            <w:noWrap/>
            <w:vAlign w:val="center"/>
            <w:hideMark/>
          </w:tcPr>
          <w:p w14:paraId="0C2A5BD4"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-0.33</w:t>
            </w:r>
          </w:p>
        </w:tc>
        <w:tc>
          <w:tcPr>
            <w:tcW w:w="461" w:type="pct"/>
            <w:shd w:val="clear" w:color="auto" w:fill="auto"/>
            <w:noWrap/>
            <w:vAlign w:val="center"/>
            <w:hideMark/>
          </w:tcPr>
          <w:p w14:paraId="5011894A"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0.61</w:t>
            </w:r>
          </w:p>
        </w:tc>
        <w:tc>
          <w:tcPr>
            <w:tcW w:w="481" w:type="pct"/>
            <w:shd w:val="clear" w:color="auto" w:fill="auto"/>
            <w:noWrap/>
            <w:vAlign w:val="center"/>
            <w:hideMark/>
          </w:tcPr>
          <w:p w14:paraId="4BCCBB57"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-0.66</w:t>
            </w:r>
          </w:p>
        </w:tc>
      </w:tr>
      <w:tr w:rsidR="00BD1823" w:rsidRPr="003B1D3A" w14:paraId="51771292" w14:textId="77777777" w:rsidTr="00AD32F4">
        <w:trPr>
          <w:trHeight w:val="310"/>
        </w:trPr>
        <w:tc>
          <w:tcPr>
            <w:tcW w:w="1862" w:type="pct"/>
            <w:tcBorders>
              <w:bottom w:val="single" w:sz="4" w:space="0" w:color="auto"/>
            </w:tcBorders>
            <w:shd w:val="clear" w:color="auto" w:fill="auto"/>
            <w:hideMark/>
          </w:tcPr>
          <w:p w14:paraId="7C60D5ED" w14:textId="0872BB2F" w:rsidR="00BD1823" w:rsidRPr="003B1D3A" w:rsidRDefault="00BD1823" w:rsidP="003B1D3A">
            <w:pPr>
              <w:spacing w:after="0"/>
              <w:rPr>
                <w:rFonts w:ascii="Times New Roman" w:eastAsia="Times New Roman" w:hAnsi="Times New Roman" w:cs="Times New Roman"/>
                <w:b/>
                <w:color w:val="000000"/>
                <w:lang w:val="en-US" w:eastAsia="fr-FR"/>
              </w:rPr>
            </w:pPr>
            <w:r w:rsidRPr="003B1D3A">
              <w:rPr>
                <w:rStyle w:val="lev"/>
                <w:rFonts w:ascii="Times New Roman" w:hAnsi="Times New Roman" w:cs="Times New Roman"/>
                <w:b w:val="0"/>
                <w:lang w:val="en-US"/>
              </w:rPr>
              <w:t>Cost–benefit ratio (CBR)</w:t>
            </w:r>
          </w:p>
        </w:tc>
        <w:tc>
          <w:tcPr>
            <w:tcW w:w="458" w:type="pct"/>
            <w:tcBorders>
              <w:bottom w:val="single" w:sz="4" w:space="0" w:color="auto"/>
            </w:tcBorders>
            <w:shd w:val="clear" w:color="auto" w:fill="auto"/>
            <w:noWrap/>
            <w:vAlign w:val="center"/>
            <w:hideMark/>
          </w:tcPr>
          <w:p w14:paraId="29FBCF6C"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0.77</w:t>
            </w:r>
          </w:p>
        </w:tc>
        <w:tc>
          <w:tcPr>
            <w:tcW w:w="660" w:type="pct"/>
            <w:tcBorders>
              <w:bottom w:val="single" w:sz="4" w:space="0" w:color="auto"/>
            </w:tcBorders>
            <w:shd w:val="clear" w:color="auto" w:fill="auto"/>
            <w:noWrap/>
            <w:vAlign w:val="center"/>
            <w:hideMark/>
          </w:tcPr>
          <w:p w14:paraId="3C51327C"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1.06</w:t>
            </w:r>
          </w:p>
        </w:tc>
        <w:tc>
          <w:tcPr>
            <w:tcW w:w="620" w:type="pct"/>
            <w:tcBorders>
              <w:bottom w:val="single" w:sz="4" w:space="0" w:color="auto"/>
            </w:tcBorders>
            <w:shd w:val="clear" w:color="auto" w:fill="auto"/>
            <w:noWrap/>
            <w:vAlign w:val="center"/>
            <w:hideMark/>
          </w:tcPr>
          <w:p w14:paraId="120A8722"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0.52</w:t>
            </w:r>
          </w:p>
        </w:tc>
        <w:tc>
          <w:tcPr>
            <w:tcW w:w="458" w:type="pct"/>
            <w:tcBorders>
              <w:bottom w:val="single" w:sz="4" w:space="0" w:color="auto"/>
            </w:tcBorders>
            <w:shd w:val="clear" w:color="auto" w:fill="auto"/>
            <w:noWrap/>
            <w:vAlign w:val="center"/>
            <w:hideMark/>
          </w:tcPr>
          <w:p w14:paraId="38EECCCA"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0.74</w:t>
            </w:r>
          </w:p>
        </w:tc>
        <w:tc>
          <w:tcPr>
            <w:tcW w:w="461" w:type="pct"/>
            <w:tcBorders>
              <w:bottom w:val="single" w:sz="4" w:space="0" w:color="auto"/>
            </w:tcBorders>
            <w:shd w:val="clear" w:color="auto" w:fill="auto"/>
            <w:noWrap/>
            <w:vAlign w:val="center"/>
            <w:hideMark/>
          </w:tcPr>
          <w:p w14:paraId="3C332605"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0.73</w:t>
            </w:r>
          </w:p>
        </w:tc>
        <w:tc>
          <w:tcPr>
            <w:tcW w:w="481" w:type="pct"/>
            <w:tcBorders>
              <w:bottom w:val="single" w:sz="4" w:space="0" w:color="auto"/>
            </w:tcBorders>
            <w:shd w:val="clear" w:color="auto" w:fill="auto"/>
            <w:noWrap/>
            <w:vAlign w:val="center"/>
            <w:hideMark/>
          </w:tcPr>
          <w:p w14:paraId="11464FFB"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0.47</w:t>
            </w:r>
          </w:p>
        </w:tc>
      </w:tr>
    </w:tbl>
    <w:p w14:paraId="0E5FF6B9"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Formulas:</w:t>
      </w:r>
    </w:p>
    <w:p w14:paraId="02D9B6E1" w14:textId="3ACBCB93" w:rsidR="00BD1823" w:rsidRPr="003B1D3A" w:rsidRDefault="00BD1823" w:rsidP="003B1D3A">
      <w:pPr>
        <w:pStyle w:val="NormalWeb"/>
        <w:numPr>
          <w:ilvl w:val="0"/>
          <w:numId w:val="7"/>
        </w:numPr>
        <w:spacing w:line="276" w:lineRule="auto"/>
        <w:rPr>
          <w:b/>
          <w:lang w:val="en-US"/>
        </w:rPr>
      </w:pPr>
      <w:r w:rsidRPr="003B1D3A">
        <w:rPr>
          <w:rStyle w:val="lev"/>
          <w:b w:val="0"/>
          <w:lang w:val="en-US"/>
        </w:rPr>
        <w:t>Net benefit = Gross field benefit – Total variable costs</w:t>
      </w:r>
    </w:p>
    <w:p w14:paraId="754975CE" w14:textId="399E2A59" w:rsidR="00BD1823" w:rsidRPr="003B1D3A" w:rsidRDefault="00BD1823" w:rsidP="003B1D3A">
      <w:pPr>
        <w:pStyle w:val="NormalWeb"/>
        <w:numPr>
          <w:ilvl w:val="0"/>
          <w:numId w:val="7"/>
        </w:numPr>
        <w:spacing w:line="276" w:lineRule="auto"/>
        <w:rPr>
          <w:b/>
          <w:lang w:val="en-US"/>
        </w:rPr>
      </w:pPr>
      <w:r w:rsidRPr="003B1D3A">
        <w:rPr>
          <w:rStyle w:val="lev"/>
          <w:b w:val="0"/>
          <w:lang w:val="en-US"/>
        </w:rPr>
        <w:t>Marginal cost = Total variable cost of the treatment – Total variable cost of the control (without input)</w:t>
      </w:r>
    </w:p>
    <w:p w14:paraId="1E395627" w14:textId="03CB6DE7" w:rsidR="00BD1823" w:rsidRPr="003B1D3A" w:rsidRDefault="00BD1823" w:rsidP="003B1D3A">
      <w:pPr>
        <w:pStyle w:val="NormalWeb"/>
        <w:numPr>
          <w:ilvl w:val="0"/>
          <w:numId w:val="7"/>
        </w:numPr>
        <w:spacing w:line="276" w:lineRule="auto"/>
        <w:rPr>
          <w:b/>
          <w:lang w:val="en-US"/>
        </w:rPr>
      </w:pPr>
      <w:r w:rsidRPr="003B1D3A">
        <w:rPr>
          <w:rStyle w:val="lev"/>
          <w:b w:val="0"/>
          <w:lang w:val="en-US"/>
        </w:rPr>
        <w:t>Marginal net benefit = Net benefit of the treatment – Net benefit of the control (without input)</w:t>
      </w:r>
    </w:p>
    <w:p w14:paraId="18AAD962" w14:textId="2E43FB07" w:rsidR="00BD1823" w:rsidRPr="003B1D3A" w:rsidRDefault="00BD1823" w:rsidP="003B1D3A">
      <w:pPr>
        <w:pStyle w:val="NormalWeb"/>
        <w:numPr>
          <w:ilvl w:val="0"/>
          <w:numId w:val="7"/>
        </w:numPr>
        <w:spacing w:line="276" w:lineRule="auto"/>
        <w:rPr>
          <w:b/>
          <w:lang w:val="en-US"/>
        </w:rPr>
      </w:pPr>
      <w:r w:rsidRPr="003B1D3A">
        <w:rPr>
          <w:rStyle w:val="lev"/>
          <w:b w:val="0"/>
          <w:lang w:val="en-US"/>
        </w:rPr>
        <w:t>Marginal rate of return (MRR) = Marginal net benefit ÷ Marginal cost</w:t>
      </w:r>
    </w:p>
    <w:p w14:paraId="6D623574" w14:textId="010219A8" w:rsidR="00BD1823" w:rsidRPr="003B1D3A" w:rsidRDefault="00BD1823" w:rsidP="003B1D3A">
      <w:pPr>
        <w:pStyle w:val="NormalWeb"/>
        <w:numPr>
          <w:ilvl w:val="0"/>
          <w:numId w:val="7"/>
        </w:numPr>
        <w:spacing w:line="276" w:lineRule="auto"/>
        <w:rPr>
          <w:b/>
          <w:lang w:val="en-US"/>
        </w:rPr>
      </w:pPr>
      <w:r w:rsidRPr="003B1D3A">
        <w:rPr>
          <w:rStyle w:val="lev"/>
          <w:b w:val="0"/>
          <w:lang w:val="en-US"/>
        </w:rPr>
        <w:t>Cost–benefit ratio (CBR) = Net benefit ÷ Total variable costs</w:t>
      </w:r>
    </w:p>
    <w:p w14:paraId="1673B221" w14:textId="5012511B" w:rsidR="00AD32F4" w:rsidRPr="003B1D3A" w:rsidRDefault="006134C7" w:rsidP="003B1D3A">
      <w:pPr>
        <w:spacing w:before="100" w:beforeAutospacing="1" w:after="100" w:afterAutospacing="1"/>
        <w:jc w:val="both"/>
        <w:rPr>
          <w:rFonts w:ascii="Times New Roman" w:eastAsia="Times New Roman" w:hAnsi="Times New Roman" w:cs="Times New Roman"/>
          <w:sz w:val="28"/>
          <w:szCs w:val="24"/>
          <w:lang w:val="en-US" w:eastAsia="fr-FR"/>
        </w:rPr>
      </w:pPr>
      <w:r w:rsidRPr="003B1D3A">
        <w:rPr>
          <w:rFonts w:ascii="Times New Roman" w:eastAsia="Times New Roman" w:hAnsi="Times New Roman" w:cs="Times New Roman"/>
          <w:bCs/>
          <w:sz w:val="24"/>
          <w:szCs w:val="24"/>
          <w:lang w:val="en-US" w:eastAsia="fr-FR"/>
        </w:rPr>
        <w:t>Interpretation:</w:t>
      </w:r>
      <w:r w:rsidRPr="003B1D3A">
        <w:rPr>
          <w:rFonts w:ascii="Times New Roman" w:eastAsia="Times New Roman" w:hAnsi="Times New Roman" w:cs="Times New Roman"/>
          <w:sz w:val="24"/>
          <w:szCs w:val="24"/>
          <w:lang w:val="en-US" w:eastAsia="fr-FR"/>
        </w:rPr>
        <w:t xml:space="preserve"> An MRR ≥ 0.5 is cons</w:t>
      </w:r>
      <w:r w:rsidR="00AD32F4" w:rsidRPr="003B1D3A">
        <w:rPr>
          <w:rFonts w:ascii="Times New Roman" w:eastAsia="Times New Roman" w:hAnsi="Times New Roman" w:cs="Times New Roman"/>
          <w:sz w:val="24"/>
          <w:szCs w:val="24"/>
          <w:lang w:val="en-US" w:eastAsia="fr-FR"/>
        </w:rPr>
        <w:t xml:space="preserve">idered economically significant and </w:t>
      </w:r>
      <w:r w:rsidR="00AD32F4" w:rsidRPr="003B1D3A">
        <w:rPr>
          <w:rFonts w:ascii="Times New Roman" w:hAnsi="Times New Roman" w:cs="Times New Roman"/>
          <w:sz w:val="24"/>
          <w:lang w:val="en-US"/>
        </w:rPr>
        <w:t xml:space="preserve">The </w:t>
      </w:r>
      <w:r w:rsidR="00AD32F4" w:rsidRPr="003B1D3A">
        <w:rPr>
          <w:rStyle w:val="lev"/>
          <w:rFonts w:ascii="Times New Roman" w:hAnsi="Times New Roman" w:cs="Times New Roman"/>
          <w:b w:val="0"/>
          <w:sz w:val="24"/>
          <w:lang w:val="en-US"/>
        </w:rPr>
        <w:t>Cost-Benefit Ratio (CBR)</w:t>
      </w:r>
      <w:r w:rsidR="00AD32F4" w:rsidRPr="003B1D3A">
        <w:rPr>
          <w:rFonts w:ascii="Times New Roman" w:hAnsi="Times New Roman" w:cs="Times New Roman"/>
          <w:sz w:val="24"/>
          <w:lang w:val="en-US"/>
        </w:rPr>
        <w:t xml:space="preserve"> is considered profitable when it is greater than 1.</w:t>
      </w:r>
    </w:p>
    <w:p w14:paraId="48873750"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According to this economic analysis, the use of agricultural lime provides a clear advantage, with an MRR of 1.31 for the local variety and 0.63 for G17, both exceeding the standard MRR of 0.5 recommended by CIMMYT. A positive MRR is a favorable indicator for recommending the agricultural practice. Therefore, groundnut production under lime application allows (</w:t>
      </w:r>
      <w:proofErr w:type="spellStart"/>
      <w:r w:rsidRPr="003B1D3A">
        <w:rPr>
          <w:rFonts w:ascii="Times New Roman" w:eastAsia="Times New Roman" w:hAnsi="Times New Roman" w:cs="Times New Roman"/>
          <w:sz w:val="24"/>
          <w:szCs w:val="24"/>
          <w:lang w:val="en-US" w:eastAsia="fr-FR"/>
        </w:rPr>
        <w:t>i</w:t>
      </w:r>
      <w:proofErr w:type="spellEnd"/>
      <w:r w:rsidRPr="003B1D3A">
        <w:rPr>
          <w:rFonts w:ascii="Times New Roman" w:eastAsia="Times New Roman" w:hAnsi="Times New Roman" w:cs="Times New Roman"/>
          <w:sz w:val="24"/>
          <w:szCs w:val="24"/>
          <w:lang w:val="en-US" w:eastAsia="fr-FR"/>
        </w:rPr>
        <w:t>) a substantial reduction in empty pod formation, (ii) increased productivity, and (iii) economically profitable cultivation.</w:t>
      </w:r>
    </w:p>
    <w:p w14:paraId="228C453F" w14:textId="672EEFD5" w:rsidR="00AE4759" w:rsidRPr="003B1D3A" w:rsidRDefault="00AE4759" w:rsidP="003B1D3A">
      <w:pPr>
        <w:spacing w:before="100" w:beforeAutospacing="1" w:after="100" w:afterAutospacing="1"/>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Discussion</w:t>
      </w:r>
    </w:p>
    <w:p w14:paraId="1986F2C5" w14:textId="7A494026"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 xml:space="preserve">Groundnut is highly sensitive to soil salinity and acidity. Strongly acidic soils (pH ≈ 5) or soils deficient in </w:t>
      </w:r>
      <w:proofErr w:type="spellStart"/>
      <w:r w:rsidRPr="00AE4759">
        <w:rPr>
          <w:rFonts w:ascii="Times New Roman" w:eastAsia="Times New Roman" w:hAnsi="Times New Roman" w:cs="Times New Roman"/>
          <w:sz w:val="24"/>
          <w:szCs w:val="24"/>
          <w:lang w:val="en-US" w:eastAsia="fr-FR"/>
        </w:rPr>
        <w:t>CaO</w:t>
      </w:r>
      <w:proofErr w:type="spellEnd"/>
      <w:r w:rsidRPr="00AE4759">
        <w:rPr>
          <w:rFonts w:ascii="Times New Roman" w:eastAsia="Times New Roman" w:hAnsi="Times New Roman" w:cs="Times New Roman"/>
          <w:sz w:val="24"/>
          <w:szCs w:val="24"/>
          <w:lang w:val="en-US" w:eastAsia="fr-FR"/>
        </w:rPr>
        <w:t xml:space="preserve"> can induce aluminum or iron toxicities and suppress the development of nitrogen-fixing bacteria, as indicated by chlorotic foliage and the absence of the characteristic red coloration within nodules (Schilling, 2001). In the soils of Kenge, </w:t>
      </w:r>
      <w:proofErr w:type="spellStart"/>
      <w:r w:rsidRPr="00AE4759">
        <w:rPr>
          <w:rFonts w:ascii="Times New Roman" w:eastAsia="Times New Roman" w:hAnsi="Times New Roman" w:cs="Times New Roman"/>
          <w:sz w:val="24"/>
          <w:szCs w:val="24"/>
          <w:lang w:val="en-US" w:eastAsia="fr-FR"/>
        </w:rPr>
        <w:t>CaO</w:t>
      </w:r>
      <w:proofErr w:type="spellEnd"/>
      <w:r w:rsidRPr="00AE4759">
        <w:rPr>
          <w:rFonts w:ascii="Times New Roman" w:eastAsia="Times New Roman" w:hAnsi="Times New Roman" w:cs="Times New Roman"/>
          <w:sz w:val="24"/>
          <w:szCs w:val="24"/>
          <w:lang w:val="en-US" w:eastAsia="fr-FR"/>
        </w:rPr>
        <w:t xml:space="preserve"> deficiency further restricts pod filling and overall productivity.</w:t>
      </w:r>
    </w:p>
    <w:p w14:paraId="691C3FD0" w14:textId="77777777"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 xml:space="preserve">Early work in Senegal by </w:t>
      </w:r>
      <w:proofErr w:type="spellStart"/>
      <w:r w:rsidRPr="00AE4759">
        <w:rPr>
          <w:rFonts w:ascii="Times New Roman" w:eastAsia="Times New Roman" w:hAnsi="Times New Roman" w:cs="Times New Roman"/>
          <w:sz w:val="24"/>
          <w:szCs w:val="24"/>
          <w:lang w:val="en-US" w:eastAsia="fr-FR"/>
        </w:rPr>
        <w:t>Mallouhi</w:t>
      </w:r>
      <w:proofErr w:type="spellEnd"/>
      <w:r w:rsidRPr="00AE4759">
        <w:rPr>
          <w:rFonts w:ascii="Times New Roman" w:eastAsia="Times New Roman" w:hAnsi="Times New Roman" w:cs="Times New Roman"/>
          <w:sz w:val="24"/>
          <w:szCs w:val="24"/>
          <w:lang w:val="en-US" w:eastAsia="fr-FR"/>
        </w:rPr>
        <w:t xml:space="preserve"> and Jutras (1987) reported that groundnut exhibits a relatively wide tolerance to soil </w:t>
      </w:r>
      <w:proofErr w:type="spellStart"/>
      <w:r w:rsidRPr="00AE4759">
        <w:rPr>
          <w:rFonts w:ascii="Times New Roman" w:eastAsia="Times New Roman" w:hAnsi="Times New Roman" w:cs="Times New Roman"/>
          <w:sz w:val="24"/>
          <w:szCs w:val="24"/>
          <w:lang w:val="en-US" w:eastAsia="fr-FR"/>
        </w:rPr>
        <w:t>pH.</w:t>
      </w:r>
      <w:proofErr w:type="spellEnd"/>
      <w:r w:rsidRPr="00AE4759">
        <w:rPr>
          <w:rFonts w:ascii="Times New Roman" w:eastAsia="Times New Roman" w:hAnsi="Times New Roman" w:cs="Times New Roman"/>
          <w:sz w:val="24"/>
          <w:szCs w:val="24"/>
          <w:lang w:val="en-US" w:eastAsia="fr-FR"/>
        </w:rPr>
        <w:t xml:space="preserve"> The application of horse manure substantially increased yield, reduced plant mortality, and exerted beneficial residual effects in the subsequent season. Peat, when combined with either manure or mineral fertilizers, also improved yield, although to a lesser extent than manure alone.</w:t>
      </w:r>
    </w:p>
    <w:p w14:paraId="7BC8FD01" w14:textId="77777777"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Phosphorus and calcium remain key limiting nutrients for groundnut production (</w:t>
      </w:r>
      <w:proofErr w:type="spellStart"/>
      <w:r w:rsidRPr="00AE4759">
        <w:rPr>
          <w:rFonts w:ascii="Times New Roman" w:eastAsia="Times New Roman" w:hAnsi="Times New Roman" w:cs="Times New Roman"/>
          <w:sz w:val="24"/>
          <w:szCs w:val="24"/>
          <w:lang w:val="en-US" w:eastAsia="fr-FR"/>
        </w:rPr>
        <w:t>Mupangwa</w:t>
      </w:r>
      <w:proofErr w:type="spellEnd"/>
      <w:r w:rsidRPr="00AE4759">
        <w:rPr>
          <w:rFonts w:ascii="Times New Roman" w:eastAsia="Times New Roman" w:hAnsi="Times New Roman" w:cs="Times New Roman"/>
          <w:sz w:val="24"/>
          <w:szCs w:val="24"/>
          <w:lang w:val="en-US" w:eastAsia="fr-FR"/>
        </w:rPr>
        <w:t xml:space="preserve"> &amp; </w:t>
      </w:r>
      <w:proofErr w:type="spellStart"/>
      <w:r w:rsidRPr="00AE4759">
        <w:rPr>
          <w:rFonts w:ascii="Times New Roman" w:eastAsia="Times New Roman" w:hAnsi="Times New Roman" w:cs="Times New Roman"/>
          <w:sz w:val="24"/>
          <w:szCs w:val="24"/>
          <w:lang w:val="en-US" w:eastAsia="fr-FR"/>
        </w:rPr>
        <w:t>Tagwira</w:t>
      </w:r>
      <w:proofErr w:type="spellEnd"/>
      <w:r w:rsidRPr="00AE4759">
        <w:rPr>
          <w:rFonts w:ascii="Times New Roman" w:eastAsia="Times New Roman" w:hAnsi="Times New Roman" w:cs="Times New Roman"/>
          <w:sz w:val="24"/>
          <w:szCs w:val="24"/>
          <w:lang w:val="en-US" w:eastAsia="fr-FR"/>
        </w:rPr>
        <w:t xml:space="preserve">, 2005). Field trials on sandy soils demonstrated that phosphorus application significantly enhanced yield, whereas the optimal calcium rates were 200 kg ha⁻¹ of </w:t>
      </w:r>
      <w:proofErr w:type="spellStart"/>
      <w:r w:rsidRPr="00AE4759">
        <w:rPr>
          <w:rFonts w:ascii="Times New Roman" w:eastAsia="Times New Roman" w:hAnsi="Times New Roman" w:cs="Times New Roman"/>
          <w:sz w:val="24"/>
          <w:szCs w:val="24"/>
          <w:lang w:val="en-US" w:eastAsia="fr-FR"/>
        </w:rPr>
        <w:t>calcitic</w:t>
      </w:r>
      <w:proofErr w:type="spellEnd"/>
      <w:r w:rsidRPr="00AE4759">
        <w:rPr>
          <w:rFonts w:ascii="Times New Roman" w:eastAsia="Times New Roman" w:hAnsi="Times New Roman" w:cs="Times New Roman"/>
          <w:sz w:val="24"/>
          <w:szCs w:val="24"/>
          <w:lang w:val="en-US" w:eastAsia="fr-FR"/>
        </w:rPr>
        <w:t xml:space="preserve"> lime (40% Ca, 4.5% Mg) and 100 kg ha⁻¹ of gypsum (22% Ca, 17% S), with no statistically significant difference between the two sources. Both phosphorus and calcium applications improved soil chemical properties.</w:t>
      </w:r>
    </w:p>
    <w:p w14:paraId="689F0586" w14:textId="77777777"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 xml:space="preserve">More recent research by </w:t>
      </w:r>
      <w:proofErr w:type="spellStart"/>
      <w:r w:rsidRPr="00AE4759">
        <w:rPr>
          <w:rFonts w:ascii="Times New Roman" w:eastAsia="Times New Roman" w:hAnsi="Times New Roman" w:cs="Times New Roman"/>
          <w:sz w:val="24"/>
          <w:szCs w:val="24"/>
          <w:lang w:val="en-US" w:eastAsia="fr-FR"/>
        </w:rPr>
        <w:t>Razan</w:t>
      </w:r>
      <w:proofErr w:type="spellEnd"/>
      <w:r w:rsidRPr="00AE4759">
        <w:rPr>
          <w:rFonts w:ascii="Times New Roman" w:eastAsia="Times New Roman" w:hAnsi="Times New Roman" w:cs="Times New Roman"/>
          <w:sz w:val="24"/>
          <w:szCs w:val="24"/>
          <w:lang w:val="en-US" w:eastAsia="fr-FR"/>
        </w:rPr>
        <w:t xml:space="preserve"> et al. (2021) corroborated the critical role of calcium, showing that application at 165 kg ha⁻¹ increased mean pod yield by 24% relative to the control and reduced the proportion of empty pods from &gt;13% to much lower levels. Similarly, </w:t>
      </w:r>
      <w:proofErr w:type="spellStart"/>
      <w:r w:rsidRPr="00AE4759">
        <w:rPr>
          <w:rFonts w:ascii="Times New Roman" w:eastAsia="Times New Roman" w:hAnsi="Times New Roman" w:cs="Times New Roman"/>
          <w:sz w:val="24"/>
          <w:szCs w:val="24"/>
          <w:lang w:val="en-US" w:eastAsia="fr-FR"/>
        </w:rPr>
        <w:t>Mandingaisa</w:t>
      </w:r>
      <w:proofErr w:type="spellEnd"/>
      <w:r w:rsidRPr="00AE4759">
        <w:rPr>
          <w:rFonts w:ascii="Times New Roman" w:eastAsia="Times New Roman" w:hAnsi="Times New Roman" w:cs="Times New Roman"/>
          <w:sz w:val="24"/>
          <w:szCs w:val="24"/>
          <w:lang w:val="en-US" w:eastAsia="fr-FR"/>
        </w:rPr>
        <w:t xml:space="preserve"> (2025) reported that the application of calcium ammonium nitrate (CAN) at 200 kg ha⁻¹ significantly improved groundnut growth and yield parameters.</w:t>
      </w:r>
    </w:p>
    <w:p w14:paraId="37A3D0C1" w14:textId="77777777"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Despite these findings, few studies have directly examined the physiological and agronomic causes of empty pod formation in groundnut, highlighting a critical gap that warrants further research.</w:t>
      </w:r>
    </w:p>
    <w:p w14:paraId="71950105" w14:textId="1DE00B9E" w:rsidR="006134C7" w:rsidRPr="003B1D3A"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Conclusion</w:t>
      </w:r>
    </w:p>
    <w:p w14:paraId="7C550304"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This study effectively addressed the problem of empty pods in groundnut grown on acidic, low-organic-matter soils. It was observed that the number of unfilled pods increases as soil pH decreases. Lime amendment, which simultaneously provides additional calcium and reduces soil acidity, significantly reduces or eliminates empty pods in the sandy acidic soils of Kenge. On average, five empty pods per plant were recorded without lime application, whereas this number was reduced to zero when lime was applied. Agronomic and economic evaluations based on this performance demonstrate the advantage of using agricultural lime for groundnut production in nutrient-poor, degraded soils typical of many tropical regions.</w:t>
      </w:r>
    </w:p>
    <w:p w14:paraId="096714DB" w14:textId="481484DE" w:rsidR="009E0CB9" w:rsidRPr="003B1D3A" w:rsidRDefault="009E0CB9" w:rsidP="00AD32F4">
      <w:pPr>
        <w:spacing w:before="240" w:after="160"/>
        <w:jc w:val="both"/>
        <w:rPr>
          <w:rFonts w:ascii="Times New Roman" w:eastAsia="Times New Roman" w:hAnsi="Times New Roman" w:cs="Times New Roman"/>
          <w:color w:val="000000"/>
          <w:sz w:val="24"/>
          <w:szCs w:val="24"/>
          <w:lang w:val="en-US" w:eastAsia="fr-FR"/>
        </w:rPr>
      </w:pPr>
    </w:p>
    <w:p w14:paraId="0C34BEF9" w14:textId="77777777" w:rsidR="0087114D" w:rsidRPr="003B1D3A" w:rsidRDefault="0087114D" w:rsidP="00AD32F4">
      <w:pPr>
        <w:rPr>
          <w:highlight w:val="yellow"/>
          <w:lang w:val="en-US"/>
        </w:rPr>
      </w:pPr>
      <w:r w:rsidRPr="003B1D3A">
        <w:rPr>
          <w:highlight w:val="yellow"/>
          <w:lang w:val="en-US"/>
        </w:rPr>
        <w:t>Disclaimer (Artificial intelligence)</w:t>
      </w:r>
    </w:p>
    <w:p w14:paraId="5E8F1EB0" w14:textId="77777777" w:rsidR="0087114D" w:rsidRPr="003B1D3A" w:rsidRDefault="0087114D" w:rsidP="00AD32F4">
      <w:pPr>
        <w:rPr>
          <w:highlight w:val="yellow"/>
          <w:lang w:val="en-US"/>
        </w:rPr>
      </w:pPr>
    </w:p>
    <w:p w14:paraId="339923AD" w14:textId="77777777" w:rsidR="0087114D" w:rsidRPr="003B1D3A" w:rsidRDefault="0087114D" w:rsidP="00AD32F4">
      <w:pPr>
        <w:rPr>
          <w:highlight w:val="yellow"/>
          <w:lang w:val="en-US"/>
        </w:rPr>
      </w:pPr>
      <w:r w:rsidRPr="003B1D3A">
        <w:rPr>
          <w:highlight w:val="yellow"/>
          <w:lang w:val="en-US"/>
        </w:rPr>
        <w:t xml:space="preserve">Option 1: </w:t>
      </w:r>
    </w:p>
    <w:p w14:paraId="14FA603E" w14:textId="77777777" w:rsidR="0087114D" w:rsidRPr="003B1D3A" w:rsidRDefault="0087114D" w:rsidP="00AD32F4">
      <w:pPr>
        <w:rPr>
          <w:highlight w:val="yellow"/>
          <w:lang w:val="en-US"/>
        </w:rPr>
      </w:pPr>
    </w:p>
    <w:p w14:paraId="644AED6F" w14:textId="77777777" w:rsidR="0087114D" w:rsidRPr="003B1D3A" w:rsidRDefault="0087114D" w:rsidP="00AD32F4">
      <w:pPr>
        <w:rPr>
          <w:highlight w:val="yellow"/>
          <w:lang w:val="en-US"/>
        </w:rPr>
      </w:pPr>
      <w:r w:rsidRPr="003B1D3A">
        <w:rPr>
          <w:highlight w:val="yellow"/>
          <w:lang w:val="en-US"/>
        </w:rPr>
        <w:t>Author(s) hereby declare that NO generative AI technologies such as Large Language Models (</w:t>
      </w:r>
      <w:proofErr w:type="spellStart"/>
      <w:r w:rsidRPr="003B1D3A">
        <w:rPr>
          <w:highlight w:val="yellow"/>
          <w:lang w:val="en-US"/>
        </w:rPr>
        <w:t>ChatGPT</w:t>
      </w:r>
      <w:proofErr w:type="spellEnd"/>
      <w:r w:rsidRPr="003B1D3A">
        <w:rPr>
          <w:highlight w:val="yellow"/>
          <w:lang w:val="en-US"/>
        </w:rPr>
        <w:t xml:space="preserve">, COPILOT, etc.) and text-to-image generators have been used during the writing or editing of this manuscript. </w:t>
      </w:r>
    </w:p>
    <w:p w14:paraId="29839D08" w14:textId="31183EB5" w:rsidR="0087114D" w:rsidRPr="00E252BB" w:rsidRDefault="00E252BB" w:rsidP="00E252BB">
      <w:pPr>
        <w:rPr>
          <w:highlight w:val="cyan"/>
          <w:lang w:val="en-US"/>
        </w:rPr>
      </w:pPr>
      <w:r w:rsidRPr="00E252BB">
        <w:rPr>
          <w:highlight w:val="cyan"/>
          <w:lang w:val="en-US"/>
        </w:rPr>
        <w:t>Ok for option 1</w:t>
      </w:r>
    </w:p>
    <w:p w14:paraId="392C105A" w14:textId="77777777" w:rsidR="0087114D" w:rsidRPr="003B1D3A" w:rsidRDefault="0087114D" w:rsidP="00AD32F4">
      <w:pPr>
        <w:rPr>
          <w:highlight w:val="yellow"/>
          <w:lang w:val="en-US"/>
        </w:rPr>
      </w:pPr>
      <w:r w:rsidRPr="003B1D3A">
        <w:rPr>
          <w:highlight w:val="yellow"/>
          <w:lang w:val="en-US"/>
        </w:rPr>
        <w:t xml:space="preserve">Option 2: </w:t>
      </w:r>
    </w:p>
    <w:p w14:paraId="6A7C1B5E" w14:textId="77777777" w:rsidR="0087114D" w:rsidRPr="003B1D3A" w:rsidRDefault="0087114D" w:rsidP="00AD32F4">
      <w:pPr>
        <w:rPr>
          <w:highlight w:val="yellow"/>
          <w:lang w:val="en-US"/>
        </w:rPr>
      </w:pPr>
      <w:bookmarkStart w:id="0" w:name="_GoBack"/>
      <w:bookmarkEnd w:id="0"/>
    </w:p>
    <w:p w14:paraId="3632DAB6" w14:textId="77777777" w:rsidR="0087114D" w:rsidRPr="003B1D3A" w:rsidRDefault="0087114D" w:rsidP="00AD32F4">
      <w:pPr>
        <w:rPr>
          <w:highlight w:val="yellow"/>
          <w:lang w:val="en-US"/>
        </w:rPr>
      </w:pPr>
      <w:r w:rsidRPr="003B1D3A">
        <w:rPr>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7FD51BB" w14:textId="77777777" w:rsidR="0087114D" w:rsidRPr="003B1D3A" w:rsidRDefault="0087114D" w:rsidP="00AD32F4">
      <w:pPr>
        <w:rPr>
          <w:highlight w:val="yellow"/>
          <w:lang w:val="en-US"/>
        </w:rPr>
      </w:pPr>
    </w:p>
    <w:p w14:paraId="2C355611" w14:textId="77777777" w:rsidR="0087114D" w:rsidRPr="003B1D3A" w:rsidRDefault="0087114D" w:rsidP="00AD32F4">
      <w:pPr>
        <w:rPr>
          <w:highlight w:val="yellow"/>
          <w:lang w:val="en-US"/>
        </w:rPr>
      </w:pPr>
      <w:r w:rsidRPr="003B1D3A">
        <w:rPr>
          <w:highlight w:val="yellow"/>
          <w:lang w:val="en-US"/>
        </w:rPr>
        <w:t>Details of the AI usage are given below:</w:t>
      </w:r>
    </w:p>
    <w:p w14:paraId="15338991" w14:textId="77777777" w:rsidR="0087114D" w:rsidRPr="003B1D3A" w:rsidRDefault="0087114D" w:rsidP="00AD32F4">
      <w:pPr>
        <w:rPr>
          <w:highlight w:val="yellow"/>
          <w:lang w:val="en-US"/>
        </w:rPr>
      </w:pPr>
      <w:r w:rsidRPr="003B1D3A">
        <w:rPr>
          <w:highlight w:val="yellow"/>
          <w:lang w:val="en-US"/>
        </w:rPr>
        <w:t>1.</w:t>
      </w:r>
    </w:p>
    <w:p w14:paraId="75314CC6" w14:textId="77777777" w:rsidR="0087114D" w:rsidRPr="003B1D3A" w:rsidRDefault="0087114D" w:rsidP="00AD32F4">
      <w:pPr>
        <w:rPr>
          <w:highlight w:val="yellow"/>
          <w:lang w:val="en-US"/>
        </w:rPr>
      </w:pPr>
      <w:r w:rsidRPr="003B1D3A">
        <w:rPr>
          <w:highlight w:val="yellow"/>
          <w:lang w:val="en-US"/>
        </w:rPr>
        <w:t>2.</w:t>
      </w:r>
    </w:p>
    <w:p w14:paraId="7F5B449B" w14:textId="77777777" w:rsidR="0087114D" w:rsidRPr="003B1D3A" w:rsidRDefault="0087114D" w:rsidP="00AD32F4">
      <w:pPr>
        <w:rPr>
          <w:lang w:val="en-US"/>
        </w:rPr>
      </w:pPr>
      <w:r w:rsidRPr="003B1D3A">
        <w:rPr>
          <w:highlight w:val="yellow"/>
          <w:lang w:val="en-US"/>
        </w:rPr>
        <w:t>3.</w:t>
      </w:r>
    </w:p>
    <w:p w14:paraId="563A0DEA" w14:textId="77777777" w:rsidR="0087114D" w:rsidRPr="003B1D3A" w:rsidRDefault="0087114D" w:rsidP="00AD32F4">
      <w:pPr>
        <w:spacing w:before="240" w:after="160"/>
        <w:jc w:val="both"/>
        <w:rPr>
          <w:rFonts w:ascii="Times New Roman" w:eastAsia="Times New Roman" w:hAnsi="Times New Roman" w:cs="Times New Roman"/>
          <w:color w:val="000000"/>
          <w:sz w:val="24"/>
          <w:szCs w:val="24"/>
          <w:lang w:val="en-US" w:eastAsia="fr-FR"/>
        </w:rPr>
      </w:pPr>
    </w:p>
    <w:p w14:paraId="7133DE35" w14:textId="12DED391" w:rsidR="0011682B" w:rsidRPr="003B1D3A" w:rsidRDefault="0011682B" w:rsidP="00AD32F4">
      <w:pPr>
        <w:spacing w:before="240" w:after="16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REFERENCES</w:t>
      </w:r>
    </w:p>
    <w:p w14:paraId="3D1EF700" w14:textId="3CAAD411" w:rsidR="003D6171" w:rsidRPr="003B1D3A" w:rsidRDefault="003D6171" w:rsidP="00F66F5F">
      <w:pPr>
        <w:ind w:left="450" w:hanging="450"/>
        <w:jc w:val="both"/>
        <w:rPr>
          <w:rFonts w:ascii="Times New Roman" w:eastAsia="Times New Roman" w:hAnsi="Times New Roman" w:cs="Times New Roman"/>
          <w:sz w:val="24"/>
          <w:szCs w:val="24"/>
          <w:lang w:val="en-US" w:eastAsia="fr-FR"/>
        </w:rPr>
      </w:pPr>
      <w:proofErr w:type="gramStart"/>
      <w:r w:rsidRPr="003B1D3A">
        <w:rPr>
          <w:rFonts w:ascii="Times New Roman" w:eastAsia="Times New Roman" w:hAnsi="Times New Roman" w:cs="Times New Roman"/>
          <w:sz w:val="24"/>
          <w:szCs w:val="24"/>
          <w:lang w:val="en-US" w:eastAsia="fr-FR"/>
        </w:rPr>
        <w:t xml:space="preserve">Christie M. E., P. </w:t>
      </w:r>
      <w:proofErr w:type="spellStart"/>
      <w:r w:rsidRPr="003B1D3A">
        <w:rPr>
          <w:rFonts w:ascii="Times New Roman" w:eastAsia="Times New Roman" w:hAnsi="Times New Roman" w:cs="Times New Roman"/>
          <w:sz w:val="24"/>
          <w:szCs w:val="24"/>
          <w:lang w:val="en-US" w:eastAsia="fr-FR"/>
        </w:rPr>
        <w:t>Kyamureku</w:t>
      </w:r>
      <w:proofErr w:type="spellEnd"/>
      <w:r w:rsidRPr="003B1D3A">
        <w:rPr>
          <w:rFonts w:ascii="Times New Roman" w:eastAsia="Times New Roman" w:hAnsi="Times New Roman" w:cs="Times New Roman"/>
          <w:sz w:val="24"/>
          <w:szCs w:val="24"/>
          <w:lang w:val="en-US" w:eastAsia="fr-FR"/>
        </w:rPr>
        <w:t xml:space="preserve">, A. </w:t>
      </w:r>
      <w:proofErr w:type="spellStart"/>
      <w:r w:rsidRPr="003B1D3A">
        <w:rPr>
          <w:rFonts w:ascii="Times New Roman" w:eastAsia="Times New Roman" w:hAnsi="Times New Roman" w:cs="Times New Roman"/>
          <w:sz w:val="24"/>
          <w:szCs w:val="24"/>
          <w:lang w:val="en-US" w:eastAsia="fr-FR"/>
        </w:rPr>
        <w:t>Kaaya</w:t>
      </w:r>
      <w:proofErr w:type="spellEnd"/>
      <w:r w:rsidRPr="003B1D3A">
        <w:rPr>
          <w:rFonts w:ascii="Times New Roman" w:eastAsia="Times New Roman" w:hAnsi="Times New Roman" w:cs="Times New Roman"/>
          <w:sz w:val="24"/>
          <w:szCs w:val="24"/>
          <w:lang w:val="en-US" w:eastAsia="fr-FR"/>
        </w:rPr>
        <w:t xml:space="preserve"> &amp; A. </w:t>
      </w:r>
      <w:r w:rsidR="00531C6D" w:rsidRPr="003B1D3A">
        <w:rPr>
          <w:rFonts w:ascii="Times New Roman" w:eastAsia="Times New Roman" w:hAnsi="Times New Roman" w:cs="Times New Roman"/>
          <w:sz w:val="24"/>
          <w:szCs w:val="24"/>
          <w:lang w:val="en-US" w:eastAsia="fr-FR"/>
        </w:rPr>
        <w:t>2015.</w:t>
      </w:r>
      <w:proofErr w:type="gramEnd"/>
      <w:r w:rsidR="00531C6D"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Devenport</w:t>
      </w:r>
      <w:proofErr w:type="spellEnd"/>
      <w:r w:rsidRPr="003B1D3A">
        <w:rPr>
          <w:rFonts w:ascii="Times New Roman" w:eastAsia="Times New Roman" w:hAnsi="Times New Roman" w:cs="Times New Roman"/>
          <w:sz w:val="24"/>
          <w:szCs w:val="24"/>
          <w:lang w:val="en-US" w:eastAsia="fr-FR"/>
        </w:rPr>
        <w:t xml:space="preserve">, Farmers, peanuts and aflatoxins in Uganda: A gendered approach, Dev. </w:t>
      </w:r>
      <w:proofErr w:type="spellStart"/>
      <w:r w:rsidRPr="003B1D3A">
        <w:rPr>
          <w:rFonts w:ascii="Times New Roman" w:eastAsia="Times New Roman" w:hAnsi="Times New Roman" w:cs="Times New Roman"/>
          <w:sz w:val="24"/>
          <w:szCs w:val="24"/>
          <w:lang w:val="en-US" w:eastAsia="fr-FR"/>
        </w:rPr>
        <w:t>Pract</w:t>
      </w:r>
      <w:proofErr w:type="spellEnd"/>
      <w:r w:rsidRPr="003B1D3A">
        <w:rPr>
          <w:rFonts w:ascii="Times New Roman" w:eastAsia="Times New Roman" w:hAnsi="Times New Roman" w:cs="Times New Roman"/>
          <w:sz w:val="24"/>
          <w:szCs w:val="24"/>
          <w:lang w:val="en-US" w:eastAsia="fr-FR"/>
        </w:rPr>
        <w:t>., 25 (2015) 4 - 18</w:t>
      </w:r>
    </w:p>
    <w:p w14:paraId="103B0674" w14:textId="77777777" w:rsidR="00F66F5F" w:rsidRPr="003B1D3A" w:rsidRDefault="00F66F5F" w:rsidP="00F66F5F">
      <w:pPr>
        <w:ind w:left="450" w:hanging="450"/>
        <w:jc w:val="both"/>
        <w:rPr>
          <w:rFonts w:ascii="Times New Roman" w:hAnsi="Times New Roman" w:cs="Times New Roman"/>
          <w:sz w:val="24"/>
          <w:lang w:val="en-US"/>
        </w:rPr>
      </w:pPr>
      <w:proofErr w:type="gramStart"/>
      <w:r w:rsidRPr="003B1D3A">
        <w:rPr>
          <w:rStyle w:val="lev"/>
          <w:rFonts w:ascii="Times New Roman" w:hAnsi="Times New Roman" w:cs="Times New Roman"/>
          <w:b w:val="0"/>
          <w:sz w:val="24"/>
          <w:lang w:val="en-US"/>
        </w:rPr>
        <w:t>CIMMYT, 1989.</w:t>
      </w:r>
      <w:proofErr w:type="gramEnd"/>
      <w:r w:rsidRPr="003B1D3A">
        <w:rPr>
          <w:rFonts w:ascii="Times New Roman" w:hAnsi="Times New Roman" w:cs="Times New Roman"/>
          <w:sz w:val="24"/>
          <w:lang w:val="en-US"/>
        </w:rPr>
        <w:t xml:space="preserve"> </w:t>
      </w:r>
      <w:r w:rsidRPr="003B1D3A">
        <w:rPr>
          <w:rStyle w:val="Accentuation"/>
          <w:rFonts w:ascii="Times New Roman" w:hAnsi="Times New Roman" w:cs="Times New Roman"/>
          <w:sz w:val="24"/>
          <w:lang w:val="en-US"/>
        </w:rPr>
        <w:t>From Agronomic Data to Farmer Recommendations: An Economics Training Manual.</w:t>
      </w:r>
      <w:r w:rsidRPr="003B1D3A">
        <w:rPr>
          <w:rFonts w:ascii="Times New Roman" w:hAnsi="Times New Roman" w:cs="Times New Roman"/>
          <w:sz w:val="24"/>
          <w:lang w:val="en-US"/>
        </w:rPr>
        <w:t xml:space="preserve"> </w:t>
      </w:r>
      <w:proofErr w:type="gramStart"/>
      <w:r w:rsidRPr="003B1D3A">
        <w:rPr>
          <w:rFonts w:ascii="Times New Roman" w:hAnsi="Times New Roman" w:cs="Times New Roman"/>
          <w:sz w:val="24"/>
          <w:lang w:val="en-US"/>
        </w:rPr>
        <w:t>Fully revised edition.</w:t>
      </w:r>
      <w:proofErr w:type="gramEnd"/>
      <w:r w:rsidRPr="003B1D3A">
        <w:rPr>
          <w:rFonts w:ascii="Times New Roman" w:hAnsi="Times New Roman" w:cs="Times New Roman"/>
          <w:sz w:val="24"/>
          <w:lang w:val="en-US"/>
        </w:rPr>
        <w:t xml:space="preserve"> Mexico, D.F., Mexico: CIMMYT. </w:t>
      </w:r>
      <w:proofErr w:type="gramStart"/>
      <w:r w:rsidRPr="003B1D3A">
        <w:rPr>
          <w:rFonts w:ascii="Times New Roman" w:hAnsi="Times New Roman" w:cs="Times New Roman"/>
          <w:sz w:val="24"/>
          <w:lang w:val="en-US"/>
        </w:rPr>
        <w:t>ISBN 968-6127-04-6, 89 p.</w:t>
      </w:r>
      <w:proofErr w:type="gramEnd"/>
    </w:p>
    <w:p w14:paraId="12844843" w14:textId="2178BEFB" w:rsidR="00C81FF4" w:rsidRPr="003B1D3A" w:rsidRDefault="00531C6D"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Civil</w:t>
      </w:r>
      <w:r w:rsidR="00C81FF4" w:rsidRPr="003B1D3A">
        <w:rPr>
          <w:rFonts w:ascii="Times New Roman" w:eastAsia="Times New Roman" w:hAnsi="Times New Roman" w:cs="Times New Roman"/>
          <w:sz w:val="24"/>
          <w:szCs w:val="24"/>
          <w:lang w:val="en-US" w:eastAsia="fr-FR"/>
        </w:rPr>
        <w:t xml:space="preserve"> Jean Alain, </w:t>
      </w:r>
      <w:r w:rsidR="00B0315C" w:rsidRPr="003B1D3A">
        <w:rPr>
          <w:rFonts w:ascii="Times New Roman" w:eastAsia="Times New Roman" w:hAnsi="Times New Roman" w:cs="Times New Roman"/>
          <w:sz w:val="24"/>
          <w:szCs w:val="24"/>
          <w:lang w:val="en-US" w:eastAsia="fr-FR"/>
        </w:rPr>
        <w:t xml:space="preserve">End-Of-Studies Thesis </w:t>
      </w:r>
      <w:r w:rsidR="00C81FF4" w:rsidRPr="003B1D3A">
        <w:rPr>
          <w:rFonts w:ascii="Times New Roman" w:eastAsia="Times New Roman" w:hAnsi="Times New Roman" w:cs="Times New Roman"/>
          <w:sz w:val="24"/>
          <w:szCs w:val="24"/>
          <w:lang w:val="en-US" w:eastAsia="fr-FR"/>
        </w:rPr>
        <w:t>2022</w:t>
      </w:r>
      <w:proofErr w:type="gramStart"/>
      <w:r w:rsidR="00371421" w:rsidRPr="003B1D3A">
        <w:rPr>
          <w:rFonts w:ascii="Times New Roman" w:eastAsia="Times New Roman" w:hAnsi="Times New Roman" w:cs="Times New Roman"/>
          <w:sz w:val="24"/>
          <w:szCs w:val="24"/>
          <w:lang w:val="en-US" w:eastAsia="fr-FR"/>
        </w:rPr>
        <w:t xml:space="preserve">, </w:t>
      </w:r>
      <w:r w:rsidR="00C81FF4" w:rsidRPr="003B1D3A">
        <w:rPr>
          <w:rFonts w:ascii="Times New Roman" w:eastAsia="Times New Roman" w:hAnsi="Times New Roman" w:cs="Times New Roman"/>
          <w:sz w:val="24"/>
          <w:szCs w:val="24"/>
          <w:lang w:val="en-US" w:eastAsia="fr-FR"/>
        </w:rPr>
        <w:t xml:space="preserve"> Host</w:t>
      </w:r>
      <w:proofErr w:type="gramEnd"/>
      <w:r w:rsidR="00C81FF4" w:rsidRPr="003B1D3A">
        <w:rPr>
          <w:rFonts w:ascii="Times New Roman" w:eastAsia="Times New Roman" w:hAnsi="Times New Roman" w:cs="Times New Roman"/>
          <w:sz w:val="24"/>
          <w:szCs w:val="24"/>
          <w:lang w:val="en-US" w:eastAsia="fr-FR"/>
        </w:rPr>
        <w:t xml:space="preserve"> Organization: Institute of Modeling the Growth and Yield of Peanut (</w:t>
      </w:r>
      <w:proofErr w:type="spellStart"/>
      <w:r w:rsidR="00C81FF4" w:rsidRPr="003B1D3A">
        <w:rPr>
          <w:rFonts w:ascii="Times New Roman" w:eastAsia="Times New Roman" w:hAnsi="Times New Roman" w:cs="Times New Roman"/>
          <w:sz w:val="24"/>
          <w:szCs w:val="24"/>
          <w:lang w:val="en-US" w:eastAsia="fr-FR"/>
        </w:rPr>
        <w:t>Arachis</w:t>
      </w:r>
      <w:proofErr w:type="spellEnd"/>
      <w:r w:rsidR="00C81FF4" w:rsidRPr="003B1D3A">
        <w:rPr>
          <w:rFonts w:ascii="Times New Roman" w:eastAsia="Times New Roman" w:hAnsi="Times New Roman" w:cs="Times New Roman"/>
          <w:sz w:val="24"/>
          <w:szCs w:val="24"/>
          <w:lang w:val="en-US" w:eastAsia="fr-FR"/>
        </w:rPr>
        <w:t xml:space="preserve"> </w:t>
      </w:r>
      <w:proofErr w:type="spellStart"/>
      <w:r w:rsidR="00C81FF4" w:rsidRPr="003B1D3A">
        <w:rPr>
          <w:rFonts w:ascii="Times New Roman" w:eastAsia="Times New Roman" w:hAnsi="Times New Roman" w:cs="Times New Roman"/>
          <w:sz w:val="24"/>
          <w:szCs w:val="24"/>
          <w:lang w:val="en-US" w:eastAsia="fr-FR"/>
        </w:rPr>
        <w:t>hypogaea</w:t>
      </w:r>
      <w:proofErr w:type="spellEnd"/>
      <w:r w:rsidR="00C81FF4" w:rsidRPr="003B1D3A">
        <w:rPr>
          <w:rFonts w:ascii="Times New Roman" w:eastAsia="Times New Roman" w:hAnsi="Times New Roman" w:cs="Times New Roman"/>
          <w:sz w:val="24"/>
          <w:szCs w:val="24"/>
          <w:lang w:val="en-US" w:eastAsia="fr-FR"/>
        </w:rPr>
        <w:t xml:space="preserve"> L.) in a Tropical Environment: Case of the Basin</w:t>
      </w:r>
      <w:r w:rsidR="00371421" w:rsidRPr="003B1D3A">
        <w:rPr>
          <w:rFonts w:ascii="Times New Roman" w:eastAsia="Times New Roman" w:hAnsi="Times New Roman" w:cs="Times New Roman"/>
          <w:sz w:val="24"/>
          <w:szCs w:val="24"/>
          <w:lang w:val="en-US" w:eastAsia="fr-FR"/>
        </w:rPr>
        <w:t>. Research for Development (IRD), CNRS IRD – UMR-242</w:t>
      </w:r>
    </w:p>
    <w:p w14:paraId="765D5471" w14:textId="46B2E8E8" w:rsidR="003D6171" w:rsidRPr="003B1D3A" w:rsidRDefault="003D6171" w:rsidP="00F66F5F">
      <w:pPr>
        <w:ind w:left="450" w:hanging="450"/>
        <w:jc w:val="both"/>
        <w:rPr>
          <w:rFonts w:ascii="Times New Roman" w:eastAsia="Times New Roman" w:hAnsi="Times New Roman" w:cs="Times New Roman"/>
          <w:sz w:val="24"/>
          <w:szCs w:val="24"/>
          <w:lang w:val="en-US" w:eastAsia="fr-FR"/>
        </w:rPr>
      </w:pPr>
      <w:proofErr w:type="gramStart"/>
      <w:r w:rsidRPr="003B1D3A">
        <w:rPr>
          <w:rFonts w:ascii="Times New Roman" w:eastAsia="Times New Roman" w:hAnsi="Times New Roman" w:cs="Times New Roman"/>
          <w:sz w:val="24"/>
          <w:szCs w:val="24"/>
          <w:lang w:val="en-US" w:eastAsia="fr-FR"/>
        </w:rPr>
        <w:t>FAO.</w:t>
      </w:r>
      <w:proofErr w:type="gramEnd"/>
      <w:r w:rsidRPr="003B1D3A">
        <w:rPr>
          <w:rFonts w:ascii="Times New Roman" w:eastAsia="Times New Roman" w:hAnsi="Times New Roman" w:cs="Times New Roman"/>
          <w:sz w:val="24"/>
          <w:szCs w:val="24"/>
          <w:lang w:val="en-US" w:eastAsia="fr-FR"/>
        </w:rPr>
        <w:t xml:space="preserve"> 2022. Crops and animal products. </w:t>
      </w:r>
      <w:proofErr w:type="gramStart"/>
      <w:r w:rsidRPr="003B1D3A">
        <w:rPr>
          <w:rFonts w:ascii="Times New Roman" w:eastAsia="Times New Roman" w:hAnsi="Times New Roman" w:cs="Times New Roman"/>
          <w:sz w:val="24"/>
          <w:szCs w:val="24"/>
          <w:lang w:val="en-US" w:eastAsia="fr-FR"/>
        </w:rPr>
        <w:t>Available at https://www.fao.org/faostat/fr/#data/QCL (Accessed 20 October 2022).</w:t>
      </w:r>
      <w:proofErr w:type="gramEnd"/>
    </w:p>
    <w:p w14:paraId="757D775F" w14:textId="485CFCB2" w:rsidR="003D6171" w:rsidRPr="003B1D3A" w:rsidRDefault="003D6171" w:rsidP="00F66F5F">
      <w:pPr>
        <w:ind w:left="450" w:hanging="450"/>
        <w:jc w:val="both"/>
        <w:rPr>
          <w:rFonts w:ascii="Times New Roman" w:eastAsia="Times New Roman" w:hAnsi="Times New Roman" w:cs="Times New Roman"/>
          <w:sz w:val="24"/>
          <w:szCs w:val="24"/>
          <w:lang w:val="en-US" w:eastAsia="fr-FR"/>
        </w:rPr>
      </w:pPr>
      <w:proofErr w:type="gramStart"/>
      <w:r w:rsidRPr="003B1D3A">
        <w:rPr>
          <w:rFonts w:ascii="Times New Roman" w:eastAsia="Times New Roman" w:hAnsi="Times New Roman" w:cs="Times New Roman"/>
          <w:sz w:val="24"/>
          <w:szCs w:val="24"/>
          <w:lang w:val="en-US" w:eastAsia="fr-FR"/>
        </w:rPr>
        <w:t>FAOSTAT, Agricultural production, crop primary database, Food and Agricultural Organizati</w:t>
      </w:r>
      <w:r w:rsidR="00531C6D" w:rsidRPr="003B1D3A">
        <w:rPr>
          <w:rFonts w:ascii="Times New Roman" w:eastAsia="Times New Roman" w:hAnsi="Times New Roman" w:cs="Times New Roman"/>
          <w:sz w:val="24"/>
          <w:szCs w:val="24"/>
          <w:lang w:val="en-US" w:eastAsia="fr-FR"/>
        </w:rPr>
        <w:t>on of the United Nations, ((2022</w:t>
      </w:r>
      <w:r w:rsidRPr="003B1D3A">
        <w:rPr>
          <w:rFonts w:ascii="Times New Roman" w:eastAsia="Times New Roman" w:hAnsi="Times New Roman" w:cs="Times New Roman"/>
          <w:sz w:val="24"/>
          <w:szCs w:val="24"/>
          <w:lang w:val="en-US" w:eastAsia="fr-FR"/>
        </w:rPr>
        <w:t>) http://faostat.fao.org/faostat.</w:t>
      </w:r>
      <w:proofErr w:type="gramEnd"/>
      <w:r w:rsidRPr="003B1D3A">
        <w:rPr>
          <w:rFonts w:ascii="Times New Roman" w:eastAsia="Times New Roman" w:hAnsi="Times New Roman" w:cs="Times New Roman"/>
          <w:sz w:val="24"/>
          <w:szCs w:val="24"/>
          <w:lang w:val="en-US" w:eastAsia="fr-FR"/>
        </w:rPr>
        <w:t xml:space="preserve"> Accessed on 14-07-2021</w:t>
      </w:r>
    </w:p>
    <w:p w14:paraId="69596F52" w14:textId="77777777" w:rsidR="003D6171" w:rsidRPr="003B1D3A" w:rsidRDefault="003D6171" w:rsidP="00F66F5F">
      <w:pPr>
        <w:ind w:left="450" w:hanging="450"/>
        <w:jc w:val="both"/>
        <w:rPr>
          <w:rFonts w:ascii="Times New Roman" w:eastAsia="Times New Roman" w:hAnsi="Times New Roman" w:cs="Times New Roman"/>
          <w:sz w:val="24"/>
          <w:szCs w:val="24"/>
          <w:lang w:val="en-US" w:eastAsia="fr-FR"/>
        </w:rPr>
      </w:pPr>
      <w:proofErr w:type="gramStart"/>
      <w:r w:rsidRPr="003B1D3A">
        <w:rPr>
          <w:rFonts w:ascii="Times New Roman" w:eastAsia="Times New Roman" w:hAnsi="Times New Roman" w:cs="Times New Roman"/>
          <w:sz w:val="24"/>
          <w:szCs w:val="24"/>
          <w:lang w:val="en-US" w:eastAsia="fr-FR"/>
        </w:rPr>
        <w:t>Fletcher S.M. and Shi Z. 2016.</w:t>
      </w:r>
      <w:proofErr w:type="gramEnd"/>
      <w:r w:rsidRPr="003B1D3A">
        <w:rPr>
          <w:rFonts w:ascii="Times New Roman" w:eastAsia="Times New Roman" w:hAnsi="Times New Roman" w:cs="Times New Roman"/>
          <w:sz w:val="24"/>
          <w:szCs w:val="24"/>
          <w:lang w:val="en-US" w:eastAsia="fr-FR"/>
        </w:rPr>
        <w:t xml:space="preserve"> </w:t>
      </w:r>
      <w:proofErr w:type="gramStart"/>
      <w:r w:rsidRPr="003B1D3A">
        <w:rPr>
          <w:rFonts w:ascii="Times New Roman" w:eastAsia="Times New Roman" w:hAnsi="Times New Roman" w:cs="Times New Roman"/>
          <w:sz w:val="24"/>
          <w:szCs w:val="24"/>
          <w:lang w:val="en-US" w:eastAsia="fr-FR"/>
        </w:rPr>
        <w:t>Chapter 10 - An Overview of World Peanut Markets.</w:t>
      </w:r>
      <w:proofErr w:type="gramEnd"/>
      <w:r w:rsidRPr="003B1D3A">
        <w:rPr>
          <w:rFonts w:ascii="Times New Roman" w:eastAsia="Times New Roman" w:hAnsi="Times New Roman" w:cs="Times New Roman"/>
          <w:sz w:val="24"/>
          <w:szCs w:val="24"/>
          <w:lang w:val="en-US" w:eastAsia="fr-FR"/>
        </w:rPr>
        <w:t xml:space="preserve"> In: Stalker H.T., F. Wilson R. (</w:t>
      </w:r>
      <w:proofErr w:type="gramStart"/>
      <w:r w:rsidRPr="003B1D3A">
        <w:rPr>
          <w:rFonts w:ascii="Times New Roman" w:eastAsia="Times New Roman" w:hAnsi="Times New Roman" w:cs="Times New Roman"/>
          <w:sz w:val="24"/>
          <w:szCs w:val="24"/>
          <w:lang w:val="en-US" w:eastAsia="fr-FR"/>
        </w:rPr>
        <w:t>eds</w:t>
      </w:r>
      <w:proofErr w:type="gramEnd"/>
      <w:r w:rsidRPr="003B1D3A">
        <w:rPr>
          <w:rFonts w:ascii="Times New Roman" w:eastAsia="Times New Roman" w:hAnsi="Times New Roman" w:cs="Times New Roman"/>
          <w:sz w:val="24"/>
          <w:szCs w:val="24"/>
          <w:lang w:val="en-US" w:eastAsia="fr-FR"/>
        </w:rPr>
        <w:t xml:space="preserve">.). </w:t>
      </w:r>
      <w:proofErr w:type="gramStart"/>
      <w:r w:rsidRPr="003B1D3A">
        <w:rPr>
          <w:rFonts w:ascii="Times New Roman" w:eastAsia="Times New Roman" w:hAnsi="Times New Roman" w:cs="Times New Roman"/>
          <w:sz w:val="24"/>
          <w:szCs w:val="24"/>
          <w:lang w:val="en-US" w:eastAsia="fr-FR"/>
        </w:rPr>
        <w:t>Peanuts.</w:t>
      </w:r>
      <w:proofErr w:type="gramEnd"/>
      <w:r w:rsidRPr="003B1D3A">
        <w:rPr>
          <w:rFonts w:ascii="Times New Roman" w:eastAsia="Times New Roman" w:hAnsi="Times New Roman" w:cs="Times New Roman"/>
          <w:sz w:val="24"/>
          <w:szCs w:val="24"/>
          <w:lang w:val="en-US" w:eastAsia="fr-FR"/>
        </w:rPr>
        <w:t xml:space="preserve"> AOCS Press, p. 267-287. Available at: https://www.sciencedirect.com/science/article/pii/B9781630670382000101 (Accessed August 11, 2022).</w:t>
      </w:r>
    </w:p>
    <w:p w14:paraId="271087B7" w14:textId="77777777" w:rsidR="003D6171" w:rsidRPr="003B1D3A" w:rsidRDefault="003D6171"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Guchi</w:t>
      </w:r>
      <w:proofErr w:type="spellEnd"/>
      <w:r w:rsidRPr="003B1D3A">
        <w:rPr>
          <w:rFonts w:ascii="Times New Roman" w:eastAsia="Times New Roman" w:hAnsi="Times New Roman" w:cs="Times New Roman"/>
          <w:sz w:val="24"/>
          <w:szCs w:val="24"/>
          <w:lang w:val="en-US" w:eastAsia="fr-FR"/>
        </w:rPr>
        <w:t xml:space="preserve"> E., A. </w:t>
      </w:r>
      <w:proofErr w:type="spellStart"/>
      <w:r w:rsidRPr="003B1D3A">
        <w:rPr>
          <w:rFonts w:ascii="Times New Roman" w:eastAsia="Times New Roman" w:hAnsi="Times New Roman" w:cs="Times New Roman"/>
          <w:sz w:val="24"/>
          <w:szCs w:val="24"/>
          <w:lang w:val="en-US" w:eastAsia="fr-FR"/>
        </w:rPr>
        <w:t>Ayalew</w:t>
      </w:r>
      <w:proofErr w:type="spellEnd"/>
      <w:r w:rsidRPr="003B1D3A">
        <w:rPr>
          <w:rFonts w:ascii="Times New Roman" w:eastAsia="Times New Roman" w:hAnsi="Times New Roman" w:cs="Times New Roman"/>
          <w:sz w:val="24"/>
          <w:szCs w:val="24"/>
          <w:lang w:val="en-US" w:eastAsia="fr-FR"/>
        </w:rPr>
        <w:t xml:space="preserve">, M. </w:t>
      </w:r>
      <w:proofErr w:type="spellStart"/>
      <w:r w:rsidRPr="003B1D3A">
        <w:rPr>
          <w:rFonts w:ascii="Times New Roman" w:eastAsia="Times New Roman" w:hAnsi="Times New Roman" w:cs="Times New Roman"/>
          <w:sz w:val="24"/>
          <w:szCs w:val="24"/>
          <w:lang w:val="en-US" w:eastAsia="fr-FR"/>
        </w:rPr>
        <w:t>Dejene</w:t>
      </w:r>
      <w:proofErr w:type="spellEnd"/>
      <w:r w:rsidRPr="003B1D3A">
        <w:rPr>
          <w:rFonts w:ascii="Times New Roman" w:eastAsia="Times New Roman" w:hAnsi="Times New Roman" w:cs="Times New Roman"/>
          <w:sz w:val="24"/>
          <w:szCs w:val="24"/>
          <w:lang w:val="en-US" w:eastAsia="fr-FR"/>
        </w:rPr>
        <w:t xml:space="preserve">, M. </w:t>
      </w:r>
      <w:proofErr w:type="spellStart"/>
      <w:r w:rsidRPr="003B1D3A">
        <w:rPr>
          <w:rFonts w:ascii="Times New Roman" w:eastAsia="Times New Roman" w:hAnsi="Times New Roman" w:cs="Times New Roman"/>
          <w:sz w:val="24"/>
          <w:szCs w:val="24"/>
          <w:lang w:val="en-US" w:eastAsia="fr-FR"/>
        </w:rPr>
        <w:t>Ketema</w:t>
      </w:r>
      <w:proofErr w:type="spellEnd"/>
      <w:r w:rsidRPr="003B1D3A">
        <w:rPr>
          <w:rFonts w:ascii="Times New Roman" w:eastAsia="Times New Roman" w:hAnsi="Times New Roman" w:cs="Times New Roman"/>
          <w:sz w:val="24"/>
          <w:szCs w:val="24"/>
          <w:lang w:val="en-US" w:eastAsia="fr-FR"/>
        </w:rPr>
        <w:t xml:space="preserve">, B. </w:t>
      </w:r>
      <w:proofErr w:type="spellStart"/>
      <w:r w:rsidRPr="003B1D3A">
        <w:rPr>
          <w:rFonts w:ascii="Times New Roman" w:eastAsia="Times New Roman" w:hAnsi="Times New Roman" w:cs="Times New Roman"/>
          <w:sz w:val="24"/>
          <w:szCs w:val="24"/>
          <w:lang w:val="en-US" w:eastAsia="fr-FR"/>
        </w:rPr>
        <w:t>Asalf</w:t>
      </w:r>
      <w:proofErr w:type="spellEnd"/>
      <w:r w:rsidRPr="003B1D3A">
        <w:rPr>
          <w:rFonts w:ascii="Times New Roman" w:eastAsia="Times New Roman" w:hAnsi="Times New Roman" w:cs="Times New Roman"/>
          <w:sz w:val="24"/>
          <w:szCs w:val="24"/>
          <w:lang w:val="en-US" w:eastAsia="fr-FR"/>
        </w:rPr>
        <w:t xml:space="preserve">, C. </w:t>
      </w:r>
      <w:proofErr w:type="spellStart"/>
      <w:r w:rsidRPr="003B1D3A">
        <w:rPr>
          <w:rFonts w:ascii="Times New Roman" w:eastAsia="Times New Roman" w:hAnsi="Times New Roman" w:cs="Times New Roman"/>
          <w:sz w:val="24"/>
          <w:szCs w:val="24"/>
          <w:lang w:val="en-US" w:eastAsia="fr-FR"/>
        </w:rPr>
        <w:t>Fininsa</w:t>
      </w:r>
      <w:proofErr w:type="spellEnd"/>
      <w:r w:rsidRPr="003B1D3A">
        <w:rPr>
          <w:rFonts w:ascii="Times New Roman" w:eastAsia="Times New Roman" w:hAnsi="Times New Roman" w:cs="Times New Roman"/>
          <w:sz w:val="24"/>
          <w:szCs w:val="24"/>
          <w:lang w:val="en-US" w:eastAsia="fr-FR"/>
        </w:rPr>
        <w:t>, Occurrence of Aspergillus species in groundnut (</w:t>
      </w:r>
      <w:proofErr w:type="spellStart"/>
      <w:r w:rsidRPr="003B1D3A">
        <w:rPr>
          <w:rFonts w:ascii="Times New Roman" w:eastAsia="Times New Roman" w:hAnsi="Times New Roman" w:cs="Times New Roman"/>
          <w:sz w:val="24"/>
          <w:szCs w:val="24"/>
          <w:lang w:val="en-US" w:eastAsia="fr-FR"/>
        </w:rPr>
        <w:t>Arachis</w:t>
      </w:r>
      <w:proofErr w:type="spellEnd"/>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hypogaea</w:t>
      </w:r>
      <w:proofErr w:type="spellEnd"/>
      <w:r w:rsidRPr="003B1D3A">
        <w:rPr>
          <w:rFonts w:ascii="Times New Roman" w:eastAsia="Times New Roman" w:hAnsi="Times New Roman" w:cs="Times New Roman"/>
          <w:sz w:val="24"/>
          <w:szCs w:val="24"/>
          <w:lang w:val="en-US" w:eastAsia="fr-FR"/>
        </w:rPr>
        <w:t xml:space="preserve"> L.) along the value chain in different agro-ecological zones of Eastern Ethiopia. J. Appl. Environ. </w:t>
      </w:r>
      <w:proofErr w:type="spellStart"/>
      <w:proofErr w:type="gramStart"/>
      <w:r w:rsidRPr="003B1D3A">
        <w:rPr>
          <w:rFonts w:ascii="Times New Roman" w:eastAsia="Times New Roman" w:hAnsi="Times New Roman" w:cs="Times New Roman"/>
          <w:sz w:val="24"/>
          <w:szCs w:val="24"/>
          <w:lang w:val="en-US" w:eastAsia="fr-FR"/>
        </w:rPr>
        <w:t>Microbiol</w:t>
      </w:r>
      <w:proofErr w:type="spellEnd"/>
      <w:r w:rsidRPr="003B1D3A">
        <w:rPr>
          <w:rFonts w:ascii="Times New Roman" w:eastAsia="Times New Roman" w:hAnsi="Times New Roman" w:cs="Times New Roman"/>
          <w:sz w:val="24"/>
          <w:szCs w:val="24"/>
          <w:lang w:val="en-US" w:eastAsia="fr-FR"/>
        </w:rPr>
        <w:t>.,</w:t>
      </w:r>
      <w:proofErr w:type="gramEnd"/>
      <w:r w:rsidRPr="003B1D3A">
        <w:rPr>
          <w:rFonts w:ascii="Times New Roman" w:eastAsia="Times New Roman" w:hAnsi="Times New Roman" w:cs="Times New Roman"/>
          <w:sz w:val="24"/>
          <w:szCs w:val="24"/>
          <w:lang w:val="en-US" w:eastAsia="fr-FR"/>
        </w:rPr>
        <w:t xml:space="preserve"> 2 (2014) 309-317. DOI: 10.12691/jaem-2-6-7</w:t>
      </w:r>
    </w:p>
    <w:p w14:paraId="403332AD" w14:textId="520DD061" w:rsidR="003D6171" w:rsidRPr="003B1D3A" w:rsidRDefault="00531C6D"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Halidou</w:t>
      </w:r>
      <w:proofErr w:type="spellEnd"/>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Oumarou</w:t>
      </w:r>
      <w:proofErr w:type="spellEnd"/>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Arabo</w:t>
      </w:r>
      <w:proofErr w:type="spellEnd"/>
      <w:r w:rsidRPr="003B1D3A">
        <w:rPr>
          <w:rFonts w:ascii="Times New Roman" w:eastAsia="Times New Roman" w:hAnsi="Times New Roman" w:cs="Times New Roman"/>
          <w:sz w:val="24"/>
          <w:szCs w:val="24"/>
          <w:lang w:val="en-US" w:eastAsia="fr-FR"/>
        </w:rPr>
        <w:t>. 2012</w:t>
      </w:r>
      <w:r w:rsidR="003D6171" w:rsidRPr="003B1D3A">
        <w:rPr>
          <w:rFonts w:ascii="Times New Roman" w:eastAsia="Times New Roman" w:hAnsi="Times New Roman" w:cs="Times New Roman"/>
          <w:sz w:val="24"/>
          <w:szCs w:val="24"/>
          <w:lang w:val="en-US" w:eastAsia="fr-FR"/>
        </w:rPr>
        <w:t>. Peanut (</w:t>
      </w:r>
      <w:proofErr w:type="spellStart"/>
      <w:r w:rsidR="003D6171" w:rsidRPr="003B1D3A">
        <w:rPr>
          <w:rFonts w:ascii="Times New Roman" w:eastAsia="Times New Roman" w:hAnsi="Times New Roman" w:cs="Times New Roman"/>
          <w:sz w:val="24"/>
          <w:szCs w:val="24"/>
          <w:lang w:val="en-US" w:eastAsia="fr-FR"/>
        </w:rPr>
        <w:t>Arachis</w:t>
      </w:r>
      <w:proofErr w:type="spellEnd"/>
      <w:r w:rsidR="003D6171" w:rsidRPr="003B1D3A">
        <w:rPr>
          <w:rFonts w:ascii="Times New Roman" w:eastAsia="Times New Roman" w:hAnsi="Times New Roman" w:cs="Times New Roman"/>
          <w:sz w:val="24"/>
          <w:szCs w:val="24"/>
          <w:lang w:val="en-US" w:eastAsia="fr-FR"/>
        </w:rPr>
        <w:t xml:space="preserve"> </w:t>
      </w:r>
      <w:proofErr w:type="spellStart"/>
      <w:r w:rsidR="003D6171" w:rsidRPr="003B1D3A">
        <w:rPr>
          <w:rFonts w:ascii="Times New Roman" w:eastAsia="Times New Roman" w:hAnsi="Times New Roman" w:cs="Times New Roman"/>
          <w:sz w:val="24"/>
          <w:szCs w:val="24"/>
          <w:lang w:val="en-US" w:eastAsia="fr-FR"/>
        </w:rPr>
        <w:t>hypogaea</w:t>
      </w:r>
      <w:proofErr w:type="spellEnd"/>
      <w:r w:rsidR="003D6171" w:rsidRPr="003B1D3A">
        <w:rPr>
          <w:rFonts w:ascii="Times New Roman" w:eastAsia="Times New Roman" w:hAnsi="Times New Roman" w:cs="Times New Roman"/>
          <w:sz w:val="24"/>
          <w:szCs w:val="24"/>
          <w:lang w:val="en-US" w:eastAsia="fr-FR"/>
        </w:rPr>
        <w:t xml:space="preserve"> L.) nodulation and soil acidity in Northern Cameroon. </w:t>
      </w:r>
      <w:proofErr w:type="spellStart"/>
      <w:r w:rsidR="003D6171" w:rsidRPr="003B1D3A">
        <w:rPr>
          <w:rFonts w:ascii="Times New Roman" w:eastAsia="Times New Roman" w:hAnsi="Times New Roman" w:cs="Times New Roman"/>
          <w:sz w:val="24"/>
          <w:szCs w:val="24"/>
          <w:lang w:val="en-US" w:eastAsia="fr-FR"/>
        </w:rPr>
        <w:t>Dschang</w:t>
      </w:r>
      <w:proofErr w:type="spellEnd"/>
      <w:r w:rsidR="003D6171" w:rsidRPr="003B1D3A">
        <w:rPr>
          <w:rFonts w:ascii="Times New Roman" w:eastAsia="Times New Roman" w:hAnsi="Times New Roman" w:cs="Times New Roman"/>
          <w:sz w:val="24"/>
          <w:szCs w:val="24"/>
          <w:lang w:val="en-US" w:eastAsia="fr-FR"/>
        </w:rPr>
        <w:t xml:space="preserve">: University of </w:t>
      </w:r>
      <w:proofErr w:type="spellStart"/>
      <w:r w:rsidR="003D6171" w:rsidRPr="003B1D3A">
        <w:rPr>
          <w:rFonts w:ascii="Times New Roman" w:eastAsia="Times New Roman" w:hAnsi="Times New Roman" w:cs="Times New Roman"/>
          <w:sz w:val="24"/>
          <w:szCs w:val="24"/>
          <w:lang w:val="en-US" w:eastAsia="fr-FR"/>
        </w:rPr>
        <w:t>Dschang</w:t>
      </w:r>
      <w:proofErr w:type="spellEnd"/>
      <w:r w:rsidR="003D6171" w:rsidRPr="003B1D3A">
        <w:rPr>
          <w:rFonts w:ascii="Times New Roman" w:eastAsia="Times New Roman" w:hAnsi="Times New Roman" w:cs="Times New Roman"/>
          <w:sz w:val="24"/>
          <w:szCs w:val="24"/>
          <w:lang w:val="en-US" w:eastAsia="fr-FR"/>
        </w:rPr>
        <w:t xml:space="preserve">, 69 p. Engineering thesis: Agronomy. Plant Production: University of </w:t>
      </w:r>
      <w:proofErr w:type="spellStart"/>
      <w:r w:rsidR="003D6171" w:rsidRPr="003B1D3A">
        <w:rPr>
          <w:rFonts w:ascii="Times New Roman" w:eastAsia="Times New Roman" w:hAnsi="Times New Roman" w:cs="Times New Roman"/>
          <w:sz w:val="24"/>
          <w:szCs w:val="24"/>
          <w:lang w:val="en-US" w:eastAsia="fr-FR"/>
        </w:rPr>
        <w:t>Dschang</w:t>
      </w:r>
      <w:proofErr w:type="spellEnd"/>
    </w:p>
    <w:p w14:paraId="38D7C2FA" w14:textId="50663182" w:rsidR="003D6171" w:rsidRPr="003B1D3A" w:rsidRDefault="002E30D4"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Hamasselbe</w:t>
      </w:r>
      <w:proofErr w:type="spellEnd"/>
      <w:r w:rsidR="003D6171" w:rsidRPr="003B1D3A">
        <w:rPr>
          <w:rFonts w:ascii="Times New Roman" w:eastAsia="Times New Roman" w:hAnsi="Times New Roman" w:cs="Times New Roman"/>
          <w:sz w:val="24"/>
          <w:szCs w:val="24"/>
          <w:lang w:val="en-US" w:eastAsia="fr-FR"/>
        </w:rPr>
        <w:t xml:space="preserve"> A., </w:t>
      </w:r>
      <w:r w:rsidRPr="003B1D3A">
        <w:rPr>
          <w:rFonts w:ascii="Times New Roman" w:eastAsia="Times New Roman" w:hAnsi="Times New Roman" w:cs="Times New Roman"/>
          <w:sz w:val="24"/>
          <w:szCs w:val="24"/>
          <w:lang w:val="en-US" w:eastAsia="fr-FR"/>
        </w:rPr>
        <w:t xml:space="preserve">2008. </w:t>
      </w:r>
      <w:r w:rsidR="003D6171" w:rsidRPr="003B1D3A">
        <w:rPr>
          <w:rFonts w:ascii="Times New Roman" w:eastAsia="Times New Roman" w:hAnsi="Times New Roman" w:cs="Times New Roman"/>
          <w:sz w:val="24"/>
          <w:szCs w:val="24"/>
          <w:lang w:val="en-US" w:eastAsia="fr-FR"/>
        </w:rPr>
        <w:t xml:space="preserve">The revaluation of the peanut sector in the </w:t>
      </w:r>
      <w:proofErr w:type="spellStart"/>
      <w:r w:rsidR="003D6171" w:rsidRPr="003B1D3A">
        <w:rPr>
          <w:rFonts w:ascii="Times New Roman" w:eastAsia="Times New Roman" w:hAnsi="Times New Roman" w:cs="Times New Roman"/>
          <w:sz w:val="24"/>
          <w:szCs w:val="24"/>
          <w:lang w:val="en-US" w:eastAsia="fr-FR"/>
        </w:rPr>
        <w:t>Sudano-Sahelian</w:t>
      </w:r>
      <w:proofErr w:type="spellEnd"/>
      <w:r w:rsidR="003D6171" w:rsidRPr="003B1D3A">
        <w:rPr>
          <w:rFonts w:ascii="Times New Roman" w:eastAsia="Times New Roman" w:hAnsi="Times New Roman" w:cs="Times New Roman"/>
          <w:sz w:val="24"/>
          <w:szCs w:val="24"/>
          <w:lang w:val="en-US" w:eastAsia="fr-FR"/>
        </w:rPr>
        <w:t xml:space="preserve"> zone of Northern Cameroon, </w:t>
      </w:r>
      <w:proofErr w:type="spellStart"/>
      <w:r w:rsidR="003D6171" w:rsidRPr="003B1D3A">
        <w:rPr>
          <w:rFonts w:ascii="Times New Roman" w:eastAsia="Times New Roman" w:hAnsi="Times New Roman" w:cs="Times New Roman"/>
          <w:sz w:val="24"/>
          <w:szCs w:val="24"/>
          <w:lang w:val="en-US" w:eastAsia="fr-FR"/>
        </w:rPr>
        <w:t>Tropicultura</w:t>
      </w:r>
      <w:proofErr w:type="spellEnd"/>
      <w:r w:rsidR="003D6171" w:rsidRPr="003B1D3A">
        <w:rPr>
          <w:rFonts w:ascii="Times New Roman" w:eastAsia="Times New Roman" w:hAnsi="Times New Roman" w:cs="Times New Roman"/>
          <w:sz w:val="24"/>
          <w:szCs w:val="24"/>
          <w:lang w:val="en-US" w:eastAsia="fr-FR"/>
        </w:rPr>
        <w:t>, 26 (4) (2008) 200-205</w:t>
      </w:r>
    </w:p>
    <w:p w14:paraId="29D64793"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roofErr w:type="gramStart"/>
      <w:r w:rsidRPr="003B1D3A">
        <w:rPr>
          <w:rFonts w:ascii="Times New Roman" w:hAnsi="Times New Roman" w:cs="Times New Roman"/>
          <w:sz w:val="24"/>
          <w:lang w:val="en-US"/>
        </w:rPr>
        <w:t xml:space="preserve">Hamza M, Abbas M, </w:t>
      </w:r>
      <w:proofErr w:type="spellStart"/>
      <w:r w:rsidRPr="003B1D3A">
        <w:rPr>
          <w:rFonts w:ascii="Times New Roman" w:hAnsi="Times New Roman" w:cs="Times New Roman"/>
          <w:sz w:val="24"/>
          <w:lang w:val="en-US"/>
        </w:rPr>
        <w:t>Sharaf</w:t>
      </w:r>
      <w:proofErr w:type="spellEnd"/>
      <w:r w:rsidRPr="003B1D3A">
        <w:rPr>
          <w:rFonts w:ascii="Times New Roman" w:hAnsi="Times New Roman" w:cs="Times New Roman"/>
          <w:sz w:val="24"/>
          <w:lang w:val="en-US"/>
        </w:rPr>
        <w:t xml:space="preserve"> S, </w:t>
      </w:r>
      <w:proofErr w:type="spellStart"/>
      <w:r w:rsidRPr="003B1D3A">
        <w:rPr>
          <w:rFonts w:ascii="Times New Roman" w:hAnsi="Times New Roman" w:cs="Times New Roman"/>
          <w:sz w:val="24"/>
          <w:lang w:val="en-US"/>
        </w:rPr>
        <w:t>Galal</w:t>
      </w:r>
      <w:proofErr w:type="spellEnd"/>
      <w:r w:rsidRPr="003B1D3A">
        <w:rPr>
          <w:rFonts w:ascii="Times New Roman" w:hAnsi="Times New Roman" w:cs="Times New Roman"/>
          <w:sz w:val="24"/>
          <w:lang w:val="en-US"/>
        </w:rPr>
        <w:t xml:space="preserve"> FH (2023).</w:t>
      </w:r>
      <w:proofErr w:type="gramEnd"/>
      <w:r w:rsidRPr="003B1D3A">
        <w:rPr>
          <w:rFonts w:ascii="Times New Roman" w:hAnsi="Times New Roman" w:cs="Times New Roman"/>
          <w:sz w:val="24"/>
          <w:lang w:val="en-US"/>
        </w:rPr>
        <w:t xml:space="preserve"> </w:t>
      </w:r>
      <w:proofErr w:type="gramStart"/>
      <w:r w:rsidRPr="003B1D3A">
        <w:rPr>
          <w:rFonts w:ascii="Times New Roman" w:hAnsi="Times New Roman" w:cs="Times New Roman"/>
          <w:sz w:val="24"/>
          <w:lang w:val="en-US"/>
        </w:rPr>
        <w:t>Response of Diverse Peanut Cultivars to Calcium Fertilization under Clay Soil Conditions.</w:t>
      </w:r>
      <w:proofErr w:type="gramEnd"/>
      <w:r w:rsidRPr="003B1D3A">
        <w:rPr>
          <w:rFonts w:ascii="Times New Roman" w:hAnsi="Times New Roman" w:cs="Times New Roman"/>
          <w:sz w:val="24"/>
          <w:lang w:val="en-US"/>
        </w:rPr>
        <w:t xml:space="preserve"> Agronomy 13(10):2656.</w:t>
      </w:r>
    </w:p>
    <w:p w14:paraId="56A47F55"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roofErr w:type="spellStart"/>
      <w:proofErr w:type="gramStart"/>
      <w:r w:rsidRPr="003B1D3A">
        <w:rPr>
          <w:rFonts w:ascii="Times New Roman" w:hAnsi="Times New Roman" w:cs="Times New Roman"/>
          <w:sz w:val="24"/>
          <w:lang w:val="en-US"/>
        </w:rPr>
        <w:t>Mallouhi</w:t>
      </w:r>
      <w:proofErr w:type="spellEnd"/>
      <w:r w:rsidRPr="003B1D3A">
        <w:rPr>
          <w:rFonts w:ascii="Times New Roman" w:hAnsi="Times New Roman" w:cs="Times New Roman"/>
          <w:sz w:val="24"/>
          <w:lang w:val="en-US"/>
        </w:rPr>
        <w:t>, N., &amp; Jutras, P. (1987).</w:t>
      </w:r>
      <w:proofErr w:type="gramEnd"/>
      <w:r w:rsidRPr="003B1D3A">
        <w:rPr>
          <w:rFonts w:ascii="Times New Roman" w:hAnsi="Times New Roman" w:cs="Times New Roman"/>
          <w:sz w:val="24"/>
          <w:lang w:val="en-US"/>
        </w:rPr>
        <w:t xml:space="preserve"> Influence of lime and organic amendments on groundnut yield in degraded acidic soils in Senegal. </w:t>
      </w:r>
      <w:proofErr w:type="spellStart"/>
      <w:r w:rsidRPr="003B1D3A">
        <w:rPr>
          <w:rStyle w:val="Accentuation"/>
          <w:rFonts w:ascii="Times New Roman" w:hAnsi="Times New Roman" w:cs="Times New Roman"/>
          <w:sz w:val="24"/>
          <w:lang w:val="en-US"/>
        </w:rPr>
        <w:t>Tropicultura</w:t>
      </w:r>
      <w:proofErr w:type="spellEnd"/>
      <w:r w:rsidRPr="003B1D3A">
        <w:rPr>
          <w:rFonts w:ascii="Times New Roman" w:hAnsi="Times New Roman" w:cs="Times New Roman"/>
          <w:sz w:val="24"/>
          <w:lang w:val="en-US"/>
        </w:rPr>
        <w:t>, 4, 147–152.</w:t>
      </w:r>
    </w:p>
    <w:p w14:paraId="1159C03F" w14:textId="61538BC8" w:rsidR="00F66F5F" w:rsidRPr="003B1D3A" w:rsidRDefault="00F66F5F" w:rsidP="00F66F5F">
      <w:pPr>
        <w:spacing w:after="0"/>
        <w:ind w:left="360" w:hanging="360"/>
        <w:jc w:val="both"/>
        <w:textAlignment w:val="baseline"/>
        <w:rPr>
          <w:rFonts w:ascii="Times New Roman" w:hAnsi="Times New Roman" w:cs="Times New Roman"/>
          <w:sz w:val="24"/>
          <w:lang w:val="en-US"/>
        </w:rPr>
      </w:pPr>
      <w:proofErr w:type="spellStart"/>
      <w:r w:rsidRPr="003B1D3A">
        <w:rPr>
          <w:rFonts w:ascii="Times New Roman" w:hAnsi="Times New Roman" w:cs="Times New Roman"/>
          <w:sz w:val="24"/>
          <w:lang w:val="en-US"/>
        </w:rPr>
        <w:t>Mandingaisa</w:t>
      </w:r>
      <w:proofErr w:type="spellEnd"/>
      <w:r w:rsidRPr="003B1D3A">
        <w:rPr>
          <w:rFonts w:ascii="Times New Roman" w:hAnsi="Times New Roman" w:cs="Times New Roman"/>
          <w:sz w:val="24"/>
          <w:lang w:val="en-US"/>
        </w:rPr>
        <w:t xml:space="preserve"> Maria, Marie </w:t>
      </w:r>
      <w:proofErr w:type="spellStart"/>
      <w:r w:rsidRPr="003B1D3A">
        <w:rPr>
          <w:rFonts w:ascii="Times New Roman" w:hAnsi="Times New Roman" w:cs="Times New Roman"/>
          <w:sz w:val="24"/>
          <w:lang w:val="en-US"/>
        </w:rPr>
        <w:t>Irakarama</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Philbert</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Sindarihora</w:t>
      </w:r>
      <w:proofErr w:type="spellEnd"/>
      <w:r w:rsidRPr="003B1D3A">
        <w:rPr>
          <w:rFonts w:ascii="Times New Roman" w:hAnsi="Times New Roman" w:cs="Times New Roman"/>
          <w:sz w:val="24"/>
          <w:lang w:val="en-US"/>
        </w:rPr>
        <w:t xml:space="preserve">, Jeannette </w:t>
      </w:r>
      <w:proofErr w:type="spellStart"/>
      <w:r w:rsidRPr="003B1D3A">
        <w:rPr>
          <w:rFonts w:ascii="Times New Roman" w:hAnsi="Times New Roman" w:cs="Times New Roman"/>
          <w:sz w:val="24"/>
          <w:lang w:val="en-US"/>
        </w:rPr>
        <w:t>Mukankurunziza</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Vimbai</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Wedzerai</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Gumbeze</w:t>
      </w:r>
      <w:proofErr w:type="spellEnd"/>
      <w:r w:rsidRPr="003B1D3A">
        <w:rPr>
          <w:rFonts w:ascii="Times New Roman" w:hAnsi="Times New Roman" w:cs="Times New Roman"/>
          <w:sz w:val="24"/>
          <w:lang w:val="en-US"/>
        </w:rPr>
        <w:t xml:space="preserve">, Samuel Nenhowe1 and </w:t>
      </w:r>
      <w:proofErr w:type="spellStart"/>
      <w:r w:rsidRPr="003B1D3A">
        <w:rPr>
          <w:rFonts w:ascii="Times New Roman" w:hAnsi="Times New Roman" w:cs="Times New Roman"/>
          <w:sz w:val="24"/>
          <w:lang w:val="en-US"/>
        </w:rPr>
        <w:t>Kudzaishe</w:t>
      </w:r>
      <w:proofErr w:type="spellEnd"/>
      <w:r w:rsidRPr="003B1D3A">
        <w:rPr>
          <w:rFonts w:ascii="Times New Roman" w:hAnsi="Times New Roman" w:cs="Times New Roman"/>
          <w:sz w:val="24"/>
          <w:lang w:val="en-US"/>
        </w:rPr>
        <w:t xml:space="preserve"> Christopher </w:t>
      </w:r>
      <w:proofErr w:type="spellStart"/>
      <w:r w:rsidRPr="003B1D3A">
        <w:rPr>
          <w:rFonts w:ascii="Times New Roman" w:hAnsi="Times New Roman" w:cs="Times New Roman"/>
          <w:sz w:val="24"/>
          <w:lang w:val="en-US"/>
        </w:rPr>
        <w:t>Mangadze</w:t>
      </w:r>
      <w:proofErr w:type="spellEnd"/>
      <w:r w:rsidRPr="003B1D3A">
        <w:rPr>
          <w:rFonts w:ascii="Times New Roman" w:hAnsi="Times New Roman" w:cs="Times New Roman"/>
          <w:sz w:val="24"/>
          <w:lang w:val="en-US"/>
        </w:rPr>
        <w:t xml:space="preserve">, 2025. </w:t>
      </w:r>
      <w:proofErr w:type="gramStart"/>
      <w:r w:rsidRPr="003B1D3A">
        <w:rPr>
          <w:rFonts w:ascii="Times New Roman" w:hAnsi="Times New Roman" w:cs="Times New Roman"/>
          <w:sz w:val="24"/>
          <w:lang w:val="en-US"/>
        </w:rPr>
        <w:t>Exploring the influence of calcium sources (calcium ammonium nitrate [CAN] and lime) on groundnut (</w:t>
      </w:r>
      <w:proofErr w:type="spellStart"/>
      <w:r w:rsidRPr="003B1D3A">
        <w:rPr>
          <w:rFonts w:ascii="Times New Roman" w:hAnsi="Times New Roman" w:cs="Times New Roman"/>
          <w:sz w:val="24"/>
          <w:lang w:val="en-US"/>
        </w:rPr>
        <w:t>Arachis</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hypogaea</w:t>
      </w:r>
      <w:proofErr w:type="spellEnd"/>
      <w:r w:rsidR="00AE4759" w:rsidRPr="003B1D3A">
        <w:rPr>
          <w:rFonts w:ascii="Times New Roman" w:hAnsi="Times New Roman" w:cs="Times New Roman"/>
          <w:sz w:val="24"/>
          <w:lang w:val="en-US"/>
        </w:rPr>
        <w:t xml:space="preserve"> L.) growth and yield in Rwanda.</w:t>
      </w:r>
      <w:proofErr w:type="gramEnd"/>
      <w:r w:rsidRPr="003B1D3A">
        <w:rPr>
          <w:rFonts w:ascii="Times New Roman" w:hAnsi="Times New Roman" w:cs="Times New Roman"/>
          <w:sz w:val="24"/>
          <w:lang w:val="en-US"/>
        </w:rPr>
        <w:t xml:space="preserve"> African Journal of Agricultural Research DOI: 10.5897/AJAR2024.16852 Article Number: 627917473034 ISSN: 1991-637X </w:t>
      </w:r>
    </w:p>
    <w:p w14:paraId="485FBF45" w14:textId="0D0A52FA" w:rsidR="003D6171" w:rsidRPr="003B1D3A" w:rsidRDefault="002E30D4"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Marloire</w:t>
      </w:r>
      <w:proofErr w:type="spellEnd"/>
      <w:r w:rsidR="003D6171" w:rsidRPr="003B1D3A">
        <w:rPr>
          <w:rFonts w:ascii="Times New Roman" w:eastAsia="Times New Roman" w:hAnsi="Times New Roman" w:cs="Times New Roman"/>
          <w:sz w:val="24"/>
          <w:szCs w:val="24"/>
          <w:lang w:val="en-US" w:eastAsia="fr-FR"/>
        </w:rPr>
        <w:t xml:space="preserve"> M., Peanut, </w:t>
      </w:r>
      <w:proofErr w:type="spellStart"/>
      <w:r w:rsidR="003D6171" w:rsidRPr="003B1D3A">
        <w:rPr>
          <w:rFonts w:ascii="Times New Roman" w:eastAsia="Times New Roman" w:hAnsi="Times New Roman" w:cs="Times New Roman"/>
          <w:sz w:val="24"/>
          <w:szCs w:val="24"/>
          <w:lang w:val="en-US" w:eastAsia="fr-FR"/>
        </w:rPr>
        <w:t>Encyclopædia</w:t>
      </w:r>
      <w:proofErr w:type="spellEnd"/>
      <w:r w:rsidR="003D6171" w:rsidRPr="003B1D3A">
        <w:rPr>
          <w:rFonts w:ascii="Times New Roman" w:eastAsia="Times New Roman" w:hAnsi="Times New Roman" w:cs="Times New Roman"/>
          <w:sz w:val="24"/>
          <w:szCs w:val="24"/>
          <w:lang w:val="en-US" w:eastAsia="fr-FR"/>
        </w:rPr>
        <w:t xml:space="preserve"> </w:t>
      </w:r>
      <w:proofErr w:type="spellStart"/>
      <w:r w:rsidR="003D6171" w:rsidRPr="003B1D3A">
        <w:rPr>
          <w:rFonts w:ascii="Times New Roman" w:eastAsia="Times New Roman" w:hAnsi="Times New Roman" w:cs="Times New Roman"/>
          <w:sz w:val="24"/>
          <w:szCs w:val="24"/>
          <w:lang w:val="en-US" w:eastAsia="fr-FR"/>
        </w:rPr>
        <w:t>Universalis</w:t>
      </w:r>
      <w:proofErr w:type="spellEnd"/>
      <w:r w:rsidR="003D6171" w:rsidRPr="003B1D3A">
        <w:rPr>
          <w:rFonts w:ascii="Times New Roman" w:eastAsia="Times New Roman" w:hAnsi="Times New Roman" w:cs="Times New Roman"/>
          <w:sz w:val="24"/>
          <w:szCs w:val="24"/>
          <w:lang w:val="en-US" w:eastAsia="fr-FR"/>
        </w:rPr>
        <w:t xml:space="preserve"> [online]. URL: http://www.universalis.fr/encyclopedie/arachide/ (2019). Accessed December 29, 2020</w:t>
      </w:r>
    </w:p>
    <w:p w14:paraId="30F26105" w14:textId="0B3B3B89" w:rsidR="00F66F5F" w:rsidRPr="003B1D3A" w:rsidRDefault="00F66F5F"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Mitianga</w:t>
      </w:r>
      <w:proofErr w:type="spellEnd"/>
      <w:r w:rsidRPr="003B1D3A">
        <w:rPr>
          <w:rFonts w:ascii="Times New Roman" w:eastAsia="Times New Roman" w:hAnsi="Times New Roman" w:cs="Times New Roman"/>
          <w:sz w:val="24"/>
          <w:szCs w:val="24"/>
          <w:lang w:val="en-US" w:eastAsia="fr-FR"/>
        </w:rPr>
        <w:t>, C</w:t>
      </w:r>
      <w:proofErr w:type="gramStart"/>
      <w:r w:rsidRPr="003B1D3A">
        <w:rPr>
          <w:rFonts w:ascii="Times New Roman" w:eastAsia="Times New Roman" w:hAnsi="Times New Roman" w:cs="Times New Roman"/>
          <w:sz w:val="24"/>
          <w:szCs w:val="24"/>
          <w:lang w:val="en-US" w:eastAsia="fr-FR"/>
        </w:rPr>
        <w:t>,Z</w:t>
      </w:r>
      <w:proofErr w:type="gramEnd"/>
      <w:r w:rsidRPr="003B1D3A">
        <w:rPr>
          <w:rFonts w:ascii="Times New Roman" w:eastAsia="Times New Roman" w:hAnsi="Times New Roman" w:cs="Times New Roman"/>
          <w:sz w:val="24"/>
          <w:szCs w:val="24"/>
          <w:lang w:val="en-US" w:eastAsia="fr-FR"/>
        </w:rPr>
        <w:t xml:space="preserve"> 2022. </w:t>
      </w:r>
      <w:proofErr w:type="gramStart"/>
      <w:r w:rsidRPr="003B1D3A">
        <w:rPr>
          <w:rFonts w:ascii="Times New Roman" w:eastAsia="Times New Roman" w:hAnsi="Times New Roman" w:cs="Times New Roman"/>
          <w:sz w:val="24"/>
          <w:szCs w:val="24"/>
          <w:lang w:val="en-US" w:eastAsia="fr-FR"/>
        </w:rPr>
        <w:t xml:space="preserve">Dissertation "Essay on the germination of the species </w:t>
      </w:r>
      <w:proofErr w:type="spellStart"/>
      <w:r w:rsidRPr="003B1D3A">
        <w:rPr>
          <w:rFonts w:ascii="Times New Roman" w:eastAsia="Times New Roman" w:hAnsi="Times New Roman" w:cs="Times New Roman"/>
          <w:sz w:val="24"/>
          <w:szCs w:val="24"/>
          <w:lang w:val="en-US" w:eastAsia="fr-FR"/>
        </w:rPr>
        <w:t>Lippir</w:t>
      </w:r>
      <w:proofErr w:type="spellEnd"/>
      <w:r w:rsidRPr="003B1D3A">
        <w:rPr>
          <w:rFonts w:ascii="Times New Roman" w:eastAsia="Times New Roman" w:hAnsi="Times New Roman" w:cs="Times New Roman"/>
          <w:sz w:val="24"/>
          <w:szCs w:val="24"/>
          <w:lang w:val="en-US" w:eastAsia="fr-FR"/>
        </w:rPr>
        <w:t xml:space="preserve"> multiflora in the ecological conditions of Kenge-Ville".</w:t>
      </w:r>
      <w:proofErr w:type="gramEnd"/>
      <w:r w:rsidRPr="003B1D3A">
        <w:rPr>
          <w:rFonts w:ascii="Times New Roman" w:eastAsia="Times New Roman" w:hAnsi="Times New Roman" w:cs="Times New Roman"/>
          <w:sz w:val="24"/>
          <w:szCs w:val="24"/>
          <w:lang w:val="en-US" w:eastAsia="fr-FR"/>
        </w:rPr>
        <w:t xml:space="preserve"> UNIK (DRC) P. 15-16</w:t>
      </w:r>
    </w:p>
    <w:p w14:paraId="6F12FD84"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
    <w:p w14:paraId="4694B14E"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roofErr w:type="spellStart"/>
      <w:proofErr w:type="gramStart"/>
      <w:r w:rsidRPr="003B1D3A">
        <w:rPr>
          <w:rFonts w:ascii="Times New Roman" w:hAnsi="Times New Roman" w:cs="Times New Roman"/>
          <w:sz w:val="24"/>
          <w:lang w:val="en-US"/>
        </w:rPr>
        <w:t>Mupangwa</w:t>
      </w:r>
      <w:proofErr w:type="spellEnd"/>
      <w:r w:rsidRPr="003B1D3A">
        <w:rPr>
          <w:rFonts w:ascii="Times New Roman" w:hAnsi="Times New Roman" w:cs="Times New Roman"/>
          <w:sz w:val="24"/>
          <w:lang w:val="en-US"/>
        </w:rPr>
        <w:t xml:space="preserve"> W.T. and </w:t>
      </w:r>
      <w:proofErr w:type="spellStart"/>
      <w:r w:rsidRPr="003B1D3A">
        <w:rPr>
          <w:rFonts w:ascii="Times New Roman" w:hAnsi="Times New Roman" w:cs="Times New Roman"/>
          <w:sz w:val="24"/>
          <w:lang w:val="en-US"/>
        </w:rPr>
        <w:t>Tagwira</w:t>
      </w:r>
      <w:proofErr w:type="spellEnd"/>
      <w:r w:rsidRPr="003B1D3A">
        <w:rPr>
          <w:rFonts w:ascii="Times New Roman" w:hAnsi="Times New Roman" w:cs="Times New Roman"/>
          <w:sz w:val="24"/>
          <w:lang w:val="en-US"/>
        </w:rPr>
        <w:t xml:space="preserve"> F., 2005.</w:t>
      </w:r>
      <w:proofErr w:type="gramEnd"/>
      <w:r w:rsidRPr="003B1D3A">
        <w:rPr>
          <w:rFonts w:ascii="Times New Roman" w:hAnsi="Times New Roman" w:cs="Times New Roman"/>
          <w:sz w:val="24"/>
          <w:lang w:val="en-US"/>
        </w:rPr>
        <w:t xml:space="preserve"> </w:t>
      </w:r>
      <w:proofErr w:type="gramStart"/>
      <w:r w:rsidRPr="003B1D3A">
        <w:rPr>
          <w:rFonts w:ascii="Times New Roman" w:hAnsi="Times New Roman" w:cs="Times New Roman"/>
          <w:sz w:val="24"/>
          <w:lang w:val="en-US"/>
        </w:rPr>
        <w:t xml:space="preserve">Groundnut yield response to single superphosphate, </w:t>
      </w:r>
      <w:proofErr w:type="spellStart"/>
      <w:r w:rsidRPr="003B1D3A">
        <w:rPr>
          <w:rFonts w:ascii="Times New Roman" w:hAnsi="Times New Roman" w:cs="Times New Roman"/>
          <w:sz w:val="24"/>
          <w:lang w:val="en-US"/>
        </w:rPr>
        <w:t>calcitic</w:t>
      </w:r>
      <w:proofErr w:type="spellEnd"/>
      <w:r w:rsidRPr="003B1D3A">
        <w:rPr>
          <w:rFonts w:ascii="Times New Roman" w:hAnsi="Times New Roman" w:cs="Times New Roman"/>
          <w:sz w:val="24"/>
          <w:lang w:val="en-US"/>
        </w:rPr>
        <w:t xml:space="preserve"> lime and gypsum on acid granitic sandy soil.</w:t>
      </w:r>
      <w:proofErr w:type="gramEnd"/>
      <w:r w:rsidRPr="003B1D3A">
        <w:rPr>
          <w:rFonts w:ascii="Times New Roman" w:hAnsi="Times New Roman" w:cs="Times New Roman"/>
          <w:sz w:val="24"/>
          <w:lang w:val="en-US"/>
        </w:rPr>
        <w:t xml:space="preserve">  Nutrient Cycling in Agroecosystems (2005) 73:161–169 Springer 2005 DOI 10.1007/s10705-005-0075-3-1 </w:t>
      </w:r>
    </w:p>
    <w:p w14:paraId="5162DD05"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
    <w:p w14:paraId="1C399ABA" w14:textId="4E8D0952" w:rsidR="003D6171" w:rsidRPr="003B1D3A" w:rsidRDefault="003D6171"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Ndonda </w:t>
      </w:r>
      <w:proofErr w:type="spellStart"/>
      <w:r w:rsidRPr="003B1D3A">
        <w:rPr>
          <w:rFonts w:ascii="Times New Roman" w:eastAsia="Times New Roman" w:hAnsi="Times New Roman" w:cs="Times New Roman"/>
          <w:sz w:val="24"/>
          <w:szCs w:val="24"/>
          <w:lang w:val="en-US" w:eastAsia="fr-FR"/>
        </w:rPr>
        <w:t>Malonda</w:t>
      </w:r>
      <w:proofErr w:type="spellEnd"/>
      <w:r w:rsidRPr="003B1D3A">
        <w:rPr>
          <w:rFonts w:ascii="Times New Roman" w:eastAsia="Times New Roman" w:hAnsi="Times New Roman" w:cs="Times New Roman"/>
          <w:sz w:val="24"/>
          <w:szCs w:val="24"/>
          <w:lang w:val="en-US" w:eastAsia="fr-FR"/>
        </w:rPr>
        <w:t xml:space="preserve"> Adrien, 2018. </w:t>
      </w:r>
      <w:r w:rsidR="00B0315C" w:rsidRPr="003B1D3A">
        <w:rPr>
          <w:rFonts w:ascii="Times New Roman" w:eastAsia="Times New Roman" w:hAnsi="Times New Roman" w:cs="Times New Roman"/>
          <w:sz w:val="24"/>
          <w:szCs w:val="24"/>
          <w:lang w:val="en-US" w:eastAsia="fr-FR"/>
        </w:rPr>
        <w:t>Assessment of the agronomic effects of local mycorrhizal fungi on cassava (Manihot esculenta Crantz) productivity in degraded grassy fallow soils in Kisangani / DRC</w:t>
      </w:r>
      <w:r w:rsidRPr="003B1D3A">
        <w:rPr>
          <w:rFonts w:ascii="Times New Roman" w:eastAsia="Times New Roman" w:hAnsi="Times New Roman" w:cs="Times New Roman"/>
          <w:sz w:val="24"/>
          <w:szCs w:val="24"/>
          <w:lang w:val="en-US" w:eastAsia="fr-FR"/>
        </w:rPr>
        <w:t xml:space="preserve">. Doctoral Thesis, University of Kisangani, Faculty of Renewable Natural Resource Management, http://hal.science/tel-02010741/document </w:t>
      </w:r>
    </w:p>
    <w:p w14:paraId="5055782C"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roofErr w:type="spellStart"/>
      <w:proofErr w:type="gramStart"/>
      <w:r w:rsidRPr="003B1D3A">
        <w:rPr>
          <w:rFonts w:ascii="Times New Roman" w:hAnsi="Times New Roman" w:cs="Times New Roman"/>
          <w:sz w:val="24"/>
          <w:lang w:val="en-US"/>
        </w:rPr>
        <w:t>Razan</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Malla</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Saraswoti</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Kandel</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Bisheswar</w:t>
      </w:r>
      <w:proofErr w:type="spellEnd"/>
      <w:r w:rsidRPr="003B1D3A">
        <w:rPr>
          <w:rFonts w:ascii="Times New Roman" w:hAnsi="Times New Roman" w:cs="Times New Roman"/>
          <w:sz w:val="24"/>
          <w:lang w:val="en-US"/>
        </w:rPr>
        <w:t xml:space="preserve"> Prasad Yadav, Santosh </w:t>
      </w:r>
      <w:proofErr w:type="spellStart"/>
      <w:r w:rsidRPr="003B1D3A">
        <w:rPr>
          <w:rFonts w:ascii="Times New Roman" w:hAnsi="Times New Roman" w:cs="Times New Roman"/>
          <w:sz w:val="24"/>
          <w:lang w:val="en-US"/>
        </w:rPr>
        <w:t>Rasaily</w:t>
      </w:r>
      <w:proofErr w:type="spellEnd"/>
      <w:r w:rsidRPr="003B1D3A">
        <w:rPr>
          <w:rFonts w:ascii="Times New Roman" w:hAnsi="Times New Roman" w:cs="Times New Roman"/>
          <w:sz w:val="24"/>
          <w:lang w:val="en-US"/>
        </w:rPr>
        <w:t xml:space="preserve"> and </w:t>
      </w:r>
      <w:proofErr w:type="spellStart"/>
      <w:r w:rsidRPr="003B1D3A">
        <w:rPr>
          <w:rFonts w:ascii="Times New Roman" w:hAnsi="Times New Roman" w:cs="Times New Roman"/>
          <w:sz w:val="24"/>
          <w:lang w:val="en-US"/>
        </w:rPr>
        <w:t>Pramod</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Wagle</w:t>
      </w:r>
      <w:proofErr w:type="spellEnd"/>
      <w:r w:rsidRPr="003B1D3A">
        <w:rPr>
          <w:rFonts w:ascii="Times New Roman" w:hAnsi="Times New Roman" w:cs="Times New Roman"/>
          <w:sz w:val="24"/>
          <w:lang w:val="en-US"/>
        </w:rPr>
        <w:t>, 2021.</w:t>
      </w:r>
      <w:proofErr w:type="gramEnd"/>
      <w:r w:rsidRPr="003B1D3A">
        <w:rPr>
          <w:rFonts w:ascii="Times New Roman" w:hAnsi="Times New Roman" w:cs="Times New Roman"/>
          <w:sz w:val="24"/>
          <w:lang w:val="en-US"/>
        </w:rPr>
        <w:t xml:space="preserve"> Growth </w:t>
      </w:r>
      <w:proofErr w:type="gramStart"/>
      <w:r w:rsidRPr="003B1D3A">
        <w:rPr>
          <w:rFonts w:ascii="Times New Roman" w:hAnsi="Times New Roman" w:cs="Times New Roman"/>
          <w:sz w:val="24"/>
          <w:lang w:val="en-US"/>
        </w:rPr>
        <w:t>And</w:t>
      </w:r>
      <w:proofErr w:type="gramEnd"/>
      <w:r w:rsidRPr="003B1D3A">
        <w:rPr>
          <w:rFonts w:ascii="Times New Roman" w:hAnsi="Times New Roman" w:cs="Times New Roman"/>
          <w:sz w:val="24"/>
          <w:lang w:val="en-US"/>
        </w:rPr>
        <w:t xml:space="preserve"> Yield Responses To Calcium And Phosphorous Fertilization. International Journal of Advanced Research (IJAR) ISSN: 2320-5407 Int. J. Adv. Res. 9(04), 688-693 Journal Homepage: - </w:t>
      </w:r>
      <w:hyperlink r:id="rId18" w:history="1">
        <w:r w:rsidRPr="003B1D3A">
          <w:rPr>
            <w:rStyle w:val="Lienhypertexte"/>
            <w:rFonts w:ascii="Times New Roman" w:hAnsi="Times New Roman" w:cs="Times New Roman"/>
            <w:color w:val="auto"/>
            <w:sz w:val="24"/>
            <w:lang w:val="en-US"/>
          </w:rPr>
          <w:t>www.journalijar.com</w:t>
        </w:r>
      </w:hyperlink>
      <w:r w:rsidRPr="003B1D3A">
        <w:rPr>
          <w:rFonts w:ascii="Times New Roman" w:hAnsi="Times New Roman" w:cs="Times New Roman"/>
          <w:sz w:val="24"/>
          <w:lang w:val="en-US"/>
        </w:rPr>
        <w:t xml:space="preserve"> Article DOI: 10.21474/IJAR01/12752 DOI URL: http://dx.doi.org/10.21474/IJAR01/12752 </w:t>
      </w:r>
    </w:p>
    <w:p w14:paraId="165B9A15" w14:textId="5DFC646E" w:rsidR="003D6171" w:rsidRPr="003B1D3A" w:rsidRDefault="003D6171" w:rsidP="00F66F5F">
      <w:pPr>
        <w:ind w:left="450" w:hanging="450"/>
        <w:jc w:val="both"/>
        <w:rPr>
          <w:rFonts w:ascii="Times New Roman" w:eastAsia="Times New Roman" w:hAnsi="Times New Roman" w:cs="Times New Roman"/>
          <w:sz w:val="24"/>
          <w:szCs w:val="24"/>
          <w:lang w:val="en-US" w:eastAsia="fr-FR"/>
        </w:rPr>
      </w:pPr>
      <w:proofErr w:type="gramStart"/>
      <w:r w:rsidRPr="003B1D3A">
        <w:rPr>
          <w:rFonts w:ascii="Times New Roman" w:eastAsia="Times New Roman" w:hAnsi="Times New Roman" w:cs="Times New Roman"/>
          <w:sz w:val="24"/>
          <w:szCs w:val="24"/>
          <w:lang w:val="en-US" w:eastAsia="fr-FR"/>
        </w:rPr>
        <w:t>Schilling Robert,</w:t>
      </w:r>
      <w:r w:rsidR="00531C6D" w:rsidRPr="003B1D3A">
        <w:rPr>
          <w:rFonts w:ascii="Times New Roman" w:eastAsia="Times New Roman" w:hAnsi="Times New Roman" w:cs="Times New Roman"/>
          <w:sz w:val="24"/>
          <w:szCs w:val="24"/>
          <w:lang w:val="en-US" w:eastAsia="fr-FR"/>
        </w:rPr>
        <w:t xml:space="preserve"> 2001.</w:t>
      </w:r>
      <w:proofErr w:type="gramEnd"/>
      <w:r w:rsidR="00531C6D" w:rsidRPr="003B1D3A">
        <w:rPr>
          <w:rFonts w:ascii="Times New Roman" w:eastAsia="Times New Roman" w:hAnsi="Times New Roman" w:cs="Times New Roman"/>
          <w:sz w:val="24"/>
          <w:szCs w:val="24"/>
          <w:lang w:val="en-US" w:eastAsia="fr-FR"/>
        </w:rPr>
        <w:t xml:space="preserve"> </w:t>
      </w:r>
      <w:r w:rsidRPr="003B1D3A">
        <w:rPr>
          <w:rFonts w:ascii="Times New Roman" w:eastAsia="Times New Roman" w:hAnsi="Times New Roman" w:cs="Times New Roman"/>
          <w:sz w:val="24"/>
          <w:szCs w:val="24"/>
          <w:lang w:val="en-US" w:eastAsia="fr-FR"/>
        </w:rPr>
        <w:t xml:space="preserve"> </w:t>
      </w:r>
      <w:proofErr w:type="gramStart"/>
      <w:r w:rsidRPr="003B1D3A">
        <w:rPr>
          <w:rFonts w:ascii="Times New Roman" w:eastAsia="Times New Roman" w:hAnsi="Times New Roman" w:cs="Times New Roman"/>
          <w:sz w:val="24"/>
          <w:szCs w:val="24"/>
          <w:lang w:val="en-US" w:eastAsia="fr-FR"/>
        </w:rPr>
        <w:t>Basic agronomic data on the groundnut crop Groundnut; Oilseeds, Fats, Lipids.</w:t>
      </w:r>
      <w:proofErr w:type="gramEnd"/>
      <w:r w:rsidRPr="003B1D3A">
        <w:rPr>
          <w:rFonts w:ascii="Times New Roman" w:eastAsia="Times New Roman" w:hAnsi="Times New Roman" w:cs="Times New Roman"/>
          <w:sz w:val="24"/>
          <w:szCs w:val="24"/>
          <w:lang w:val="en-US" w:eastAsia="fr-FR"/>
        </w:rPr>
        <w:t xml:space="preserve"> Volume 8, Issue 3, 230-6, May - June 2001, Special Report: Soybeans, peanuts, cotton: aspects of the conditions for the development of the value chains Author(s</w:t>
      </w:r>
      <w:proofErr w:type="gramStart"/>
      <w:r w:rsidRPr="003B1D3A">
        <w:rPr>
          <w:rFonts w:ascii="Times New Roman" w:eastAsia="Times New Roman" w:hAnsi="Times New Roman" w:cs="Times New Roman"/>
          <w:sz w:val="24"/>
          <w:szCs w:val="24"/>
          <w:lang w:val="en-US" w:eastAsia="fr-FR"/>
        </w:rPr>
        <w:t>) ,</w:t>
      </w:r>
      <w:proofErr w:type="gramEnd"/>
      <w:r w:rsidRPr="003B1D3A">
        <w:rPr>
          <w:rFonts w:ascii="Times New Roman" w:eastAsia="Times New Roman" w:hAnsi="Times New Roman" w:cs="Times New Roman"/>
          <w:sz w:val="24"/>
          <w:szCs w:val="24"/>
          <w:lang w:val="en-US" w:eastAsia="fr-FR"/>
        </w:rPr>
        <w:t xml:space="preserve"> CIRAD-CA, TA 70/01, 73, rue J.-F.-Breton, 34398 Montpellier </w:t>
      </w:r>
      <w:proofErr w:type="spellStart"/>
      <w:r w:rsidRPr="003B1D3A">
        <w:rPr>
          <w:rFonts w:ascii="Times New Roman" w:eastAsia="Times New Roman" w:hAnsi="Times New Roman" w:cs="Times New Roman"/>
          <w:sz w:val="24"/>
          <w:szCs w:val="24"/>
          <w:lang w:val="en-US" w:eastAsia="fr-FR"/>
        </w:rPr>
        <w:t>Cedex</w:t>
      </w:r>
      <w:proofErr w:type="spellEnd"/>
      <w:r w:rsidRPr="003B1D3A">
        <w:rPr>
          <w:rFonts w:ascii="Times New Roman" w:eastAsia="Times New Roman" w:hAnsi="Times New Roman" w:cs="Times New Roman"/>
          <w:sz w:val="24"/>
          <w:szCs w:val="24"/>
          <w:lang w:val="en-US" w:eastAsia="fr-FR"/>
        </w:rPr>
        <w:t xml:space="preserve"> 5, France. Article available on the site http://www.ocl-journal.org or http://dx.doi.org/10.1051/ocl.2001.0230</w:t>
      </w:r>
    </w:p>
    <w:p w14:paraId="6B091D5F" w14:textId="21F1838A" w:rsidR="0011682B" w:rsidRPr="003B1D3A" w:rsidRDefault="003D6171"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Sharma V., G. R. </w:t>
      </w:r>
      <w:proofErr w:type="spellStart"/>
      <w:r w:rsidRPr="003B1D3A">
        <w:rPr>
          <w:rFonts w:ascii="Times New Roman" w:eastAsia="Times New Roman" w:hAnsi="Times New Roman" w:cs="Times New Roman"/>
          <w:sz w:val="24"/>
          <w:szCs w:val="24"/>
          <w:lang w:val="en-US" w:eastAsia="fr-FR"/>
        </w:rPr>
        <w:t>Purohit</w:t>
      </w:r>
      <w:proofErr w:type="spellEnd"/>
      <w:r w:rsidRPr="003B1D3A">
        <w:rPr>
          <w:rFonts w:ascii="Times New Roman" w:eastAsia="Times New Roman" w:hAnsi="Times New Roman" w:cs="Times New Roman"/>
          <w:sz w:val="24"/>
          <w:szCs w:val="24"/>
          <w:lang w:val="en-US" w:eastAsia="fr-FR"/>
        </w:rPr>
        <w:t xml:space="preserve">, R. S. Arya, M. Harsh, Evaluation of some complete rations in sheep incorporating unconventional feed resources of arid zones in India. Anim. </w:t>
      </w:r>
      <w:proofErr w:type="spellStart"/>
      <w:r w:rsidRPr="003B1D3A">
        <w:rPr>
          <w:rFonts w:ascii="Times New Roman" w:eastAsia="Times New Roman" w:hAnsi="Times New Roman" w:cs="Times New Roman"/>
          <w:sz w:val="24"/>
          <w:szCs w:val="24"/>
          <w:lang w:val="en-US" w:eastAsia="fr-FR"/>
        </w:rPr>
        <w:t>Nutr</w:t>
      </w:r>
      <w:proofErr w:type="spellEnd"/>
      <w:r w:rsidRPr="003B1D3A">
        <w:rPr>
          <w:rFonts w:ascii="Times New Roman" w:eastAsia="Times New Roman" w:hAnsi="Times New Roman" w:cs="Times New Roman"/>
          <w:sz w:val="24"/>
          <w:szCs w:val="24"/>
          <w:lang w:val="en-US" w:eastAsia="fr-FR"/>
        </w:rPr>
        <w:t xml:space="preserve">. Feed Technol., 6 (2006) 135 </w:t>
      </w:r>
      <w:r w:rsidR="0039197F"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141</w:t>
      </w:r>
    </w:p>
    <w:p w14:paraId="09A01A02" w14:textId="77777777" w:rsidR="00813001" w:rsidRPr="003B1D3A" w:rsidRDefault="00813001" w:rsidP="00F66F5F">
      <w:pPr>
        <w:spacing w:after="0"/>
        <w:ind w:left="360" w:hanging="360"/>
        <w:jc w:val="both"/>
        <w:textAlignment w:val="baseline"/>
        <w:rPr>
          <w:rFonts w:ascii="Times New Roman" w:hAnsi="Times New Roman" w:cs="Times New Roman"/>
          <w:sz w:val="24"/>
          <w:lang w:val="en-US"/>
        </w:rPr>
      </w:pPr>
    </w:p>
    <w:p w14:paraId="798F4D94" w14:textId="77777777" w:rsidR="00813001" w:rsidRPr="003B1D3A" w:rsidRDefault="00813001" w:rsidP="00F66F5F">
      <w:pPr>
        <w:spacing w:after="0"/>
        <w:ind w:left="360" w:hanging="360"/>
        <w:jc w:val="both"/>
        <w:textAlignment w:val="baseline"/>
        <w:rPr>
          <w:rFonts w:ascii="Times New Roman" w:hAnsi="Times New Roman" w:cs="Times New Roman"/>
          <w:sz w:val="24"/>
          <w:lang w:val="en-US"/>
        </w:rPr>
      </w:pPr>
    </w:p>
    <w:p w14:paraId="58CBA15E" w14:textId="77777777" w:rsidR="0039197F" w:rsidRPr="003B1D3A" w:rsidRDefault="0039197F" w:rsidP="00F66F5F">
      <w:pPr>
        <w:ind w:left="450" w:hanging="450"/>
        <w:jc w:val="both"/>
        <w:rPr>
          <w:rFonts w:ascii="Times New Roman" w:hAnsi="Times New Roman" w:cs="Times New Roman"/>
          <w:sz w:val="24"/>
          <w:szCs w:val="24"/>
          <w:lang w:val="en-US"/>
        </w:rPr>
      </w:pPr>
    </w:p>
    <w:p w14:paraId="57B8C6FD" w14:textId="77777777" w:rsidR="006134C7" w:rsidRPr="003B1D3A" w:rsidRDefault="006134C7" w:rsidP="00F66F5F">
      <w:pPr>
        <w:jc w:val="both"/>
        <w:rPr>
          <w:rFonts w:ascii="Times New Roman" w:hAnsi="Times New Roman" w:cs="Times New Roman"/>
          <w:sz w:val="24"/>
          <w:szCs w:val="24"/>
          <w:lang w:val="en-US"/>
        </w:rPr>
      </w:pPr>
    </w:p>
    <w:sectPr w:rsidR="006134C7" w:rsidRPr="003B1D3A">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A9970" w14:textId="77777777" w:rsidR="00F05AF7" w:rsidRDefault="00F05AF7" w:rsidP="009E0CB9">
      <w:pPr>
        <w:spacing w:after="0" w:line="240" w:lineRule="auto"/>
      </w:pPr>
      <w:r>
        <w:separator/>
      </w:r>
    </w:p>
  </w:endnote>
  <w:endnote w:type="continuationSeparator" w:id="0">
    <w:p w14:paraId="028C8C90" w14:textId="77777777" w:rsidR="00F05AF7" w:rsidRDefault="00F05AF7" w:rsidP="009E0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1F886" w14:textId="77777777" w:rsidR="00A07881" w:rsidRDefault="00A0788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EB3D3" w14:textId="77777777" w:rsidR="00A07881" w:rsidRDefault="00A0788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4970B" w14:textId="77777777" w:rsidR="00A07881" w:rsidRDefault="00A0788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6C5A5" w14:textId="77777777" w:rsidR="00F05AF7" w:rsidRDefault="00F05AF7" w:rsidP="009E0CB9">
      <w:pPr>
        <w:spacing w:after="0" w:line="240" w:lineRule="auto"/>
      </w:pPr>
      <w:r>
        <w:separator/>
      </w:r>
    </w:p>
  </w:footnote>
  <w:footnote w:type="continuationSeparator" w:id="0">
    <w:p w14:paraId="3D526C2F" w14:textId="77777777" w:rsidR="00F05AF7" w:rsidRDefault="00F05AF7" w:rsidP="009E0C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F5EF" w14:textId="04894182" w:rsidR="00A07881" w:rsidRDefault="00A07881">
    <w:pPr>
      <w:pStyle w:val="En-tte"/>
    </w:pPr>
    <w:r>
      <w:rPr>
        <w:noProof/>
      </w:rPr>
      <w:pict w14:anchorId="619DF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9086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59D2E" w14:textId="46E1475F" w:rsidR="00A07881" w:rsidRDefault="00A07881">
    <w:pPr>
      <w:pStyle w:val="En-tte"/>
    </w:pPr>
    <w:r>
      <w:rPr>
        <w:noProof/>
      </w:rPr>
      <w:pict w14:anchorId="13A54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9086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316B4" w14:textId="5AF1F11C" w:rsidR="00A07881" w:rsidRDefault="00A07881">
    <w:pPr>
      <w:pStyle w:val="En-tte"/>
    </w:pPr>
    <w:r>
      <w:rPr>
        <w:noProof/>
      </w:rPr>
      <w:pict w14:anchorId="46342E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9085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A7CB6"/>
    <w:multiLevelType w:val="multilevel"/>
    <w:tmpl w:val="55C2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069C5"/>
    <w:multiLevelType w:val="multilevel"/>
    <w:tmpl w:val="DA2E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1D7DA4"/>
    <w:multiLevelType w:val="hybridMultilevel"/>
    <w:tmpl w:val="7CAC4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2FC2303"/>
    <w:multiLevelType w:val="hybridMultilevel"/>
    <w:tmpl w:val="B170B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74D396D"/>
    <w:multiLevelType w:val="hybridMultilevel"/>
    <w:tmpl w:val="D5B880B0"/>
    <w:lvl w:ilvl="0" w:tplc="5DAA972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33B5E6B"/>
    <w:multiLevelType w:val="multilevel"/>
    <w:tmpl w:val="0D2A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4F203C"/>
    <w:multiLevelType w:val="multilevel"/>
    <w:tmpl w:val="8698F9A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FF064F6"/>
    <w:multiLevelType w:val="multilevel"/>
    <w:tmpl w:val="FFF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5"/>
  </w:num>
  <w:num w:numId="4">
    <w:abstractNumId w:val="1"/>
  </w:num>
  <w:num w:numId="5">
    <w:abstractNumId w:val="6"/>
    <w:lvlOverride w:ilvl="0">
      <w:lvl w:ilvl="0">
        <w:numFmt w:val="decimal"/>
        <w:lvlText w:val="%1."/>
        <w:lvlJc w:val="left"/>
      </w:lvl>
    </w:lvlOverride>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fr-F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DFF"/>
    <w:rsid w:val="00024A11"/>
    <w:rsid w:val="0006432B"/>
    <w:rsid w:val="0010767F"/>
    <w:rsid w:val="0011682B"/>
    <w:rsid w:val="001569CE"/>
    <w:rsid w:val="001A07E3"/>
    <w:rsid w:val="001C2398"/>
    <w:rsid w:val="00254F27"/>
    <w:rsid w:val="00291FE1"/>
    <w:rsid w:val="002B7797"/>
    <w:rsid w:val="002C78E6"/>
    <w:rsid w:val="002E30D4"/>
    <w:rsid w:val="00320464"/>
    <w:rsid w:val="00371421"/>
    <w:rsid w:val="00371758"/>
    <w:rsid w:val="003726D8"/>
    <w:rsid w:val="0039197F"/>
    <w:rsid w:val="003B1D3A"/>
    <w:rsid w:val="003C468D"/>
    <w:rsid w:val="003D6171"/>
    <w:rsid w:val="00435341"/>
    <w:rsid w:val="004A18D2"/>
    <w:rsid w:val="00531C6D"/>
    <w:rsid w:val="00546517"/>
    <w:rsid w:val="005C59FB"/>
    <w:rsid w:val="005D0D1F"/>
    <w:rsid w:val="005E6703"/>
    <w:rsid w:val="006134C7"/>
    <w:rsid w:val="00653220"/>
    <w:rsid w:val="006C2A7F"/>
    <w:rsid w:val="006F41FF"/>
    <w:rsid w:val="0070203E"/>
    <w:rsid w:val="00730A8E"/>
    <w:rsid w:val="0075653B"/>
    <w:rsid w:val="007632FE"/>
    <w:rsid w:val="007F052B"/>
    <w:rsid w:val="007F3C39"/>
    <w:rsid w:val="00813001"/>
    <w:rsid w:val="00863DBA"/>
    <w:rsid w:val="0087114D"/>
    <w:rsid w:val="008D7D5F"/>
    <w:rsid w:val="008E0F55"/>
    <w:rsid w:val="009107EF"/>
    <w:rsid w:val="00945A29"/>
    <w:rsid w:val="00956C1E"/>
    <w:rsid w:val="009E0CB9"/>
    <w:rsid w:val="00A07881"/>
    <w:rsid w:val="00A44FA7"/>
    <w:rsid w:val="00A75482"/>
    <w:rsid w:val="00A92DFD"/>
    <w:rsid w:val="00AA59B4"/>
    <w:rsid w:val="00AD32F4"/>
    <w:rsid w:val="00AE4759"/>
    <w:rsid w:val="00B0315C"/>
    <w:rsid w:val="00B50E93"/>
    <w:rsid w:val="00B7751C"/>
    <w:rsid w:val="00BD1823"/>
    <w:rsid w:val="00BD2627"/>
    <w:rsid w:val="00BF3DFF"/>
    <w:rsid w:val="00C13766"/>
    <w:rsid w:val="00C62F80"/>
    <w:rsid w:val="00C81FF4"/>
    <w:rsid w:val="00CA3A44"/>
    <w:rsid w:val="00CE3A23"/>
    <w:rsid w:val="00D2183A"/>
    <w:rsid w:val="00D360B5"/>
    <w:rsid w:val="00D90235"/>
    <w:rsid w:val="00DC648B"/>
    <w:rsid w:val="00DD05EB"/>
    <w:rsid w:val="00DD26A6"/>
    <w:rsid w:val="00E252BB"/>
    <w:rsid w:val="00E7309E"/>
    <w:rsid w:val="00EF0B57"/>
    <w:rsid w:val="00F05AF7"/>
    <w:rsid w:val="00F06323"/>
    <w:rsid w:val="00F34602"/>
    <w:rsid w:val="00F66F5F"/>
    <w:rsid w:val="00F85A32"/>
    <w:rsid w:val="00F87652"/>
    <w:rsid w:val="00FA1C97"/>
    <w:rsid w:val="00FE04E5"/>
    <w:rsid w:val="00FF05BA"/>
    <w:rsid w:val="00FF30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DFF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BF3D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BF3DF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F3DF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F3DF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BF3DF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F3DFF"/>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BF3DFF"/>
    <w:rPr>
      <w:b/>
      <w:bCs/>
    </w:rPr>
  </w:style>
  <w:style w:type="paragraph" w:styleId="NormalWeb">
    <w:name w:val="Normal (Web)"/>
    <w:basedOn w:val="Normal"/>
    <w:uiPriority w:val="99"/>
    <w:unhideWhenUsed/>
    <w:rsid w:val="00BF3DF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F3DFF"/>
    <w:rPr>
      <w:i/>
      <w:iCs/>
    </w:rPr>
  </w:style>
  <w:style w:type="character" w:styleId="Lienhypertexte">
    <w:name w:val="Hyperlink"/>
    <w:basedOn w:val="Policepardfaut"/>
    <w:uiPriority w:val="99"/>
    <w:unhideWhenUsed/>
    <w:rsid w:val="00BF3DFF"/>
    <w:rPr>
      <w:color w:val="0000FF"/>
      <w:u w:val="single"/>
    </w:rPr>
  </w:style>
  <w:style w:type="paragraph" w:styleId="Textedebulles">
    <w:name w:val="Balloon Text"/>
    <w:basedOn w:val="Normal"/>
    <w:link w:val="TextedebullesCar"/>
    <w:uiPriority w:val="99"/>
    <w:semiHidden/>
    <w:unhideWhenUsed/>
    <w:rsid w:val="00BD26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2627"/>
    <w:rPr>
      <w:rFonts w:ascii="Tahoma" w:hAnsi="Tahoma" w:cs="Tahoma"/>
      <w:sz w:val="16"/>
      <w:szCs w:val="16"/>
    </w:rPr>
  </w:style>
  <w:style w:type="character" w:customStyle="1" w:styleId="UnresolvedMention">
    <w:name w:val="Unresolved Mention"/>
    <w:basedOn w:val="Policepardfaut"/>
    <w:uiPriority w:val="99"/>
    <w:semiHidden/>
    <w:unhideWhenUsed/>
    <w:rsid w:val="00291FE1"/>
    <w:rPr>
      <w:color w:val="605E5C"/>
      <w:shd w:val="clear" w:color="auto" w:fill="E1DFDD"/>
    </w:rPr>
  </w:style>
  <w:style w:type="paragraph" w:styleId="En-tte">
    <w:name w:val="header"/>
    <w:basedOn w:val="Normal"/>
    <w:link w:val="En-tteCar"/>
    <w:uiPriority w:val="99"/>
    <w:unhideWhenUsed/>
    <w:rsid w:val="009E0CB9"/>
    <w:pPr>
      <w:tabs>
        <w:tab w:val="center" w:pos="4680"/>
        <w:tab w:val="right" w:pos="9360"/>
      </w:tabs>
      <w:spacing w:after="0" w:line="240" w:lineRule="auto"/>
    </w:pPr>
  </w:style>
  <w:style w:type="character" w:customStyle="1" w:styleId="En-tteCar">
    <w:name w:val="En-tête Car"/>
    <w:basedOn w:val="Policepardfaut"/>
    <w:link w:val="En-tte"/>
    <w:uiPriority w:val="99"/>
    <w:rsid w:val="009E0CB9"/>
  </w:style>
  <w:style w:type="paragraph" w:styleId="Pieddepage">
    <w:name w:val="footer"/>
    <w:basedOn w:val="Normal"/>
    <w:link w:val="PieddepageCar"/>
    <w:uiPriority w:val="99"/>
    <w:unhideWhenUsed/>
    <w:rsid w:val="009E0CB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E0CB9"/>
  </w:style>
  <w:style w:type="paragraph" w:styleId="Sansinterligne">
    <w:name w:val="No Spacing"/>
    <w:uiPriority w:val="1"/>
    <w:qFormat/>
    <w:rsid w:val="002C78E6"/>
    <w:pPr>
      <w:spacing w:after="0" w:line="240" w:lineRule="auto"/>
    </w:pPr>
  </w:style>
  <w:style w:type="paragraph" w:styleId="Paragraphedeliste">
    <w:name w:val="List Paragraph"/>
    <w:basedOn w:val="Normal"/>
    <w:uiPriority w:val="34"/>
    <w:qFormat/>
    <w:rsid w:val="006F41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BF3D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BF3DF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F3DF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F3DF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BF3DF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F3DFF"/>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BF3DFF"/>
    <w:rPr>
      <w:b/>
      <w:bCs/>
    </w:rPr>
  </w:style>
  <w:style w:type="paragraph" w:styleId="NormalWeb">
    <w:name w:val="Normal (Web)"/>
    <w:basedOn w:val="Normal"/>
    <w:uiPriority w:val="99"/>
    <w:unhideWhenUsed/>
    <w:rsid w:val="00BF3DF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F3DFF"/>
    <w:rPr>
      <w:i/>
      <w:iCs/>
    </w:rPr>
  </w:style>
  <w:style w:type="character" w:styleId="Lienhypertexte">
    <w:name w:val="Hyperlink"/>
    <w:basedOn w:val="Policepardfaut"/>
    <w:uiPriority w:val="99"/>
    <w:unhideWhenUsed/>
    <w:rsid w:val="00BF3DFF"/>
    <w:rPr>
      <w:color w:val="0000FF"/>
      <w:u w:val="single"/>
    </w:rPr>
  </w:style>
  <w:style w:type="paragraph" w:styleId="Textedebulles">
    <w:name w:val="Balloon Text"/>
    <w:basedOn w:val="Normal"/>
    <w:link w:val="TextedebullesCar"/>
    <w:uiPriority w:val="99"/>
    <w:semiHidden/>
    <w:unhideWhenUsed/>
    <w:rsid w:val="00BD26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2627"/>
    <w:rPr>
      <w:rFonts w:ascii="Tahoma" w:hAnsi="Tahoma" w:cs="Tahoma"/>
      <w:sz w:val="16"/>
      <w:szCs w:val="16"/>
    </w:rPr>
  </w:style>
  <w:style w:type="character" w:customStyle="1" w:styleId="UnresolvedMention">
    <w:name w:val="Unresolved Mention"/>
    <w:basedOn w:val="Policepardfaut"/>
    <w:uiPriority w:val="99"/>
    <w:semiHidden/>
    <w:unhideWhenUsed/>
    <w:rsid w:val="00291FE1"/>
    <w:rPr>
      <w:color w:val="605E5C"/>
      <w:shd w:val="clear" w:color="auto" w:fill="E1DFDD"/>
    </w:rPr>
  </w:style>
  <w:style w:type="paragraph" w:styleId="En-tte">
    <w:name w:val="header"/>
    <w:basedOn w:val="Normal"/>
    <w:link w:val="En-tteCar"/>
    <w:uiPriority w:val="99"/>
    <w:unhideWhenUsed/>
    <w:rsid w:val="009E0CB9"/>
    <w:pPr>
      <w:tabs>
        <w:tab w:val="center" w:pos="4680"/>
        <w:tab w:val="right" w:pos="9360"/>
      </w:tabs>
      <w:spacing w:after="0" w:line="240" w:lineRule="auto"/>
    </w:pPr>
  </w:style>
  <w:style w:type="character" w:customStyle="1" w:styleId="En-tteCar">
    <w:name w:val="En-tête Car"/>
    <w:basedOn w:val="Policepardfaut"/>
    <w:link w:val="En-tte"/>
    <w:uiPriority w:val="99"/>
    <w:rsid w:val="009E0CB9"/>
  </w:style>
  <w:style w:type="paragraph" w:styleId="Pieddepage">
    <w:name w:val="footer"/>
    <w:basedOn w:val="Normal"/>
    <w:link w:val="PieddepageCar"/>
    <w:uiPriority w:val="99"/>
    <w:unhideWhenUsed/>
    <w:rsid w:val="009E0CB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E0CB9"/>
  </w:style>
  <w:style w:type="paragraph" w:styleId="Sansinterligne">
    <w:name w:val="No Spacing"/>
    <w:uiPriority w:val="1"/>
    <w:qFormat/>
    <w:rsid w:val="002C78E6"/>
    <w:pPr>
      <w:spacing w:after="0" w:line="240" w:lineRule="auto"/>
    </w:pPr>
  </w:style>
  <w:style w:type="paragraph" w:styleId="Paragraphedeliste">
    <w:name w:val="List Paragraph"/>
    <w:basedOn w:val="Normal"/>
    <w:uiPriority w:val="34"/>
    <w:qFormat/>
    <w:rsid w:val="006F41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3163">
      <w:bodyDiv w:val="1"/>
      <w:marLeft w:val="0"/>
      <w:marRight w:val="0"/>
      <w:marTop w:val="0"/>
      <w:marBottom w:val="0"/>
      <w:divBdr>
        <w:top w:val="none" w:sz="0" w:space="0" w:color="auto"/>
        <w:left w:val="none" w:sz="0" w:space="0" w:color="auto"/>
        <w:bottom w:val="none" w:sz="0" w:space="0" w:color="auto"/>
        <w:right w:val="none" w:sz="0" w:space="0" w:color="auto"/>
      </w:divBdr>
    </w:div>
    <w:div w:id="117839829">
      <w:bodyDiv w:val="1"/>
      <w:marLeft w:val="0"/>
      <w:marRight w:val="0"/>
      <w:marTop w:val="0"/>
      <w:marBottom w:val="0"/>
      <w:divBdr>
        <w:top w:val="none" w:sz="0" w:space="0" w:color="auto"/>
        <w:left w:val="none" w:sz="0" w:space="0" w:color="auto"/>
        <w:bottom w:val="none" w:sz="0" w:space="0" w:color="auto"/>
        <w:right w:val="none" w:sz="0" w:space="0" w:color="auto"/>
      </w:divBdr>
    </w:div>
    <w:div w:id="211162979">
      <w:bodyDiv w:val="1"/>
      <w:marLeft w:val="0"/>
      <w:marRight w:val="0"/>
      <w:marTop w:val="0"/>
      <w:marBottom w:val="0"/>
      <w:divBdr>
        <w:top w:val="none" w:sz="0" w:space="0" w:color="auto"/>
        <w:left w:val="none" w:sz="0" w:space="0" w:color="auto"/>
        <w:bottom w:val="none" w:sz="0" w:space="0" w:color="auto"/>
        <w:right w:val="none" w:sz="0" w:space="0" w:color="auto"/>
      </w:divBdr>
    </w:div>
    <w:div w:id="289019025">
      <w:bodyDiv w:val="1"/>
      <w:marLeft w:val="0"/>
      <w:marRight w:val="0"/>
      <w:marTop w:val="0"/>
      <w:marBottom w:val="0"/>
      <w:divBdr>
        <w:top w:val="none" w:sz="0" w:space="0" w:color="auto"/>
        <w:left w:val="none" w:sz="0" w:space="0" w:color="auto"/>
        <w:bottom w:val="none" w:sz="0" w:space="0" w:color="auto"/>
        <w:right w:val="none" w:sz="0" w:space="0" w:color="auto"/>
      </w:divBdr>
    </w:div>
    <w:div w:id="358161909">
      <w:bodyDiv w:val="1"/>
      <w:marLeft w:val="0"/>
      <w:marRight w:val="0"/>
      <w:marTop w:val="0"/>
      <w:marBottom w:val="0"/>
      <w:divBdr>
        <w:top w:val="none" w:sz="0" w:space="0" w:color="auto"/>
        <w:left w:val="none" w:sz="0" w:space="0" w:color="auto"/>
        <w:bottom w:val="none" w:sz="0" w:space="0" w:color="auto"/>
        <w:right w:val="none" w:sz="0" w:space="0" w:color="auto"/>
      </w:divBdr>
    </w:div>
    <w:div w:id="358508746">
      <w:bodyDiv w:val="1"/>
      <w:marLeft w:val="0"/>
      <w:marRight w:val="0"/>
      <w:marTop w:val="0"/>
      <w:marBottom w:val="0"/>
      <w:divBdr>
        <w:top w:val="none" w:sz="0" w:space="0" w:color="auto"/>
        <w:left w:val="none" w:sz="0" w:space="0" w:color="auto"/>
        <w:bottom w:val="none" w:sz="0" w:space="0" w:color="auto"/>
        <w:right w:val="none" w:sz="0" w:space="0" w:color="auto"/>
      </w:divBdr>
    </w:div>
    <w:div w:id="468522163">
      <w:bodyDiv w:val="1"/>
      <w:marLeft w:val="0"/>
      <w:marRight w:val="0"/>
      <w:marTop w:val="0"/>
      <w:marBottom w:val="0"/>
      <w:divBdr>
        <w:top w:val="none" w:sz="0" w:space="0" w:color="auto"/>
        <w:left w:val="none" w:sz="0" w:space="0" w:color="auto"/>
        <w:bottom w:val="none" w:sz="0" w:space="0" w:color="auto"/>
        <w:right w:val="none" w:sz="0" w:space="0" w:color="auto"/>
      </w:divBdr>
    </w:div>
    <w:div w:id="499471466">
      <w:bodyDiv w:val="1"/>
      <w:marLeft w:val="0"/>
      <w:marRight w:val="0"/>
      <w:marTop w:val="0"/>
      <w:marBottom w:val="0"/>
      <w:divBdr>
        <w:top w:val="none" w:sz="0" w:space="0" w:color="auto"/>
        <w:left w:val="none" w:sz="0" w:space="0" w:color="auto"/>
        <w:bottom w:val="none" w:sz="0" w:space="0" w:color="auto"/>
        <w:right w:val="none" w:sz="0" w:space="0" w:color="auto"/>
      </w:divBdr>
    </w:div>
    <w:div w:id="536042147">
      <w:bodyDiv w:val="1"/>
      <w:marLeft w:val="0"/>
      <w:marRight w:val="0"/>
      <w:marTop w:val="0"/>
      <w:marBottom w:val="0"/>
      <w:divBdr>
        <w:top w:val="none" w:sz="0" w:space="0" w:color="auto"/>
        <w:left w:val="none" w:sz="0" w:space="0" w:color="auto"/>
        <w:bottom w:val="none" w:sz="0" w:space="0" w:color="auto"/>
        <w:right w:val="none" w:sz="0" w:space="0" w:color="auto"/>
      </w:divBdr>
    </w:div>
    <w:div w:id="541216159">
      <w:bodyDiv w:val="1"/>
      <w:marLeft w:val="0"/>
      <w:marRight w:val="0"/>
      <w:marTop w:val="0"/>
      <w:marBottom w:val="0"/>
      <w:divBdr>
        <w:top w:val="none" w:sz="0" w:space="0" w:color="auto"/>
        <w:left w:val="none" w:sz="0" w:space="0" w:color="auto"/>
        <w:bottom w:val="none" w:sz="0" w:space="0" w:color="auto"/>
        <w:right w:val="none" w:sz="0" w:space="0" w:color="auto"/>
      </w:divBdr>
    </w:div>
    <w:div w:id="640309414">
      <w:bodyDiv w:val="1"/>
      <w:marLeft w:val="0"/>
      <w:marRight w:val="0"/>
      <w:marTop w:val="0"/>
      <w:marBottom w:val="0"/>
      <w:divBdr>
        <w:top w:val="none" w:sz="0" w:space="0" w:color="auto"/>
        <w:left w:val="none" w:sz="0" w:space="0" w:color="auto"/>
        <w:bottom w:val="none" w:sz="0" w:space="0" w:color="auto"/>
        <w:right w:val="none" w:sz="0" w:space="0" w:color="auto"/>
      </w:divBdr>
    </w:div>
    <w:div w:id="853423947">
      <w:bodyDiv w:val="1"/>
      <w:marLeft w:val="0"/>
      <w:marRight w:val="0"/>
      <w:marTop w:val="0"/>
      <w:marBottom w:val="0"/>
      <w:divBdr>
        <w:top w:val="none" w:sz="0" w:space="0" w:color="auto"/>
        <w:left w:val="none" w:sz="0" w:space="0" w:color="auto"/>
        <w:bottom w:val="none" w:sz="0" w:space="0" w:color="auto"/>
        <w:right w:val="none" w:sz="0" w:space="0" w:color="auto"/>
      </w:divBdr>
    </w:div>
    <w:div w:id="869538689">
      <w:bodyDiv w:val="1"/>
      <w:marLeft w:val="0"/>
      <w:marRight w:val="0"/>
      <w:marTop w:val="0"/>
      <w:marBottom w:val="0"/>
      <w:divBdr>
        <w:top w:val="none" w:sz="0" w:space="0" w:color="auto"/>
        <w:left w:val="none" w:sz="0" w:space="0" w:color="auto"/>
        <w:bottom w:val="none" w:sz="0" w:space="0" w:color="auto"/>
        <w:right w:val="none" w:sz="0" w:space="0" w:color="auto"/>
      </w:divBdr>
    </w:div>
    <w:div w:id="923534135">
      <w:bodyDiv w:val="1"/>
      <w:marLeft w:val="0"/>
      <w:marRight w:val="0"/>
      <w:marTop w:val="0"/>
      <w:marBottom w:val="0"/>
      <w:divBdr>
        <w:top w:val="none" w:sz="0" w:space="0" w:color="auto"/>
        <w:left w:val="none" w:sz="0" w:space="0" w:color="auto"/>
        <w:bottom w:val="none" w:sz="0" w:space="0" w:color="auto"/>
        <w:right w:val="none" w:sz="0" w:space="0" w:color="auto"/>
      </w:divBdr>
    </w:div>
    <w:div w:id="963344831">
      <w:bodyDiv w:val="1"/>
      <w:marLeft w:val="0"/>
      <w:marRight w:val="0"/>
      <w:marTop w:val="0"/>
      <w:marBottom w:val="0"/>
      <w:divBdr>
        <w:top w:val="none" w:sz="0" w:space="0" w:color="auto"/>
        <w:left w:val="none" w:sz="0" w:space="0" w:color="auto"/>
        <w:bottom w:val="none" w:sz="0" w:space="0" w:color="auto"/>
        <w:right w:val="none" w:sz="0" w:space="0" w:color="auto"/>
      </w:divBdr>
    </w:div>
    <w:div w:id="1036733302">
      <w:bodyDiv w:val="1"/>
      <w:marLeft w:val="0"/>
      <w:marRight w:val="0"/>
      <w:marTop w:val="0"/>
      <w:marBottom w:val="0"/>
      <w:divBdr>
        <w:top w:val="none" w:sz="0" w:space="0" w:color="auto"/>
        <w:left w:val="none" w:sz="0" w:space="0" w:color="auto"/>
        <w:bottom w:val="none" w:sz="0" w:space="0" w:color="auto"/>
        <w:right w:val="none" w:sz="0" w:space="0" w:color="auto"/>
      </w:divBdr>
    </w:div>
    <w:div w:id="1174765298">
      <w:bodyDiv w:val="1"/>
      <w:marLeft w:val="0"/>
      <w:marRight w:val="0"/>
      <w:marTop w:val="0"/>
      <w:marBottom w:val="0"/>
      <w:divBdr>
        <w:top w:val="none" w:sz="0" w:space="0" w:color="auto"/>
        <w:left w:val="none" w:sz="0" w:space="0" w:color="auto"/>
        <w:bottom w:val="none" w:sz="0" w:space="0" w:color="auto"/>
        <w:right w:val="none" w:sz="0" w:space="0" w:color="auto"/>
      </w:divBdr>
    </w:div>
    <w:div w:id="1325547982">
      <w:bodyDiv w:val="1"/>
      <w:marLeft w:val="0"/>
      <w:marRight w:val="0"/>
      <w:marTop w:val="0"/>
      <w:marBottom w:val="0"/>
      <w:divBdr>
        <w:top w:val="none" w:sz="0" w:space="0" w:color="auto"/>
        <w:left w:val="none" w:sz="0" w:space="0" w:color="auto"/>
        <w:bottom w:val="none" w:sz="0" w:space="0" w:color="auto"/>
        <w:right w:val="none" w:sz="0" w:space="0" w:color="auto"/>
      </w:divBdr>
    </w:div>
    <w:div w:id="1422263741">
      <w:bodyDiv w:val="1"/>
      <w:marLeft w:val="0"/>
      <w:marRight w:val="0"/>
      <w:marTop w:val="0"/>
      <w:marBottom w:val="0"/>
      <w:divBdr>
        <w:top w:val="none" w:sz="0" w:space="0" w:color="auto"/>
        <w:left w:val="none" w:sz="0" w:space="0" w:color="auto"/>
        <w:bottom w:val="none" w:sz="0" w:space="0" w:color="auto"/>
        <w:right w:val="none" w:sz="0" w:space="0" w:color="auto"/>
      </w:divBdr>
      <w:divsChild>
        <w:div w:id="206189343">
          <w:marLeft w:val="0"/>
          <w:marRight w:val="0"/>
          <w:marTop w:val="0"/>
          <w:marBottom w:val="0"/>
          <w:divBdr>
            <w:top w:val="none" w:sz="0" w:space="0" w:color="auto"/>
            <w:left w:val="none" w:sz="0" w:space="0" w:color="auto"/>
            <w:bottom w:val="none" w:sz="0" w:space="0" w:color="auto"/>
            <w:right w:val="none" w:sz="0" w:space="0" w:color="auto"/>
          </w:divBdr>
          <w:divsChild>
            <w:div w:id="771704921">
              <w:marLeft w:val="0"/>
              <w:marRight w:val="0"/>
              <w:marTop w:val="0"/>
              <w:marBottom w:val="0"/>
              <w:divBdr>
                <w:top w:val="none" w:sz="0" w:space="0" w:color="auto"/>
                <w:left w:val="none" w:sz="0" w:space="0" w:color="auto"/>
                <w:bottom w:val="none" w:sz="0" w:space="0" w:color="auto"/>
                <w:right w:val="none" w:sz="0" w:space="0" w:color="auto"/>
              </w:divBdr>
              <w:divsChild>
                <w:div w:id="1389959888">
                  <w:marLeft w:val="0"/>
                  <w:marRight w:val="0"/>
                  <w:marTop w:val="0"/>
                  <w:marBottom w:val="0"/>
                  <w:divBdr>
                    <w:top w:val="none" w:sz="0" w:space="0" w:color="auto"/>
                    <w:left w:val="none" w:sz="0" w:space="0" w:color="auto"/>
                    <w:bottom w:val="none" w:sz="0" w:space="0" w:color="auto"/>
                    <w:right w:val="none" w:sz="0" w:space="0" w:color="auto"/>
                  </w:divBdr>
                  <w:divsChild>
                    <w:div w:id="1480263919">
                      <w:marLeft w:val="0"/>
                      <w:marRight w:val="0"/>
                      <w:marTop w:val="0"/>
                      <w:marBottom w:val="0"/>
                      <w:divBdr>
                        <w:top w:val="none" w:sz="0" w:space="0" w:color="auto"/>
                        <w:left w:val="none" w:sz="0" w:space="0" w:color="auto"/>
                        <w:bottom w:val="none" w:sz="0" w:space="0" w:color="auto"/>
                        <w:right w:val="none" w:sz="0" w:space="0" w:color="auto"/>
                      </w:divBdr>
                      <w:divsChild>
                        <w:div w:id="1007944683">
                          <w:marLeft w:val="0"/>
                          <w:marRight w:val="0"/>
                          <w:marTop w:val="0"/>
                          <w:marBottom w:val="0"/>
                          <w:divBdr>
                            <w:top w:val="none" w:sz="0" w:space="0" w:color="auto"/>
                            <w:left w:val="none" w:sz="0" w:space="0" w:color="auto"/>
                            <w:bottom w:val="none" w:sz="0" w:space="0" w:color="auto"/>
                            <w:right w:val="none" w:sz="0" w:space="0" w:color="auto"/>
                          </w:divBdr>
                          <w:divsChild>
                            <w:div w:id="1153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005805">
      <w:bodyDiv w:val="1"/>
      <w:marLeft w:val="0"/>
      <w:marRight w:val="0"/>
      <w:marTop w:val="0"/>
      <w:marBottom w:val="0"/>
      <w:divBdr>
        <w:top w:val="none" w:sz="0" w:space="0" w:color="auto"/>
        <w:left w:val="none" w:sz="0" w:space="0" w:color="auto"/>
        <w:bottom w:val="none" w:sz="0" w:space="0" w:color="auto"/>
        <w:right w:val="none" w:sz="0" w:space="0" w:color="auto"/>
      </w:divBdr>
      <w:divsChild>
        <w:div w:id="1884556768">
          <w:marLeft w:val="0"/>
          <w:marRight w:val="0"/>
          <w:marTop w:val="0"/>
          <w:marBottom w:val="0"/>
          <w:divBdr>
            <w:top w:val="none" w:sz="0" w:space="0" w:color="auto"/>
            <w:left w:val="none" w:sz="0" w:space="0" w:color="auto"/>
            <w:bottom w:val="none" w:sz="0" w:space="0" w:color="auto"/>
            <w:right w:val="none" w:sz="0" w:space="0" w:color="auto"/>
          </w:divBdr>
          <w:divsChild>
            <w:div w:id="132608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6724">
      <w:bodyDiv w:val="1"/>
      <w:marLeft w:val="0"/>
      <w:marRight w:val="0"/>
      <w:marTop w:val="0"/>
      <w:marBottom w:val="0"/>
      <w:divBdr>
        <w:top w:val="none" w:sz="0" w:space="0" w:color="auto"/>
        <w:left w:val="none" w:sz="0" w:space="0" w:color="auto"/>
        <w:bottom w:val="none" w:sz="0" w:space="0" w:color="auto"/>
        <w:right w:val="none" w:sz="0" w:space="0" w:color="auto"/>
      </w:divBdr>
    </w:div>
    <w:div w:id="1860193803">
      <w:bodyDiv w:val="1"/>
      <w:marLeft w:val="0"/>
      <w:marRight w:val="0"/>
      <w:marTop w:val="0"/>
      <w:marBottom w:val="0"/>
      <w:divBdr>
        <w:top w:val="none" w:sz="0" w:space="0" w:color="auto"/>
        <w:left w:val="none" w:sz="0" w:space="0" w:color="auto"/>
        <w:bottom w:val="none" w:sz="0" w:space="0" w:color="auto"/>
        <w:right w:val="none" w:sz="0" w:space="0" w:color="auto"/>
      </w:divBdr>
    </w:div>
    <w:div w:id="1921871273">
      <w:bodyDiv w:val="1"/>
      <w:marLeft w:val="0"/>
      <w:marRight w:val="0"/>
      <w:marTop w:val="0"/>
      <w:marBottom w:val="0"/>
      <w:divBdr>
        <w:top w:val="none" w:sz="0" w:space="0" w:color="auto"/>
        <w:left w:val="none" w:sz="0" w:space="0" w:color="auto"/>
        <w:bottom w:val="none" w:sz="0" w:space="0" w:color="auto"/>
        <w:right w:val="none" w:sz="0" w:space="0" w:color="auto"/>
      </w:divBdr>
    </w:div>
    <w:div w:id="1993828682">
      <w:bodyDiv w:val="1"/>
      <w:marLeft w:val="0"/>
      <w:marRight w:val="0"/>
      <w:marTop w:val="0"/>
      <w:marBottom w:val="0"/>
      <w:divBdr>
        <w:top w:val="none" w:sz="0" w:space="0" w:color="auto"/>
        <w:left w:val="none" w:sz="0" w:space="0" w:color="auto"/>
        <w:bottom w:val="none" w:sz="0" w:space="0" w:color="auto"/>
        <w:right w:val="none" w:sz="0" w:space="0" w:color="auto"/>
      </w:divBdr>
    </w:div>
    <w:div w:id="211270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journalijar.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h\Documents\Analyse%20des%20donn&#233;es%20manuscript%20arachi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70990283530533"/>
          <c:y val="0.18913956737121049"/>
          <c:w val="0.37877643766751379"/>
          <c:h val="0.55121267926206052"/>
        </c:manualLayout>
      </c:layout>
      <c:radarChart>
        <c:radarStyle val="marker"/>
        <c:varyColors val="0"/>
        <c:ser>
          <c:idx val="0"/>
          <c:order val="0"/>
          <c:tx>
            <c:strRef>
              <c:f>Feuil2!$O$1</c:f>
              <c:strCache>
                <c:ptCount val="1"/>
                <c:pt idx="0">
                  <c:v>Number of Pods per Plant</c:v>
                </c:pt>
              </c:strCache>
            </c:strRef>
          </c:tx>
          <c:spPr>
            <a:ln w="12700">
              <a:solidFill>
                <a:srgbClr val="0000FF"/>
              </a:solidFill>
            </a:ln>
          </c:spPr>
          <c:marker>
            <c:symbol val="circle"/>
            <c:size val="6"/>
            <c:spPr>
              <a:solidFill>
                <a:srgbClr val="0000FF"/>
              </a:solidFill>
              <a:ln w="3175">
                <a:solidFill>
                  <a:srgbClr val="0000FF"/>
                </a:solidFill>
              </a:ln>
            </c:spPr>
          </c:marker>
          <c:cat>
            <c:multiLvlStrRef>
              <c:f>Feuil2!$M$2:$N$7</c:f>
              <c:multiLvlStrCache>
                <c:ptCount val="6"/>
                <c:lvl>
                  <c:pt idx="0">
                    <c:v>No Amendment</c:v>
                  </c:pt>
                  <c:pt idx="1">
                    <c:v>Agricultural Lime</c:v>
                  </c:pt>
                  <c:pt idx="2">
                    <c:v>Tithonia diversifolia Leaf Biomass</c:v>
                  </c:pt>
                  <c:pt idx="3">
                    <c:v>No Amendment</c:v>
                  </c:pt>
                  <c:pt idx="4">
                    <c:v>Agricultural Lime</c:v>
                  </c:pt>
                  <c:pt idx="5">
                    <c:v>Tithonia diversifolia Leaf Biomass</c:v>
                  </c:pt>
                </c:lvl>
                <c:lvl>
                  <c:pt idx="0">
                    <c:v>Local variety</c:v>
                  </c:pt>
                  <c:pt idx="3">
                    <c:v>Improved variety (G17)</c:v>
                  </c:pt>
                </c:lvl>
              </c:multiLvlStrCache>
            </c:multiLvlStrRef>
          </c:cat>
          <c:val>
            <c:numRef>
              <c:f>Feuil2!$O$2:$O$7</c:f>
              <c:numCache>
                <c:formatCode>General</c:formatCode>
                <c:ptCount val="6"/>
                <c:pt idx="0">
                  <c:v>17</c:v>
                </c:pt>
                <c:pt idx="1">
                  <c:v>18</c:v>
                </c:pt>
                <c:pt idx="2">
                  <c:v>16</c:v>
                </c:pt>
                <c:pt idx="3">
                  <c:v>17</c:v>
                </c:pt>
                <c:pt idx="4">
                  <c:v>14</c:v>
                </c:pt>
                <c:pt idx="5">
                  <c:v>13</c:v>
                </c:pt>
              </c:numCache>
            </c:numRef>
          </c:val>
        </c:ser>
        <c:ser>
          <c:idx val="1"/>
          <c:order val="1"/>
          <c:tx>
            <c:strRef>
              <c:f>Feuil2!$P$1</c:f>
              <c:strCache>
                <c:ptCount val="1"/>
                <c:pt idx="0">
                  <c:v>Number of Empty Pods per Plant</c:v>
                </c:pt>
              </c:strCache>
            </c:strRef>
          </c:tx>
          <c:spPr>
            <a:ln w="12700">
              <a:solidFill>
                <a:srgbClr val="FF0000"/>
              </a:solidFill>
            </a:ln>
          </c:spPr>
          <c:marker>
            <c:symbol val="circle"/>
            <c:size val="4"/>
            <c:spPr>
              <a:solidFill>
                <a:srgbClr val="FF0000"/>
              </a:solidFill>
              <a:ln w="0"/>
            </c:spPr>
          </c:marker>
          <c:cat>
            <c:multiLvlStrRef>
              <c:f>Feuil2!$M$2:$N$7</c:f>
              <c:multiLvlStrCache>
                <c:ptCount val="6"/>
                <c:lvl>
                  <c:pt idx="0">
                    <c:v>No Amendment</c:v>
                  </c:pt>
                  <c:pt idx="1">
                    <c:v>Agricultural Lime</c:v>
                  </c:pt>
                  <c:pt idx="2">
                    <c:v>Tithonia diversifolia Leaf Biomass</c:v>
                  </c:pt>
                  <c:pt idx="3">
                    <c:v>No Amendment</c:v>
                  </c:pt>
                  <c:pt idx="4">
                    <c:v>Agricultural Lime</c:v>
                  </c:pt>
                  <c:pt idx="5">
                    <c:v>Tithonia diversifolia Leaf Biomass</c:v>
                  </c:pt>
                </c:lvl>
                <c:lvl>
                  <c:pt idx="0">
                    <c:v>Local variety</c:v>
                  </c:pt>
                  <c:pt idx="3">
                    <c:v>Improved variety (G17)</c:v>
                  </c:pt>
                </c:lvl>
              </c:multiLvlStrCache>
            </c:multiLvlStrRef>
          </c:cat>
          <c:val>
            <c:numRef>
              <c:f>Feuil2!$P$2:$P$7</c:f>
              <c:numCache>
                <c:formatCode>General</c:formatCode>
                <c:ptCount val="6"/>
                <c:pt idx="0">
                  <c:v>4</c:v>
                </c:pt>
                <c:pt idx="1">
                  <c:v>1</c:v>
                </c:pt>
                <c:pt idx="2">
                  <c:v>3</c:v>
                </c:pt>
                <c:pt idx="3">
                  <c:v>6</c:v>
                </c:pt>
                <c:pt idx="4">
                  <c:v>0</c:v>
                </c:pt>
                <c:pt idx="5">
                  <c:v>3</c:v>
                </c:pt>
              </c:numCache>
            </c:numRef>
          </c:val>
        </c:ser>
        <c:dLbls>
          <c:showLegendKey val="0"/>
          <c:showVal val="0"/>
          <c:showCatName val="0"/>
          <c:showSerName val="0"/>
          <c:showPercent val="0"/>
          <c:showBubbleSize val="0"/>
        </c:dLbls>
        <c:axId val="165961088"/>
        <c:axId val="168713216"/>
      </c:radarChart>
      <c:catAx>
        <c:axId val="165961088"/>
        <c:scaling>
          <c:orientation val="minMax"/>
        </c:scaling>
        <c:delete val="0"/>
        <c:axPos val="b"/>
        <c:majorGridlines/>
        <c:majorTickMark val="none"/>
        <c:minorTickMark val="none"/>
        <c:tickLblPos val="nextTo"/>
        <c:spPr>
          <a:ln w="9525">
            <a:noFill/>
          </a:ln>
        </c:spPr>
        <c:txPr>
          <a:bodyPr/>
          <a:lstStyle/>
          <a:p>
            <a:pPr>
              <a:defRPr sz="800"/>
            </a:pPr>
            <a:endParaRPr lang="fr-FR"/>
          </a:p>
        </c:txPr>
        <c:crossAx val="168713216"/>
        <c:crosses val="autoZero"/>
        <c:auto val="1"/>
        <c:lblAlgn val="ctr"/>
        <c:lblOffset val="100"/>
        <c:noMultiLvlLbl val="0"/>
      </c:catAx>
      <c:valAx>
        <c:axId val="168713216"/>
        <c:scaling>
          <c:orientation val="minMax"/>
        </c:scaling>
        <c:delete val="0"/>
        <c:axPos val="l"/>
        <c:majorGridlines/>
        <c:numFmt formatCode="General" sourceLinked="1"/>
        <c:majorTickMark val="none"/>
        <c:minorTickMark val="none"/>
        <c:tickLblPos val="nextTo"/>
        <c:txPr>
          <a:bodyPr/>
          <a:lstStyle/>
          <a:p>
            <a:pPr>
              <a:defRPr sz="800"/>
            </a:pPr>
            <a:endParaRPr lang="fr-FR"/>
          </a:p>
        </c:txPr>
        <c:crossAx val="165961088"/>
        <c:crosses val="autoZero"/>
        <c:crossBetween val="between"/>
      </c:valAx>
    </c:plotArea>
    <c:legend>
      <c:legendPos val="r"/>
      <c:layout>
        <c:manualLayout>
          <c:xMode val="edge"/>
          <c:yMode val="edge"/>
          <c:x val="0.48065740605899865"/>
          <c:y val="0.87332358238665797"/>
          <c:w val="0.30110866584658985"/>
          <c:h val="0.10052093055682206"/>
        </c:manualLayout>
      </c:layout>
      <c:overlay val="0"/>
      <c:txPr>
        <a:bodyPr/>
        <a:lstStyle/>
        <a:p>
          <a:pPr>
            <a:defRPr sz="800"/>
          </a:pPr>
          <a:endParaRPr lang="fr-FR"/>
        </a:p>
      </c:txPr>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15</Pages>
  <Words>3960</Words>
  <Characters>21785</Characters>
  <Application>Microsoft Office Word</Application>
  <DocSecurity>0</DocSecurity>
  <Lines>181</Lines>
  <Paragraphs>51</Paragraphs>
  <ScaleCrop>false</ScaleCrop>
  <HeadingPairs>
    <vt:vector size="4" baseType="variant">
      <vt:variant>
        <vt:lpstr>Titre</vt:lpstr>
      </vt:variant>
      <vt:variant>
        <vt:i4>1</vt:i4>
      </vt:variant>
      <vt:variant>
        <vt:lpstr>Titres</vt:lpstr>
      </vt:variant>
      <vt:variant>
        <vt:i4>9</vt:i4>
      </vt:variant>
    </vt:vector>
  </HeadingPairs>
  <TitlesOfParts>
    <vt:vector size="10" baseType="lpstr">
      <vt:lpstr/>
      <vt:lpstr>    Introduction</vt:lpstr>
      <vt:lpstr>    Materials, and Methods</vt:lpstr>
      <vt:lpstr>    Study Area, </vt:lpstr>
      <vt:lpstr>    Figure 3: Ombrothermic curve of temperatures ( C) from January to December 2024 </vt:lpstr>
      <vt:lpstr>    Source: New Loc_Clim estimator software (FAO)</vt:lpstr>
      <vt:lpstr>    Experimental Design and Treatments</vt:lpstr>
      <vt:lpstr>    Results and Discussion</vt:lpstr>
      <vt:lpstr>        Results</vt:lpstr>
      <vt:lpstr>/</vt:lpstr>
    </vt:vector>
  </TitlesOfParts>
  <Company/>
  <LinksUpToDate>false</LinksUpToDate>
  <CharactersWithSpaces>25694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dc:creator>
  <cp:lastModifiedBy>sh</cp:lastModifiedBy>
  <cp:revision>49</cp:revision>
  <dcterms:created xsi:type="dcterms:W3CDTF">2025-09-06T12:59:00Z</dcterms:created>
  <dcterms:modified xsi:type="dcterms:W3CDTF">2025-09-15T17:28:00Z</dcterms:modified>
</cp:coreProperties>
</file>