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2C6E" w14:textId="77777777" w:rsidR="00E7057E" w:rsidRPr="00E7057E" w:rsidRDefault="00E7057E" w:rsidP="00E7057E">
      <w:pPr>
        <w:spacing w:after="0" w:line="360" w:lineRule="auto"/>
        <w:ind w:left="2832"/>
        <w:jc w:val="right"/>
        <w:rPr>
          <w:rFonts w:ascii="Arial" w:eastAsia="Times New Roman" w:hAnsi="Arial" w:cs="Arial"/>
          <w:b/>
          <w:bCs/>
          <w:sz w:val="40"/>
          <w:szCs w:val="40"/>
          <w:lang w:eastAsia="fr-FR"/>
        </w:rPr>
      </w:pPr>
      <w:proofErr w:type="spellStart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>Gastroprotective</w:t>
      </w:r>
      <w:proofErr w:type="spellEnd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 xml:space="preserve"> Activity of the </w:t>
      </w:r>
      <w:proofErr w:type="spellStart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>Hydroethanolic</w:t>
      </w:r>
      <w:proofErr w:type="spellEnd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 xml:space="preserve"> </w:t>
      </w:r>
      <w:proofErr w:type="spellStart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>Leaf</w:t>
      </w:r>
      <w:proofErr w:type="spellEnd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 xml:space="preserve"> </w:t>
      </w:r>
      <w:proofErr w:type="spellStart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>Extract</w:t>
      </w:r>
      <w:proofErr w:type="spellEnd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 xml:space="preserve"> of </w:t>
      </w:r>
      <w:proofErr w:type="spellStart"/>
      <w:r w:rsidRPr="00E7057E">
        <w:rPr>
          <w:rFonts w:ascii="Arial" w:eastAsia="Calibri" w:hAnsi="Arial" w:cs="Arial"/>
          <w:b/>
          <w:bCs/>
          <w:i/>
          <w:iCs/>
          <w:kern w:val="2"/>
          <w:sz w:val="40"/>
          <w:szCs w:val="40"/>
        </w:rPr>
        <w:t>Petiveria</w:t>
      </w:r>
      <w:proofErr w:type="spellEnd"/>
      <w:r w:rsidRPr="00E7057E">
        <w:rPr>
          <w:rFonts w:ascii="Arial" w:eastAsia="Calibri" w:hAnsi="Arial" w:cs="Arial"/>
          <w:b/>
          <w:bCs/>
          <w:i/>
          <w:iCs/>
          <w:kern w:val="2"/>
          <w:sz w:val="40"/>
          <w:szCs w:val="40"/>
        </w:rPr>
        <w:t xml:space="preserve"> </w:t>
      </w:r>
      <w:proofErr w:type="spellStart"/>
      <w:r w:rsidRPr="00E7057E">
        <w:rPr>
          <w:rFonts w:ascii="Arial" w:eastAsia="Calibri" w:hAnsi="Arial" w:cs="Arial"/>
          <w:b/>
          <w:bCs/>
          <w:i/>
          <w:iCs/>
          <w:kern w:val="2"/>
          <w:sz w:val="40"/>
          <w:szCs w:val="40"/>
        </w:rPr>
        <w:t>alliacea</w:t>
      </w:r>
      <w:proofErr w:type="spellEnd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 xml:space="preserve"> L. in </w:t>
      </w:r>
      <w:proofErr w:type="spellStart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>Wistar</w:t>
      </w:r>
      <w:proofErr w:type="spellEnd"/>
      <w:r w:rsidRPr="00E7057E">
        <w:rPr>
          <w:rFonts w:ascii="Arial" w:eastAsia="Calibri" w:hAnsi="Arial" w:cs="Arial"/>
          <w:b/>
          <w:bCs/>
          <w:kern w:val="2"/>
          <w:sz w:val="40"/>
          <w:szCs w:val="40"/>
        </w:rPr>
        <w:t xml:space="preserve"> Rats</w:t>
      </w:r>
    </w:p>
    <w:p w14:paraId="1A6D75BD" w14:textId="77777777" w:rsidR="00B978BE" w:rsidRDefault="00B978BE" w:rsidP="00E7057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pt-PT"/>
        </w:rPr>
      </w:pPr>
    </w:p>
    <w:p w14:paraId="6BE127DB" w14:textId="77777777" w:rsidR="00B978BE" w:rsidRDefault="00B978BE" w:rsidP="00E7057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pt-PT"/>
        </w:rPr>
      </w:pPr>
    </w:p>
    <w:p w14:paraId="482B45D7" w14:textId="744A9272" w:rsidR="00E7057E" w:rsidRDefault="00E7057E" w:rsidP="00E7057E">
      <w:p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pt-PT"/>
        </w:rPr>
      </w:pPr>
      <w:r w:rsidRPr="00E7057E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pt-PT"/>
        </w:rPr>
        <w:t>ABSTRACT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7057E" w14:paraId="42DDC5A1" w14:textId="77777777" w:rsidTr="00E7057E">
        <w:tc>
          <w:tcPr>
            <w:tcW w:w="9212" w:type="dxa"/>
          </w:tcPr>
          <w:p w14:paraId="3F2328B7" w14:textId="77777777" w:rsidR="00E7057E" w:rsidRPr="00A8699D" w:rsidRDefault="00E7057E" w:rsidP="00E7057E">
            <w:pPr>
              <w:spacing w:line="360" w:lineRule="auto"/>
              <w:jc w:val="both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E7057E">
              <w:rPr>
                <w:rFonts w:ascii="Arial" w:eastAsia="Calibri" w:hAnsi="Arial" w:cs="Arial"/>
                <w:kern w:val="2"/>
                <w:sz w:val="20"/>
                <w:szCs w:val="20"/>
                <w:lang w:val="pt-PT"/>
              </w:rPr>
              <w:t xml:space="preserve">Gastric ulcer is a multifactorial disorder characterized by disruption of the gastric mucosa, often induced by ethanol, non-steroidal anti-inflammatory drugs (NSAIDs), oxidative stress, or </w:t>
            </w:r>
            <w:r w:rsidRPr="00E7057E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  <w:lang w:val="pt-PT"/>
              </w:rPr>
              <w:t>Helicobacter pylori</w:t>
            </w:r>
            <w:r w:rsidRPr="00E7057E">
              <w:rPr>
                <w:rFonts w:ascii="Arial" w:eastAsia="Calibri" w:hAnsi="Arial" w:cs="Arial"/>
                <w:kern w:val="2"/>
                <w:sz w:val="20"/>
                <w:szCs w:val="20"/>
                <w:lang w:val="pt-PT"/>
              </w:rPr>
              <w:t xml:space="preserve"> infection. This study investigated the gastroprotective activity of the hydroethanolic extract of </w:t>
            </w:r>
            <w:r w:rsidRPr="00E7057E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  <w:lang w:val="pt-PT"/>
              </w:rPr>
              <w:t>Petiveria alliacea</w:t>
            </w:r>
            <w:r w:rsidRPr="00E7057E">
              <w:rPr>
                <w:rFonts w:ascii="Arial" w:eastAsia="Calibri" w:hAnsi="Arial" w:cs="Arial"/>
                <w:kern w:val="2"/>
                <w:sz w:val="20"/>
                <w:szCs w:val="20"/>
                <w:lang w:val="pt-PT"/>
              </w:rPr>
              <w:t xml:space="preserve"> leaves on ethanol-induced gastric ulcers in Wistar rats. The leaves of </w:t>
            </w:r>
            <w:r w:rsidRPr="00E7057E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  <w:lang w:val="pt-PT"/>
              </w:rPr>
              <w:t>Petiveria alliacea</w:t>
            </w:r>
            <w:r w:rsidRPr="00E7057E">
              <w:rPr>
                <w:rFonts w:ascii="Arial" w:eastAsia="Calibri" w:hAnsi="Arial" w:cs="Arial"/>
                <w:kern w:val="2"/>
                <w:sz w:val="20"/>
                <w:szCs w:val="20"/>
                <w:lang w:val="pt-PT"/>
              </w:rPr>
              <w:t xml:space="preserve"> L. were shade-dried, ground into powder, and extracted by maceration in 70% ethanol for 72 hours. The concentrated extract was administered orally to Wistar rats divided into six groups (n = 3), including a healthy control group, an ulcerated group, a group treated with ranitidine (50 mg/kg), and three test groups receiving the extract at doses of 100, 200, and 400 mg/kg, respectively. Gastric ulcers were induced by oral administration of absolute ethanol (96%, 2 mL/rat). One hour later, the stomachs were collected for macroscopic evaluation of lesions. </w:t>
            </w:r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The </w:t>
            </w:r>
            <w:proofErr w:type="spellStart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>assessed</w:t>
            </w:r>
            <w:proofErr w:type="spellEnd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>parameters</w:t>
            </w:r>
            <w:proofErr w:type="spellEnd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>included</w:t>
            </w:r>
            <w:proofErr w:type="spellEnd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the </w:t>
            </w:r>
            <w:proofErr w:type="spellStart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>ulceration</w:t>
            </w:r>
            <w:proofErr w:type="spellEnd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index, </w:t>
            </w:r>
            <w:proofErr w:type="spellStart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>lesion</w:t>
            </w:r>
            <w:proofErr w:type="spellEnd"/>
            <w:r w:rsidRPr="00A8699D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score, and protection index.</w:t>
            </w:r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The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results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obtained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demonstrate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significant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and dose-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dependent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anti-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ulcer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activity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of the </w:t>
            </w:r>
            <w:proofErr w:type="spellStart"/>
            <w:r w:rsidRPr="00E7057E">
              <w:rPr>
                <w:rFonts w:ascii="Arial" w:eastAsia="Calibri" w:hAnsi="Arial" w:cs="Arial"/>
                <w:i/>
                <w:kern w:val="2"/>
                <w:sz w:val="20"/>
                <w:szCs w:val="20"/>
              </w:rPr>
              <w:t>Petiveria</w:t>
            </w:r>
            <w:proofErr w:type="spellEnd"/>
            <w:r w:rsidRPr="00E7057E">
              <w:rPr>
                <w:rFonts w:ascii="Arial" w:eastAsia="Calibri" w:hAnsi="Arial" w:cs="Arial"/>
                <w:i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i/>
                <w:kern w:val="2"/>
                <w:sz w:val="20"/>
                <w:szCs w:val="20"/>
              </w:rPr>
              <w:t>alliacea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extract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. The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ulceration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index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was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markedly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reduced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in the test groups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compared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to the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ulcer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control group (69.8 ± 3.4 mm²),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with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statistically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significant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decreases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at 100 mg/kg (39.27 ± 3.4 mm²; p &lt; 0.05), 200 mg/kg (29.8 ± 2.3 mm²; p &lt; 0.01), and 400 mg/kg (23.3 ± 1.8 mm²; p &lt; 0.01). </w:t>
            </w:r>
            <w:r w:rsidRPr="00A8699D">
              <w:rPr>
                <w:rFonts w:ascii="Arial" w:eastAsia="Calibri" w:hAnsi="Arial" w:cs="Arial"/>
                <w:kern w:val="2"/>
                <w:sz w:val="20"/>
                <w:szCs w:val="20"/>
                <w:lang w:val="da-DK"/>
              </w:rPr>
              <w:t xml:space="preserve">The group treated with ranitidine (50 mg/kg) showed an even greater reduction (19.8 ± 1.6 mm²; p &lt; 0.01). Similarly, ulcer scores were significantly reduced across all test groups, with a progressive improvement according to dose (from 2.9 ± 0.1 to 1.7 ± 0.2; p &lt; 0.01). </w:t>
            </w:r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The percentages of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ulcer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inhibition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increased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consistently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with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the dose,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reaching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43.73%, 57.3%, and 66.1%,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respectively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,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compared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to 71.63% in the ranitidine group.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Finally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, the protection index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confirmed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this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trend,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indicating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increasing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efficacy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of the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extract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,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with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the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highest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level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of protection (66.61%)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observed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at 400 mg/kg, close to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that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of ranitidine.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These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results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suggest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that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r w:rsidRPr="00E7057E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</w:rPr>
              <w:t xml:space="preserve">P. </w:t>
            </w:r>
            <w:proofErr w:type="spellStart"/>
            <w:r w:rsidRPr="00E7057E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</w:rPr>
              <w:t>alliacea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exerts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cytoprotective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effects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likely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related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to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its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phenolic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and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flavonoid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constituents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. The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findings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support the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traditional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use of </w:t>
            </w:r>
            <w:r w:rsidRPr="00E7057E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</w:rPr>
              <w:t xml:space="preserve">P. </w:t>
            </w:r>
            <w:proofErr w:type="spellStart"/>
            <w:r w:rsidRPr="00E7057E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</w:rPr>
              <w:t>alliacea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in the management of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gastric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proofErr w:type="spellStart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ulcers</w:t>
            </w:r>
            <w:proofErr w:type="spellEnd"/>
            <w:r w:rsidRPr="00E7057E">
              <w:rPr>
                <w:rFonts w:ascii="Arial" w:eastAsia="Calibri" w:hAnsi="Arial" w:cs="Arial"/>
                <w:kern w:val="2"/>
                <w:sz w:val="20"/>
                <w:szCs w:val="20"/>
              </w:rPr>
              <w:t>.</w:t>
            </w:r>
          </w:p>
        </w:tc>
      </w:tr>
    </w:tbl>
    <w:p w14:paraId="50F38076" w14:textId="37C2F3EC" w:rsidR="00E7057E" w:rsidRDefault="00E7057E" w:rsidP="00E7057E">
      <w:pPr>
        <w:spacing w:after="0" w:line="360" w:lineRule="auto"/>
        <w:jc w:val="both"/>
        <w:rPr>
          <w:rFonts w:ascii="Arial" w:eastAsia="Calibri" w:hAnsi="Arial" w:cs="Arial"/>
          <w:kern w:val="2"/>
          <w:sz w:val="20"/>
          <w:szCs w:val="20"/>
        </w:rPr>
      </w:pPr>
      <w:r w:rsidRPr="00E7057E">
        <w:rPr>
          <w:rFonts w:ascii="Arial" w:eastAsia="Calibri" w:hAnsi="Arial" w:cs="Arial"/>
          <w:b/>
          <w:bCs/>
          <w:kern w:val="2"/>
          <w:sz w:val="20"/>
          <w:szCs w:val="20"/>
        </w:rPr>
        <w:t>Keywords</w:t>
      </w:r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: </w:t>
      </w:r>
      <w:proofErr w:type="spellStart"/>
      <w:r w:rsidRPr="00E7057E">
        <w:rPr>
          <w:rFonts w:ascii="Arial" w:eastAsia="Calibri" w:hAnsi="Arial" w:cs="Arial"/>
          <w:i/>
          <w:iCs/>
          <w:kern w:val="2"/>
          <w:sz w:val="20"/>
          <w:szCs w:val="20"/>
        </w:rPr>
        <w:t>Petiveria</w:t>
      </w:r>
      <w:proofErr w:type="spellEnd"/>
      <w:r w:rsidRPr="00E7057E">
        <w:rPr>
          <w:rFonts w:ascii="Arial" w:eastAsia="Calibri" w:hAnsi="Arial" w:cs="Arial"/>
          <w:i/>
          <w:iCs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i/>
          <w:iCs/>
          <w:kern w:val="2"/>
          <w:sz w:val="20"/>
          <w:szCs w:val="20"/>
        </w:rPr>
        <w:t>alliacea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,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gastric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ulcer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,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ethanol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,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gastroprotection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,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oxidative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stress,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traditional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medicine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>.</w:t>
      </w:r>
    </w:p>
    <w:p w14:paraId="4D1465D9" w14:textId="229409C1" w:rsidR="00B978BE" w:rsidRDefault="00B978BE" w:rsidP="00E7057E">
      <w:pPr>
        <w:spacing w:after="0" w:line="360" w:lineRule="auto"/>
        <w:jc w:val="both"/>
        <w:rPr>
          <w:rFonts w:ascii="Arial" w:eastAsia="Calibri" w:hAnsi="Arial" w:cs="Arial"/>
          <w:kern w:val="2"/>
          <w:sz w:val="20"/>
          <w:szCs w:val="20"/>
        </w:rPr>
      </w:pPr>
    </w:p>
    <w:p w14:paraId="2446F560" w14:textId="77777777" w:rsidR="00B978BE" w:rsidRPr="00E7057E" w:rsidRDefault="00B978BE" w:rsidP="00E7057E">
      <w:pPr>
        <w:spacing w:after="0" w:line="360" w:lineRule="auto"/>
        <w:jc w:val="both"/>
        <w:rPr>
          <w:rFonts w:ascii="Arial" w:eastAsia="Calibri" w:hAnsi="Arial" w:cs="Arial"/>
          <w:kern w:val="2"/>
          <w:sz w:val="20"/>
          <w:szCs w:val="20"/>
        </w:rPr>
      </w:pPr>
    </w:p>
    <w:p w14:paraId="289419F1" w14:textId="77777777" w:rsidR="00E7057E" w:rsidRPr="00E7057E" w:rsidRDefault="00E7057E" w:rsidP="00E705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54B3FBAE" w14:textId="77777777" w:rsidR="00E7057E" w:rsidRPr="00E7057E" w:rsidRDefault="00E7057E" w:rsidP="00E7057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4"/>
          <w:szCs w:val="24"/>
          <w:lang w:eastAsia="fr-FR"/>
        </w:rPr>
        <w:lastRenderedPageBreak/>
        <w:t>INTRODUCTION</w:t>
      </w:r>
    </w:p>
    <w:p w14:paraId="42EAF250" w14:textId="1AA19BC8" w:rsidR="006C6C48" w:rsidRPr="006C6C48" w:rsidRDefault="006C6C48" w:rsidP="006C6C48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Gastric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disorders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particularly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peptic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remain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 major global public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health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concern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Although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their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incidence has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decreased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due to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improved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sanitary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conditions and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eradication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Helicobacter pylori,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gastro-duodenal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continue to pose </w:t>
      </w:r>
      <w:proofErr w:type="gram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</w:t>
      </w:r>
      <w:proofErr w:type="gram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challenge,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especially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among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adolescen</w:t>
      </w:r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ts and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young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adults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(He, 2025).</w:t>
      </w:r>
    </w:p>
    <w:p w14:paraId="310CA4BA" w14:textId="2E2F64B8" w:rsidR="006C6C48" w:rsidRPr="006C6C48" w:rsidRDefault="006C6C48" w:rsidP="006C6C48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Conventional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treatments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such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as proton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pump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inhibitors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(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PPIs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), H</w:t>
      </w:r>
      <w:r w:rsidRPr="002D63AA">
        <w:rPr>
          <w:rFonts w:ascii="Arial" w:eastAsia="Times New Roman" w:hAnsi="Arial" w:cs="Arial"/>
          <w:color w:val="FF0000"/>
          <w:sz w:val="20"/>
          <w:szCs w:val="20"/>
          <w:vertAlign w:val="subscript"/>
          <w:lang w:eastAsia="fr-FR"/>
        </w:rPr>
        <w:t>2</w:t>
      </w:r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receptor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antagonists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and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antibiotics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while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effective, are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often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associated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with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undesirable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side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effects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including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gastrointestinal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disturbances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opportunistic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infections, and disruptions of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gut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microbiota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(Malik, 2023).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Moreover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emergence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bacterial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resistance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to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antibiotics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such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as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clarithromycin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and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metronidazole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further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complicates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the management o</w:t>
      </w:r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f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these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conditions (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Hao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, 2025).</w:t>
      </w:r>
    </w:p>
    <w:p w14:paraId="382AC925" w14:textId="559CE319" w:rsidR="006C6C48" w:rsidRPr="006C6C48" w:rsidRDefault="006C6C48" w:rsidP="006C6C48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In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this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context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search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for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safer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more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affordable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and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better-tolerated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alternative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therapies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has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become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priority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Medicinal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plants,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rich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 bioactive compounds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such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as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flavonoids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saponins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tannins,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alkaloids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and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phenolic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compounds,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offer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promising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therapeutic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potential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due to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their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anti-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inflammatory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antioxidant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and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gastroprotective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properties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(El-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Saadony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2025).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Recent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studies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have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shown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that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these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plant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extracts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outperform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conventional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treatments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protecting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against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experimental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models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while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demonstrating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 favorable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sa</w:t>
      </w:r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fety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profile (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Boudebbaz</w:t>
      </w:r>
      <w:proofErr w:type="spellEnd"/>
      <w:r>
        <w:rPr>
          <w:rFonts w:ascii="Arial" w:eastAsia="Times New Roman" w:hAnsi="Arial" w:cs="Arial"/>
          <w:color w:val="FF0000"/>
          <w:sz w:val="20"/>
          <w:szCs w:val="20"/>
          <w:lang w:eastAsia="fr-FR"/>
        </w:rPr>
        <w:t>, 2025).</w:t>
      </w:r>
    </w:p>
    <w:p w14:paraId="245A1B92" w14:textId="5C736748" w:rsidR="00E7057E" w:rsidRDefault="006C6C48" w:rsidP="006C6C48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This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study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aims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to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evaluate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gastroprotective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effect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hydroalcoholic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extract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Petiveria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alliacea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leaves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Wistar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rats, a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widely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used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animal model for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pharmacological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studies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on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This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work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part of an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ongoing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effort to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enhance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pharmacological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value of local plant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resources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and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could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open new avenues for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development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plant-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based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therapies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for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gastric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disorders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.</w:t>
      </w:r>
    </w:p>
    <w:p w14:paraId="7EC11876" w14:textId="77777777" w:rsidR="006C6C48" w:rsidRPr="00E7057E" w:rsidRDefault="006C6C48" w:rsidP="006C6C4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FE06BC2" w14:textId="77777777" w:rsidR="00E7057E" w:rsidRPr="00E7057E" w:rsidRDefault="00E7057E" w:rsidP="00E7057E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MATERIALS AND METHODS</w:t>
      </w:r>
    </w:p>
    <w:p w14:paraId="4F92C266" w14:textId="77777777" w:rsidR="00E7057E" w:rsidRPr="00E7057E" w:rsidRDefault="00E7057E" w:rsidP="00E7057E">
      <w:pPr>
        <w:pStyle w:val="ListParagraph"/>
        <w:numPr>
          <w:ilvl w:val="1"/>
          <w:numId w:val="5"/>
        </w:num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Biological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Material</w:t>
      </w:r>
      <w:proofErr w:type="spellEnd"/>
    </w:p>
    <w:p w14:paraId="1C23D1B0" w14:textId="30187072" w:rsidR="006C6C48" w:rsidRPr="006C6C48" w:rsidRDefault="006C6C48" w:rsidP="00E7057E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study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was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performed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on male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Wistar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albino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rats, a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species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widely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used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biomedical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research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due to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their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docile nature,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ease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breeding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under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laboratory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conditions, and consistent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responses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to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experimental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protocols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Only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males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were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included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to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avoid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potential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hormonal fluctuations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associated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with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estrous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cycle in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females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which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could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affect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physiological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parameters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and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gastroprotective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outcomes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under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investigation. At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beginning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study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animals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weighed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between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150 and 200 grams,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representing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appropriate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stage of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physiological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maturity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for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pharmacological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experiments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involving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gastric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model. A total of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eighteen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(18) rats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were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used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randomly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assigned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to six (6)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experimental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groups of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three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(3) rats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each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in accordance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with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ethical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guidelines to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ensure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statistical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reliability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while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minimizing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animal usage.</w:t>
      </w:r>
    </w:p>
    <w:p w14:paraId="33E4C37C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A2C340D" w14:textId="77777777" w:rsidR="00E7057E" w:rsidRPr="00E7057E" w:rsidRDefault="00E7057E" w:rsidP="00E7057E">
      <w:pPr>
        <w:pStyle w:val="ListParagraph"/>
        <w:numPr>
          <w:ilvl w:val="2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Calibri" w:hAnsi="Arial" w:cs="Arial"/>
          <w:b/>
          <w:bCs/>
          <w:kern w:val="2"/>
          <w:sz w:val="20"/>
          <w:szCs w:val="20"/>
        </w:rPr>
        <w:t xml:space="preserve">Source of </w:t>
      </w:r>
      <w:proofErr w:type="spellStart"/>
      <w:r w:rsidRPr="00E7057E">
        <w:rPr>
          <w:rFonts w:ascii="Arial" w:eastAsia="Calibri" w:hAnsi="Arial" w:cs="Arial"/>
          <w:b/>
          <w:bCs/>
          <w:kern w:val="2"/>
          <w:sz w:val="20"/>
          <w:szCs w:val="20"/>
        </w:rPr>
        <w:t>Experimental</w:t>
      </w:r>
      <w:proofErr w:type="spellEnd"/>
      <w:r w:rsidRPr="00E7057E">
        <w:rPr>
          <w:rFonts w:ascii="Arial" w:eastAsia="Calibri" w:hAnsi="Arial" w:cs="Arial"/>
          <w:b/>
          <w:bCs/>
          <w:kern w:val="2"/>
          <w:sz w:val="20"/>
          <w:szCs w:val="20"/>
        </w:rPr>
        <w:t xml:space="preserve"> Animals:</w:t>
      </w:r>
    </w:p>
    <w:p w14:paraId="3CD5C5EB" w14:textId="77777777" w:rsid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animals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Wistar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rats)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obtained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from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animal house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Faculty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Sciences and Techniques (FAST),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University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Abomey-Calavi, Benin.</w:t>
      </w:r>
    </w:p>
    <w:p w14:paraId="21344945" w14:textId="77777777" w:rsidR="002D63AA" w:rsidRDefault="002D63AA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DEBA019" w14:textId="77777777" w:rsidR="002D63AA" w:rsidRDefault="002D63AA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369DC97" w14:textId="77777777" w:rsidR="002D63AA" w:rsidRDefault="002D63AA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0169120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CCA60C7" w14:textId="77777777" w:rsidR="00E7057E" w:rsidRPr="00E7057E" w:rsidRDefault="00E7057E" w:rsidP="00E7057E">
      <w:pPr>
        <w:pStyle w:val="ListParagraph"/>
        <w:numPr>
          <w:ilvl w:val="2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lastRenderedPageBreak/>
        <w:t>Acclimation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Conditions:</w:t>
      </w:r>
    </w:p>
    <w:p w14:paraId="6AEF7859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Before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start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all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animals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acclimated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7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days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the animal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facility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under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standard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laboratory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conditions (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temperature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22 ± 2 °C, relative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humidity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50–60%, 12 h light/12 h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dark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cycle),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free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access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food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water.</w:t>
      </w:r>
    </w:p>
    <w:p w14:paraId="7FE8E829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51F7A96" w14:textId="77777777" w:rsidR="00E7057E" w:rsidRPr="00E7057E" w:rsidRDefault="00E7057E" w:rsidP="00E7057E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Reagents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Products</w:t>
      </w:r>
      <w:proofErr w:type="spellEnd"/>
    </w:p>
    <w:p w14:paraId="733DFA9D" w14:textId="485BE9B0" w:rsidR="006C6C48" w:rsidRPr="006C6C48" w:rsidRDefault="006C6C48" w:rsidP="006C6C48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reagents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used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this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study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were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carefully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selected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according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to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experimental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objectives,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particularly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for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inducing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gastric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lesions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conducting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histological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assessments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and,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where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applicable,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analyzing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oxidative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stress. For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preparation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Petiveria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alliacea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extracts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solvents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varying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polarities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including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70%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ethanol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methanol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and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distilled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water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were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employed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to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maximize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the extraction of bioactive compounds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such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as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flavonoids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phenolic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compounds, and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other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secondary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metabolites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Gastric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were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induced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using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two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well-established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ulcerogenic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agents: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absolute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ethanol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(96%),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which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produces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acute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lesions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through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gastric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mucosal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necrosis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and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indomethacin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, a non-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steroidal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anti-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inflammatory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drug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that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inhibits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synthesis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gastroprotective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prostaglandins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These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models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accurately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replicate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pathophysiological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mechanisms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underlying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human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.</w:t>
      </w:r>
    </w:p>
    <w:p w14:paraId="748FB379" w14:textId="257DF80C" w:rsidR="00E7057E" w:rsidRPr="00E7057E" w:rsidRDefault="006C6C48" w:rsidP="006C6C4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To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pharmacologically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validate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observed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effects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a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reference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drug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was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administered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alongside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the plant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extracts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This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consisted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either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ranitidine, an H2 histamine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receptor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antagonist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or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omeprazole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a proton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pump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inhibitor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(PPI),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both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commonly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used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 the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clinical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management of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gastroduodenal</w:t>
      </w:r>
      <w:proofErr w:type="spellEnd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6C6C48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ulcers</w:t>
      </w:r>
      <w:proofErr w:type="spellEnd"/>
      <w:r w:rsidRPr="006C6C48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47E52DBB" w14:textId="77777777" w:rsidR="00E7057E" w:rsidRPr="00E7057E" w:rsidRDefault="00E7057E" w:rsidP="00E7057E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Collection and </w:t>
      </w: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Authentication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of Plant </w:t>
      </w: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Material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:</w:t>
      </w:r>
    </w:p>
    <w:p w14:paraId="3E1833AE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Fresh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leaves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L.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collected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January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2025 in Abomey-Calavi, Atlantique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Department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Republic of Benin.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botanical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identification of the plant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carried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out by Professor Monique TOSSOU, a plant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taxonomist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the National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Herbarium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University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Abomey-Calavi (UAC), Benin.</w:t>
      </w:r>
    </w:p>
    <w:p w14:paraId="41835E65" w14:textId="77777777" w:rsidR="00E7057E" w:rsidRPr="00E7057E" w:rsidRDefault="00E7057E" w:rsidP="00E7057E">
      <w:pPr>
        <w:pStyle w:val="ListParagraph"/>
        <w:numPr>
          <w:ilvl w:val="2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Preparation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Extract</w:t>
      </w:r>
      <w:proofErr w:type="spellEnd"/>
    </w:p>
    <w:p w14:paraId="67C92DC4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harvested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leaves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L.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shade-dried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well-ventilated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environment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until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constant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weight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achieved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Once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dried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ground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electric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grinder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obtain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fine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homogeneous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powder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2BEDB9AE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extraction of bioactive compounds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carried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out by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macerating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200 g of the plant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powder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1 L of 70%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(1:5 w/v ratio) for 72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hours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room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temperature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intermittent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shaking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enhance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solvent-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material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contact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optimize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extraction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yield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E7057E">
        <w:rPr>
          <w:rFonts w:ascii="Arial" w:eastAsia="Times New Roman" w:hAnsi="Arial" w:cs="Arial"/>
          <w:sz w:val="20"/>
          <w:szCs w:val="20"/>
          <w:lang w:val="da-DK" w:eastAsia="fr-FR"/>
        </w:rPr>
        <w:t xml:space="preserve">The resulting mixture was then filtered using Whatman No. 1 filter paper. The filtrate was concentrated by solvent evaporation in a low-temperature oven (below 45 °C) or using a rotary evaporator, depending on equipment availability. 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crude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stored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an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airtight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container at +4 °C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until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biological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assays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59F91D41" w14:textId="77777777" w:rsidR="00E7057E" w:rsidRPr="00E7057E" w:rsidRDefault="00E7057E" w:rsidP="00E70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E426AC" w14:textId="77777777" w:rsidR="00E7057E" w:rsidRPr="002E4654" w:rsidRDefault="00E7057E" w:rsidP="002E4654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2E465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Experimental</w:t>
      </w:r>
      <w:proofErr w:type="spellEnd"/>
      <w:r w:rsidRPr="002E465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Design</w:t>
      </w:r>
    </w:p>
    <w:p w14:paraId="7FAC6913" w14:textId="77777777" w:rsidR="00E7057E" w:rsidRPr="002E4654" w:rsidRDefault="00E7057E" w:rsidP="002E4654">
      <w:pPr>
        <w:pStyle w:val="ListParagraph"/>
        <w:numPr>
          <w:ilvl w:val="2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2E465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Group Allocation</w:t>
      </w:r>
    </w:p>
    <w:p w14:paraId="144800E1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animals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randomly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allocated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into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six (6)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groups,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each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consisting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three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(3) rats, for a total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eighteen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(18) rats. This allocation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allows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dose-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dependent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while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ensuring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statistical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comparison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control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lastRenderedPageBreak/>
        <w:t>reference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drug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groups.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administered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orally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one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hour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prior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induction in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designated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groups. The group distribution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follows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:</w:t>
      </w:r>
    </w:p>
    <w:p w14:paraId="29567EB2" w14:textId="77777777" w:rsidR="00E7057E" w:rsidRPr="00E7057E" w:rsidRDefault="00E7057E" w:rsidP="00E705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Group 1 (</w:t>
      </w: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Healthy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Control):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Rats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given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distilled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water (10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/kg)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not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exposed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agent. This group serves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establish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baseline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physiological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values for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studied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parameters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6474D06" w14:textId="77777777" w:rsidR="00E7057E" w:rsidRPr="00E7057E" w:rsidRDefault="00E7057E" w:rsidP="00E705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Group 2 (</w:t>
      </w: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Control):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This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also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received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distilled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water (10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/kg), but one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hour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later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 (96%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absolute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administered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acute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This serves as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negative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control.</w:t>
      </w:r>
    </w:p>
    <w:p w14:paraId="2862E1A2" w14:textId="77777777" w:rsidR="00E7057E" w:rsidRPr="00E7057E" w:rsidRDefault="00E7057E" w:rsidP="00E705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Group 3 (Reference):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Rats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pretreated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ranitidine at a dose of 50 mg/kg one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hour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before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administration. This group serves as the positive control,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allowing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protective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a standard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drug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476C077" w14:textId="77777777" w:rsidR="00E7057E" w:rsidRPr="00E7057E" w:rsidRDefault="00E7057E" w:rsidP="00E705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Group 4 (Test 1):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This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received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hydroalcoholic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a dose of 100 mg/kg,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followed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by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administration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0AC2936A" w14:textId="77777777" w:rsidR="00E7057E" w:rsidRPr="00E7057E" w:rsidRDefault="00E7057E" w:rsidP="00E705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Group 5 (Test 2):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Rats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a dose of 200 mg/kg,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exposed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agent.</w:t>
      </w:r>
    </w:p>
    <w:p w14:paraId="659DF87C" w14:textId="77777777" w:rsidR="00E7057E" w:rsidRPr="00E7057E" w:rsidRDefault="00E7057E" w:rsidP="00E7057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Group 6 (Test 3</w:t>
      </w:r>
      <w:proofErr w:type="gram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):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This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received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higher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dose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400 mg/kg,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before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ethanol-induced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852A8FA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approach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aims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potential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based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on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administered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dose and compare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well-established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drug</w:t>
      </w:r>
      <w:proofErr w:type="spellEnd"/>
    </w:p>
    <w:p w14:paraId="1629694C" w14:textId="77777777" w:rsidR="00E7057E" w:rsidRPr="002E4654" w:rsidRDefault="00E7057E" w:rsidP="002E4654">
      <w:pPr>
        <w:pStyle w:val="ListParagraph"/>
        <w:numPr>
          <w:ilvl w:val="2"/>
          <w:numId w:val="5"/>
        </w:num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2E465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Induction of </w:t>
      </w:r>
      <w:proofErr w:type="spellStart"/>
      <w:r w:rsidRPr="002E465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Ulcer</w:t>
      </w:r>
      <w:proofErr w:type="spellEnd"/>
    </w:p>
    <w:p w14:paraId="4DB9406E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according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standardized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acute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chemical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gastritis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protocol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well-documented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models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Twenty-four (24)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hours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prior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the administration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agent, all rats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underwent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partial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fasting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meaning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deprived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solid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food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but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had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free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access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water.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fasting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period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ensured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optimal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emptying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better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uniformity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physiological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conditions at the time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induction.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Additionally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fasting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period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contributes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increasing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mucosa's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sensitivity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necrotizing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agents.</w:t>
      </w:r>
    </w:p>
    <w:p w14:paraId="56E9A229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subsequently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by direct oral administration of 96%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absolute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a dose of 2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per rat,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soft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tube.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Absolute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well-known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agent, capable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inducing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severe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hemorrhagic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through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direct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epithelial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cell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destruction,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mucus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secretion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free radical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generation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makes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relevant model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natural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substances.</w:t>
      </w:r>
    </w:p>
    <w:p w14:paraId="5BFEF5CE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rats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euthanized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one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hour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after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administration, a time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well-developed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but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still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acute. This timing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allowed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macroscopic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histological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and, if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necessary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biochemical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analysis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wall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5F28C3CA" w14:textId="77777777" w:rsidR="00E7057E" w:rsidRPr="00E7057E" w:rsidRDefault="00E7057E" w:rsidP="00E70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EC0210" w14:textId="77777777" w:rsidR="00E7057E" w:rsidRPr="002E4654" w:rsidRDefault="00E7057E" w:rsidP="002E4654">
      <w:pPr>
        <w:pStyle w:val="ListParagraph"/>
        <w:numPr>
          <w:ilvl w:val="2"/>
          <w:numId w:val="5"/>
        </w:numPr>
        <w:spacing w:after="0" w:line="278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2E465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Evaluation of </w:t>
      </w:r>
      <w:proofErr w:type="spellStart"/>
      <w:r w:rsidRPr="002E4654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Ulcers</w:t>
      </w:r>
      <w:proofErr w:type="spellEnd"/>
    </w:p>
    <w:p w14:paraId="2E17E5F2" w14:textId="77777777" w:rsidR="00E7057E" w:rsidRPr="00E7057E" w:rsidRDefault="00E7057E" w:rsidP="002D63A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Six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hours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after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administration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ulcerogenic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agent,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animals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anesthetized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euthanized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according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standards,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order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proceed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collection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stomachs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lastRenderedPageBreak/>
        <w:t>median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incision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made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along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abdominal line,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followed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by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careful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dissection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each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rat's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stomach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harvested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organs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immediately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opened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along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greater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curvature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stomach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gently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rinsed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physiological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saline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remove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food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debris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traces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blood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without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altering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65DD4F5A" w14:textId="77777777" w:rsidR="00E7057E" w:rsidRPr="00E7057E" w:rsidRDefault="00E7057E" w:rsidP="00E7057E">
      <w:pPr>
        <w:numPr>
          <w:ilvl w:val="0"/>
          <w:numId w:val="2"/>
        </w:numPr>
        <w:spacing w:before="100" w:beforeAutospacing="1"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Index (UI</w:t>
      </w:r>
      <w:proofErr w:type="gram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)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>:</w:t>
      </w:r>
      <w:proofErr w:type="gram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determined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by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measuring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total surface area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expressed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square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millimeters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(mm²),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either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millimeter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grid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or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calibrated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imaging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system.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measurement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allows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actual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tissue damage. The data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collected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calculate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percentage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inhibition,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compared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group,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order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assess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tested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63A12BF" w14:textId="77777777" w:rsidR="00E7057E" w:rsidRPr="00E7057E" w:rsidRDefault="00E7057E" w:rsidP="00E7057E">
      <w:pPr>
        <w:spacing w:before="100" w:beforeAutospacing="1" w:after="100" w:afterAutospacing="1" w:line="360" w:lineRule="auto"/>
        <w:ind w:left="720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Calibri" w:hAnsi="Arial" w:cs="Arial"/>
          <w:noProof/>
          <w:kern w:val="2"/>
          <w:sz w:val="20"/>
          <w:szCs w:val="20"/>
          <w:lang w:eastAsia="fr-FR"/>
        </w:rPr>
        <w:drawing>
          <wp:inline distT="0" distB="0" distL="0" distR="0" wp14:anchorId="0B2D75BF" wp14:editId="6A0AD702">
            <wp:extent cx="3611064" cy="428625"/>
            <wp:effectExtent l="0" t="0" r="889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2421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5384" cy="42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E2E89" w14:textId="77777777" w:rsidR="00E7057E" w:rsidRPr="00E7057E" w:rsidRDefault="00E7057E" w:rsidP="00E7057E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:</w:t>
      </w:r>
    </w:p>
    <w:p w14:paraId="487C0F11" w14:textId="77777777" w:rsidR="00E7057E" w:rsidRPr="00E7057E" w:rsidRDefault="00E7057E" w:rsidP="00E7057E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UI_control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index of the control (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) group.</w:t>
      </w:r>
    </w:p>
    <w:p w14:paraId="5A5ADC16" w14:textId="77777777" w:rsidR="00E7057E" w:rsidRPr="00E7057E" w:rsidRDefault="00E7057E" w:rsidP="00E7057E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Arial" w:eastAsia="Times New Roman" w:hAnsi="Arial" w:cs="Arial"/>
          <w:sz w:val="20"/>
          <w:szCs w:val="20"/>
          <w:lang w:val="da-DK"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val="da-DK" w:eastAsia="fr-FR"/>
        </w:rPr>
        <w:t>UI_treated</w:t>
      </w:r>
      <w:r w:rsidRPr="00E7057E">
        <w:rPr>
          <w:rFonts w:ascii="Arial" w:eastAsia="Times New Roman" w:hAnsi="Arial" w:cs="Arial"/>
          <w:sz w:val="20"/>
          <w:szCs w:val="20"/>
          <w:lang w:val="da-DK" w:eastAsia="fr-FR"/>
        </w:rPr>
        <w:t xml:space="preserve"> is the ulceration index of the treated group.</w:t>
      </w:r>
    </w:p>
    <w:p w14:paraId="6ABA1AD2" w14:textId="77777777" w:rsidR="00E7057E" w:rsidRPr="00E7057E" w:rsidRDefault="00E7057E" w:rsidP="00E7057E">
      <w:pPr>
        <w:spacing w:before="100" w:beforeAutospacing="1" w:after="100" w:afterAutospacing="1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da-DK" w:eastAsia="fr-FR"/>
        </w:rPr>
      </w:pPr>
    </w:p>
    <w:p w14:paraId="00A3DA89" w14:textId="77777777" w:rsidR="00E7057E" w:rsidRPr="00E7057E" w:rsidRDefault="00E7057E" w:rsidP="00E7057E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val="da-DK" w:eastAsia="fr-FR"/>
        </w:rPr>
        <w:t>Ulcerative Score:</w:t>
      </w:r>
      <w:r w:rsidRPr="00E7057E">
        <w:rPr>
          <w:rFonts w:ascii="Arial" w:eastAsia="Times New Roman" w:hAnsi="Arial" w:cs="Arial"/>
          <w:sz w:val="20"/>
          <w:szCs w:val="20"/>
          <w:lang w:val="da-DK" w:eastAsia="fr-FR"/>
        </w:rPr>
        <w:t xml:space="preserve"> Each stomach was scored based on the severity of the observed lesions, using a standardized evaluation grid that considered the number, length, and depth of lesions (erosions, hemorrhages, potential perforations). 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This semi-quantitative score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allows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for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comparison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severity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between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experimental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groups.</w:t>
      </w:r>
    </w:p>
    <w:p w14:paraId="290370FE" w14:textId="77777777" w:rsidR="00E7057E" w:rsidRPr="00E7057E" w:rsidRDefault="00E7057E" w:rsidP="00E7057E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Protection Index: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protection index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assess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effectiveness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by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comparing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index (UI)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group.</w:t>
      </w:r>
    </w:p>
    <w:p w14:paraId="04129519" w14:textId="77777777" w:rsidR="00E7057E" w:rsidRPr="002E4654" w:rsidRDefault="00E7057E" w:rsidP="00E7057E">
      <w:pPr>
        <w:spacing w:before="100" w:beforeAutospacing="1" w:after="100" w:afterAutospacing="1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</w:rPr>
      </w:pPr>
      <w:r w:rsidRPr="00E7057E">
        <w:rPr>
          <w:rFonts w:ascii="Arial" w:eastAsia="Calibri" w:hAnsi="Arial" w:cs="Arial"/>
          <w:noProof/>
          <w:kern w:val="2"/>
          <w:sz w:val="20"/>
          <w:szCs w:val="20"/>
          <w:lang w:eastAsia="fr-FR"/>
        </w:rPr>
        <w:drawing>
          <wp:inline distT="0" distB="0" distL="0" distR="0" wp14:anchorId="3CE75187" wp14:editId="112F6DCE">
            <wp:extent cx="3474720" cy="617336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660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1706" cy="61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E905F" w14:textId="77777777" w:rsidR="00E7057E" w:rsidRPr="002E4654" w:rsidRDefault="00E7057E" w:rsidP="002E4654">
      <w:pPr>
        <w:pStyle w:val="ListParagraph"/>
        <w:numPr>
          <w:ilvl w:val="1"/>
          <w:numId w:val="5"/>
        </w:numPr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 w:val="20"/>
          <w:szCs w:val="20"/>
        </w:rPr>
      </w:pPr>
      <w:proofErr w:type="spellStart"/>
      <w:r w:rsidRPr="002E4654">
        <w:rPr>
          <w:rFonts w:ascii="Arial" w:eastAsia="Calibri" w:hAnsi="Arial" w:cs="Arial"/>
          <w:b/>
          <w:bCs/>
          <w:kern w:val="2"/>
          <w:sz w:val="20"/>
          <w:szCs w:val="20"/>
        </w:rPr>
        <w:t>Statistical</w:t>
      </w:r>
      <w:proofErr w:type="spellEnd"/>
      <w:r w:rsidRPr="002E4654">
        <w:rPr>
          <w:rFonts w:ascii="Arial" w:eastAsia="Calibri" w:hAnsi="Arial" w:cs="Arial"/>
          <w:b/>
          <w:bCs/>
          <w:kern w:val="2"/>
          <w:sz w:val="20"/>
          <w:szCs w:val="20"/>
        </w:rPr>
        <w:t xml:space="preserve"> </w:t>
      </w:r>
      <w:proofErr w:type="spellStart"/>
      <w:r w:rsidRPr="002E4654">
        <w:rPr>
          <w:rFonts w:ascii="Arial" w:eastAsia="Calibri" w:hAnsi="Arial" w:cs="Arial"/>
          <w:b/>
          <w:bCs/>
          <w:kern w:val="2"/>
          <w:sz w:val="20"/>
          <w:szCs w:val="20"/>
        </w:rPr>
        <w:t>Analysis</w:t>
      </w:r>
      <w:proofErr w:type="spellEnd"/>
    </w:p>
    <w:p w14:paraId="76257C1D" w14:textId="77777777" w:rsidR="00E7057E" w:rsidRPr="00E7057E" w:rsidRDefault="00E7057E" w:rsidP="00E7057E">
      <w:pPr>
        <w:spacing w:after="0" w:line="360" w:lineRule="auto"/>
        <w:jc w:val="both"/>
        <w:rPr>
          <w:rFonts w:ascii="Arial" w:eastAsia="Calibri" w:hAnsi="Arial" w:cs="Arial"/>
          <w:kern w:val="2"/>
          <w:sz w:val="20"/>
          <w:szCs w:val="20"/>
        </w:rPr>
      </w:pPr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The data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obtained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were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expressed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as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mean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± standard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deviation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(M ± SD) for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each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experimental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group.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Statistical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analysis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was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performed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using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GraphPad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Prism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8 software,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commonly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used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for the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analysis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of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biological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data.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Differences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between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groups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were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evaluated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using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one-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way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analysis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of variance (ANOVA),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followed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by post hoc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testing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in case of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significant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differences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>.</w:t>
      </w:r>
    </w:p>
    <w:p w14:paraId="171766C3" w14:textId="77777777" w:rsidR="00E7057E" w:rsidRDefault="00E7057E" w:rsidP="00E7057E">
      <w:pPr>
        <w:spacing w:after="0" w:line="360" w:lineRule="auto"/>
        <w:jc w:val="both"/>
        <w:rPr>
          <w:rFonts w:ascii="Arial" w:eastAsia="Calibri" w:hAnsi="Arial" w:cs="Arial"/>
          <w:kern w:val="2"/>
          <w:sz w:val="20"/>
          <w:szCs w:val="20"/>
        </w:rPr>
      </w:pPr>
      <w:r w:rsidRPr="00A8699D">
        <w:rPr>
          <w:rFonts w:ascii="Arial" w:eastAsia="Calibri" w:hAnsi="Arial" w:cs="Arial"/>
          <w:kern w:val="2"/>
          <w:sz w:val="20"/>
          <w:szCs w:val="20"/>
          <w:lang w:val="da-DK"/>
        </w:rPr>
        <w:t xml:space="preserve">The threshold for statistical significance was set at p &lt; 0.05.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Any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p-value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below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this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threshold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was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considered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to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indicate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a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significant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difference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between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the </w:t>
      </w:r>
      <w:proofErr w:type="spellStart"/>
      <w:r w:rsidRPr="00E7057E">
        <w:rPr>
          <w:rFonts w:ascii="Arial" w:eastAsia="Calibri" w:hAnsi="Arial" w:cs="Arial"/>
          <w:kern w:val="2"/>
          <w:sz w:val="20"/>
          <w:szCs w:val="20"/>
        </w:rPr>
        <w:t>compared</w:t>
      </w:r>
      <w:proofErr w:type="spellEnd"/>
      <w:r w:rsidRPr="00E7057E">
        <w:rPr>
          <w:rFonts w:ascii="Arial" w:eastAsia="Calibri" w:hAnsi="Arial" w:cs="Arial"/>
          <w:kern w:val="2"/>
          <w:sz w:val="20"/>
          <w:szCs w:val="20"/>
        </w:rPr>
        <w:t xml:space="preserve"> groups.</w:t>
      </w:r>
    </w:p>
    <w:p w14:paraId="0F4049ED" w14:textId="77777777" w:rsidR="002D63AA" w:rsidRDefault="002D63AA" w:rsidP="00E7057E">
      <w:pPr>
        <w:spacing w:after="0" w:line="360" w:lineRule="auto"/>
        <w:jc w:val="both"/>
        <w:rPr>
          <w:rFonts w:ascii="Arial" w:eastAsia="Calibri" w:hAnsi="Arial" w:cs="Arial"/>
          <w:kern w:val="2"/>
          <w:sz w:val="20"/>
          <w:szCs w:val="20"/>
        </w:rPr>
      </w:pPr>
    </w:p>
    <w:p w14:paraId="3060BE00" w14:textId="77777777" w:rsidR="002D63AA" w:rsidRPr="00E7057E" w:rsidRDefault="002D63AA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7CE14FD" w14:textId="77777777" w:rsidR="00E7057E" w:rsidRPr="00E7057E" w:rsidRDefault="00E7057E" w:rsidP="00E7057E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3808190F" w14:textId="77777777" w:rsidR="00E7057E" w:rsidRDefault="009424D8" w:rsidP="009424D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424D8">
        <w:rPr>
          <w:rFonts w:ascii="Arial" w:eastAsia="Times New Roman" w:hAnsi="Arial" w:cs="Arial"/>
          <w:b/>
          <w:bCs/>
          <w:sz w:val="24"/>
          <w:szCs w:val="24"/>
          <w:lang w:eastAsia="fr-FR"/>
        </w:rPr>
        <w:lastRenderedPageBreak/>
        <w:t>RESULTS AND DISCUSSION</w:t>
      </w:r>
    </w:p>
    <w:p w14:paraId="29B624B3" w14:textId="77777777" w:rsidR="009424D8" w:rsidRPr="009424D8" w:rsidRDefault="009424D8" w:rsidP="009424D8">
      <w:pPr>
        <w:pStyle w:val="ListParagraph"/>
        <w:numPr>
          <w:ilvl w:val="1"/>
          <w:numId w:val="5"/>
        </w:numPr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Results</w:t>
      </w:r>
      <w:proofErr w:type="spellEnd"/>
    </w:p>
    <w:p w14:paraId="4BAAAF1C" w14:textId="77777777" w:rsidR="00E7057E" w:rsidRPr="009424D8" w:rsidRDefault="00E7057E" w:rsidP="009424D8">
      <w:pPr>
        <w:pStyle w:val="ListParagraph"/>
        <w:numPr>
          <w:ilvl w:val="2"/>
          <w:numId w:val="6"/>
        </w:numPr>
        <w:spacing w:before="100" w:beforeAutospacing="1"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Extraction </w:t>
      </w:r>
      <w:proofErr w:type="spellStart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Yield</w:t>
      </w:r>
      <w:proofErr w:type="spellEnd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</w:p>
    <w:p w14:paraId="6E0C94F8" w14:textId="77777777" w:rsidR="00E7057E" w:rsidRPr="00E7057E" w:rsidRDefault="00E7057E" w:rsidP="00E7057E">
      <w:pPr>
        <w:spacing w:before="100" w:beforeAutospacing="1" w:after="0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Table 1</w:t>
      </w:r>
      <w:bookmarkStart w:id="0" w:name="_Hlk197457201"/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. 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Extraction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Yield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Determination</w:t>
      </w:r>
      <w:bookmarkEnd w:id="0"/>
      <w:proofErr w:type="spellEnd"/>
    </w:p>
    <w:tbl>
      <w:tblPr>
        <w:tblStyle w:val="Tableausimple21"/>
        <w:tblW w:w="8860" w:type="dxa"/>
        <w:tblLook w:val="04A0" w:firstRow="1" w:lastRow="0" w:firstColumn="1" w:lastColumn="0" w:noHBand="0" w:noVBand="1"/>
      </w:tblPr>
      <w:tblGrid>
        <w:gridCol w:w="2958"/>
        <w:gridCol w:w="1582"/>
        <w:gridCol w:w="859"/>
        <w:gridCol w:w="2236"/>
        <w:gridCol w:w="1225"/>
      </w:tblGrid>
      <w:tr w:rsidR="00E7057E" w:rsidRPr="002E4654" w14:paraId="433FBB0B" w14:textId="77777777" w:rsidTr="00362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BBD917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Plant </w:t>
            </w: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Material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Weight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(g)</w:t>
            </w:r>
          </w:p>
        </w:tc>
        <w:tc>
          <w:tcPr>
            <w:tcW w:w="0" w:type="auto"/>
            <w:hideMark/>
          </w:tcPr>
          <w:p w14:paraId="08842FE2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Appearance</w:t>
            </w:r>
            <w:proofErr w:type="spellEnd"/>
          </w:p>
        </w:tc>
        <w:tc>
          <w:tcPr>
            <w:tcW w:w="0" w:type="auto"/>
            <w:hideMark/>
          </w:tcPr>
          <w:p w14:paraId="522DB390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Color</w:t>
            </w:r>
            <w:proofErr w:type="spellEnd"/>
          </w:p>
        </w:tc>
        <w:tc>
          <w:tcPr>
            <w:tcW w:w="0" w:type="auto"/>
            <w:hideMark/>
          </w:tcPr>
          <w:p w14:paraId="3E4E7993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Weight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(g)</w:t>
            </w:r>
          </w:p>
        </w:tc>
        <w:tc>
          <w:tcPr>
            <w:tcW w:w="0" w:type="auto"/>
            <w:hideMark/>
          </w:tcPr>
          <w:p w14:paraId="639AC335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Yield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(%)</w:t>
            </w:r>
          </w:p>
        </w:tc>
      </w:tr>
      <w:tr w:rsidR="00E7057E" w:rsidRPr="002E4654" w14:paraId="56125A52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F77952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200 g</w:t>
            </w:r>
          </w:p>
        </w:tc>
        <w:tc>
          <w:tcPr>
            <w:tcW w:w="0" w:type="auto"/>
            <w:hideMark/>
          </w:tcPr>
          <w:p w14:paraId="76F6474E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Powder</w:t>
            </w:r>
          </w:p>
        </w:tc>
        <w:tc>
          <w:tcPr>
            <w:tcW w:w="0" w:type="auto"/>
            <w:hideMark/>
          </w:tcPr>
          <w:p w14:paraId="611A79BD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Black</w:t>
            </w:r>
          </w:p>
        </w:tc>
        <w:tc>
          <w:tcPr>
            <w:tcW w:w="0" w:type="auto"/>
            <w:hideMark/>
          </w:tcPr>
          <w:p w14:paraId="4FBD31FC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49.81 g</w:t>
            </w:r>
          </w:p>
        </w:tc>
        <w:tc>
          <w:tcPr>
            <w:tcW w:w="0" w:type="auto"/>
            <w:hideMark/>
          </w:tcPr>
          <w:p w14:paraId="283360B9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24.90%</w:t>
            </w:r>
          </w:p>
        </w:tc>
      </w:tr>
    </w:tbl>
    <w:p w14:paraId="191FCFB6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analysis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Table 1 shows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from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200 g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powdered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leaves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(black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color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),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crude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obtained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through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hydro-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alcoholic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resulting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a final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weight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49.81 g. This corresponds to an extraction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yield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24.90%,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indicating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good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solubilization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bioactive compounds in the solvent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(70%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). The black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appearance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powder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suggest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high concentration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phenolic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compounds 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other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pigmented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substances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could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contribute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biological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activity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4703D60" w14:textId="77777777" w:rsidR="00E7057E" w:rsidRPr="009424D8" w:rsidRDefault="00E7057E" w:rsidP="009424D8">
      <w:pPr>
        <w:pStyle w:val="ListParagraph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proofErr w:type="spellStart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Ulceration</w:t>
      </w:r>
      <w:proofErr w:type="spellEnd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Index (UI, in mm²)</w:t>
      </w:r>
    </w:p>
    <w:p w14:paraId="10EF77ED" w14:textId="77777777" w:rsidR="00E7057E" w:rsidRPr="00E7057E" w:rsidRDefault="00E7057E" w:rsidP="00E7057E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Table 2.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Index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Determination</w:t>
      </w:r>
      <w:proofErr w:type="spellEnd"/>
    </w:p>
    <w:tbl>
      <w:tblPr>
        <w:tblStyle w:val="Tableausimple21"/>
        <w:tblW w:w="9265" w:type="dxa"/>
        <w:tblLook w:val="04A0" w:firstRow="1" w:lastRow="0" w:firstColumn="1" w:lastColumn="0" w:noHBand="0" w:noVBand="1"/>
      </w:tblPr>
      <w:tblGrid>
        <w:gridCol w:w="2835"/>
        <w:gridCol w:w="3300"/>
        <w:gridCol w:w="3130"/>
      </w:tblGrid>
      <w:tr w:rsidR="00E7057E" w:rsidRPr="009424D8" w14:paraId="5158092C" w14:textId="77777777" w:rsidTr="00362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D86FE0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Group</w:t>
            </w:r>
          </w:p>
        </w:tc>
        <w:tc>
          <w:tcPr>
            <w:tcW w:w="0" w:type="auto"/>
            <w:hideMark/>
          </w:tcPr>
          <w:p w14:paraId="0348C7BC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Treatment</w:t>
            </w:r>
            <w:proofErr w:type="spellEnd"/>
          </w:p>
        </w:tc>
        <w:tc>
          <w:tcPr>
            <w:tcW w:w="0" w:type="auto"/>
            <w:hideMark/>
          </w:tcPr>
          <w:p w14:paraId="1A23253B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UI (mm²) (M ± SD)</w:t>
            </w:r>
          </w:p>
        </w:tc>
      </w:tr>
      <w:tr w:rsidR="00E7057E" w:rsidRPr="009424D8" w14:paraId="42DCCD7B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64CB6E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Healthy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Control</w:t>
            </w:r>
          </w:p>
        </w:tc>
        <w:tc>
          <w:tcPr>
            <w:tcW w:w="0" w:type="auto"/>
            <w:hideMark/>
          </w:tcPr>
          <w:p w14:paraId="6ADD0AC2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Distilled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water</w:t>
            </w:r>
          </w:p>
        </w:tc>
        <w:tc>
          <w:tcPr>
            <w:tcW w:w="0" w:type="auto"/>
            <w:hideMark/>
          </w:tcPr>
          <w:p w14:paraId="3CF29F7A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0.00 ± 0.00</w:t>
            </w:r>
          </w:p>
        </w:tc>
      </w:tr>
      <w:tr w:rsidR="00E7057E" w:rsidRPr="009424D8" w14:paraId="79F50B91" w14:textId="77777777" w:rsidTr="00362AFD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C3D06F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Ulcer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Control</w:t>
            </w:r>
          </w:p>
        </w:tc>
        <w:tc>
          <w:tcPr>
            <w:tcW w:w="0" w:type="auto"/>
            <w:hideMark/>
          </w:tcPr>
          <w:p w14:paraId="1220099E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Distilled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water</w:t>
            </w:r>
          </w:p>
        </w:tc>
        <w:tc>
          <w:tcPr>
            <w:tcW w:w="0" w:type="auto"/>
            <w:hideMark/>
          </w:tcPr>
          <w:p w14:paraId="721DBD53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69.8 ± 3.4</w:t>
            </w:r>
          </w:p>
        </w:tc>
      </w:tr>
      <w:tr w:rsidR="00E7057E" w:rsidRPr="009424D8" w14:paraId="5D798D56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C9A19A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Reference</w:t>
            </w:r>
          </w:p>
        </w:tc>
        <w:tc>
          <w:tcPr>
            <w:tcW w:w="0" w:type="auto"/>
            <w:hideMark/>
          </w:tcPr>
          <w:p w14:paraId="7A496862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Ranitidine 50 mg/kg</w:t>
            </w:r>
          </w:p>
        </w:tc>
        <w:tc>
          <w:tcPr>
            <w:tcW w:w="0" w:type="auto"/>
            <w:hideMark/>
          </w:tcPr>
          <w:p w14:paraId="6D3676D4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19.8 ± 1.6 **</w:t>
            </w:r>
          </w:p>
        </w:tc>
      </w:tr>
      <w:tr w:rsidR="00E7057E" w:rsidRPr="009424D8" w14:paraId="1824BFE0" w14:textId="77777777" w:rsidTr="00362AFD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3012DB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1</w:t>
            </w:r>
          </w:p>
        </w:tc>
        <w:tc>
          <w:tcPr>
            <w:tcW w:w="0" w:type="auto"/>
            <w:hideMark/>
          </w:tcPr>
          <w:p w14:paraId="1E5023A4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100 mg/kg</w:t>
            </w:r>
          </w:p>
        </w:tc>
        <w:tc>
          <w:tcPr>
            <w:tcW w:w="0" w:type="auto"/>
            <w:hideMark/>
          </w:tcPr>
          <w:p w14:paraId="03741A61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39.27 ± 3.4 *</w:t>
            </w:r>
          </w:p>
        </w:tc>
      </w:tr>
      <w:tr w:rsidR="00E7057E" w:rsidRPr="009424D8" w14:paraId="60D33AAC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E1B689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2</w:t>
            </w:r>
          </w:p>
        </w:tc>
        <w:tc>
          <w:tcPr>
            <w:tcW w:w="0" w:type="auto"/>
            <w:hideMark/>
          </w:tcPr>
          <w:p w14:paraId="72248E84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200 mg/kg</w:t>
            </w:r>
          </w:p>
        </w:tc>
        <w:tc>
          <w:tcPr>
            <w:tcW w:w="0" w:type="auto"/>
            <w:hideMark/>
          </w:tcPr>
          <w:p w14:paraId="7F7C5B9B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29.8 ± 2.3 **</w:t>
            </w:r>
          </w:p>
        </w:tc>
      </w:tr>
      <w:tr w:rsidR="00E7057E" w:rsidRPr="009424D8" w14:paraId="4C2CC4DD" w14:textId="77777777" w:rsidTr="00362AFD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7ED1F2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3</w:t>
            </w:r>
          </w:p>
        </w:tc>
        <w:tc>
          <w:tcPr>
            <w:tcW w:w="0" w:type="auto"/>
            <w:hideMark/>
          </w:tcPr>
          <w:p w14:paraId="7648F53F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400 mg/kg</w:t>
            </w:r>
          </w:p>
        </w:tc>
        <w:tc>
          <w:tcPr>
            <w:tcW w:w="0" w:type="auto"/>
            <w:hideMark/>
          </w:tcPr>
          <w:p w14:paraId="67F564E6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23.3 ± 1.8 **</w:t>
            </w:r>
          </w:p>
        </w:tc>
      </w:tr>
    </w:tbl>
    <w:p w14:paraId="6C892F0B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"Data are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presented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± standard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deviation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0.05; **: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0.01."</w:t>
      </w:r>
    </w:p>
    <w:p w14:paraId="65DEB440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table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presents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indices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obtained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after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analysis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index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reveals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exerts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and dose-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dependent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activity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healthy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 shows no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(0.00 mm²),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while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exhibits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high index (69.8 ± 3.4 mm²),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confirming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effective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induction by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(ranitidine 50 mg/kg)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(19.8 ± 1.6 mm²; p &lt; 0.01),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demonstrating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marked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protection.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100 mg/kg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moderately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decreases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index (39.27 ± 3.4 mm²; p &lt; 0.05),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more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200 mg/kg (29.8 ± 2.3 mm²; p &lt; 0.01) and 400 mg/kg (23.3 ± 1.8 mm²; p &lt; 0.01).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results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indicate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increasing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dose,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reaching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400 mg/kg an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comparable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ranitidine. This protection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suggests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potential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lastRenderedPageBreak/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likely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related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antioxidant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,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inflammatory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cytoprotective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actions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2BB5F3D0" w14:textId="77777777" w:rsidR="00E7057E" w:rsidRPr="009424D8" w:rsidRDefault="00E7057E" w:rsidP="009424D8">
      <w:pPr>
        <w:pStyle w:val="ListParagraph"/>
        <w:numPr>
          <w:ilvl w:val="2"/>
          <w:numId w:val="7"/>
        </w:num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Ulcer</w:t>
      </w:r>
      <w:proofErr w:type="spellEnd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Score</w:t>
      </w:r>
    </w:p>
    <w:p w14:paraId="7E573000" w14:textId="77777777" w:rsidR="00E7057E" w:rsidRPr="00E7057E" w:rsidRDefault="00E7057E" w:rsidP="00E7057E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Table 3.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Determination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Score</w:t>
      </w:r>
    </w:p>
    <w:tbl>
      <w:tblPr>
        <w:tblStyle w:val="Tableausimple21"/>
        <w:tblW w:w="8386" w:type="dxa"/>
        <w:tblLook w:val="04A0" w:firstRow="1" w:lastRow="0" w:firstColumn="1" w:lastColumn="0" w:noHBand="0" w:noVBand="1"/>
      </w:tblPr>
      <w:tblGrid>
        <w:gridCol w:w="2435"/>
        <w:gridCol w:w="2834"/>
        <w:gridCol w:w="3117"/>
      </w:tblGrid>
      <w:tr w:rsidR="00E7057E" w:rsidRPr="009424D8" w14:paraId="6BE190B3" w14:textId="77777777" w:rsidTr="00362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D96E1A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Group</w:t>
            </w:r>
          </w:p>
        </w:tc>
        <w:tc>
          <w:tcPr>
            <w:tcW w:w="0" w:type="auto"/>
            <w:hideMark/>
          </w:tcPr>
          <w:p w14:paraId="3D61D042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Treatment</w:t>
            </w:r>
            <w:proofErr w:type="spellEnd"/>
          </w:p>
        </w:tc>
        <w:tc>
          <w:tcPr>
            <w:tcW w:w="0" w:type="auto"/>
            <w:hideMark/>
          </w:tcPr>
          <w:p w14:paraId="6C7F54B5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Ulcer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Score (M ± SD)</w:t>
            </w:r>
          </w:p>
        </w:tc>
      </w:tr>
      <w:tr w:rsidR="00E7057E" w:rsidRPr="009424D8" w14:paraId="3B09912F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790110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Healthy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Control</w:t>
            </w:r>
          </w:p>
        </w:tc>
        <w:tc>
          <w:tcPr>
            <w:tcW w:w="0" w:type="auto"/>
            <w:hideMark/>
          </w:tcPr>
          <w:p w14:paraId="082A9B28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Distilled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water</w:t>
            </w:r>
          </w:p>
        </w:tc>
        <w:tc>
          <w:tcPr>
            <w:tcW w:w="0" w:type="auto"/>
            <w:hideMark/>
          </w:tcPr>
          <w:p w14:paraId="658F06ED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0.0 ± 0.0</w:t>
            </w:r>
          </w:p>
        </w:tc>
      </w:tr>
      <w:tr w:rsidR="00E7057E" w:rsidRPr="009424D8" w14:paraId="706AE168" w14:textId="77777777" w:rsidTr="00362A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137ECE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Ulcer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Control</w:t>
            </w:r>
          </w:p>
        </w:tc>
        <w:tc>
          <w:tcPr>
            <w:tcW w:w="0" w:type="auto"/>
            <w:hideMark/>
          </w:tcPr>
          <w:p w14:paraId="7BF490A8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Distilled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water</w:t>
            </w:r>
          </w:p>
        </w:tc>
        <w:tc>
          <w:tcPr>
            <w:tcW w:w="0" w:type="auto"/>
            <w:hideMark/>
          </w:tcPr>
          <w:p w14:paraId="705E658E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5.1 ± 0.4</w:t>
            </w:r>
          </w:p>
        </w:tc>
      </w:tr>
      <w:tr w:rsidR="00E7057E" w:rsidRPr="009424D8" w14:paraId="3D8EF094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56577B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Reference</w:t>
            </w:r>
          </w:p>
        </w:tc>
        <w:tc>
          <w:tcPr>
            <w:tcW w:w="0" w:type="auto"/>
            <w:hideMark/>
          </w:tcPr>
          <w:p w14:paraId="3E66D789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Ranitidine 50 mg/kg</w:t>
            </w:r>
          </w:p>
        </w:tc>
        <w:tc>
          <w:tcPr>
            <w:tcW w:w="0" w:type="auto"/>
            <w:hideMark/>
          </w:tcPr>
          <w:p w14:paraId="0A67720C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1.4 ± 0.6 **</w:t>
            </w:r>
          </w:p>
        </w:tc>
      </w:tr>
      <w:tr w:rsidR="00E7057E" w:rsidRPr="009424D8" w14:paraId="6C62079E" w14:textId="77777777" w:rsidTr="00362A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B03CC7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1</w:t>
            </w:r>
          </w:p>
        </w:tc>
        <w:tc>
          <w:tcPr>
            <w:tcW w:w="0" w:type="auto"/>
            <w:hideMark/>
          </w:tcPr>
          <w:p w14:paraId="17185E0F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100 mg/kg</w:t>
            </w:r>
          </w:p>
        </w:tc>
        <w:tc>
          <w:tcPr>
            <w:tcW w:w="0" w:type="auto"/>
            <w:hideMark/>
          </w:tcPr>
          <w:p w14:paraId="1CDD2F08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2.9 ± 0.1 *</w:t>
            </w:r>
          </w:p>
        </w:tc>
      </w:tr>
      <w:tr w:rsidR="00E7057E" w:rsidRPr="009424D8" w14:paraId="00472DD2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CB1DB5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2</w:t>
            </w:r>
          </w:p>
        </w:tc>
        <w:tc>
          <w:tcPr>
            <w:tcW w:w="0" w:type="auto"/>
            <w:hideMark/>
          </w:tcPr>
          <w:p w14:paraId="163F4C0C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200 mg/kg</w:t>
            </w:r>
          </w:p>
        </w:tc>
        <w:tc>
          <w:tcPr>
            <w:tcW w:w="0" w:type="auto"/>
            <w:hideMark/>
          </w:tcPr>
          <w:p w14:paraId="1555310B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1.9 ± 0.3 **</w:t>
            </w:r>
          </w:p>
        </w:tc>
      </w:tr>
      <w:tr w:rsidR="00E7057E" w:rsidRPr="009424D8" w14:paraId="6A3FBFD0" w14:textId="77777777" w:rsidTr="00362AFD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B574F4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3</w:t>
            </w:r>
          </w:p>
        </w:tc>
        <w:tc>
          <w:tcPr>
            <w:tcW w:w="0" w:type="auto"/>
            <w:hideMark/>
          </w:tcPr>
          <w:p w14:paraId="5D54A02A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400 mg/kg</w:t>
            </w:r>
          </w:p>
        </w:tc>
        <w:tc>
          <w:tcPr>
            <w:tcW w:w="0" w:type="auto"/>
            <w:hideMark/>
          </w:tcPr>
          <w:p w14:paraId="12914639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1.7 ± 0.2 **</w:t>
            </w:r>
          </w:p>
        </w:tc>
      </w:tr>
    </w:tbl>
    <w:p w14:paraId="2AAE76DD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"Data are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presented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± standard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deviation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0.05; **: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0.01."</w:t>
      </w:r>
    </w:p>
    <w:p w14:paraId="0212D022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analysis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score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confirms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dose-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dependent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healthy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exhibited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no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(0.0 ± 0.0),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whereas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showed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severe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(5.1 ± 0.4),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validating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induction model.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ranitidine (50 mg/kg)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score to 1.4 ± 0.6 (p &lt; 0.01),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demonstrating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strong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protective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100 mg/kg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moderately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score (2.9 ± 0.1; p &lt; 0.05),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greater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reductions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200 mg/kg (1.9 ± 0.3; p &lt; 0.01) and 400 mg/kg (1.7 ± 0.2; p &lt; 0.01).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findings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indicate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progressive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attenuation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severity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increasing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doses,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400 mg/kg dose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showing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comparable to ranitidine.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suggests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exhibits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notable protective action on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likely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related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anti-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inflammatory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cytoprotective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properties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warranting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further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investigation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into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underlying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26C765A5" w14:textId="77777777" w:rsidR="00E7057E" w:rsidRPr="009424D8" w:rsidRDefault="00E7057E" w:rsidP="009424D8">
      <w:pPr>
        <w:pStyle w:val="ListParagraph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proofErr w:type="spellStart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Ulcer</w:t>
      </w:r>
      <w:proofErr w:type="spellEnd"/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Inhibition Percentage</w:t>
      </w:r>
      <w:r w:rsidRPr="009424D8">
        <w:rPr>
          <w:rFonts w:ascii="Arial" w:eastAsia="Times New Roman" w:hAnsi="Arial" w:cs="Arial"/>
          <w:sz w:val="20"/>
          <w:szCs w:val="20"/>
          <w:lang w:eastAsia="fr-FR"/>
        </w:rPr>
        <w:br/>
      </w:r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Table 4.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Determination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Inhibition Percentage</w:t>
      </w:r>
    </w:p>
    <w:tbl>
      <w:tblPr>
        <w:tblStyle w:val="Tableausimple21"/>
        <w:tblW w:w="8941" w:type="dxa"/>
        <w:tblLook w:val="04A0" w:firstRow="1" w:lastRow="0" w:firstColumn="1" w:lastColumn="0" w:noHBand="0" w:noVBand="1"/>
      </w:tblPr>
      <w:tblGrid>
        <w:gridCol w:w="2457"/>
        <w:gridCol w:w="2858"/>
        <w:gridCol w:w="3626"/>
      </w:tblGrid>
      <w:tr w:rsidR="00E7057E" w:rsidRPr="009424D8" w14:paraId="6647C48C" w14:textId="77777777" w:rsidTr="00362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334BF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Group</w:t>
            </w:r>
          </w:p>
        </w:tc>
        <w:tc>
          <w:tcPr>
            <w:tcW w:w="0" w:type="auto"/>
            <w:hideMark/>
          </w:tcPr>
          <w:p w14:paraId="0C5B7103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Treatment</w:t>
            </w:r>
            <w:proofErr w:type="spellEnd"/>
          </w:p>
        </w:tc>
        <w:tc>
          <w:tcPr>
            <w:tcW w:w="0" w:type="auto"/>
            <w:hideMark/>
          </w:tcPr>
          <w:p w14:paraId="2B0B299A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% Inhibition (</w:t>
            </w: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calculated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E7057E" w:rsidRPr="009424D8" w14:paraId="31066BB0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4C1343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Healthy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Control</w:t>
            </w:r>
          </w:p>
        </w:tc>
        <w:tc>
          <w:tcPr>
            <w:tcW w:w="0" w:type="auto"/>
            <w:hideMark/>
          </w:tcPr>
          <w:p w14:paraId="038BDA78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Distilled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water</w:t>
            </w:r>
          </w:p>
        </w:tc>
        <w:tc>
          <w:tcPr>
            <w:tcW w:w="0" w:type="auto"/>
            <w:hideMark/>
          </w:tcPr>
          <w:p w14:paraId="2748DB01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—</w:t>
            </w:r>
          </w:p>
        </w:tc>
      </w:tr>
      <w:tr w:rsidR="00E7057E" w:rsidRPr="009424D8" w14:paraId="64FE5F3F" w14:textId="77777777" w:rsidTr="00362AF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5E0CDD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Ulcer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Control</w:t>
            </w:r>
          </w:p>
        </w:tc>
        <w:tc>
          <w:tcPr>
            <w:tcW w:w="0" w:type="auto"/>
            <w:hideMark/>
          </w:tcPr>
          <w:p w14:paraId="59205087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Distilled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water</w:t>
            </w:r>
          </w:p>
        </w:tc>
        <w:tc>
          <w:tcPr>
            <w:tcW w:w="0" w:type="auto"/>
            <w:hideMark/>
          </w:tcPr>
          <w:p w14:paraId="47BE2781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0%</w:t>
            </w:r>
          </w:p>
        </w:tc>
      </w:tr>
      <w:tr w:rsidR="00E7057E" w:rsidRPr="009424D8" w14:paraId="451137F5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98D67F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Reference</w:t>
            </w:r>
          </w:p>
        </w:tc>
        <w:tc>
          <w:tcPr>
            <w:tcW w:w="0" w:type="auto"/>
            <w:hideMark/>
          </w:tcPr>
          <w:p w14:paraId="3B697B1D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Ranitidine 50 mg/kg</w:t>
            </w:r>
          </w:p>
        </w:tc>
        <w:tc>
          <w:tcPr>
            <w:tcW w:w="0" w:type="auto"/>
            <w:hideMark/>
          </w:tcPr>
          <w:p w14:paraId="58A4CB1F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71.63%</w:t>
            </w:r>
          </w:p>
        </w:tc>
      </w:tr>
      <w:tr w:rsidR="00E7057E" w:rsidRPr="009424D8" w14:paraId="141F7BAB" w14:textId="77777777" w:rsidTr="00362AFD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9C87B9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1</w:t>
            </w:r>
          </w:p>
        </w:tc>
        <w:tc>
          <w:tcPr>
            <w:tcW w:w="0" w:type="auto"/>
            <w:hideMark/>
          </w:tcPr>
          <w:p w14:paraId="500F9641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100 mg/kg</w:t>
            </w:r>
          </w:p>
        </w:tc>
        <w:tc>
          <w:tcPr>
            <w:tcW w:w="0" w:type="auto"/>
            <w:hideMark/>
          </w:tcPr>
          <w:p w14:paraId="0104117C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43.73%</w:t>
            </w:r>
          </w:p>
        </w:tc>
      </w:tr>
      <w:tr w:rsidR="00E7057E" w:rsidRPr="009424D8" w14:paraId="78C9A59B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D81CC0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2</w:t>
            </w:r>
          </w:p>
        </w:tc>
        <w:tc>
          <w:tcPr>
            <w:tcW w:w="0" w:type="auto"/>
            <w:hideMark/>
          </w:tcPr>
          <w:p w14:paraId="7BD3B79E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200 mg/kg</w:t>
            </w:r>
          </w:p>
        </w:tc>
        <w:tc>
          <w:tcPr>
            <w:tcW w:w="0" w:type="auto"/>
            <w:hideMark/>
          </w:tcPr>
          <w:p w14:paraId="043823FF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57.3%</w:t>
            </w:r>
          </w:p>
        </w:tc>
      </w:tr>
      <w:tr w:rsidR="00E7057E" w:rsidRPr="009424D8" w14:paraId="3125B02B" w14:textId="77777777" w:rsidTr="00362AFD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E31F72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3</w:t>
            </w:r>
          </w:p>
        </w:tc>
        <w:tc>
          <w:tcPr>
            <w:tcW w:w="0" w:type="auto"/>
            <w:hideMark/>
          </w:tcPr>
          <w:p w14:paraId="263A473C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Extract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400 mg/kg</w:t>
            </w:r>
          </w:p>
        </w:tc>
        <w:tc>
          <w:tcPr>
            <w:tcW w:w="0" w:type="auto"/>
            <w:hideMark/>
          </w:tcPr>
          <w:p w14:paraId="24CB9527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66.1%</w:t>
            </w:r>
          </w:p>
        </w:tc>
      </w:tr>
    </w:tbl>
    <w:p w14:paraId="0DE4218A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"Data are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presented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± standard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deviation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0.05; **: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0.01."</w:t>
      </w:r>
    </w:p>
    <w:p w14:paraId="03E75C4A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lastRenderedPageBreak/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evaluation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inhibition percentage highlights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increasing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effectiveness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preventing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ethanol-induced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expected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healthy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exhibited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no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while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control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showed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0% inhibition,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validating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reliability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model.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ranitidine (50 mg/kg)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demonstrated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high inhibition rate of 71.63%,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serving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a comparative standard.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100 mg/kg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43.73% inhibition,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which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increased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to 57.3% at 200 mg/kg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reached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66.1% at 400 mg/kg. This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clear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dose-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dependent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trend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confirms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activity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maximum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400 mg/kg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approaching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that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ranitidine.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findings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support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therapeutic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potential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against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likely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through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combined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involving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acid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reduction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barrier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enhancement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and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attenuation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oxidative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stress.</w:t>
      </w:r>
    </w:p>
    <w:p w14:paraId="5DCC3C5A" w14:textId="77777777" w:rsidR="00E7057E" w:rsidRPr="009424D8" w:rsidRDefault="00E7057E" w:rsidP="009424D8">
      <w:pPr>
        <w:pStyle w:val="ListParagraph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Protection Index</w:t>
      </w:r>
      <w:r w:rsidRPr="009424D8">
        <w:rPr>
          <w:rFonts w:ascii="Arial" w:eastAsia="Times New Roman" w:hAnsi="Arial" w:cs="Arial"/>
          <w:sz w:val="20"/>
          <w:szCs w:val="20"/>
          <w:lang w:eastAsia="fr-FR"/>
        </w:rPr>
        <w:br/>
      </w:r>
      <w:r w:rsidRPr="009424D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Table 5. </w:t>
      </w:r>
      <w:proofErr w:type="spellStart"/>
      <w:r w:rsidRPr="009424D8">
        <w:rPr>
          <w:rFonts w:ascii="Arial" w:eastAsia="Times New Roman" w:hAnsi="Arial" w:cs="Arial"/>
          <w:sz w:val="20"/>
          <w:szCs w:val="20"/>
          <w:lang w:eastAsia="fr-FR"/>
        </w:rPr>
        <w:t>Determination</w:t>
      </w:r>
      <w:proofErr w:type="spellEnd"/>
      <w:r w:rsidRPr="009424D8">
        <w:rPr>
          <w:rFonts w:ascii="Arial" w:eastAsia="Times New Roman" w:hAnsi="Arial" w:cs="Arial"/>
          <w:sz w:val="20"/>
          <w:szCs w:val="20"/>
          <w:lang w:eastAsia="fr-FR"/>
        </w:rPr>
        <w:t xml:space="preserve"> of Protection Index</w:t>
      </w:r>
    </w:p>
    <w:tbl>
      <w:tblPr>
        <w:tblStyle w:val="Tableausimple21"/>
        <w:tblW w:w="8591" w:type="dxa"/>
        <w:tblLook w:val="04A0" w:firstRow="1" w:lastRow="0" w:firstColumn="1" w:lastColumn="0" w:noHBand="0" w:noVBand="1"/>
      </w:tblPr>
      <w:tblGrid>
        <w:gridCol w:w="2604"/>
        <w:gridCol w:w="4390"/>
        <w:gridCol w:w="1597"/>
      </w:tblGrid>
      <w:tr w:rsidR="00E7057E" w:rsidRPr="009424D8" w14:paraId="09B1E133" w14:textId="77777777" w:rsidTr="00362A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342EBE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Treated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Group</w:t>
            </w:r>
          </w:p>
        </w:tc>
        <w:tc>
          <w:tcPr>
            <w:tcW w:w="0" w:type="auto"/>
            <w:hideMark/>
          </w:tcPr>
          <w:p w14:paraId="0FF23E5D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Protection Index Calculation (%)</w:t>
            </w:r>
          </w:p>
        </w:tc>
        <w:tc>
          <w:tcPr>
            <w:tcW w:w="0" w:type="auto"/>
            <w:hideMark/>
          </w:tcPr>
          <w:p w14:paraId="5B4F3BB1" w14:textId="77777777" w:rsidR="00E7057E" w:rsidRPr="00E7057E" w:rsidRDefault="00E7057E" w:rsidP="00E7057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proofErr w:type="spellStart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Result</w:t>
            </w:r>
            <w:proofErr w:type="spellEnd"/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(%)</w:t>
            </w:r>
          </w:p>
        </w:tc>
      </w:tr>
      <w:tr w:rsidR="00E7057E" w:rsidRPr="009424D8" w14:paraId="28C0A705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192A96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Reference</w:t>
            </w:r>
          </w:p>
        </w:tc>
        <w:tc>
          <w:tcPr>
            <w:tcW w:w="0" w:type="auto"/>
            <w:hideMark/>
          </w:tcPr>
          <w:p w14:paraId="488373CA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100 − (19.8 / 69.8 × 100) = 71.63</w:t>
            </w:r>
          </w:p>
        </w:tc>
        <w:tc>
          <w:tcPr>
            <w:tcW w:w="0" w:type="auto"/>
            <w:hideMark/>
          </w:tcPr>
          <w:p w14:paraId="75FDE82B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71.63%</w:t>
            </w:r>
          </w:p>
        </w:tc>
      </w:tr>
      <w:tr w:rsidR="00E7057E" w:rsidRPr="009424D8" w14:paraId="5C9CD658" w14:textId="77777777" w:rsidTr="00362AFD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D425CA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1 (100 mg/kg)</w:t>
            </w:r>
          </w:p>
        </w:tc>
        <w:tc>
          <w:tcPr>
            <w:tcW w:w="0" w:type="auto"/>
            <w:hideMark/>
          </w:tcPr>
          <w:p w14:paraId="42BA67FC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100 − (39.27 / 69.8 × 100) = 43.73</w:t>
            </w:r>
          </w:p>
        </w:tc>
        <w:tc>
          <w:tcPr>
            <w:tcW w:w="0" w:type="auto"/>
            <w:hideMark/>
          </w:tcPr>
          <w:p w14:paraId="043411D5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43.73%</w:t>
            </w:r>
          </w:p>
        </w:tc>
      </w:tr>
      <w:tr w:rsidR="00E7057E" w:rsidRPr="009424D8" w14:paraId="6331A126" w14:textId="77777777" w:rsidTr="00362A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D7D021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2 (200 mg/kg)</w:t>
            </w:r>
          </w:p>
        </w:tc>
        <w:tc>
          <w:tcPr>
            <w:tcW w:w="0" w:type="auto"/>
            <w:hideMark/>
          </w:tcPr>
          <w:p w14:paraId="7D583383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100 − (29.8 / 69.8 × 100) = 57.30</w:t>
            </w:r>
          </w:p>
        </w:tc>
        <w:tc>
          <w:tcPr>
            <w:tcW w:w="0" w:type="auto"/>
            <w:hideMark/>
          </w:tcPr>
          <w:p w14:paraId="3BBD2B44" w14:textId="77777777" w:rsidR="00E7057E" w:rsidRPr="00E7057E" w:rsidRDefault="00E7057E" w:rsidP="00E7057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57.30%</w:t>
            </w:r>
          </w:p>
        </w:tc>
      </w:tr>
      <w:tr w:rsidR="00E7057E" w:rsidRPr="009424D8" w14:paraId="2F9883DB" w14:textId="77777777" w:rsidTr="00362AFD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0019A8" w14:textId="77777777" w:rsidR="00E7057E" w:rsidRPr="00E7057E" w:rsidRDefault="00E7057E" w:rsidP="00E7057E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Test 3 (400 mg/kg)</w:t>
            </w:r>
          </w:p>
        </w:tc>
        <w:tc>
          <w:tcPr>
            <w:tcW w:w="0" w:type="auto"/>
            <w:hideMark/>
          </w:tcPr>
          <w:p w14:paraId="58E4F641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100 − (23.3 / 69.8 × 100) = 66.61</w:t>
            </w:r>
          </w:p>
        </w:tc>
        <w:tc>
          <w:tcPr>
            <w:tcW w:w="0" w:type="auto"/>
            <w:hideMark/>
          </w:tcPr>
          <w:p w14:paraId="62C80C9B" w14:textId="77777777" w:rsidR="00E7057E" w:rsidRPr="00E7057E" w:rsidRDefault="00E7057E" w:rsidP="00E705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7057E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66.61%</w:t>
            </w:r>
          </w:p>
        </w:tc>
      </w:tr>
    </w:tbl>
    <w:p w14:paraId="09073178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"Data are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presented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mean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± standard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deviation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0.05; **: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significant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difference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at P &lt; 0.01."</w:t>
      </w:r>
    </w:p>
    <w:p w14:paraId="740171F4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analysis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protection index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confirms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progressive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gastroprotective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Petiveria</w:t>
      </w:r>
      <w:proofErr w:type="spellEnd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alliacea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against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ethanol-induced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lesions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reference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group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treated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ranitidine (50 mg/kg)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exhibited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high protection index of 71.63%,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serving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as a standard for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comparison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Pr="00E7057E">
        <w:rPr>
          <w:rFonts w:ascii="Arial" w:eastAsia="Times New Roman" w:hAnsi="Arial" w:cs="Arial"/>
          <w:sz w:val="20"/>
          <w:szCs w:val="20"/>
          <w:lang w:val="da-DK" w:eastAsia="fr-FR"/>
        </w:rPr>
        <w:t xml:space="preserve">The extract at 100 mg/kg conferred 43.73% protection, which increased to 57.30% at 200 mg/kg and reached 66.61% at 400 mg/kg. </w:t>
      </w:r>
      <w:r w:rsidRPr="00E7057E">
        <w:rPr>
          <w:rFonts w:ascii="Arial" w:eastAsia="Times New Roman" w:hAnsi="Arial" w:cs="Arial"/>
          <w:sz w:val="20"/>
          <w:szCs w:val="20"/>
          <w:lang w:eastAsia="fr-FR"/>
        </w:rPr>
        <w:t>This consistent dose-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dependent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increase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 protection index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demonstrates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extract’s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efficacy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with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highest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dose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approaching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effect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ranitidine.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These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results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further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support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previous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findings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on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index,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ulcerative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score, and inhibition percentage,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suggesting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a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promising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therapeutic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potential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of the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extractpossibly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through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mechanisms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involving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gastric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mucosal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stabilization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antioxidant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activity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, or inhibition of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acid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proofErr w:type="spellStart"/>
      <w:r w:rsidRPr="00E7057E">
        <w:rPr>
          <w:rFonts w:ascii="Arial" w:eastAsia="Times New Roman" w:hAnsi="Arial" w:cs="Arial"/>
          <w:sz w:val="20"/>
          <w:szCs w:val="20"/>
          <w:lang w:eastAsia="fr-FR"/>
        </w:rPr>
        <w:t>secretion</w:t>
      </w:r>
      <w:proofErr w:type="spellEnd"/>
      <w:r w:rsidRPr="00E7057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19016A5B" w14:textId="77777777" w:rsidR="00C42D12" w:rsidRPr="00C42D12" w:rsidRDefault="00E7057E" w:rsidP="00C42D12">
      <w:pPr>
        <w:pStyle w:val="ListParagraph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424D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DISCUSSION</w:t>
      </w:r>
    </w:p>
    <w:p w14:paraId="1B90E5D4" w14:textId="77777777" w:rsidR="00C42D12" w:rsidRPr="00C42D12" w:rsidRDefault="00C42D12" w:rsidP="00C42D12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C42D12">
        <w:rPr>
          <w:rFonts w:ascii="Arial" w:hAnsi="Arial" w:cs="Arial"/>
          <w:color w:val="FF0000"/>
          <w:sz w:val="20"/>
          <w:szCs w:val="20"/>
        </w:rPr>
        <w:t xml:space="preserve">The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findings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of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this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study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clearly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demonstrate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that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the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hydroalcoholic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extract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of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Petiveria</w:t>
      </w:r>
      <w:proofErr w:type="spellEnd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alliacea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leaves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exhibits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significant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gastroprotective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activity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against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ethanol-induced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gastric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lesions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in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Wistar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rats. This protective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effect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evidenced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by a dose-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dependent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reduction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in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ulcer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index and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ulcerative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score,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along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with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proportional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increase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in the percentage of inhibition of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gastric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lesions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achieving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an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efficacy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comparable to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that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of ranitidine at a dose of 400 mg/kg. </w:t>
      </w:r>
    </w:p>
    <w:p w14:paraId="0F673017" w14:textId="77777777" w:rsidR="00C42D12" w:rsidRPr="00C42D12" w:rsidRDefault="00C42D12" w:rsidP="00C42D12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C42D12">
        <w:rPr>
          <w:rFonts w:ascii="Arial" w:hAnsi="Arial" w:cs="Arial"/>
          <w:color w:val="FF0000"/>
          <w:sz w:val="20"/>
          <w:szCs w:val="20"/>
        </w:rPr>
        <w:lastRenderedPageBreak/>
        <w:t xml:space="preserve">Ethanol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well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documented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to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induce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acute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gastric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injury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through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multiple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mechanisms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including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prostaglandin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depletion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disruption of the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mucosal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barrier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increased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oxidative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stress and inflammation, and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reduced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mucosal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blood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flow (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Prayoga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et al., 2024). In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this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model, </w:t>
      </w:r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 xml:space="preserve">P.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alliacea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extract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effectively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mitigated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these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harmful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effects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suggesting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the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presence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of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cytoprotective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mechanisms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similar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to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those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of standard anti-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ulcer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agents.</w:t>
      </w:r>
    </w:p>
    <w:p w14:paraId="2D04037C" w14:textId="77777777" w:rsidR="00C42D12" w:rsidRPr="00C42D12" w:rsidRDefault="00C42D12" w:rsidP="00C42D12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Previous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studies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have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reported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various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pharmacological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properties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of </w:t>
      </w:r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 xml:space="preserve">P.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alliacea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including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anti-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inflammatory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antioxidant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and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antimicrobial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effects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(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Lawal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2024; Ali, 2024).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These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activities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may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account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for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its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observed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gastroprotective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efficacy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. In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particular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the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presence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of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flavonoids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sulfur-containing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compounds, and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thiophenes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already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identified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in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this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plant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likely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to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contribute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to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gastric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mucosal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protection, as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reported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for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other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plant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species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with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similar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phytochemical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profiles (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Prayoga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et al., 2024).</w:t>
      </w:r>
    </w:p>
    <w:p w14:paraId="18C2A4DB" w14:textId="77777777" w:rsidR="00C42D12" w:rsidRPr="00C42D12" w:rsidRDefault="00C42D12" w:rsidP="00C42D12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C42D12">
        <w:rPr>
          <w:rFonts w:ascii="Arial" w:hAnsi="Arial" w:cs="Arial"/>
          <w:color w:val="FF0000"/>
          <w:sz w:val="20"/>
          <w:szCs w:val="20"/>
        </w:rPr>
        <w:t xml:space="preserve">Our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results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are consistent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with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findings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from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studies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on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other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medicinal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plants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with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anti-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ulcer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activity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. For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example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 xml:space="preserve">Moringa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oleifera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extract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has been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shown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to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inhibit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ethanol-induced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gastric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lesions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in rats by up to 68%, a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level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of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effectiveness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similar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to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that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observed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with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 xml:space="preserve">P.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alliacea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at 400 mg/kg (Liga et al., 2025; Alissa, 2025).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Similarly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 xml:space="preserve">Vernonia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amygdalina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rich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in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antioxidants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demonstrated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dose-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dependent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gastric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protection (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Asante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et al., 2024), as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did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Zingiber</w:t>
      </w:r>
      <w:proofErr w:type="spellEnd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 xml:space="preserve"> officinale</w:t>
      </w:r>
      <w:r w:rsidRPr="00C42D12">
        <w:rPr>
          <w:rFonts w:ascii="Arial" w:hAnsi="Arial" w:cs="Arial"/>
          <w:color w:val="FF0000"/>
          <w:sz w:val="20"/>
          <w:szCs w:val="20"/>
        </w:rPr>
        <w:t xml:space="preserve"> (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ginger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),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whose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anti-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ulcer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effect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has been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attributed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to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its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phenolic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and anti-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inflammatory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constituents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(Verma et al., 2025).</w:t>
      </w:r>
    </w:p>
    <w:p w14:paraId="409E6DBB" w14:textId="77777777" w:rsidR="00C42D12" w:rsidRPr="00C42D12" w:rsidRDefault="00C42D12" w:rsidP="00C42D12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C42D12">
        <w:rPr>
          <w:rFonts w:ascii="Arial" w:hAnsi="Arial" w:cs="Arial"/>
          <w:color w:val="FF0000"/>
          <w:sz w:val="20"/>
          <w:szCs w:val="20"/>
        </w:rPr>
        <w:t xml:space="preserve">The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observed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gastroprotective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effect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in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our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study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may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also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involve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partial inhibition of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gastric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acid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secretion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a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mechanism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commonly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reported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for plant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extracts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rich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in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saponins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and tannins (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Getachew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et al., 2025). Ranitidine, as an H</w:t>
      </w:r>
      <w:r w:rsidRPr="00C42D12">
        <w:rPr>
          <w:rFonts w:ascii="Cambria Math" w:hAnsi="Cambria Math" w:cs="Cambria Math"/>
          <w:color w:val="FF0000"/>
          <w:sz w:val="20"/>
          <w:szCs w:val="20"/>
        </w:rPr>
        <w:t>₂</w:t>
      </w:r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receptor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antagonist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efficiently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reduces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gastric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acidity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and serves as a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useful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benchmark,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although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its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prolonged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use has been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associated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with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adverse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effects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and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recent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safety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concerns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(Reuters, 2024). </w:t>
      </w:r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 xml:space="preserve">P.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alliacea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extract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may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therefore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offer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safer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natural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alternative.</w:t>
      </w:r>
    </w:p>
    <w:p w14:paraId="478573A0" w14:textId="77777777" w:rsidR="00C42D12" w:rsidRPr="00C42D12" w:rsidRDefault="00C42D12" w:rsidP="00C42D12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C42D12">
        <w:rPr>
          <w:rFonts w:ascii="Arial" w:hAnsi="Arial" w:cs="Arial"/>
          <w:color w:val="FF0000"/>
          <w:sz w:val="20"/>
          <w:szCs w:val="20"/>
        </w:rPr>
        <w:t xml:space="preserve">It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is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also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well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established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that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oxidative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stress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plays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 central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role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in the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pathogenesis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of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gastric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ulcers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through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lipid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peroxidation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and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epithelial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cell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damage (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Mamache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et al., 2024). The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antioxidant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capacity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recently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demonstrated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for </w:t>
      </w:r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 xml:space="preserve">P.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alliacea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(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Lawal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2024; Ali, 2024) supports the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hypothesis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that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lesion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reduction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may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be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partly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mediated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by free radical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scavenging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activity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>.</w:t>
      </w:r>
    </w:p>
    <w:p w14:paraId="6B0724EC" w14:textId="65B18C47" w:rsidR="00C42D12" w:rsidRPr="00C42D12" w:rsidRDefault="00C42D12" w:rsidP="00C42D12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C42D12">
        <w:rPr>
          <w:rFonts w:ascii="Arial" w:hAnsi="Arial" w:cs="Arial"/>
          <w:color w:val="FF0000"/>
          <w:sz w:val="20"/>
          <w:szCs w:val="20"/>
        </w:rPr>
        <w:t xml:space="preserve">Comparable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effects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have been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reported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for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other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African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medicinal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plants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such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as </w:t>
      </w:r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 xml:space="preserve">Ficus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sycomorus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Annona</w:t>
      </w:r>
      <w:proofErr w:type="spellEnd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muricata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and </w:t>
      </w:r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 xml:space="preserve">Ageratum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conyzoides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highlighting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the relevance of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further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comparative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evaluation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of local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species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to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develop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accessible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phytomedicines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(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Prayoga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et al., 2024).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Moreover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sulfur-containing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compounds in </w:t>
      </w:r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 xml:space="preserve">P. </w:t>
      </w:r>
      <w:proofErr w:type="spellStart"/>
      <w:r w:rsidRPr="00C42D12">
        <w:rPr>
          <w:rStyle w:val="Emphasis"/>
          <w:rFonts w:ascii="Arial" w:hAnsi="Arial" w:cs="Arial"/>
          <w:color w:val="FF0000"/>
          <w:sz w:val="20"/>
          <w:szCs w:val="20"/>
        </w:rPr>
        <w:t>alliacea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may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enhance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endogenous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prostaglandin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synthesis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,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thereby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promoting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gastric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mucosal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regeneration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 xml:space="preserve"> (</w:t>
      </w:r>
      <w:proofErr w:type="spellStart"/>
      <w:r w:rsidRPr="00C42D12">
        <w:rPr>
          <w:rFonts w:ascii="Arial" w:hAnsi="Arial" w:cs="Arial"/>
          <w:color w:val="FF0000"/>
          <w:sz w:val="20"/>
          <w:szCs w:val="20"/>
        </w:rPr>
        <w:t>Lawal</w:t>
      </w:r>
      <w:proofErr w:type="spellEnd"/>
      <w:r w:rsidRPr="00C42D12">
        <w:rPr>
          <w:rFonts w:ascii="Arial" w:hAnsi="Arial" w:cs="Arial"/>
          <w:color w:val="FF0000"/>
          <w:sz w:val="20"/>
          <w:szCs w:val="20"/>
        </w:rPr>
        <w:t>, 2024; Ali, 2024).</w:t>
      </w:r>
    </w:p>
    <w:p w14:paraId="4E02681A" w14:textId="77777777" w:rsidR="00C42D12" w:rsidRPr="009424D8" w:rsidRDefault="00C42D12" w:rsidP="00E7057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6043282" w14:textId="77777777" w:rsidR="009424D8" w:rsidRDefault="00E7057E" w:rsidP="009424D8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9424D8"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  <w:t>CONCLUSION</w:t>
      </w:r>
    </w:p>
    <w:p w14:paraId="7352B849" w14:textId="0A65C29F" w:rsidR="00C21959" w:rsidRDefault="00E7057E" w:rsidP="009424D8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kern w:val="2"/>
          <w:sz w:val="20"/>
          <w:szCs w:val="20"/>
        </w:rPr>
      </w:pPr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The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hydroethanolic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extract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of </w:t>
      </w:r>
      <w:proofErr w:type="spellStart"/>
      <w:r w:rsidRPr="009424D8">
        <w:rPr>
          <w:rFonts w:ascii="Arial" w:eastAsia="Calibri" w:hAnsi="Arial" w:cs="Arial"/>
          <w:i/>
          <w:iCs/>
          <w:kern w:val="2"/>
          <w:sz w:val="20"/>
          <w:szCs w:val="20"/>
        </w:rPr>
        <w:t>Petiveria</w:t>
      </w:r>
      <w:proofErr w:type="spellEnd"/>
      <w:r w:rsidRPr="009424D8">
        <w:rPr>
          <w:rFonts w:ascii="Arial" w:eastAsia="Calibri" w:hAnsi="Arial" w:cs="Arial"/>
          <w:i/>
          <w:iCs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i/>
          <w:iCs/>
          <w:kern w:val="2"/>
          <w:sz w:val="20"/>
          <w:szCs w:val="20"/>
        </w:rPr>
        <w:t>alliacea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leaves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exhibited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significant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gastroprotective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activity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in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Wistar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rats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subjected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to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ethanol-induced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gastric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ulceration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. This protective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effect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was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characterized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by a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marked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reduction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in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mucosal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lesions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,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enhanced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mucus production, and favorable modulation of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oxidative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stress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parameters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.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These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findings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support the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traditional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use of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this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plant in the management of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gastric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ulcers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and highlight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its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potential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as </w:t>
      </w:r>
      <w:proofErr w:type="gramStart"/>
      <w:r w:rsidRPr="009424D8">
        <w:rPr>
          <w:rFonts w:ascii="Arial" w:eastAsia="Calibri" w:hAnsi="Arial" w:cs="Arial"/>
          <w:kern w:val="2"/>
          <w:sz w:val="20"/>
          <w:szCs w:val="20"/>
        </w:rPr>
        <w:t>a</w:t>
      </w:r>
      <w:proofErr w:type="gram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source of bioactive compounds for the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development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of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lastRenderedPageBreak/>
        <w:t>gastroprotective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phytomedicines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.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However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,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further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studies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,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particularly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toxicological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and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clinical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investigations, are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required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to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confirm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its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safety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and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efficacy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 xml:space="preserve"> in </w:t>
      </w:r>
      <w:proofErr w:type="spellStart"/>
      <w:r w:rsidRPr="009424D8">
        <w:rPr>
          <w:rFonts w:ascii="Arial" w:eastAsia="Calibri" w:hAnsi="Arial" w:cs="Arial"/>
          <w:kern w:val="2"/>
          <w:sz w:val="20"/>
          <w:szCs w:val="20"/>
        </w:rPr>
        <w:t>humans</w:t>
      </w:r>
      <w:proofErr w:type="spellEnd"/>
      <w:r w:rsidRPr="009424D8">
        <w:rPr>
          <w:rFonts w:ascii="Arial" w:eastAsia="Calibri" w:hAnsi="Arial" w:cs="Arial"/>
          <w:kern w:val="2"/>
          <w:sz w:val="20"/>
          <w:szCs w:val="20"/>
        </w:rPr>
        <w:t>.</w:t>
      </w:r>
    </w:p>
    <w:p w14:paraId="1989DE66" w14:textId="77777777" w:rsidR="00B64846" w:rsidRPr="003F5F7D" w:rsidRDefault="00B64846" w:rsidP="00B64846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b/>
          <w:bCs/>
          <w:kern w:val="2"/>
          <w:sz w:val="20"/>
          <w:szCs w:val="20"/>
        </w:rPr>
      </w:pPr>
      <w:proofErr w:type="spellStart"/>
      <w:r w:rsidRPr="003F5F7D">
        <w:rPr>
          <w:rFonts w:ascii="Arial" w:eastAsia="Calibri" w:hAnsi="Arial" w:cs="Arial"/>
          <w:b/>
          <w:bCs/>
          <w:kern w:val="2"/>
          <w:sz w:val="20"/>
          <w:szCs w:val="20"/>
        </w:rPr>
        <w:t>Ethical</w:t>
      </w:r>
      <w:proofErr w:type="spellEnd"/>
      <w:r w:rsidRPr="003F5F7D">
        <w:rPr>
          <w:rFonts w:ascii="Arial" w:eastAsia="Calibri" w:hAnsi="Arial" w:cs="Arial"/>
          <w:b/>
          <w:bCs/>
          <w:kern w:val="2"/>
          <w:sz w:val="20"/>
          <w:szCs w:val="20"/>
        </w:rPr>
        <w:t xml:space="preserve"> </w:t>
      </w:r>
      <w:proofErr w:type="spellStart"/>
      <w:r w:rsidRPr="003F5F7D">
        <w:rPr>
          <w:rFonts w:ascii="Arial" w:eastAsia="Calibri" w:hAnsi="Arial" w:cs="Arial"/>
          <w:b/>
          <w:bCs/>
          <w:kern w:val="2"/>
          <w:sz w:val="20"/>
          <w:szCs w:val="20"/>
        </w:rPr>
        <w:t>Approval</w:t>
      </w:r>
      <w:proofErr w:type="spellEnd"/>
    </w:p>
    <w:p w14:paraId="790B7E36" w14:textId="3011A5AF" w:rsidR="00B64846" w:rsidRDefault="00B64846" w:rsidP="00B64846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kern w:val="2"/>
          <w:sz w:val="20"/>
          <w:szCs w:val="20"/>
        </w:rPr>
      </w:pPr>
      <w:r w:rsidRPr="00B64846">
        <w:rPr>
          <w:rFonts w:ascii="Arial" w:eastAsia="Calibri" w:hAnsi="Arial" w:cs="Arial"/>
          <w:kern w:val="2"/>
          <w:sz w:val="20"/>
          <w:szCs w:val="20"/>
        </w:rPr>
        <w:t xml:space="preserve">Animal </w:t>
      </w:r>
      <w:proofErr w:type="spellStart"/>
      <w:r w:rsidRPr="00B64846">
        <w:rPr>
          <w:rFonts w:ascii="Arial" w:eastAsia="Calibri" w:hAnsi="Arial" w:cs="Arial"/>
          <w:kern w:val="2"/>
          <w:sz w:val="20"/>
          <w:szCs w:val="20"/>
        </w:rPr>
        <w:t>Ethic</w:t>
      </w:r>
      <w:proofErr w:type="spellEnd"/>
      <w:r w:rsidRPr="00B64846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B64846">
        <w:rPr>
          <w:rFonts w:ascii="Arial" w:eastAsia="Calibri" w:hAnsi="Arial" w:cs="Arial"/>
          <w:kern w:val="2"/>
          <w:sz w:val="20"/>
          <w:szCs w:val="20"/>
        </w:rPr>
        <w:t>committee</w:t>
      </w:r>
      <w:proofErr w:type="spellEnd"/>
      <w:r w:rsidRPr="00B64846">
        <w:rPr>
          <w:rFonts w:ascii="Arial" w:eastAsia="Calibri" w:hAnsi="Arial" w:cs="Arial"/>
          <w:kern w:val="2"/>
          <w:sz w:val="20"/>
          <w:szCs w:val="20"/>
        </w:rPr>
        <w:t xml:space="preserve"> </w:t>
      </w:r>
      <w:proofErr w:type="spellStart"/>
      <w:r w:rsidRPr="00B64846">
        <w:rPr>
          <w:rFonts w:ascii="Arial" w:eastAsia="Calibri" w:hAnsi="Arial" w:cs="Arial"/>
          <w:kern w:val="2"/>
          <w:sz w:val="20"/>
          <w:szCs w:val="20"/>
        </w:rPr>
        <w:t>approval</w:t>
      </w:r>
      <w:proofErr w:type="spellEnd"/>
      <w:r w:rsidRPr="00B64846">
        <w:rPr>
          <w:rFonts w:ascii="Arial" w:eastAsia="Calibri" w:hAnsi="Arial" w:cs="Arial"/>
          <w:kern w:val="2"/>
          <w:sz w:val="20"/>
          <w:szCs w:val="20"/>
        </w:rPr>
        <w:t xml:space="preserve"> has been </w:t>
      </w:r>
      <w:proofErr w:type="spellStart"/>
      <w:r w:rsidRPr="00B64846">
        <w:rPr>
          <w:rFonts w:ascii="Arial" w:eastAsia="Calibri" w:hAnsi="Arial" w:cs="Arial"/>
          <w:kern w:val="2"/>
          <w:sz w:val="20"/>
          <w:szCs w:val="20"/>
        </w:rPr>
        <w:t>collected</w:t>
      </w:r>
      <w:proofErr w:type="spellEnd"/>
      <w:r w:rsidRPr="00B64846">
        <w:rPr>
          <w:rFonts w:ascii="Arial" w:eastAsia="Calibri" w:hAnsi="Arial" w:cs="Arial"/>
          <w:kern w:val="2"/>
          <w:sz w:val="20"/>
          <w:szCs w:val="20"/>
        </w:rPr>
        <w:t xml:space="preserve"> and </w:t>
      </w:r>
      <w:proofErr w:type="spellStart"/>
      <w:r w:rsidRPr="00B64846">
        <w:rPr>
          <w:rFonts w:ascii="Arial" w:eastAsia="Calibri" w:hAnsi="Arial" w:cs="Arial"/>
          <w:kern w:val="2"/>
          <w:sz w:val="20"/>
          <w:szCs w:val="20"/>
        </w:rPr>
        <w:t>preserved</w:t>
      </w:r>
      <w:proofErr w:type="spellEnd"/>
      <w:r w:rsidRPr="00B64846">
        <w:rPr>
          <w:rFonts w:ascii="Arial" w:eastAsia="Calibri" w:hAnsi="Arial" w:cs="Arial"/>
          <w:kern w:val="2"/>
          <w:sz w:val="20"/>
          <w:szCs w:val="20"/>
        </w:rPr>
        <w:t xml:space="preserve"> by the </w:t>
      </w:r>
      <w:proofErr w:type="spellStart"/>
      <w:r w:rsidRPr="00B64846">
        <w:rPr>
          <w:rFonts w:ascii="Arial" w:eastAsia="Calibri" w:hAnsi="Arial" w:cs="Arial"/>
          <w:kern w:val="2"/>
          <w:sz w:val="20"/>
          <w:szCs w:val="20"/>
        </w:rPr>
        <w:t>author</w:t>
      </w:r>
      <w:proofErr w:type="spellEnd"/>
      <w:r w:rsidRPr="00B64846">
        <w:rPr>
          <w:rFonts w:ascii="Arial" w:eastAsia="Calibri" w:hAnsi="Arial" w:cs="Arial"/>
          <w:kern w:val="2"/>
          <w:sz w:val="20"/>
          <w:szCs w:val="20"/>
        </w:rPr>
        <w:t>(s)</w:t>
      </w:r>
      <w:r>
        <w:rPr>
          <w:rFonts w:ascii="Arial" w:eastAsia="Calibri" w:hAnsi="Arial" w:cs="Arial"/>
          <w:kern w:val="2"/>
          <w:sz w:val="20"/>
          <w:szCs w:val="20"/>
        </w:rPr>
        <w:t>.</w:t>
      </w:r>
    </w:p>
    <w:p w14:paraId="22FFCB5A" w14:textId="77777777" w:rsidR="00C21959" w:rsidRPr="002D63AA" w:rsidRDefault="00C21959" w:rsidP="00C21959">
      <w:pPr>
        <w:rPr>
          <w:rFonts w:ascii="Arial" w:eastAsia="Calibri" w:hAnsi="Arial" w:cs="Arial"/>
          <w:b/>
          <w:color w:val="FF0000"/>
          <w:kern w:val="2"/>
          <w:sz w:val="20"/>
          <w:szCs w:val="20"/>
          <w:lang w:val="en-US"/>
        </w:rPr>
      </w:pPr>
      <w:bookmarkStart w:id="1" w:name="_Hlk204003461"/>
      <w:bookmarkStart w:id="2" w:name="_Hlk209007716"/>
      <w:r w:rsidRPr="002D63AA">
        <w:rPr>
          <w:rFonts w:ascii="Arial" w:eastAsia="Calibri" w:hAnsi="Arial" w:cs="Arial"/>
          <w:b/>
          <w:color w:val="FF0000"/>
          <w:kern w:val="2"/>
          <w:sz w:val="20"/>
          <w:szCs w:val="20"/>
          <w:lang w:val="en-US"/>
        </w:rPr>
        <w:t>Disclaimer (Artificial intelligence)</w:t>
      </w:r>
    </w:p>
    <w:p w14:paraId="23041346" w14:textId="77777777" w:rsidR="00C21959" w:rsidRPr="006C6C48" w:rsidRDefault="00C21959" w:rsidP="002D63AA">
      <w:pPr>
        <w:jc w:val="both"/>
        <w:rPr>
          <w:rFonts w:ascii="Arial" w:eastAsia="Calibri" w:hAnsi="Arial" w:cs="Arial"/>
          <w:kern w:val="2"/>
          <w:sz w:val="20"/>
          <w:szCs w:val="20"/>
          <w:lang w:val="en-US"/>
        </w:rPr>
      </w:pPr>
      <w:r w:rsidRPr="006C6C48">
        <w:rPr>
          <w:rFonts w:ascii="Arial" w:eastAsia="Calibri" w:hAnsi="Arial" w:cs="Arial"/>
          <w:color w:val="FF0000"/>
          <w:kern w:val="2"/>
          <w:sz w:val="20"/>
          <w:szCs w:val="20"/>
          <w:lang w:val="en-US"/>
        </w:rPr>
        <w:t>Author(s) hereby declare that NO generative AI technologies such as Large Language Models (ChatGPT, COPILOT, etc.) and text-to-image generators have been used during the writing or editing of this manuscript</w:t>
      </w:r>
      <w:r w:rsidRPr="006C6C48">
        <w:rPr>
          <w:rFonts w:ascii="Arial" w:eastAsia="Calibri" w:hAnsi="Arial" w:cs="Arial"/>
          <w:kern w:val="2"/>
          <w:sz w:val="20"/>
          <w:szCs w:val="20"/>
          <w:lang w:val="en-US"/>
        </w:rPr>
        <w:t xml:space="preserve">. </w:t>
      </w:r>
    </w:p>
    <w:bookmarkEnd w:id="1"/>
    <w:bookmarkEnd w:id="2"/>
    <w:p w14:paraId="0350F46D" w14:textId="77777777" w:rsidR="00C21959" w:rsidRPr="009424D8" w:rsidRDefault="00C21959" w:rsidP="009424D8">
      <w:pPr>
        <w:spacing w:before="100" w:beforeAutospacing="1" w:after="100" w:afterAutospacing="1" w:line="360" w:lineRule="auto"/>
        <w:jc w:val="both"/>
        <w:rPr>
          <w:rFonts w:ascii="Arial" w:eastAsia="Calibri" w:hAnsi="Arial" w:cs="Arial"/>
          <w:kern w:val="2"/>
          <w:sz w:val="20"/>
          <w:szCs w:val="20"/>
        </w:rPr>
      </w:pPr>
    </w:p>
    <w:p w14:paraId="1BD8076E" w14:textId="77777777" w:rsidR="00E7057E" w:rsidRPr="00E7057E" w:rsidRDefault="00E7057E" w:rsidP="00E705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bookmarkStart w:id="3" w:name="_Hlk197894430"/>
      <w:r w:rsidRPr="00E7057E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REFERENCES</w:t>
      </w:r>
    </w:p>
    <w:bookmarkEnd w:id="3"/>
    <w:p w14:paraId="16E193D9" w14:textId="77777777" w:rsidR="00916C45" w:rsidRPr="00916C45" w:rsidRDefault="006C6C48" w:rsidP="00916C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Ali, M. A.,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Oyenihi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A. B.,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Adedara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I. A., &amp;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Adeagbo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O. (2024).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Exploring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the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therapeutic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potential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Petiveria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alliacea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L.: An in-silico and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review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study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Pharmaceuticals, 17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(4), 512. </w:t>
      </w:r>
      <w:hyperlink r:id="rId9" w:tgtFrame="_new" w:history="1">
        <w:r w:rsidRPr="00916C45">
          <w:rPr>
            <w:rFonts w:ascii="Arial" w:eastAsia="Times New Roman" w:hAnsi="Arial" w:cs="Arial"/>
            <w:color w:val="FF0000"/>
            <w:sz w:val="20"/>
            <w:szCs w:val="20"/>
            <w:u w:val="single"/>
            <w:lang w:eastAsia="fr-FR"/>
          </w:rPr>
          <w:t>https://doi.org/10.3390/ph17040512</w:t>
        </w:r>
      </w:hyperlink>
    </w:p>
    <w:p w14:paraId="61A406E6" w14:textId="77777777" w:rsidR="00916C45" w:rsidRPr="00916C45" w:rsidRDefault="00916C45" w:rsidP="00916C45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14:paraId="5D2EFC0B" w14:textId="77777777" w:rsidR="00916C45" w:rsidRPr="00916C45" w:rsidRDefault="006C6C48" w:rsidP="00916C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Alissa, M., Ali, A. M., &amp; Mohammed, I. (2025). Fraction K3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from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Moringa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oleifera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exhibits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gastroprotective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activity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against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HCl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/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EtOH-induced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gastric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ulceration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Chemistry &amp;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Biodiversity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, 22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(3), e20250089.</w:t>
      </w:r>
    </w:p>
    <w:p w14:paraId="76546A3A" w14:textId="77777777" w:rsidR="00916C45" w:rsidRPr="00916C45" w:rsidRDefault="00916C45" w:rsidP="00916C45">
      <w:pPr>
        <w:pStyle w:val="ListParagraph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14:paraId="37991DB5" w14:textId="77777777" w:rsidR="00916C45" w:rsidRPr="00916C45" w:rsidRDefault="006C6C48" w:rsidP="00916C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Asante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D. B.,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Boakye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Y. D.,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Agyemang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E. A., Anim, A. K., &amp;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Yeboah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K. (2024).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Therapeutic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benefits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Vernonia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amygdalina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 gastrointestinal and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inflammatory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models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Journal of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Ethnopharmacology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, 323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, 117012.</w:t>
      </w:r>
    </w:p>
    <w:p w14:paraId="3CEF2B01" w14:textId="77777777" w:rsidR="00916C45" w:rsidRPr="00916C45" w:rsidRDefault="00916C45" w:rsidP="00916C45">
      <w:pPr>
        <w:pStyle w:val="ListParagraph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14:paraId="2E979886" w14:textId="77777777" w:rsidR="00916C45" w:rsidRPr="00916C45" w:rsidRDefault="006C6C48" w:rsidP="00916C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El-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Saadony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M. T., Saad, A. M., Mohammed, D. M., Korma, S. A.,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Alshahrani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M. Y., Ahmed, A. E., Ibrahim, E. H., Salem, H. M.,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Alkafaas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S. S., Saif, A. M., &amp;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Elkafas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S. S. (2025).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Medicinal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gram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plants:</w:t>
      </w:r>
      <w:proofErr w:type="gram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Bioactive compounds,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biological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activities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and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therapeutic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potentials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PMC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hyperlink r:id="rId10" w:tgtFrame="_new" w:history="1">
        <w:r w:rsidRPr="00916C45">
          <w:rPr>
            <w:rFonts w:ascii="Arial" w:eastAsia="Times New Roman" w:hAnsi="Arial" w:cs="Arial"/>
            <w:color w:val="FF0000"/>
            <w:sz w:val="20"/>
            <w:szCs w:val="20"/>
            <w:u w:val="single"/>
            <w:lang w:eastAsia="fr-FR"/>
          </w:rPr>
          <w:t>https://www.ncbi.nlm.nih.gov/pmc/articles/PMC12079674/</w:t>
        </w:r>
      </w:hyperlink>
    </w:p>
    <w:p w14:paraId="4230A7E9" w14:textId="77777777" w:rsidR="00916C45" w:rsidRPr="00916C45" w:rsidRDefault="00916C45" w:rsidP="00916C45">
      <w:pPr>
        <w:pStyle w:val="ListParagraph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14:paraId="753DA423" w14:textId="36C6FA05" w:rsidR="00916C45" w:rsidRPr="00916C45" w:rsidRDefault="006C6C48" w:rsidP="00916C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Getachew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D.,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Tefera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G., &amp;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Molla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, H. (2025). Evaluation of anti-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activity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hydromethanol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crude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extract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and solvent fractions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using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pylorus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ligation and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ethanol-induced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models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 rats. </w:t>
      </w:r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PLOS ONE, 20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(2), e0298390. </w:t>
      </w:r>
      <w:hyperlink r:id="rId11" w:history="1">
        <w:r w:rsidR="00916C45" w:rsidRPr="00916C45">
          <w:rPr>
            <w:rStyle w:val="Hyperlink"/>
            <w:rFonts w:ascii="Arial" w:eastAsia="Times New Roman" w:hAnsi="Arial" w:cs="Arial"/>
            <w:color w:val="FF0000"/>
            <w:sz w:val="20"/>
            <w:szCs w:val="20"/>
            <w:lang w:eastAsia="fr-FR"/>
          </w:rPr>
          <w:t>https://journals.plos.org/plosone/article?id=10.1371/journal.pone.03298390</w:t>
        </w:r>
      </w:hyperlink>
    </w:p>
    <w:p w14:paraId="0A726B22" w14:textId="77777777" w:rsidR="00916C45" w:rsidRPr="00916C45" w:rsidRDefault="00916C45" w:rsidP="00916C45">
      <w:pPr>
        <w:pStyle w:val="ListParagraph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14:paraId="0A4028A3" w14:textId="77777777" w:rsidR="00916C45" w:rsidRPr="00916C45" w:rsidRDefault="006C6C48" w:rsidP="00916C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Hao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W., Zheng, C., Wang, Z., &amp; Ma, H. (2025). Global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burden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and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risk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factors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peptic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disease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between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1990 and 2021: A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systematic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analysis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for the Global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Burden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Disease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Study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2021. </w:t>
      </w:r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PLOS ONE, 20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(3), e0325821. </w:t>
      </w:r>
      <w:hyperlink r:id="rId12" w:tgtFrame="_new" w:history="1">
        <w:r w:rsidRPr="00916C45">
          <w:rPr>
            <w:rFonts w:ascii="Arial" w:eastAsia="Times New Roman" w:hAnsi="Arial" w:cs="Arial"/>
            <w:color w:val="FF0000"/>
            <w:sz w:val="20"/>
            <w:szCs w:val="20"/>
            <w:u w:val="single"/>
            <w:lang w:eastAsia="fr-FR"/>
          </w:rPr>
          <w:t>https://journals.plos.org/plosone/article?id=10.1371/journal.pone.0325821</w:t>
        </w:r>
      </w:hyperlink>
    </w:p>
    <w:p w14:paraId="3BA4A779" w14:textId="77777777" w:rsidR="00916C45" w:rsidRPr="00916C45" w:rsidRDefault="00916C45" w:rsidP="00916C45">
      <w:pPr>
        <w:pStyle w:val="ListParagraph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14:paraId="4A7012B9" w14:textId="77777777" w:rsidR="00916C45" w:rsidRPr="00916C45" w:rsidRDefault="006C6C48" w:rsidP="00916C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He, K. (2025). Global trends and future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predictions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gastrointestinal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: A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systematic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review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Frontiers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in Public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Health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, 13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1511050. </w:t>
      </w:r>
      <w:hyperlink r:id="rId13" w:tgtFrame="_new" w:history="1">
        <w:r w:rsidRPr="00916C45">
          <w:rPr>
            <w:rFonts w:ascii="Arial" w:eastAsia="Times New Roman" w:hAnsi="Arial" w:cs="Arial"/>
            <w:color w:val="FF0000"/>
            <w:sz w:val="20"/>
            <w:szCs w:val="20"/>
            <w:u w:val="single"/>
            <w:lang w:eastAsia="fr-FR"/>
          </w:rPr>
          <w:t>https://www.frontiersin.org/journals/public-health/articles/10.3389/fpubh.2025.1511050/full</w:t>
        </w:r>
      </w:hyperlink>
    </w:p>
    <w:p w14:paraId="1EEE441E" w14:textId="77777777" w:rsidR="00916C45" w:rsidRPr="00916C45" w:rsidRDefault="00916C45" w:rsidP="00916C45">
      <w:pPr>
        <w:pStyle w:val="ListParagraph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14:paraId="6E4B3264" w14:textId="77777777" w:rsidR="00916C45" w:rsidRPr="00916C45" w:rsidRDefault="006C6C48" w:rsidP="00916C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Lawal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I. O.,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Olayemi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F. O., &amp;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Adesina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S. K. (2024).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Ethnobotany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chemistry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and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toxicity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Petiveria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alliacea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: A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review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Functional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Food &amp;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Health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Development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Journal, 4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(1), 21–39.</w:t>
      </w:r>
    </w:p>
    <w:p w14:paraId="04ED5513" w14:textId="77777777" w:rsidR="00916C45" w:rsidRPr="00916C45" w:rsidRDefault="00916C45" w:rsidP="00916C45">
      <w:pPr>
        <w:pStyle w:val="ListParagraph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14:paraId="0195D62C" w14:textId="77777777" w:rsidR="00916C45" w:rsidRPr="00916C45" w:rsidRDefault="006C6C48" w:rsidP="00916C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Liga, S.,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Mwita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J. C.,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Mbwambo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H. A., &amp; Moshi, M. J. (2025). Comparative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analysis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Moringa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oleifera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leaves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therapeutic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strategies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for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ethanol-induced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gastric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ulceration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 rat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models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BMC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Complementary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Medicine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and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Therapies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, 25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(1), 118.</w:t>
      </w:r>
    </w:p>
    <w:p w14:paraId="534AE38B" w14:textId="77777777" w:rsidR="00916C45" w:rsidRPr="00916C45" w:rsidRDefault="00916C45" w:rsidP="00916C45">
      <w:pPr>
        <w:pStyle w:val="ListParagraph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14:paraId="0ECC22F4" w14:textId="77777777" w:rsidR="00916C45" w:rsidRPr="00916C45" w:rsidRDefault="006C6C48" w:rsidP="00916C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Malik, T. F.,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Gnanapandithan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K., &amp; Singh, K. (2023).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Peptic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disease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In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StatPearls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StatPearls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Publishing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hyperlink r:id="rId14" w:tgtFrame="_new" w:history="1">
        <w:r w:rsidRPr="00916C45">
          <w:rPr>
            <w:rFonts w:ascii="Arial" w:eastAsia="Times New Roman" w:hAnsi="Arial" w:cs="Arial"/>
            <w:color w:val="FF0000"/>
            <w:sz w:val="20"/>
            <w:szCs w:val="20"/>
            <w:u w:val="single"/>
            <w:lang w:eastAsia="fr-FR"/>
          </w:rPr>
          <w:t>https://www.ncbi.nlm.nih.gov/books/NBK534792/</w:t>
        </w:r>
      </w:hyperlink>
    </w:p>
    <w:p w14:paraId="7EFF4497" w14:textId="77777777" w:rsidR="00916C45" w:rsidRPr="00916C45" w:rsidRDefault="00916C45" w:rsidP="00916C45">
      <w:pPr>
        <w:pStyle w:val="ListParagraph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14:paraId="567808BC" w14:textId="77777777" w:rsidR="00916C45" w:rsidRPr="00916C45" w:rsidRDefault="006C6C48" w:rsidP="00916C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Mamache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W., Ismail, N. A.,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Alzahrani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N., &amp;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Alqahtani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A. (2024). The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therapeutic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potential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of </w:t>
      </w:r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Salvia aegyptiaca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extracts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ethanol-induced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gastric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models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in rats. </w:t>
      </w:r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Journal of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Integrative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Medicine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, 22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(4), 278–288.</w:t>
      </w:r>
    </w:p>
    <w:p w14:paraId="08B33586" w14:textId="77777777" w:rsidR="00916C45" w:rsidRPr="00916C45" w:rsidRDefault="00916C45" w:rsidP="00916C45">
      <w:pPr>
        <w:pStyle w:val="ListParagraph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14:paraId="09B5CA68" w14:textId="77777777" w:rsidR="00916C45" w:rsidRPr="00916C45" w:rsidRDefault="006C6C48" w:rsidP="00916C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Prayoga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D. K.,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Sholikah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M., Firdaus, M.,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Rizki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U. N., &amp;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Hidayat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, A. (2024). Plants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with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anti-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ulcer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activity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and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mechanism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: A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comprehensive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review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Drug Design,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Development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and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Therapy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, 18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, 313–341.</w:t>
      </w:r>
    </w:p>
    <w:p w14:paraId="30D7AE42" w14:textId="77777777" w:rsidR="00916C45" w:rsidRPr="00916C45" w:rsidRDefault="00916C45" w:rsidP="00916C45">
      <w:pPr>
        <w:pStyle w:val="ListParagraph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14:paraId="27800241" w14:textId="77777777" w:rsidR="00916C45" w:rsidRPr="00916C45" w:rsidRDefault="006C6C48" w:rsidP="00916C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Reuters. (2024, March). Sanofi to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settle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4,000 Zantac (ranitidine) cancer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lawsuits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; ranitidine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withdrawal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and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safety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concerns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Reuters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Health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News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.</w:t>
      </w:r>
    </w:p>
    <w:p w14:paraId="4A326071" w14:textId="77777777" w:rsidR="00916C45" w:rsidRPr="00916C45" w:rsidRDefault="00916C45" w:rsidP="00916C45">
      <w:pPr>
        <w:pStyle w:val="ListParagraph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</w:p>
    <w:p w14:paraId="377AFA93" w14:textId="74E32C96" w:rsidR="006C6C48" w:rsidRPr="00916C45" w:rsidRDefault="006C6C48" w:rsidP="00916C45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fr-FR"/>
        </w:rPr>
      </w:pP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Verma, P. K., Singh, B., &amp; Gupta, V. K. (2025).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Mechanistic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advances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and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therapeutic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applications of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Zingiber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officinale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Rosc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. (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ginger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): An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updated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 </w:t>
      </w:r>
      <w:proofErr w:type="spellStart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review</w:t>
      </w:r>
      <w:proofErr w:type="spellEnd"/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 xml:space="preserve">.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Frontiers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 xml:space="preserve"> in </w:t>
      </w:r>
      <w:proofErr w:type="spellStart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Pharmacology</w:t>
      </w:r>
      <w:proofErr w:type="spellEnd"/>
      <w:r w:rsidRPr="00916C45">
        <w:rPr>
          <w:rFonts w:ascii="Arial" w:eastAsia="Times New Roman" w:hAnsi="Arial" w:cs="Arial"/>
          <w:i/>
          <w:iCs/>
          <w:color w:val="FF0000"/>
          <w:sz w:val="20"/>
          <w:szCs w:val="20"/>
          <w:lang w:eastAsia="fr-FR"/>
        </w:rPr>
        <w:t>, 16</w:t>
      </w:r>
      <w:r w:rsidRPr="00916C45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, 1509123.</w:t>
      </w:r>
    </w:p>
    <w:p w14:paraId="6F4D1684" w14:textId="21E6198C" w:rsidR="00E7057E" w:rsidRPr="00E7057E" w:rsidRDefault="00E7057E" w:rsidP="006C6C48">
      <w:pPr>
        <w:spacing w:before="100" w:beforeAutospacing="1" w:after="100" w:afterAutospacing="1" w:line="36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B65CB19" w14:textId="77777777" w:rsidR="00C314F2" w:rsidRPr="00E7057E" w:rsidRDefault="00C314F2" w:rsidP="006C6C48">
      <w:pPr>
        <w:jc w:val="right"/>
      </w:pPr>
    </w:p>
    <w:sectPr w:rsidR="00C314F2" w:rsidRPr="00E7057E" w:rsidSect="001D49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E8E8" w14:textId="77777777" w:rsidR="00591F4A" w:rsidRDefault="00591F4A" w:rsidP="00B978BE">
      <w:pPr>
        <w:spacing w:after="0" w:line="240" w:lineRule="auto"/>
      </w:pPr>
      <w:r>
        <w:separator/>
      </w:r>
    </w:p>
  </w:endnote>
  <w:endnote w:type="continuationSeparator" w:id="0">
    <w:p w14:paraId="7AD68266" w14:textId="77777777" w:rsidR="00591F4A" w:rsidRDefault="00591F4A" w:rsidP="00B9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7C67" w14:textId="77777777" w:rsidR="00B978BE" w:rsidRDefault="00B978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DB0B" w14:textId="77777777" w:rsidR="00B978BE" w:rsidRDefault="00B978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E22D" w14:textId="77777777" w:rsidR="00B978BE" w:rsidRDefault="00B97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36D3" w14:textId="77777777" w:rsidR="00591F4A" w:rsidRDefault="00591F4A" w:rsidP="00B978BE">
      <w:pPr>
        <w:spacing w:after="0" w:line="240" w:lineRule="auto"/>
      </w:pPr>
      <w:r>
        <w:separator/>
      </w:r>
    </w:p>
  </w:footnote>
  <w:footnote w:type="continuationSeparator" w:id="0">
    <w:p w14:paraId="481110AF" w14:textId="77777777" w:rsidR="00591F4A" w:rsidRDefault="00591F4A" w:rsidP="00B97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12FA" w14:textId="7EFF0DF2" w:rsidR="00B978BE" w:rsidRDefault="00000000">
    <w:pPr>
      <w:pStyle w:val="Header"/>
    </w:pPr>
    <w:r>
      <w:rPr>
        <w:noProof/>
      </w:rPr>
      <w:pict w14:anchorId="096B93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163626" o:spid="_x0000_s1026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87B1" w14:textId="42474B23" w:rsidR="00B978BE" w:rsidRDefault="00000000">
    <w:pPr>
      <w:pStyle w:val="Header"/>
    </w:pPr>
    <w:r>
      <w:rPr>
        <w:noProof/>
      </w:rPr>
      <w:pict w14:anchorId="6BAF61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163627" o:spid="_x0000_s1027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CF12" w14:textId="36721A2B" w:rsidR="00B978BE" w:rsidRDefault="00000000">
    <w:pPr>
      <w:pStyle w:val="Header"/>
    </w:pPr>
    <w:r>
      <w:rPr>
        <w:noProof/>
      </w:rPr>
      <w:pict w14:anchorId="4D50F9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163625" o:spid="_x0000_s1025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6C0D"/>
    <w:multiLevelType w:val="multilevel"/>
    <w:tmpl w:val="04F0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C3C89"/>
    <w:multiLevelType w:val="multilevel"/>
    <w:tmpl w:val="4CAE037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3941403C"/>
    <w:multiLevelType w:val="hybridMultilevel"/>
    <w:tmpl w:val="0D829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37737"/>
    <w:multiLevelType w:val="multilevel"/>
    <w:tmpl w:val="D9EE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9F1106"/>
    <w:multiLevelType w:val="multilevel"/>
    <w:tmpl w:val="A64E7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6FA2B4F"/>
    <w:multiLevelType w:val="multilevel"/>
    <w:tmpl w:val="8230E9E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6" w15:restartNumberingAfterBreak="0">
    <w:nsid w:val="7E776E80"/>
    <w:multiLevelType w:val="hybridMultilevel"/>
    <w:tmpl w:val="B9FEFA7C"/>
    <w:lvl w:ilvl="0" w:tplc="CC0C6420">
      <w:start w:val="2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4714210">
    <w:abstractNumId w:val="3"/>
  </w:num>
  <w:num w:numId="2" w16cid:durableId="732697029">
    <w:abstractNumId w:val="0"/>
  </w:num>
  <w:num w:numId="3" w16cid:durableId="1145926905">
    <w:abstractNumId w:val="6"/>
  </w:num>
  <w:num w:numId="4" w16cid:durableId="628821529">
    <w:abstractNumId w:val="2"/>
  </w:num>
  <w:num w:numId="5" w16cid:durableId="1844277146">
    <w:abstractNumId w:val="4"/>
  </w:num>
  <w:num w:numId="6" w16cid:durableId="1235319903">
    <w:abstractNumId w:val="1"/>
  </w:num>
  <w:num w:numId="7" w16cid:durableId="1355811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57E"/>
    <w:rsid w:val="0005390E"/>
    <w:rsid w:val="00067F7F"/>
    <w:rsid w:val="00072F39"/>
    <w:rsid w:val="000D5B09"/>
    <w:rsid w:val="0016626D"/>
    <w:rsid w:val="001F0594"/>
    <w:rsid w:val="002D63AA"/>
    <w:rsid w:val="002E4654"/>
    <w:rsid w:val="0032550A"/>
    <w:rsid w:val="00367CC6"/>
    <w:rsid w:val="003A6548"/>
    <w:rsid w:val="003E1089"/>
    <w:rsid w:val="003F5F7D"/>
    <w:rsid w:val="004A11DB"/>
    <w:rsid w:val="004C3BC6"/>
    <w:rsid w:val="00591F4A"/>
    <w:rsid w:val="00620CE3"/>
    <w:rsid w:val="006C6C48"/>
    <w:rsid w:val="006C6E26"/>
    <w:rsid w:val="00701F41"/>
    <w:rsid w:val="00717CF0"/>
    <w:rsid w:val="00861F4E"/>
    <w:rsid w:val="00916C45"/>
    <w:rsid w:val="009424D8"/>
    <w:rsid w:val="009702C9"/>
    <w:rsid w:val="00A367FB"/>
    <w:rsid w:val="00A8699D"/>
    <w:rsid w:val="00A96020"/>
    <w:rsid w:val="00AF044D"/>
    <w:rsid w:val="00B64846"/>
    <w:rsid w:val="00B978BE"/>
    <w:rsid w:val="00BA3A26"/>
    <w:rsid w:val="00BE7C83"/>
    <w:rsid w:val="00C21959"/>
    <w:rsid w:val="00C314F2"/>
    <w:rsid w:val="00C42D12"/>
    <w:rsid w:val="00E7057E"/>
    <w:rsid w:val="00F133CE"/>
    <w:rsid w:val="00F66CD0"/>
    <w:rsid w:val="00F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DCF51"/>
  <w15:docId w15:val="{42BA50AF-87BF-468D-96D9-320DDBE0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ausimple21">
    <w:name w:val="Tableau simple 21"/>
    <w:basedOn w:val="TableNormal"/>
    <w:uiPriority w:val="42"/>
    <w:rsid w:val="00E7057E"/>
    <w:pPr>
      <w:spacing w:after="0" w:line="240" w:lineRule="auto"/>
    </w:pPr>
    <w:rPr>
      <w:kern w:val="2"/>
      <w:sz w:val="24"/>
      <w:szCs w:val="24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7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05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08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10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7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8BE"/>
  </w:style>
  <w:style w:type="paragraph" w:styleId="Footer">
    <w:name w:val="footer"/>
    <w:basedOn w:val="Normal"/>
    <w:link w:val="FooterChar"/>
    <w:uiPriority w:val="99"/>
    <w:unhideWhenUsed/>
    <w:rsid w:val="00B97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8BE"/>
  </w:style>
  <w:style w:type="paragraph" w:styleId="NormalWeb">
    <w:name w:val="Normal (Web)"/>
    <w:basedOn w:val="Normal"/>
    <w:uiPriority w:val="99"/>
    <w:semiHidden/>
    <w:unhideWhenUsed/>
    <w:rsid w:val="00C42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C42D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rontiersin.org/journals/public-health/articles/10.3389/fpubh.2025.1511050/full?utm_source=chatgpt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journals.plos.org/plosone/article?id=10.1371%2Fjournal.pone.0325821&amp;utm_source=chatgpt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urnals.plos.org/plosone/article?id=10.1371/journal.pone.0329839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ncbi.nlm.nih.gov/pmc/articles/PMC12079674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ph17040512" TargetMode="External"/><Relationship Id="rId14" Type="http://schemas.openxmlformats.org/officeDocument/2006/relationships/hyperlink" Target="https://www.ncbi.nlm.nih.gov/books/NBK534792/?utm_source=chatgp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11</Pages>
  <Words>4207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Editor GP 005</cp:lastModifiedBy>
  <cp:revision>21</cp:revision>
  <dcterms:created xsi:type="dcterms:W3CDTF">2025-10-06T13:18:00Z</dcterms:created>
  <dcterms:modified xsi:type="dcterms:W3CDTF">2025-10-18T04:36:00Z</dcterms:modified>
</cp:coreProperties>
</file>