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59F" w:rsidRDefault="0029159F" w:rsidP="0029159F">
      <w:pPr>
        <w:pStyle w:val="NormalWeb"/>
        <w:rPr>
          <w:rStyle w:val="Strong"/>
          <w:rFonts w:asciiTheme="minorHAnsi" w:hAnsiTheme="minorHAnsi" w:cstheme="minorHAnsi"/>
          <w:sz w:val="28"/>
        </w:rPr>
      </w:pPr>
      <w:bookmarkStart w:id="0" w:name="_Hlk210923191"/>
      <w:r w:rsidRPr="0029159F">
        <w:rPr>
          <w:rStyle w:val="Strong"/>
          <w:rFonts w:asciiTheme="minorHAnsi" w:hAnsiTheme="minorHAnsi" w:cstheme="minorHAnsi"/>
          <w:sz w:val="28"/>
        </w:rPr>
        <w:t>Predictive Factors of Biliary Cannulation Failure</w:t>
      </w:r>
      <w:bookmarkEnd w:id="0"/>
    </w:p>
    <w:p w:rsidR="00C447E3" w:rsidRDefault="00C447E3" w:rsidP="00BE3C2D">
      <w:pPr>
        <w:pStyle w:val="NormalWeb"/>
        <w:rPr>
          <w:b/>
        </w:rPr>
      </w:pPr>
    </w:p>
    <w:p w:rsidR="0029159F" w:rsidRPr="00323A60" w:rsidRDefault="0029159F" w:rsidP="0029159F">
      <w:pPr>
        <w:pStyle w:val="NormalWeb"/>
        <w:rPr>
          <w:rFonts w:asciiTheme="minorHAnsi" w:hAnsiTheme="minorHAnsi" w:cstheme="minorHAnsi"/>
        </w:rPr>
      </w:pPr>
      <w:r w:rsidRPr="0029159F">
        <w:rPr>
          <w:rFonts w:asciiTheme="minorHAnsi" w:hAnsiTheme="minorHAnsi" w:cstheme="minorHAnsi"/>
        </w:rPr>
        <w:br/>
      </w:r>
      <w:proofErr w:type="gramStart"/>
      <w:r w:rsidRPr="00051F9F">
        <w:rPr>
          <w:rStyle w:val="Strong"/>
          <w:rFonts w:asciiTheme="minorHAnsi" w:hAnsiTheme="minorHAnsi" w:cstheme="minorHAnsi"/>
          <w:sz w:val="28"/>
        </w:rPr>
        <w:t>Abstract:</w:t>
      </w:r>
      <w:proofErr w:type="gramEnd"/>
      <w:r w:rsidRPr="00323A60">
        <w:rPr>
          <w:rFonts w:asciiTheme="minorHAnsi" w:hAnsiTheme="minorHAnsi" w:cstheme="minorHAnsi"/>
        </w:rPr>
        <w:br/>
      </w:r>
      <w:r w:rsidRPr="00323A60">
        <w:rPr>
          <w:rStyle w:val="Strong"/>
          <w:rFonts w:asciiTheme="minorHAnsi" w:hAnsiTheme="minorHAnsi" w:cstheme="minorHAnsi"/>
        </w:rPr>
        <w:t>Introduction:</w:t>
      </w:r>
      <w:r w:rsidRPr="00323A60">
        <w:rPr>
          <w:rFonts w:asciiTheme="minorHAnsi" w:hAnsiTheme="minorHAnsi" w:cstheme="minorHAnsi"/>
        </w:rPr>
        <w:t xml:space="preserve"> Endoscopic biliary drainage continues to evolve and now plays a central role in the management of biliary tract strictures of lithiasic, tumoral, or other origins.</w:t>
      </w:r>
      <w:r w:rsidRPr="00323A60">
        <w:rPr>
          <w:rFonts w:asciiTheme="minorHAnsi" w:hAnsiTheme="minorHAnsi" w:cstheme="minorHAnsi"/>
        </w:rPr>
        <w:br/>
        <w:t>The aim of our study is to report our outcomes with endoscopic biliary drainage via endoscopic retrograde cholangiopancreatography (ERCP) and to identify factors associated with cannulation failure.</w:t>
      </w:r>
    </w:p>
    <w:p w:rsidR="0029159F" w:rsidRDefault="0029159F" w:rsidP="0029159F">
      <w:pPr>
        <w:pStyle w:val="NormalWeb"/>
        <w:rPr>
          <w:rFonts w:asciiTheme="minorHAnsi" w:hAnsiTheme="minorHAnsi" w:cstheme="minorHAnsi"/>
        </w:rPr>
      </w:pPr>
      <w:r w:rsidRPr="00323A60">
        <w:rPr>
          <w:rStyle w:val="Strong"/>
          <w:rFonts w:asciiTheme="minorHAnsi" w:hAnsiTheme="minorHAnsi" w:cstheme="minorHAnsi"/>
        </w:rPr>
        <w:t xml:space="preserve">Materials and </w:t>
      </w:r>
      <w:proofErr w:type="gramStart"/>
      <w:r w:rsidRPr="00323A60">
        <w:rPr>
          <w:rStyle w:val="Strong"/>
          <w:rFonts w:asciiTheme="minorHAnsi" w:hAnsiTheme="minorHAnsi" w:cstheme="minorHAnsi"/>
        </w:rPr>
        <w:t>Methods:</w:t>
      </w:r>
      <w:proofErr w:type="gramEnd"/>
      <w:r w:rsidRPr="00323A60">
        <w:rPr>
          <w:rFonts w:asciiTheme="minorHAnsi" w:hAnsiTheme="minorHAnsi" w:cstheme="minorHAnsi"/>
        </w:rPr>
        <w:t xml:space="preserve"> This is a retrospective, descriptive, and analytical study conducted. It covers an eight-year period, from January 2017 to January 2024, and includes all patients who underwent therapeutic ERCP.</w:t>
      </w:r>
    </w:p>
    <w:p w:rsidR="00ED0B69" w:rsidRDefault="00ED0B69" w:rsidP="0029159F">
      <w:pPr>
        <w:pStyle w:val="NormalWeb"/>
      </w:pPr>
      <w:r>
        <w:t xml:space="preserve">During the endoscopic procedure, all patients received general anesthesia with orotracheal intubation to ensure airway protection and optimal sedation. Subsequently, patients were positioned in the left lateral decubitus position to facilitate endoscopic access. </w:t>
      </w:r>
    </w:p>
    <w:p w:rsidR="00ED0B69" w:rsidRDefault="00ED0B69" w:rsidP="0029159F">
      <w:pPr>
        <w:pStyle w:val="NormalWeb"/>
      </w:pPr>
      <w:r>
        <w:t>Prior to the intervention, a non-steroidal anti-inflammatory drug (NSAID) was administered rectally as a prophylactic measure to reduce the risk of post-procedural inflammation and pancreatitis.</w:t>
      </w:r>
    </w:p>
    <w:p w:rsidR="0029159F" w:rsidRPr="00323A60" w:rsidRDefault="0029159F" w:rsidP="0029159F">
      <w:pPr>
        <w:pStyle w:val="NormalWeb"/>
        <w:rPr>
          <w:rFonts w:asciiTheme="minorHAnsi" w:hAnsiTheme="minorHAnsi" w:cstheme="minorHAnsi"/>
        </w:rPr>
      </w:pPr>
      <w:proofErr w:type="gramStart"/>
      <w:r w:rsidRPr="00323A60">
        <w:rPr>
          <w:rStyle w:val="Strong"/>
          <w:rFonts w:asciiTheme="minorHAnsi" w:hAnsiTheme="minorHAnsi" w:cstheme="minorHAnsi"/>
        </w:rPr>
        <w:t>Results:</w:t>
      </w:r>
      <w:proofErr w:type="gramEnd"/>
      <w:r w:rsidRPr="00323A60">
        <w:rPr>
          <w:rFonts w:asciiTheme="minorHAnsi" w:hAnsiTheme="minorHAnsi" w:cstheme="minorHAnsi"/>
        </w:rPr>
        <w:t xml:space="preserve"> During the study period, 407 therapeutic ERCP procedures were performed. Cannulation failure occurred in 7% of cases, representing 30 patients.</w:t>
      </w:r>
      <w:r w:rsidRPr="00323A60">
        <w:rPr>
          <w:rFonts w:asciiTheme="minorHAnsi" w:hAnsiTheme="minorHAnsi" w:cstheme="minorHAnsi"/>
        </w:rPr>
        <w:br/>
        <w:t xml:space="preserve">The predictive factors of biliary cannulation failure identified in our study </w:t>
      </w:r>
      <w:proofErr w:type="gramStart"/>
      <w:r w:rsidRPr="00323A60">
        <w:rPr>
          <w:rFonts w:asciiTheme="minorHAnsi" w:hAnsiTheme="minorHAnsi" w:cstheme="minorHAnsi"/>
        </w:rPr>
        <w:t>were:</w:t>
      </w:r>
      <w:proofErr w:type="gramEnd"/>
      <w:r w:rsidRPr="00323A60">
        <w:rPr>
          <w:rFonts w:asciiTheme="minorHAnsi" w:hAnsiTheme="minorHAnsi" w:cstheme="minorHAnsi"/>
        </w:rPr>
        <w:t xml:space="preserve"> an impacted stone in the distal common bile duct, the appearance of the duodenal papilla, and an intradiverticular location of the papilla.</w:t>
      </w:r>
    </w:p>
    <w:p w:rsidR="0029159F" w:rsidRPr="00323A60" w:rsidRDefault="0029159F" w:rsidP="0029159F">
      <w:pPr>
        <w:pStyle w:val="NormalWeb"/>
        <w:rPr>
          <w:rFonts w:asciiTheme="minorHAnsi" w:hAnsiTheme="minorHAnsi" w:cstheme="minorHAnsi"/>
        </w:rPr>
      </w:pPr>
      <w:proofErr w:type="gramStart"/>
      <w:r w:rsidRPr="00323A60">
        <w:rPr>
          <w:rStyle w:val="Strong"/>
          <w:rFonts w:asciiTheme="minorHAnsi" w:hAnsiTheme="minorHAnsi" w:cstheme="minorHAnsi"/>
        </w:rPr>
        <w:t>Conclusion:</w:t>
      </w:r>
      <w:proofErr w:type="gramEnd"/>
      <w:r w:rsidRPr="00323A60">
        <w:rPr>
          <w:rFonts w:asciiTheme="minorHAnsi" w:hAnsiTheme="minorHAnsi" w:cstheme="minorHAnsi"/>
        </w:rPr>
        <w:t xml:space="preserve"> Our study demonstrated that the location and appearance of the duodenal papilla, as well as the presence of an impacted stone in the distal common bile duct, are significant factors influencing the risk of biliary cannulation failure.</w:t>
      </w:r>
    </w:p>
    <w:p w:rsidR="004824DF" w:rsidRPr="002537DA" w:rsidRDefault="00C24070" w:rsidP="002537DA">
      <w:pPr>
        <w:pStyle w:val="NormalWeb"/>
        <w:rPr>
          <w:rFonts w:asciiTheme="minorHAnsi" w:hAnsiTheme="minorHAnsi" w:cstheme="minorHAnsi"/>
          <w:b/>
          <w:sz w:val="28"/>
        </w:rPr>
      </w:pPr>
      <w:r w:rsidRPr="00C24070">
        <w:rPr>
          <w:rFonts w:asciiTheme="minorHAnsi" w:hAnsiTheme="minorHAnsi" w:cstheme="minorHAnsi"/>
          <w:b/>
        </w:rPr>
        <w:t>Keywords :</w:t>
      </w:r>
      <w:r>
        <w:rPr>
          <w:rFonts w:asciiTheme="minorHAnsi" w:hAnsiTheme="minorHAnsi" w:cstheme="minorHAnsi"/>
          <w:b/>
        </w:rPr>
        <w:t xml:space="preserve"> Failure-ERCP</w:t>
      </w:r>
      <w:r w:rsidRPr="00C24070">
        <w:rPr>
          <w:rFonts w:asciiTheme="minorHAnsi" w:hAnsiTheme="minorHAnsi" w:cstheme="minorHAnsi"/>
          <w:b/>
        </w:rPr>
        <w:t>-</w:t>
      </w:r>
      <w:r>
        <w:rPr>
          <w:rStyle w:val="Strong"/>
          <w:rFonts w:asciiTheme="minorHAnsi" w:hAnsiTheme="minorHAnsi" w:cstheme="minorHAnsi"/>
        </w:rPr>
        <w:t>B</w:t>
      </w:r>
      <w:r w:rsidRPr="00C24070">
        <w:rPr>
          <w:rStyle w:val="Strong"/>
          <w:rFonts w:asciiTheme="minorHAnsi" w:hAnsiTheme="minorHAnsi" w:cstheme="minorHAnsi"/>
        </w:rPr>
        <w:t>iliary cannulation</w:t>
      </w:r>
      <w:r w:rsidR="007327D1">
        <w:rPr>
          <w:rStyle w:val="Strong"/>
          <w:rFonts w:asciiTheme="minorHAnsi" w:hAnsiTheme="minorHAnsi" w:cstheme="minorHAnsi"/>
        </w:rPr>
        <w:t>,</w:t>
      </w:r>
      <w:r w:rsidR="007327D1" w:rsidRPr="007327D1">
        <w:t xml:space="preserve"> </w:t>
      </w:r>
      <w:r w:rsidR="007327D1" w:rsidRPr="007327D1">
        <w:rPr>
          <w:rStyle w:val="Strong"/>
          <w:rFonts w:asciiTheme="minorHAnsi" w:hAnsiTheme="minorHAnsi" w:cstheme="minorHAnsi"/>
        </w:rPr>
        <w:t>anti-inflammatory drug</w:t>
      </w:r>
      <w:r w:rsidR="007327D1">
        <w:rPr>
          <w:rStyle w:val="Strong"/>
          <w:rFonts w:asciiTheme="minorHAnsi" w:hAnsiTheme="minorHAnsi" w:cstheme="minorHAnsi"/>
        </w:rPr>
        <w:t>,</w:t>
      </w:r>
      <w:r w:rsidR="007327D1" w:rsidRPr="007327D1">
        <w:t xml:space="preserve"> </w:t>
      </w:r>
      <w:r w:rsidR="007327D1" w:rsidRPr="007327D1">
        <w:rPr>
          <w:rStyle w:val="Strong"/>
          <w:rFonts w:asciiTheme="minorHAnsi" w:hAnsiTheme="minorHAnsi" w:cstheme="minorHAnsi"/>
        </w:rPr>
        <w:t>Cannulation</w:t>
      </w:r>
      <w:r w:rsidR="007327D1">
        <w:rPr>
          <w:rStyle w:val="Strong"/>
          <w:rFonts w:asciiTheme="minorHAnsi" w:hAnsiTheme="minorHAnsi" w:cstheme="minorHAnsi"/>
        </w:rPr>
        <w:t>,</w:t>
      </w:r>
      <w:r w:rsidR="007327D1" w:rsidRPr="007327D1">
        <w:t xml:space="preserve"> </w:t>
      </w:r>
      <w:r w:rsidR="007327D1" w:rsidRPr="007327D1">
        <w:rPr>
          <w:rStyle w:val="Strong"/>
          <w:rFonts w:asciiTheme="minorHAnsi" w:hAnsiTheme="minorHAnsi" w:cstheme="minorHAnsi"/>
        </w:rPr>
        <w:t>common bile duct</w:t>
      </w:r>
    </w:p>
    <w:p w:rsidR="000E53EF" w:rsidRPr="00051F9F" w:rsidRDefault="0029159F" w:rsidP="000E53EF">
      <w:pPr>
        <w:spacing w:after="120" w:line="240" w:lineRule="auto"/>
        <w:rPr>
          <w:rFonts w:cstheme="minorHAnsi"/>
          <w:b/>
          <w:sz w:val="28"/>
        </w:rPr>
      </w:pPr>
      <w:r w:rsidRPr="00051F9F">
        <w:rPr>
          <w:rFonts w:cstheme="minorHAnsi"/>
          <w:b/>
          <w:sz w:val="28"/>
        </w:rPr>
        <w:t xml:space="preserve">Introduction : </w:t>
      </w:r>
    </w:p>
    <w:p w:rsidR="007D6230" w:rsidRPr="00051F9F" w:rsidRDefault="0029159F" w:rsidP="000E53EF">
      <w:pPr>
        <w:spacing w:after="120"/>
        <w:rPr>
          <w:rFonts w:cstheme="minorHAnsi"/>
          <w:sz w:val="24"/>
        </w:rPr>
      </w:pPr>
      <w:r w:rsidRPr="00051F9F">
        <w:rPr>
          <w:rFonts w:cstheme="minorHAnsi"/>
          <w:sz w:val="24"/>
        </w:rPr>
        <w:t xml:space="preserve">Selective cannulation of the main bile duct is a crucial step during endoscopic retrograde cholangiopancreatography (ERCP). </w:t>
      </w:r>
    </w:p>
    <w:p w:rsidR="007D6230" w:rsidRDefault="007D6230" w:rsidP="000E53EF">
      <w:pPr>
        <w:spacing w:after="120"/>
        <w:rPr>
          <w:sz w:val="24"/>
        </w:rPr>
      </w:pPr>
      <w:r w:rsidRPr="00051F9F">
        <w:rPr>
          <w:sz w:val="24"/>
        </w:rPr>
        <w:t xml:space="preserve">Biliary cannulation can be difficult or even impossible to achieve, leading to repeated procedures due to factors related either to the anatomy of the biliary system </w:t>
      </w:r>
      <w:r w:rsidRPr="00051F9F">
        <w:rPr>
          <w:b/>
          <w:sz w:val="24"/>
        </w:rPr>
        <w:t>[1],</w:t>
      </w:r>
      <w:r w:rsidRPr="00051F9F">
        <w:rPr>
          <w:sz w:val="24"/>
        </w:rPr>
        <w:t xml:space="preserve"> the presence of bile duct stones </w:t>
      </w:r>
      <w:r w:rsidRPr="00051F9F">
        <w:rPr>
          <w:b/>
          <w:sz w:val="24"/>
        </w:rPr>
        <w:t>[2],</w:t>
      </w:r>
      <w:r w:rsidRPr="00051F9F">
        <w:rPr>
          <w:sz w:val="24"/>
        </w:rPr>
        <w:t xml:space="preserve"> or tumoral infiltration of the papilla.</w:t>
      </w:r>
    </w:p>
    <w:p w:rsidR="00FA7E7C" w:rsidRPr="00BC4C44" w:rsidRDefault="00FA7E7C" w:rsidP="000E53EF">
      <w:pPr>
        <w:spacing w:after="120"/>
        <w:rPr>
          <w:sz w:val="28"/>
        </w:rPr>
      </w:pPr>
      <w:r w:rsidRPr="00BC4C44">
        <w:rPr>
          <w:sz w:val="24"/>
        </w:rPr>
        <w:t xml:space="preserve">The incidence of DBC widely varies from a series to another ranging from 5 % to 49%, with a mean rate of 20% </w:t>
      </w:r>
      <w:r w:rsidR="00BC4C44">
        <w:rPr>
          <w:b/>
          <w:sz w:val="24"/>
        </w:rPr>
        <w:t>[3, 4</w:t>
      </w:r>
      <w:r w:rsidRPr="00BC4C44">
        <w:rPr>
          <w:b/>
          <w:sz w:val="24"/>
        </w:rPr>
        <w:t>].</w:t>
      </w:r>
      <w:r w:rsidRPr="00BC4C44">
        <w:rPr>
          <w:sz w:val="24"/>
        </w:rPr>
        <w:t xml:space="preserve"> </w:t>
      </w:r>
      <w:r w:rsidR="003C39BC">
        <w:rPr>
          <w:sz w:val="24"/>
        </w:rPr>
        <w:t>« </w:t>
      </w:r>
      <w:r w:rsidRPr="00BC4C44">
        <w:rPr>
          <w:sz w:val="24"/>
        </w:rPr>
        <w:t xml:space="preserve">Several predictive factors of this clinical situation have been </w:t>
      </w:r>
      <w:r w:rsidRPr="00BC4C44">
        <w:rPr>
          <w:sz w:val="24"/>
        </w:rPr>
        <w:lastRenderedPageBreak/>
        <w:t>identified. They can be related to the operator itself, the anatomy of the papilla, or the indication of the ERCP</w:t>
      </w:r>
      <w:r w:rsidR="003C39BC">
        <w:rPr>
          <w:sz w:val="24"/>
        </w:rPr>
        <w:t> »</w:t>
      </w:r>
      <w:r w:rsidRPr="00BC4C44">
        <w:rPr>
          <w:sz w:val="24"/>
        </w:rPr>
        <w:t xml:space="preserve"> </w:t>
      </w:r>
      <w:r w:rsidR="00BC4C44">
        <w:rPr>
          <w:b/>
          <w:sz w:val="24"/>
        </w:rPr>
        <w:t>[9</w:t>
      </w:r>
      <w:r w:rsidRPr="00BC4C44">
        <w:rPr>
          <w:b/>
          <w:sz w:val="24"/>
        </w:rPr>
        <w:t>].</w:t>
      </w:r>
    </w:p>
    <w:p w:rsidR="007D6230" w:rsidRPr="00051F9F" w:rsidRDefault="007D6230" w:rsidP="000E53EF">
      <w:pPr>
        <w:spacing w:after="120"/>
        <w:rPr>
          <w:sz w:val="24"/>
        </w:rPr>
      </w:pPr>
      <w:r w:rsidRPr="00051F9F">
        <w:rPr>
          <w:sz w:val="24"/>
        </w:rPr>
        <w:t>Understanding the predictive factors of biliary cannulation failure could provide endoscopists with the opportunity to consider alternative management strategies, such as laparoscopic cholecystectomy combined with intraoperative bile duct clearance.</w:t>
      </w:r>
    </w:p>
    <w:p w:rsidR="007D6230" w:rsidRPr="007D6230" w:rsidRDefault="0029159F" w:rsidP="000E53EF">
      <w:pPr>
        <w:spacing w:after="120"/>
        <w:rPr>
          <w:rFonts w:cstheme="minorHAnsi"/>
        </w:rPr>
      </w:pPr>
      <w:r w:rsidRPr="00051F9F">
        <w:rPr>
          <w:rFonts w:cstheme="minorHAnsi"/>
          <w:sz w:val="24"/>
        </w:rPr>
        <w:t>The objective of our study is to analyze the predictive factors of biliary cannulation failure</w:t>
      </w:r>
    </w:p>
    <w:p w:rsidR="003328F6" w:rsidRDefault="0029159F" w:rsidP="003328F6">
      <w:pPr>
        <w:pStyle w:val="NormalWeb"/>
        <w:rPr>
          <w:rFonts w:asciiTheme="minorHAnsi" w:hAnsiTheme="minorHAnsi" w:cstheme="minorHAnsi"/>
          <w:b/>
          <w:bCs/>
          <w:sz w:val="28"/>
        </w:rPr>
      </w:pPr>
      <w:r w:rsidRPr="000E53EF">
        <w:rPr>
          <w:rStyle w:val="Strong"/>
          <w:rFonts w:asciiTheme="minorHAnsi" w:hAnsiTheme="minorHAnsi" w:cstheme="minorHAnsi"/>
          <w:sz w:val="28"/>
        </w:rPr>
        <w:t xml:space="preserve">Materials and </w:t>
      </w:r>
      <w:proofErr w:type="gramStart"/>
      <w:r w:rsidRPr="000E53EF">
        <w:rPr>
          <w:rStyle w:val="Strong"/>
          <w:rFonts w:asciiTheme="minorHAnsi" w:hAnsiTheme="minorHAnsi" w:cstheme="minorHAnsi"/>
          <w:sz w:val="28"/>
        </w:rPr>
        <w:t>Methods:</w:t>
      </w:r>
      <w:proofErr w:type="gramEnd"/>
      <w:r w:rsidRPr="0029159F">
        <w:rPr>
          <w:rFonts w:asciiTheme="minorHAnsi" w:hAnsiTheme="minorHAnsi" w:cstheme="minorHAnsi"/>
        </w:rPr>
        <w:br/>
      </w:r>
      <w:r w:rsidRPr="00D237CE">
        <w:rPr>
          <w:rFonts w:asciiTheme="minorHAnsi" w:hAnsiTheme="minorHAnsi" w:cstheme="minorHAnsi"/>
        </w:rPr>
        <w:t>This is a retrospective, descriptive, and analytical study conducted in the Hepato-Gastroenterology Department of Ibn Rochd University Hospital in Casablanca over an 8-year period (January 2017 – January 2024).</w:t>
      </w:r>
    </w:p>
    <w:p w:rsidR="003328F6" w:rsidRDefault="007D6230" w:rsidP="003328F6">
      <w:pPr>
        <w:pStyle w:val="NormalWeb"/>
        <w:rPr>
          <w:rFonts w:asciiTheme="minorHAnsi" w:hAnsiTheme="minorHAnsi" w:cstheme="minorHAnsi"/>
          <w:b/>
          <w:bCs/>
          <w:sz w:val="28"/>
        </w:rPr>
      </w:pPr>
      <w:r w:rsidRPr="00D237CE">
        <w:rPr>
          <w:rFonts w:asciiTheme="minorHAnsi" w:hAnsiTheme="minorHAnsi" w:cstheme="minorHAnsi"/>
        </w:rPr>
        <w:t xml:space="preserve">The initial diagnosis of a biliary tract obstruction was based on clinical and biological findings, such as the presence of jaundice, right upper quadrant pain, fever, elevated liver enzymes (cytolysis), and a biological cholestasis syndrome with or without jaundice. </w:t>
      </w:r>
    </w:p>
    <w:p w:rsidR="003328F6" w:rsidRDefault="007D6230" w:rsidP="003328F6">
      <w:pPr>
        <w:pStyle w:val="NormalWeb"/>
        <w:rPr>
          <w:rFonts w:asciiTheme="minorHAnsi" w:hAnsiTheme="minorHAnsi" w:cstheme="minorHAnsi"/>
        </w:rPr>
      </w:pPr>
      <w:r w:rsidRPr="00D237CE">
        <w:rPr>
          <w:rFonts w:asciiTheme="minorHAnsi" w:hAnsiTheme="minorHAnsi" w:cstheme="minorHAnsi"/>
        </w:rPr>
        <w:t>Radiologically, all patients underwent abdominal imaging — either computed tomography (CT) or magnetic resonance imaging (MRI), specifically magnetic resonance cholangiopancreatography (MRCP), prior to undergoing ERCP.</w:t>
      </w:r>
    </w:p>
    <w:p w:rsidR="003328F6" w:rsidRDefault="0029159F" w:rsidP="003328F6">
      <w:pPr>
        <w:pStyle w:val="NormalWeb"/>
        <w:rPr>
          <w:rFonts w:asciiTheme="minorHAnsi" w:hAnsiTheme="minorHAnsi" w:cstheme="minorHAnsi"/>
          <w:b/>
          <w:bCs/>
          <w:sz w:val="28"/>
        </w:rPr>
      </w:pPr>
      <w:r w:rsidRPr="00D237CE">
        <w:rPr>
          <w:rFonts w:asciiTheme="minorHAnsi" w:hAnsiTheme="minorHAnsi" w:cstheme="minorHAnsi"/>
        </w:rPr>
        <w:t>All patients who underwent an ERCP procedure during which biliary cannulation was documented as failed were included.</w:t>
      </w:r>
    </w:p>
    <w:p w:rsidR="007D6230" w:rsidRPr="003328F6" w:rsidRDefault="007D6230" w:rsidP="003328F6">
      <w:pPr>
        <w:pStyle w:val="NormalWeb"/>
        <w:rPr>
          <w:rFonts w:asciiTheme="minorHAnsi" w:hAnsiTheme="minorHAnsi" w:cstheme="minorHAnsi"/>
          <w:b/>
          <w:bCs/>
          <w:sz w:val="28"/>
        </w:rPr>
      </w:pPr>
      <w:r w:rsidRPr="00D237CE">
        <w:rPr>
          <w:rFonts w:asciiTheme="minorHAnsi" w:hAnsiTheme="minorHAnsi" w:cstheme="minorHAnsi"/>
        </w:rPr>
        <w:t>All patients with a history of complex gastrointestinal surgeries that could make access to the papilla difficult were excluded from the study.</w:t>
      </w:r>
    </w:p>
    <w:p w:rsidR="007D6230" w:rsidRPr="00D237CE" w:rsidRDefault="0029159F" w:rsidP="003328F6">
      <w:pPr>
        <w:pStyle w:val="NormalWeb"/>
        <w:spacing w:before="0" w:beforeAutospacing="0" w:after="0" w:afterAutospacing="0"/>
        <w:rPr>
          <w:rFonts w:asciiTheme="minorHAnsi" w:hAnsiTheme="minorHAnsi" w:cstheme="minorHAnsi"/>
        </w:rPr>
      </w:pPr>
      <w:r w:rsidRPr="00D237CE">
        <w:rPr>
          <w:rFonts w:asciiTheme="minorHAnsi" w:hAnsiTheme="minorHAnsi" w:cstheme="minorHAnsi"/>
        </w:rPr>
        <w:t xml:space="preserve">We analyzed the patients’ epidemiological data, the factors implicated in cannulation failure, and the various therapeutic alternatives considered. </w:t>
      </w:r>
    </w:p>
    <w:p w:rsidR="003328F6" w:rsidRDefault="007D6230" w:rsidP="003328F6">
      <w:pPr>
        <w:pStyle w:val="NormalWeb"/>
        <w:spacing w:before="0" w:beforeAutospacing="0" w:after="0" w:afterAutospacing="0"/>
        <w:rPr>
          <w:rFonts w:asciiTheme="minorHAnsi" w:hAnsiTheme="minorHAnsi" w:cstheme="minorHAnsi"/>
        </w:rPr>
      </w:pPr>
      <w:r w:rsidRPr="00D237CE">
        <w:rPr>
          <w:rFonts w:asciiTheme="minorHAnsi" w:hAnsiTheme="minorHAnsi" w:cstheme="minorHAnsi"/>
        </w:rPr>
        <w:t xml:space="preserve">Descriptive statistics were calculated for continuous variables, including means, standard deviations, minimum and </w:t>
      </w:r>
      <w:proofErr w:type="gramStart"/>
      <w:r w:rsidRPr="00D237CE">
        <w:rPr>
          <w:rFonts w:asciiTheme="minorHAnsi" w:hAnsiTheme="minorHAnsi" w:cstheme="minorHAnsi"/>
        </w:rPr>
        <w:t>maximum values</w:t>
      </w:r>
      <w:proofErr w:type="gramEnd"/>
      <w:r w:rsidRPr="00D237CE">
        <w:rPr>
          <w:rFonts w:asciiTheme="minorHAnsi" w:hAnsiTheme="minorHAnsi" w:cstheme="minorHAnsi"/>
        </w:rPr>
        <w:t xml:space="preserve">, as well as 95% confidence intervals (CIs). </w:t>
      </w:r>
    </w:p>
    <w:p w:rsidR="003328F6" w:rsidRDefault="003328F6" w:rsidP="003328F6">
      <w:pPr>
        <w:pStyle w:val="NormalWeb"/>
        <w:spacing w:before="0" w:beforeAutospacing="0" w:after="0" w:afterAutospacing="0"/>
        <w:rPr>
          <w:rFonts w:asciiTheme="minorHAnsi" w:hAnsiTheme="minorHAnsi" w:cstheme="minorHAnsi"/>
        </w:rPr>
      </w:pPr>
    </w:p>
    <w:p w:rsidR="0029159F" w:rsidRDefault="007D6230" w:rsidP="003328F6">
      <w:pPr>
        <w:pStyle w:val="NormalWeb"/>
        <w:spacing w:before="0" w:beforeAutospacing="0" w:after="0" w:afterAutospacing="0"/>
        <w:rPr>
          <w:rFonts w:asciiTheme="minorHAnsi" w:hAnsiTheme="minorHAnsi" w:cstheme="minorHAnsi"/>
        </w:rPr>
      </w:pPr>
      <w:r w:rsidRPr="00D237CE">
        <w:rPr>
          <w:rFonts w:asciiTheme="minorHAnsi" w:hAnsiTheme="minorHAnsi" w:cstheme="minorHAnsi"/>
        </w:rPr>
        <w:t xml:space="preserve">Frequencies were calculated for categorical variables. When hypothesis testing was performed, Pearson’s Chi-square test and, when appropriate, Fisher’s exact test were </w:t>
      </w:r>
      <w:r w:rsidRPr="00051F9F">
        <w:rPr>
          <w:rFonts w:asciiTheme="minorHAnsi" w:hAnsiTheme="minorHAnsi" w:cstheme="minorHAnsi"/>
        </w:rPr>
        <w:t>applied</w:t>
      </w:r>
      <w:r w:rsidRPr="00051F9F">
        <w:rPr>
          <w:rFonts w:asciiTheme="minorHAnsi" w:hAnsiTheme="minorHAnsi" w:cstheme="minorHAnsi"/>
          <w:b/>
        </w:rPr>
        <w:t>.</w:t>
      </w:r>
    </w:p>
    <w:p w:rsidR="003328F6" w:rsidRDefault="003328F6" w:rsidP="003328F6">
      <w:pPr>
        <w:pStyle w:val="NormalWeb"/>
        <w:spacing w:before="0" w:beforeAutospacing="0" w:after="0" w:afterAutospacing="0"/>
        <w:rPr>
          <w:rFonts w:asciiTheme="minorHAnsi" w:hAnsiTheme="minorHAnsi" w:cstheme="minorHAnsi"/>
        </w:rPr>
      </w:pPr>
    </w:p>
    <w:p w:rsidR="007D6230" w:rsidRDefault="007D6230" w:rsidP="003328F6">
      <w:pPr>
        <w:pStyle w:val="NormalWeb"/>
        <w:spacing w:before="0" w:beforeAutospacing="0" w:after="0" w:afterAutospacing="0"/>
        <w:rPr>
          <w:rFonts w:asciiTheme="minorHAnsi" w:hAnsiTheme="minorHAnsi" w:cstheme="minorHAnsi"/>
        </w:rPr>
      </w:pPr>
      <w:r w:rsidRPr="00D237CE">
        <w:rPr>
          <w:rFonts w:asciiTheme="minorHAnsi" w:hAnsiTheme="minorHAnsi" w:cstheme="minorHAnsi"/>
        </w:rPr>
        <w:t>Statistical analysis was performed using Jamovi software, which utilizes the R statistical language</w:t>
      </w:r>
      <w:r w:rsidRPr="00051F9F">
        <w:rPr>
          <w:rFonts w:asciiTheme="minorHAnsi" w:hAnsiTheme="minorHAnsi" w:cstheme="minorHAnsi"/>
          <w:b/>
        </w:rPr>
        <w:t>.</w:t>
      </w:r>
      <w:r w:rsidRPr="00D237CE">
        <w:rPr>
          <w:rFonts w:asciiTheme="minorHAnsi" w:hAnsiTheme="minorHAnsi" w:cstheme="minorHAnsi"/>
        </w:rPr>
        <w:t xml:space="preserve"> A statistical significance threshold of P = 0.05 was adopted.</w:t>
      </w:r>
    </w:p>
    <w:p w:rsidR="003328F6" w:rsidRPr="00D237CE" w:rsidRDefault="003328F6" w:rsidP="007D6230">
      <w:pPr>
        <w:pStyle w:val="NormalWeb"/>
        <w:spacing w:before="0" w:beforeAutospacing="0" w:after="0" w:afterAutospacing="0"/>
        <w:rPr>
          <w:rFonts w:asciiTheme="minorHAnsi" w:hAnsiTheme="minorHAnsi" w:cstheme="minorHAnsi"/>
        </w:rPr>
      </w:pPr>
    </w:p>
    <w:p w:rsidR="003328F6" w:rsidRDefault="0029159F" w:rsidP="00152369">
      <w:pPr>
        <w:pStyle w:val="NormalWeb"/>
        <w:spacing w:before="0" w:beforeAutospacing="0" w:after="0" w:afterAutospacing="0" w:line="276" w:lineRule="auto"/>
        <w:rPr>
          <w:rStyle w:val="Strong"/>
          <w:rFonts w:asciiTheme="minorHAnsi" w:hAnsiTheme="minorHAnsi" w:cstheme="minorHAnsi"/>
          <w:sz w:val="28"/>
        </w:rPr>
      </w:pPr>
      <w:proofErr w:type="gramStart"/>
      <w:r w:rsidRPr="000E53EF">
        <w:rPr>
          <w:rStyle w:val="Strong"/>
          <w:rFonts w:asciiTheme="minorHAnsi" w:hAnsiTheme="minorHAnsi" w:cstheme="minorHAnsi"/>
          <w:sz w:val="28"/>
        </w:rPr>
        <w:t>Results:</w:t>
      </w:r>
      <w:proofErr w:type="gramEnd"/>
    </w:p>
    <w:p w:rsidR="003328F6" w:rsidRPr="00051F9F" w:rsidRDefault="0029159F" w:rsidP="00152369">
      <w:pPr>
        <w:rPr>
          <w:sz w:val="24"/>
        </w:rPr>
      </w:pPr>
      <w:r w:rsidRPr="00051F9F">
        <w:rPr>
          <w:sz w:val="24"/>
        </w:rPr>
        <w:t>A total of 407 therapeutic ERCP sessions were performed during the study period.</w:t>
      </w:r>
      <w:r w:rsidRPr="00051F9F">
        <w:rPr>
          <w:sz w:val="24"/>
        </w:rPr>
        <w:br/>
        <w:t>Biliary cannulation failure was reported in 30 patients, representing 7%.</w:t>
      </w:r>
    </w:p>
    <w:p w:rsidR="003328F6" w:rsidRPr="00051F9F" w:rsidRDefault="003328F6" w:rsidP="00051F9F">
      <w:pPr>
        <w:rPr>
          <w:sz w:val="24"/>
        </w:rPr>
      </w:pPr>
      <w:r w:rsidRPr="00051F9F">
        <w:rPr>
          <w:sz w:val="24"/>
        </w:rPr>
        <w:t xml:space="preserve">The mean age of patients who experienced biliary cannulation failure was 58.5 ± 18.8 years, with a female predominance of 63% (n = 19), corresponding to a male-to-female sex ratio of 0.6 (Figure </w:t>
      </w:r>
      <w:r w:rsidR="00210B12">
        <w:rPr>
          <w:sz w:val="24"/>
        </w:rPr>
        <w:t>2</w:t>
      </w:r>
      <w:proofErr w:type="gramStart"/>
      <w:r w:rsidRPr="00051F9F">
        <w:rPr>
          <w:sz w:val="24"/>
        </w:rPr>
        <w:t>).Among</w:t>
      </w:r>
      <w:proofErr w:type="gramEnd"/>
      <w:r w:rsidRPr="00051F9F">
        <w:rPr>
          <w:sz w:val="24"/>
        </w:rPr>
        <w:t xml:space="preserve"> the patients, 76% (n = 23) had no prior medical history. </w:t>
      </w:r>
    </w:p>
    <w:p w:rsidR="00CF0671" w:rsidRDefault="003328F6" w:rsidP="00051F9F">
      <w:pPr>
        <w:rPr>
          <w:sz w:val="24"/>
        </w:rPr>
      </w:pPr>
      <w:r w:rsidRPr="00051F9F">
        <w:rPr>
          <w:sz w:val="24"/>
        </w:rPr>
        <w:lastRenderedPageBreak/>
        <w:t xml:space="preserve">A history of cholecystectomy was reported in 13% of cases (n = 4), 6% (n = 2) had a history of lithiasic pancreatitis, and alcohol and tobacco use was reported in 3% (n = 1) (Figure </w:t>
      </w:r>
      <w:r w:rsidR="00210B12">
        <w:rPr>
          <w:sz w:val="24"/>
        </w:rPr>
        <w:t>1</w:t>
      </w:r>
      <w:r w:rsidRPr="00051F9F">
        <w:rPr>
          <w:sz w:val="24"/>
        </w:rPr>
        <w:t>).</w:t>
      </w:r>
    </w:p>
    <w:p w:rsidR="003328F6" w:rsidRPr="00051F9F" w:rsidRDefault="003328F6" w:rsidP="00051F9F">
      <w:pPr>
        <w:rPr>
          <w:sz w:val="24"/>
        </w:rPr>
      </w:pPr>
      <w:r w:rsidRPr="00051F9F">
        <w:rPr>
          <w:sz w:val="24"/>
        </w:rPr>
        <w:t xml:space="preserve">Among the 30 patients, the indication for ERCP was common bile duct (CBD) stones in 70% of cases (n = 21), </w:t>
      </w:r>
      <w:r w:rsidR="00CF0671">
        <w:rPr>
          <w:sz w:val="24"/>
        </w:rPr>
        <w:t xml:space="preserve">cholangitis </w:t>
      </w:r>
      <w:r w:rsidRPr="00051F9F">
        <w:rPr>
          <w:sz w:val="24"/>
        </w:rPr>
        <w:t>in 13% (n = 4), acute lithiasic pancreatitis in 13% (n = 4), and distal choledochal stricture in 4% (n = 1).</w:t>
      </w:r>
    </w:p>
    <w:p w:rsidR="0029159F" w:rsidRPr="00F00B2E" w:rsidRDefault="0029159F" w:rsidP="003328F6">
      <w:pPr>
        <w:pStyle w:val="NormalWeb"/>
        <w:spacing w:before="0" w:beforeAutospacing="0" w:after="0" w:afterAutospacing="0" w:line="360" w:lineRule="auto"/>
        <w:rPr>
          <w:rFonts w:asciiTheme="minorHAnsi" w:hAnsiTheme="minorHAnsi" w:cstheme="minorHAnsi"/>
        </w:rPr>
      </w:pPr>
      <w:r w:rsidRPr="00F00B2E">
        <w:rPr>
          <w:rFonts w:asciiTheme="minorHAnsi" w:hAnsiTheme="minorHAnsi" w:cstheme="minorHAnsi"/>
        </w:rPr>
        <w:t xml:space="preserve">Significant factors associated with biliary cannulation failure </w:t>
      </w:r>
      <w:proofErr w:type="gramStart"/>
      <w:r w:rsidRPr="00F00B2E">
        <w:rPr>
          <w:rFonts w:asciiTheme="minorHAnsi" w:hAnsiTheme="minorHAnsi" w:cstheme="minorHAnsi"/>
        </w:rPr>
        <w:t>were:</w:t>
      </w:r>
      <w:proofErr w:type="gramEnd"/>
      <w:r w:rsidRPr="00F00B2E">
        <w:rPr>
          <w:rFonts w:asciiTheme="minorHAnsi" w:hAnsiTheme="minorHAnsi" w:cstheme="minorHAnsi"/>
        </w:rPr>
        <w:t xml:space="preserve"> impacted stone in the distal common bile duct (p&lt;0.001), type I duodenal papilla morphology according to the Novel classification (p&lt;0.001), intradiverticular papilla (p&lt;0.001), and papilla infiltrated by a tumoral lesion (p&lt;0.001) (Table 1).Conversely, age (p=0.472), sex (p=0.639), and indication for ERCP (p=0.479) were not significantly associated with cannulation failure (Table 1).</w:t>
      </w:r>
    </w:p>
    <w:p w:rsidR="0029159F" w:rsidRDefault="0029159F" w:rsidP="0029159F">
      <w:pPr>
        <w:pStyle w:val="NormalWeb"/>
        <w:rPr>
          <w:rFonts w:asciiTheme="minorHAnsi" w:hAnsiTheme="minorHAnsi" w:cstheme="minorHAnsi"/>
        </w:rPr>
      </w:pPr>
      <w:r w:rsidRPr="00F00B2E">
        <w:rPr>
          <w:rFonts w:asciiTheme="minorHAnsi" w:hAnsiTheme="minorHAnsi" w:cstheme="minorHAnsi"/>
        </w:rPr>
        <w:t>As therapeutic alternatives, surgical bypass was indicated in the majority of patients (67%, n=20), sphincterotomy alone in 25% (n=6), septotomy in 12.5% (n=3), and precut sphincterotomy in 4.2% (n=1).</w:t>
      </w:r>
    </w:p>
    <w:p w:rsidR="00A5639B" w:rsidRDefault="00A5639B" w:rsidP="0029159F">
      <w:pPr>
        <w:pStyle w:val="NormalWeb"/>
        <w:rPr>
          <w:rFonts w:asciiTheme="minorHAnsi" w:hAnsiTheme="minorHAnsi" w:cstheme="minorHAnsi"/>
        </w:rPr>
      </w:pPr>
    </w:p>
    <w:tbl>
      <w:tblPr>
        <w:tblStyle w:val="TableGrid"/>
        <w:tblW w:w="0" w:type="auto"/>
        <w:tblLook w:val="04A0" w:firstRow="1" w:lastRow="0" w:firstColumn="1" w:lastColumn="0" w:noHBand="0" w:noVBand="1"/>
      </w:tblPr>
      <w:tblGrid>
        <w:gridCol w:w="4613"/>
        <w:gridCol w:w="4613"/>
      </w:tblGrid>
      <w:tr w:rsidR="00F00B2E" w:rsidTr="00FE39BB">
        <w:trPr>
          <w:trHeight w:val="278"/>
        </w:trPr>
        <w:tc>
          <w:tcPr>
            <w:tcW w:w="4613" w:type="dxa"/>
          </w:tcPr>
          <w:p w:rsidR="00F00B2E" w:rsidRPr="00F00B2E" w:rsidRDefault="00F00B2E" w:rsidP="00FE39BB">
            <w:pPr>
              <w:ind w:right="-57"/>
              <w:rPr>
                <w:rFonts w:cstheme="minorHAnsi"/>
                <w:b/>
                <w:szCs w:val="20"/>
              </w:rPr>
            </w:pPr>
            <w:r w:rsidRPr="00F00B2E">
              <w:rPr>
                <w:b/>
              </w:rPr>
              <w:t>Predictive Factors of Biliary Cannulation Failure</w:t>
            </w:r>
          </w:p>
        </w:tc>
        <w:tc>
          <w:tcPr>
            <w:tcW w:w="4613" w:type="dxa"/>
          </w:tcPr>
          <w:p w:rsidR="00F00B2E" w:rsidRPr="004552A7" w:rsidRDefault="00F00B2E" w:rsidP="00FE39BB">
            <w:pPr>
              <w:ind w:right="-57"/>
              <w:rPr>
                <w:rFonts w:cstheme="minorHAnsi"/>
                <w:b/>
                <w:szCs w:val="20"/>
              </w:rPr>
            </w:pPr>
            <w:proofErr w:type="gramStart"/>
            <w:r w:rsidRPr="004552A7">
              <w:rPr>
                <w:b/>
              </w:rPr>
              <w:t>p</w:t>
            </w:r>
            <w:proofErr w:type="gramEnd"/>
            <w:r w:rsidRPr="004552A7">
              <w:rPr>
                <w:b/>
              </w:rPr>
              <w:t>-value</w:t>
            </w:r>
          </w:p>
        </w:tc>
      </w:tr>
      <w:tr w:rsidR="00F00B2E" w:rsidTr="00FE39BB">
        <w:trPr>
          <w:trHeight w:val="236"/>
        </w:trPr>
        <w:tc>
          <w:tcPr>
            <w:tcW w:w="4613" w:type="dxa"/>
          </w:tcPr>
          <w:p w:rsidR="00F00B2E" w:rsidRDefault="00F00B2E" w:rsidP="00FE39BB">
            <w:pPr>
              <w:ind w:right="-57"/>
              <w:rPr>
                <w:rFonts w:cstheme="minorHAnsi"/>
                <w:sz w:val="20"/>
                <w:szCs w:val="20"/>
              </w:rPr>
            </w:pPr>
            <w:r>
              <w:rPr>
                <w:rFonts w:cstheme="minorHAnsi"/>
                <w:sz w:val="20"/>
                <w:szCs w:val="20"/>
              </w:rPr>
              <w:t>-</w:t>
            </w:r>
            <w:r w:rsidRPr="00676ACA">
              <w:rPr>
                <w:rFonts w:cstheme="minorHAnsi"/>
                <w:b/>
                <w:sz w:val="20"/>
                <w:szCs w:val="20"/>
              </w:rPr>
              <w:t>Age</w:t>
            </w:r>
            <w:r>
              <w:rPr>
                <w:rFonts w:cstheme="minorHAnsi"/>
                <w:b/>
                <w:sz w:val="20"/>
                <w:szCs w:val="20"/>
              </w:rPr>
              <w:t xml:space="preserve"> (</w:t>
            </w:r>
            <w:r w:rsidRPr="006F32C7">
              <w:rPr>
                <w:rFonts w:cstheme="minorHAnsi"/>
                <w:sz w:val="20"/>
                <w:szCs w:val="20"/>
              </w:rPr>
              <w:t>58.5 ans +/- 18.8</w:t>
            </w:r>
            <w:r>
              <w:rPr>
                <w:rFonts w:cstheme="minorHAnsi"/>
                <w:sz w:val="20"/>
                <w:szCs w:val="20"/>
              </w:rPr>
              <w:t>)</w:t>
            </w:r>
          </w:p>
        </w:tc>
        <w:tc>
          <w:tcPr>
            <w:tcW w:w="4613" w:type="dxa"/>
          </w:tcPr>
          <w:p w:rsidR="00F00B2E" w:rsidRDefault="00F00B2E" w:rsidP="00FE39BB">
            <w:pPr>
              <w:ind w:right="-57"/>
              <w:rPr>
                <w:rFonts w:cstheme="minorHAnsi"/>
                <w:sz w:val="20"/>
                <w:szCs w:val="20"/>
              </w:rPr>
            </w:pPr>
            <w:r w:rsidRPr="006F32C7">
              <w:rPr>
                <w:rFonts w:cstheme="minorHAnsi"/>
                <w:sz w:val="20"/>
                <w:szCs w:val="20"/>
              </w:rPr>
              <w:t>0.472</w:t>
            </w:r>
          </w:p>
        </w:tc>
      </w:tr>
      <w:tr w:rsidR="00F00B2E" w:rsidTr="00FE39BB">
        <w:trPr>
          <w:trHeight w:val="250"/>
        </w:trPr>
        <w:tc>
          <w:tcPr>
            <w:tcW w:w="4613" w:type="dxa"/>
          </w:tcPr>
          <w:p w:rsidR="00F00B2E" w:rsidRDefault="00F00B2E" w:rsidP="00FE39BB">
            <w:pPr>
              <w:ind w:right="-57"/>
              <w:rPr>
                <w:rFonts w:cstheme="minorHAnsi"/>
                <w:sz w:val="20"/>
                <w:szCs w:val="20"/>
              </w:rPr>
            </w:pPr>
            <w:r>
              <w:rPr>
                <w:rFonts w:cstheme="minorHAnsi"/>
                <w:sz w:val="20"/>
                <w:szCs w:val="20"/>
              </w:rPr>
              <w:t>-</w:t>
            </w:r>
            <w:r w:rsidRPr="00676ACA">
              <w:rPr>
                <w:rFonts w:cstheme="minorHAnsi"/>
                <w:b/>
                <w:sz w:val="20"/>
                <w:szCs w:val="20"/>
              </w:rPr>
              <w:t>S</w:t>
            </w:r>
            <w:r>
              <w:rPr>
                <w:rFonts w:cstheme="minorHAnsi"/>
                <w:b/>
                <w:sz w:val="20"/>
                <w:szCs w:val="20"/>
              </w:rPr>
              <w:t>ex (</w:t>
            </w:r>
            <w:r w:rsidRPr="006F32C7">
              <w:rPr>
                <w:rFonts w:cstheme="minorHAnsi"/>
                <w:sz w:val="20"/>
                <w:szCs w:val="20"/>
              </w:rPr>
              <w:t>ratio (H/F) de 0.6</w:t>
            </w:r>
            <w:r>
              <w:rPr>
                <w:rFonts w:cstheme="minorHAnsi"/>
                <w:sz w:val="20"/>
                <w:szCs w:val="20"/>
              </w:rPr>
              <w:t>)</w:t>
            </w:r>
          </w:p>
        </w:tc>
        <w:tc>
          <w:tcPr>
            <w:tcW w:w="4613" w:type="dxa"/>
          </w:tcPr>
          <w:p w:rsidR="00F00B2E" w:rsidRDefault="00F00B2E" w:rsidP="00FE39BB">
            <w:pPr>
              <w:ind w:right="-57"/>
              <w:rPr>
                <w:rFonts w:cstheme="minorHAnsi"/>
                <w:sz w:val="20"/>
                <w:szCs w:val="20"/>
              </w:rPr>
            </w:pPr>
            <w:r w:rsidRPr="006F32C7">
              <w:rPr>
                <w:rFonts w:cstheme="minorHAnsi"/>
                <w:sz w:val="20"/>
                <w:szCs w:val="20"/>
              </w:rPr>
              <w:t>0.639</w:t>
            </w:r>
          </w:p>
        </w:tc>
      </w:tr>
      <w:tr w:rsidR="00F00B2E" w:rsidTr="00FE39BB">
        <w:trPr>
          <w:trHeight w:val="250"/>
        </w:trPr>
        <w:tc>
          <w:tcPr>
            <w:tcW w:w="4613" w:type="dxa"/>
          </w:tcPr>
          <w:p w:rsidR="00F00B2E" w:rsidRPr="00F00B2E" w:rsidRDefault="00F00B2E" w:rsidP="00F00B2E">
            <w:pPr>
              <w:pStyle w:val="NormalWeb"/>
              <w:rPr>
                <w:sz w:val="22"/>
              </w:rPr>
            </w:pPr>
            <w:r w:rsidRPr="00F00B2E">
              <w:rPr>
                <w:rStyle w:val="Strong"/>
                <w:sz w:val="22"/>
              </w:rPr>
              <w:t xml:space="preserve">Indication for </w:t>
            </w:r>
            <w:proofErr w:type="gramStart"/>
            <w:r w:rsidRPr="00F00B2E">
              <w:rPr>
                <w:rStyle w:val="Strong"/>
                <w:sz w:val="22"/>
              </w:rPr>
              <w:t>ERCP:</w:t>
            </w:r>
            <w:proofErr w:type="gramEnd"/>
          </w:p>
          <w:p w:rsidR="00F00B2E" w:rsidRPr="00F00B2E" w:rsidRDefault="00F00B2E" w:rsidP="00F00B2E">
            <w:pPr>
              <w:pStyle w:val="NormalWeb"/>
              <w:numPr>
                <w:ilvl w:val="0"/>
                <w:numId w:val="1"/>
              </w:numPr>
              <w:rPr>
                <w:sz w:val="22"/>
              </w:rPr>
            </w:pPr>
            <w:r w:rsidRPr="00F00B2E">
              <w:rPr>
                <w:sz w:val="22"/>
              </w:rPr>
              <w:t>Choledocholithiasis (n=21)</w:t>
            </w:r>
          </w:p>
          <w:p w:rsidR="00F00B2E" w:rsidRPr="00F00B2E" w:rsidRDefault="00F00B2E" w:rsidP="00F00B2E">
            <w:pPr>
              <w:pStyle w:val="NormalWeb"/>
              <w:numPr>
                <w:ilvl w:val="0"/>
                <w:numId w:val="1"/>
              </w:numPr>
              <w:rPr>
                <w:sz w:val="22"/>
              </w:rPr>
            </w:pPr>
            <w:r w:rsidRPr="00F00B2E">
              <w:rPr>
                <w:sz w:val="22"/>
              </w:rPr>
              <w:t>Cholangitis (n=4)</w:t>
            </w:r>
          </w:p>
          <w:p w:rsidR="00F00B2E" w:rsidRPr="00F00B2E" w:rsidRDefault="00F00B2E" w:rsidP="00F00B2E">
            <w:pPr>
              <w:pStyle w:val="NormalWeb"/>
              <w:numPr>
                <w:ilvl w:val="0"/>
                <w:numId w:val="1"/>
              </w:numPr>
              <w:rPr>
                <w:sz w:val="22"/>
              </w:rPr>
            </w:pPr>
            <w:r w:rsidRPr="00F00B2E">
              <w:rPr>
                <w:sz w:val="22"/>
              </w:rPr>
              <w:t>Biliary pancreatitis (n=4)</w:t>
            </w:r>
          </w:p>
          <w:p w:rsidR="00F00B2E" w:rsidRPr="00F00B2E" w:rsidRDefault="00F00B2E" w:rsidP="00F00B2E">
            <w:pPr>
              <w:pStyle w:val="NormalWeb"/>
              <w:numPr>
                <w:ilvl w:val="0"/>
                <w:numId w:val="1"/>
              </w:numPr>
              <w:rPr>
                <w:sz w:val="22"/>
              </w:rPr>
            </w:pPr>
            <w:r w:rsidRPr="00F00B2E">
              <w:rPr>
                <w:sz w:val="22"/>
              </w:rPr>
              <w:t>Distal common bile duct stricture (n=1)</w:t>
            </w:r>
          </w:p>
          <w:p w:rsidR="00F00B2E" w:rsidRDefault="00F00B2E" w:rsidP="00FE39BB">
            <w:pPr>
              <w:ind w:right="-57"/>
              <w:rPr>
                <w:rFonts w:cstheme="minorHAnsi"/>
                <w:sz w:val="20"/>
                <w:szCs w:val="20"/>
              </w:rPr>
            </w:pPr>
          </w:p>
        </w:tc>
        <w:tc>
          <w:tcPr>
            <w:tcW w:w="4613" w:type="dxa"/>
          </w:tcPr>
          <w:p w:rsidR="00F00B2E" w:rsidRDefault="00F00B2E" w:rsidP="00FE39BB">
            <w:pPr>
              <w:ind w:right="-57"/>
              <w:rPr>
                <w:rFonts w:cstheme="minorHAnsi"/>
                <w:sz w:val="20"/>
                <w:szCs w:val="20"/>
              </w:rPr>
            </w:pPr>
            <w:r w:rsidRPr="006F32C7">
              <w:rPr>
                <w:rFonts w:cstheme="minorHAnsi"/>
                <w:sz w:val="20"/>
                <w:szCs w:val="20"/>
              </w:rPr>
              <w:t>0.479</w:t>
            </w:r>
          </w:p>
        </w:tc>
      </w:tr>
      <w:tr w:rsidR="00F00B2E" w:rsidTr="00FE39BB">
        <w:trPr>
          <w:trHeight w:val="250"/>
        </w:trPr>
        <w:tc>
          <w:tcPr>
            <w:tcW w:w="4613" w:type="dxa"/>
          </w:tcPr>
          <w:p w:rsidR="00F00B2E" w:rsidRPr="00F00B2E" w:rsidRDefault="00F00B2E" w:rsidP="00FE39BB">
            <w:pPr>
              <w:ind w:right="-57"/>
              <w:rPr>
                <w:rFonts w:cstheme="minorHAnsi"/>
                <w:b/>
                <w:sz w:val="20"/>
                <w:szCs w:val="20"/>
              </w:rPr>
            </w:pPr>
            <w:r w:rsidRPr="00F00B2E">
              <w:rPr>
                <w:b/>
              </w:rPr>
              <w:t>-Impacted stone in the distal common bile duct (n=8)</w:t>
            </w:r>
          </w:p>
        </w:tc>
        <w:tc>
          <w:tcPr>
            <w:tcW w:w="4613" w:type="dxa"/>
          </w:tcPr>
          <w:p w:rsidR="00F00B2E" w:rsidRDefault="00F00B2E" w:rsidP="00FE39BB">
            <w:pPr>
              <w:ind w:right="-57"/>
              <w:rPr>
                <w:rFonts w:cstheme="minorHAnsi"/>
                <w:sz w:val="20"/>
                <w:szCs w:val="20"/>
              </w:rPr>
            </w:pPr>
            <w:r w:rsidRPr="006F32C7">
              <w:rPr>
                <w:rFonts w:cstheme="minorHAnsi"/>
              </w:rPr>
              <w:t>&lt;0.001</w:t>
            </w:r>
          </w:p>
        </w:tc>
      </w:tr>
      <w:tr w:rsidR="00F00B2E" w:rsidTr="00FE39BB">
        <w:trPr>
          <w:trHeight w:val="236"/>
        </w:trPr>
        <w:tc>
          <w:tcPr>
            <w:tcW w:w="4613" w:type="dxa"/>
          </w:tcPr>
          <w:p w:rsidR="00F00B2E" w:rsidRPr="00F00B2E" w:rsidRDefault="00F00B2E" w:rsidP="00FE39BB">
            <w:pPr>
              <w:ind w:right="-57"/>
              <w:rPr>
                <w:rFonts w:cstheme="minorHAnsi"/>
                <w:b/>
                <w:sz w:val="20"/>
                <w:szCs w:val="20"/>
              </w:rPr>
            </w:pPr>
            <w:r>
              <w:rPr>
                <w:b/>
              </w:rPr>
              <w:t>-</w:t>
            </w:r>
            <w:r w:rsidRPr="00F00B2E">
              <w:rPr>
                <w:b/>
              </w:rPr>
              <w:t>Type I duodenal papilla morphology according to the Novel classification (n=5)</w:t>
            </w:r>
          </w:p>
        </w:tc>
        <w:tc>
          <w:tcPr>
            <w:tcW w:w="4613" w:type="dxa"/>
          </w:tcPr>
          <w:p w:rsidR="00F00B2E" w:rsidRDefault="00F00B2E" w:rsidP="00FE39BB">
            <w:pPr>
              <w:ind w:right="-57"/>
              <w:rPr>
                <w:rFonts w:cstheme="minorHAnsi"/>
                <w:sz w:val="20"/>
                <w:szCs w:val="20"/>
              </w:rPr>
            </w:pPr>
            <w:r w:rsidRPr="006F32C7">
              <w:rPr>
                <w:rFonts w:cstheme="minorHAnsi"/>
              </w:rPr>
              <w:t>&lt;0.001</w:t>
            </w:r>
          </w:p>
        </w:tc>
      </w:tr>
      <w:tr w:rsidR="00F00B2E" w:rsidTr="00FE39BB">
        <w:trPr>
          <w:trHeight w:val="250"/>
        </w:trPr>
        <w:tc>
          <w:tcPr>
            <w:tcW w:w="4613" w:type="dxa"/>
          </w:tcPr>
          <w:p w:rsidR="00F00B2E" w:rsidRPr="00F00B2E" w:rsidRDefault="00F00B2E" w:rsidP="00FE39BB">
            <w:pPr>
              <w:ind w:right="-57"/>
              <w:rPr>
                <w:rFonts w:cstheme="minorHAnsi"/>
                <w:b/>
                <w:sz w:val="20"/>
                <w:szCs w:val="20"/>
              </w:rPr>
            </w:pPr>
            <w:r>
              <w:rPr>
                <w:b/>
              </w:rPr>
              <w:t>-</w:t>
            </w:r>
            <w:r w:rsidRPr="00F00B2E">
              <w:rPr>
                <w:b/>
              </w:rPr>
              <w:t>Intradiverticular papilla (n=5)</w:t>
            </w:r>
          </w:p>
        </w:tc>
        <w:tc>
          <w:tcPr>
            <w:tcW w:w="4613" w:type="dxa"/>
          </w:tcPr>
          <w:p w:rsidR="00F00B2E" w:rsidRDefault="00F00B2E" w:rsidP="00FE39BB">
            <w:pPr>
              <w:ind w:right="-57"/>
              <w:rPr>
                <w:rFonts w:cstheme="minorHAnsi"/>
                <w:sz w:val="20"/>
                <w:szCs w:val="20"/>
              </w:rPr>
            </w:pPr>
            <w:r w:rsidRPr="006F32C7">
              <w:rPr>
                <w:rFonts w:cstheme="minorHAnsi"/>
              </w:rPr>
              <w:t>&lt;0.001</w:t>
            </w:r>
          </w:p>
        </w:tc>
      </w:tr>
      <w:tr w:rsidR="00F00B2E" w:rsidTr="00FE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8"/>
        </w:trPr>
        <w:tc>
          <w:tcPr>
            <w:tcW w:w="9226" w:type="dxa"/>
            <w:gridSpan w:val="2"/>
          </w:tcPr>
          <w:p w:rsidR="00F00B2E" w:rsidRDefault="001B048C" w:rsidP="00FE39BB">
            <w:pPr>
              <w:ind w:right="-57"/>
              <w:rPr>
                <w:rFonts w:cstheme="minorHAnsi"/>
                <w:sz w:val="20"/>
                <w:szCs w:val="20"/>
              </w:rPr>
            </w:pPr>
            <w:r>
              <w:rPr>
                <w:rFonts w:cstheme="minorHAnsi"/>
                <w:b/>
                <w:noProof/>
                <w:sz w:val="20"/>
                <w:szCs w:val="20"/>
              </w:rPr>
              <w:pict>
                <v:shapetype id="_x0000_t32" coordsize="21600,21600" o:spt="32" o:oned="t" path="m,l21600,21600e" filled="f">
                  <v:path arrowok="t" fillok="f" o:connecttype="none"/>
                  <o:lock v:ext="edit" shapetype="t"/>
                </v:shapetype>
                <v:shape id="_x0000_s1026" type="#_x0000_t32" style="position:absolute;margin-left:226.55pt;margin-top:.9pt;width:0;height:11.55pt;z-index:251660288;mso-position-horizontal-relative:text;mso-position-vertical-relative:text" o:connectortype="straight"/>
              </w:pict>
            </w:r>
            <w:r>
              <w:rPr>
                <w:rFonts w:cstheme="minorHAnsi"/>
                <w:b/>
                <w:noProof/>
                <w:sz w:val="20"/>
                <w:szCs w:val="20"/>
              </w:rPr>
              <w:pict>
                <v:shape id="_x0000_s1027" type="#_x0000_t32" style="position:absolute;margin-left:225.85pt;margin-top:11.05pt;width:0;height:0;z-index:251661312;mso-position-horizontal-relative:text;mso-position-vertical-relative:text" o:connectortype="straight"/>
              </w:pict>
            </w:r>
            <w:r w:rsidR="00F00B2E" w:rsidRPr="00F00B2E">
              <w:rPr>
                <w:rFonts w:cstheme="minorHAnsi"/>
                <w:b/>
                <w:sz w:val="20"/>
                <w:szCs w:val="20"/>
              </w:rPr>
              <w:t xml:space="preserve"> -</w:t>
            </w:r>
            <w:r w:rsidR="00F00B2E" w:rsidRPr="00F00B2E">
              <w:rPr>
                <w:b/>
              </w:rPr>
              <w:t xml:space="preserve"> Papilla infiltrated by a tumoral lesion (n=12)          </w:t>
            </w:r>
            <w:r w:rsidR="00F00B2E" w:rsidRPr="006F32C7">
              <w:rPr>
                <w:rFonts w:cstheme="minorHAnsi"/>
              </w:rPr>
              <w:t>&lt;0.001</w:t>
            </w:r>
          </w:p>
        </w:tc>
      </w:tr>
    </w:tbl>
    <w:p w:rsidR="00F00B2E" w:rsidRDefault="001B048C" w:rsidP="0029159F">
      <w:pPr>
        <w:pStyle w:val="NormalWeb"/>
        <w:rPr>
          <w:b/>
        </w:rPr>
      </w:pPr>
      <w:r>
        <w:rPr>
          <w:b/>
          <w:noProof/>
          <w:lang w:eastAsia="en-US"/>
        </w:rPr>
        <w:pict>
          <v:shapetype id="_x0000_t202" coordsize="21600,21600" o:spt="202" path="m,l,21600r21600,l21600,xe">
            <v:stroke joinstyle="miter"/>
            <v:path gradientshapeok="t" o:connecttype="rect"/>
          </v:shapetype>
          <v:shape id="_x0000_s1031" type="#_x0000_t202" style="position:absolute;margin-left:-19.55pt;margin-top:42.25pt;width:274.2pt;height:178.85pt;z-index:251667456;mso-position-horizontal-relative:text;mso-position-vertical-relative:text;mso-width-relative:margin;mso-height-relative:margin">
            <v:textbox style="mso-next-textbox:#_x0000_s1031">
              <w:txbxContent>
                <w:p w:rsidR="002440CB" w:rsidRDefault="002440CB">
                  <w:r w:rsidRPr="002440CB">
                    <w:rPr>
                      <w:noProof/>
                    </w:rPr>
                    <w:drawing>
                      <wp:inline distT="0" distB="0" distL="0" distR="0">
                        <wp:extent cx="3257550" cy="2190750"/>
                        <wp:effectExtent l="19050" t="0" r="19050" b="0"/>
                        <wp:docPr id="16"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w:r>
      <w:r w:rsidR="00F00B2E" w:rsidRPr="00F00B2E">
        <w:rPr>
          <w:b/>
        </w:rPr>
        <w:t xml:space="preserve">Table </w:t>
      </w:r>
      <w:proofErr w:type="gramStart"/>
      <w:r w:rsidR="00F00B2E" w:rsidRPr="00F00B2E">
        <w:rPr>
          <w:b/>
        </w:rPr>
        <w:t>1:</w:t>
      </w:r>
      <w:proofErr w:type="gramEnd"/>
      <w:r w:rsidR="00F00B2E" w:rsidRPr="00F00B2E">
        <w:rPr>
          <w:b/>
        </w:rPr>
        <w:t xml:space="preserve"> Predictive Factors of Biliary Cannulation Failure</w:t>
      </w:r>
    </w:p>
    <w:p w:rsidR="00CE5199" w:rsidRDefault="001B048C" w:rsidP="0029159F">
      <w:pPr>
        <w:pStyle w:val="NormalWeb"/>
        <w:rPr>
          <w:b/>
        </w:rPr>
      </w:pPr>
      <w:r>
        <w:rPr>
          <w:b/>
          <w:noProof/>
          <w:lang w:eastAsia="en-US"/>
        </w:rPr>
        <w:pict>
          <v:shape id="_x0000_s1032" type="#_x0000_t202" style="position:absolute;margin-left:262.45pt;margin-top:4.3pt;width:253.95pt;height:178.85pt;z-index:251669504;mso-width-relative:margin;mso-height-relative:margin">
            <v:textbox>
              <w:txbxContent>
                <w:p w:rsidR="002440CB" w:rsidRDefault="002440CB">
                  <w:r w:rsidRPr="002440CB">
                    <w:rPr>
                      <w:noProof/>
                    </w:rPr>
                    <w:drawing>
                      <wp:inline distT="0" distB="0" distL="0" distR="0">
                        <wp:extent cx="3032760" cy="1848088"/>
                        <wp:effectExtent l="19050" t="0" r="15240" b="0"/>
                        <wp:docPr id="1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w:r>
    </w:p>
    <w:p w:rsidR="00CE5199" w:rsidRDefault="001B048C" w:rsidP="002440CB">
      <w:pPr>
        <w:pStyle w:val="NormalWeb"/>
        <w:tabs>
          <w:tab w:val="left" w:pos="1560"/>
          <w:tab w:val="left" w:pos="1843"/>
        </w:tabs>
        <w:rPr>
          <w:b/>
        </w:rPr>
      </w:pPr>
      <w:r>
        <w:rPr>
          <w:b/>
          <w:noProof/>
          <w:lang w:eastAsia="en-US"/>
        </w:rPr>
        <w:pict>
          <v:shape id="_x0000_s1028" type="#_x0000_t202" style="position:absolute;margin-left:-19.55pt;margin-top:154.6pt;width:405.85pt;height:21.4pt;z-index:251663360;mso-width-relative:margin;mso-height-relative:margin" stroked="f">
            <v:textbox style="mso-next-textbox:#_x0000_s1028">
              <w:txbxContent>
                <w:p w:rsidR="00CE5199" w:rsidRPr="00CE5199" w:rsidRDefault="002440CB" w:rsidP="00CE5199">
                  <w:pPr>
                    <w:spacing w:line="240" w:lineRule="auto"/>
                    <w:ind w:right="-57"/>
                    <w:rPr>
                      <w:rFonts w:cstheme="minorHAnsi"/>
                      <w:b/>
                      <w:sz w:val="20"/>
                      <w:szCs w:val="20"/>
                    </w:rPr>
                  </w:pPr>
                  <w:r>
                    <w:rPr>
                      <w:rFonts w:cstheme="minorHAnsi"/>
                      <w:b/>
                      <w:sz w:val="20"/>
                      <w:szCs w:val="20"/>
                    </w:rPr>
                    <w:t xml:space="preserve">  </w:t>
                  </w:r>
                  <w:r w:rsidR="00CE5199" w:rsidRPr="00CE5199">
                    <w:rPr>
                      <w:rFonts w:cstheme="minorHAnsi"/>
                      <w:b/>
                      <w:sz w:val="20"/>
                      <w:szCs w:val="20"/>
                    </w:rPr>
                    <w:t xml:space="preserve">Figure </w:t>
                  </w:r>
                  <w:r w:rsidR="00210B12">
                    <w:rPr>
                      <w:rFonts w:cstheme="minorHAnsi"/>
                      <w:b/>
                      <w:sz w:val="20"/>
                      <w:szCs w:val="20"/>
                    </w:rPr>
                    <w:t>1</w:t>
                  </w:r>
                  <w:r w:rsidR="00CE5199" w:rsidRPr="00CE5199">
                    <w:rPr>
                      <w:rFonts w:cstheme="minorHAnsi"/>
                      <w:b/>
                      <w:sz w:val="20"/>
                      <w:szCs w:val="20"/>
                    </w:rPr>
                    <w:t xml:space="preserve"> : medical </w:t>
                  </w:r>
                  <w:r w:rsidR="00210B12" w:rsidRPr="00CE5199">
                    <w:rPr>
                      <w:rFonts w:cstheme="minorHAnsi"/>
                      <w:b/>
                      <w:sz w:val="20"/>
                      <w:szCs w:val="20"/>
                    </w:rPr>
                    <w:t>histor</w:t>
                  </w:r>
                  <w:r w:rsidR="00210B12">
                    <w:rPr>
                      <w:rFonts w:cstheme="minorHAnsi"/>
                      <w:b/>
                      <w:sz w:val="20"/>
                      <w:szCs w:val="20"/>
                    </w:rPr>
                    <w:t>y</w:t>
                  </w:r>
                  <w:r w:rsidR="00CE5199" w:rsidRPr="00CE5199">
                    <w:rPr>
                      <w:rFonts w:cstheme="minorHAnsi"/>
                      <w:b/>
                      <w:sz w:val="20"/>
                      <w:szCs w:val="20"/>
                    </w:rPr>
                    <w:t xml:space="preserve">                                                                               figure </w:t>
                  </w:r>
                  <w:r w:rsidR="00210B12">
                    <w:rPr>
                      <w:rFonts w:cstheme="minorHAnsi"/>
                      <w:b/>
                      <w:sz w:val="20"/>
                      <w:szCs w:val="20"/>
                    </w:rPr>
                    <w:t>2</w:t>
                  </w:r>
                  <w:r w:rsidR="00CE5199" w:rsidRPr="00CE5199">
                    <w:rPr>
                      <w:rFonts w:cstheme="minorHAnsi"/>
                      <w:b/>
                      <w:sz w:val="20"/>
                      <w:szCs w:val="20"/>
                    </w:rPr>
                    <w:t> : sex</w:t>
                  </w:r>
                </w:p>
                <w:p w:rsidR="00CE5199" w:rsidRDefault="00CE5199"/>
              </w:txbxContent>
            </v:textbox>
          </v:shape>
        </w:pict>
      </w:r>
      <w:r w:rsidR="002440CB">
        <w:rPr>
          <w:b/>
          <w:noProof/>
        </w:rPr>
        <w:t xml:space="preserve">                                                                                       </w:t>
      </w:r>
    </w:p>
    <w:p w:rsidR="003328F6" w:rsidRDefault="00CE5199" w:rsidP="0029159F">
      <w:pPr>
        <w:pStyle w:val="NormalWeb"/>
        <w:rPr>
          <w:rFonts w:asciiTheme="minorHAnsi" w:hAnsiTheme="minorHAnsi" w:cstheme="minorHAnsi"/>
          <w:b/>
        </w:rPr>
      </w:pPr>
      <w:r w:rsidRPr="00CE5199">
        <w:rPr>
          <w:rFonts w:asciiTheme="minorHAnsi" w:hAnsiTheme="minorHAnsi" w:cstheme="minorHAnsi"/>
          <w:b/>
          <w:noProof/>
        </w:rPr>
        <w:lastRenderedPageBreak/>
        <w:drawing>
          <wp:inline distT="0" distB="0" distL="0" distR="0">
            <wp:extent cx="5523795" cy="2280355"/>
            <wp:effectExtent l="19050" t="0" r="19755" b="564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5199" w:rsidRPr="00CE5199" w:rsidRDefault="00CE5199" w:rsidP="00CE5199">
      <w:pPr>
        <w:spacing w:line="240" w:lineRule="auto"/>
        <w:ind w:right="-57"/>
        <w:rPr>
          <w:rFonts w:cstheme="minorHAnsi"/>
          <w:b/>
          <w:sz w:val="20"/>
          <w:szCs w:val="20"/>
        </w:rPr>
      </w:pPr>
      <w:r w:rsidRPr="00CE5199">
        <w:rPr>
          <w:rFonts w:cstheme="minorHAnsi"/>
          <w:b/>
          <w:sz w:val="20"/>
          <w:szCs w:val="20"/>
        </w:rPr>
        <w:t>Figure 3 : indication of ERCP</w:t>
      </w:r>
    </w:p>
    <w:p w:rsidR="00CE5199" w:rsidRDefault="004578CE" w:rsidP="000E53EF">
      <w:pPr>
        <w:pStyle w:val="NormalWeb"/>
        <w:spacing w:after="120" w:afterAutospacing="0"/>
        <w:rPr>
          <w:rStyle w:val="Strong"/>
          <w:rFonts w:asciiTheme="minorHAnsi" w:hAnsiTheme="minorHAnsi" w:cstheme="minorHAnsi"/>
          <w:sz w:val="28"/>
        </w:rPr>
      </w:pPr>
      <w:r w:rsidRPr="000E53EF">
        <w:rPr>
          <w:rStyle w:val="Strong"/>
          <w:rFonts w:asciiTheme="minorHAnsi" w:hAnsiTheme="minorHAnsi" w:cstheme="minorHAnsi"/>
          <w:sz w:val="28"/>
        </w:rPr>
        <w:t>Discussion :</w:t>
      </w:r>
    </w:p>
    <w:p w:rsidR="00BC4C44" w:rsidRPr="00D22217" w:rsidRDefault="003C39BC" w:rsidP="00BC4C44">
      <w:pPr>
        <w:rPr>
          <w:b/>
          <w:sz w:val="24"/>
        </w:rPr>
      </w:pPr>
      <w:r>
        <w:rPr>
          <w:sz w:val="24"/>
        </w:rPr>
        <w:t>« </w:t>
      </w:r>
      <w:r w:rsidR="00BC4C44" w:rsidRPr="00D22217">
        <w:rPr>
          <w:sz w:val="24"/>
        </w:rPr>
        <w:t xml:space="preserve">The prevalence of DBC highly varies from one series to another. The defining </w:t>
      </w:r>
      <w:proofErr w:type="gramStart"/>
      <w:r w:rsidR="00BC4C44" w:rsidRPr="00D22217">
        <w:rPr>
          <w:sz w:val="24"/>
        </w:rPr>
        <w:t>criteria:</w:t>
      </w:r>
      <w:proofErr w:type="gramEnd"/>
      <w:r w:rsidR="00BC4C44" w:rsidRPr="00D22217">
        <w:rPr>
          <w:sz w:val="24"/>
        </w:rPr>
        <w:t xml:space="preserve"> the number of cannulation attempts, time before can nulation, and a number of accidental pancreatic duct passages, influence this incidence variability. Cutoffs differ based on association to post ERCP pancreatitis (PEP) occurrence risk</w:t>
      </w:r>
      <w:r>
        <w:rPr>
          <w:sz w:val="24"/>
        </w:rPr>
        <w:t> »</w:t>
      </w:r>
      <w:r w:rsidR="00BC4C44" w:rsidRPr="00D22217">
        <w:rPr>
          <w:sz w:val="24"/>
        </w:rPr>
        <w:t xml:space="preserve"> </w:t>
      </w:r>
      <w:r w:rsidR="00D22217">
        <w:rPr>
          <w:b/>
          <w:sz w:val="24"/>
        </w:rPr>
        <w:t>[</w:t>
      </w:r>
      <w:r w:rsidR="00D22217" w:rsidRPr="00D22217">
        <w:rPr>
          <w:b/>
          <w:sz w:val="24"/>
        </w:rPr>
        <w:t>23</w:t>
      </w:r>
      <w:r w:rsidR="00BC4C44" w:rsidRPr="00D22217">
        <w:rPr>
          <w:b/>
          <w:sz w:val="24"/>
        </w:rPr>
        <w:t>].</w:t>
      </w:r>
      <w:r w:rsidR="00BC4C44" w:rsidRPr="00D22217">
        <w:rPr>
          <w:sz w:val="24"/>
        </w:rPr>
        <w:t xml:space="preserve"> </w:t>
      </w:r>
      <w:r>
        <w:rPr>
          <w:sz w:val="24"/>
        </w:rPr>
        <w:t>« </w:t>
      </w:r>
      <w:r w:rsidR="00BC4C44" w:rsidRPr="00D22217">
        <w:rPr>
          <w:sz w:val="24"/>
        </w:rPr>
        <w:t>In fact, according to Halttunen J et al, exceeding five papilla cannulation attempts increased PEPrisk from 6.1%to11.9%</w:t>
      </w:r>
      <w:r>
        <w:rPr>
          <w:sz w:val="24"/>
        </w:rPr>
        <w:t> »</w:t>
      </w:r>
      <w:r w:rsidR="004578CE">
        <w:rPr>
          <w:sz w:val="24"/>
        </w:rPr>
        <w:t xml:space="preserve"> </w:t>
      </w:r>
      <w:r w:rsidR="00BC4C44" w:rsidRPr="00D22217">
        <w:rPr>
          <w:b/>
          <w:sz w:val="24"/>
        </w:rPr>
        <w:t>[</w:t>
      </w:r>
      <w:r w:rsidR="00D22217" w:rsidRPr="00D22217">
        <w:rPr>
          <w:b/>
          <w:sz w:val="24"/>
        </w:rPr>
        <w:t>1</w:t>
      </w:r>
      <w:r w:rsidR="00BC4C44" w:rsidRPr="00D22217">
        <w:rPr>
          <w:b/>
          <w:sz w:val="24"/>
        </w:rPr>
        <w:t>6].</w:t>
      </w:r>
    </w:p>
    <w:p w:rsidR="00BC4C44" w:rsidRPr="00BC4C44" w:rsidRDefault="00BC4C44" w:rsidP="00BC4C44">
      <w:pPr>
        <w:rPr>
          <w:sz w:val="28"/>
        </w:rPr>
      </w:pPr>
      <w:r w:rsidRPr="00BC4C44">
        <w:rPr>
          <w:sz w:val="24"/>
        </w:rPr>
        <w:t xml:space="preserve">In our study, the duration and </w:t>
      </w:r>
      <w:r w:rsidR="004578CE">
        <w:rPr>
          <w:sz w:val="24"/>
        </w:rPr>
        <w:t xml:space="preserve">the </w:t>
      </w:r>
      <w:r w:rsidRPr="00BC4C44">
        <w:rPr>
          <w:sz w:val="24"/>
        </w:rPr>
        <w:t>number of cannulation attempts differed from those defined by the ESGE, with more than five attempts in some cases.</w:t>
      </w:r>
    </w:p>
    <w:p w:rsidR="00CE5199" w:rsidRPr="00051F9F" w:rsidRDefault="00CE5199" w:rsidP="00CE5199">
      <w:pPr>
        <w:pStyle w:val="NormalWeb"/>
        <w:spacing w:before="0" w:beforeAutospacing="0" w:after="0" w:afterAutospacing="0"/>
        <w:rPr>
          <w:rFonts w:asciiTheme="minorHAnsi" w:hAnsiTheme="minorHAnsi" w:cstheme="minorHAnsi"/>
        </w:rPr>
      </w:pPr>
      <w:r w:rsidRPr="00051F9F">
        <w:rPr>
          <w:rFonts w:asciiTheme="minorHAnsi" w:hAnsiTheme="minorHAnsi" w:cstheme="minorHAnsi"/>
        </w:rPr>
        <w:t>Interventional endoscopy has revolutionized the management of biliary tract diseases by reducing the risk of complications and shortening hospital stays. However, perioperative risks have been reported, including perforations, hemorrhages, post-ERCP acute pancreatitis, and notably, failure of biliary cannulation during the procedure.</w:t>
      </w:r>
    </w:p>
    <w:p w:rsidR="00CE5199" w:rsidRPr="00051F9F" w:rsidRDefault="00CE5199" w:rsidP="00CE5199">
      <w:pPr>
        <w:pStyle w:val="NormalWeb"/>
        <w:spacing w:before="0" w:beforeAutospacing="0" w:after="0" w:afterAutospacing="0"/>
        <w:rPr>
          <w:rFonts w:asciiTheme="minorHAnsi" w:hAnsiTheme="minorHAnsi" w:cstheme="minorHAnsi"/>
        </w:rPr>
      </w:pPr>
    </w:p>
    <w:p w:rsidR="009C2279" w:rsidRPr="00051F9F" w:rsidRDefault="003C39BC" w:rsidP="00CE5199">
      <w:pPr>
        <w:pStyle w:val="NormalWeb"/>
        <w:spacing w:before="0" w:beforeAutospacing="0" w:after="0" w:afterAutospacing="0"/>
        <w:rPr>
          <w:rFonts w:asciiTheme="minorHAnsi" w:hAnsiTheme="minorHAnsi" w:cstheme="minorHAnsi"/>
        </w:rPr>
      </w:pPr>
      <w:r>
        <w:rPr>
          <w:rFonts w:asciiTheme="minorHAnsi" w:hAnsiTheme="minorHAnsi" w:cstheme="minorHAnsi"/>
        </w:rPr>
        <w:t>« </w:t>
      </w:r>
      <w:r w:rsidR="00CE5199" w:rsidRPr="00051F9F">
        <w:rPr>
          <w:rFonts w:asciiTheme="minorHAnsi" w:hAnsiTheme="minorHAnsi" w:cstheme="minorHAnsi"/>
        </w:rPr>
        <w:t>According to the European Society of Gastrointestinal Endoscopy (ESGE), failure of biliary cannulation is a notable complication, occurring in approximately 5 to 20% of procedures, even in specialized centers</w:t>
      </w:r>
      <w:proofErr w:type="gramStart"/>
      <w:r>
        <w:rPr>
          <w:rFonts w:asciiTheme="minorHAnsi" w:hAnsiTheme="minorHAnsi" w:cstheme="minorHAnsi"/>
        </w:rPr>
        <w:t> »</w:t>
      </w:r>
      <w:r w:rsidR="009C2279" w:rsidRPr="00051F9F">
        <w:rPr>
          <w:rFonts w:asciiTheme="minorHAnsi" w:hAnsiTheme="minorHAnsi" w:cstheme="minorHAnsi"/>
          <w:b/>
        </w:rPr>
        <w:t>[</w:t>
      </w:r>
      <w:proofErr w:type="gramEnd"/>
      <w:r w:rsidR="009C2279" w:rsidRPr="00051F9F">
        <w:rPr>
          <w:rFonts w:asciiTheme="minorHAnsi" w:hAnsiTheme="minorHAnsi" w:cstheme="minorHAnsi"/>
          <w:b/>
        </w:rPr>
        <w:t>5].</w:t>
      </w:r>
    </w:p>
    <w:p w:rsidR="00CE5199" w:rsidRPr="00051F9F" w:rsidRDefault="00CE5199" w:rsidP="00CE5199">
      <w:pPr>
        <w:pStyle w:val="NormalWeb"/>
        <w:spacing w:before="0" w:beforeAutospacing="0" w:after="0" w:afterAutospacing="0"/>
        <w:rPr>
          <w:rFonts w:asciiTheme="minorHAnsi" w:hAnsiTheme="minorHAnsi" w:cstheme="minorHAnsi"/>
        </w:rPr>
      </w:pPr>
      <w:r w:rsidRPr="00051F9F">
        <w:rPr>
          <w:rFonts w:asciiTheme="minorHAnsi" w:hAnsiTheme="minorHAnsi" w:cstheme="minorHAnsi"/>
        </w:rPr>
        <w:t>Compared to our study, the biliary cannulation failure rate was 7%, which is consistent with data reported in the literature.</w:t>
      </w:r>
    </w:p>
    <w:p w:rsidR="00CE5199" w:rsidRPr="00051F9F" w:rsidRDefault="00CE5199" w:rsidP="00CE5199">
      <w:pPr>
        <w:pStyle w:val="NormalWeb"/>
        <w:spacing w:before="0" w:beforeAutospacing="0" w:after="0" w:afterAutospacing="0"/>
        <w:rPr>
          <w:rFonts w:asciiTheme="minorHAnsi" w:hAnsiTheme="minorHAnsi" w:cstheme="minorHAnsi"/>
        </w:rPr>
      </w:pPr>
      <w:r w:rsidRPr="00051F9F">
        <w:rPr>
          <w:rFonts w:asciiTheme="minorHAnsi" w:hAnsiTheme="minorHAnsi" w:cstheme="minorHAnsi"/>
        </w:rPr>
        <w:br/>
      </w:r>
      <w:r w:rsidR="003C39BC">
        <w:rPr>
          <w:rFonts w:asciiTheme="minorHAnsi" w:hAnsiTheme="minorHAnsi" w:cstheme="minorHAnsi"/>
        </w:rPr>
        <w:t>« </w:t>
      </w:r>
      <w:r w:rsidRPr="00051F9F">
        <w:rPr>
          <w:rFonts w:asciiTheme="minorHAnsi" w:hAnsiTheme="minorHAnsi" w:cstheme="minorHAnsi"/>
        </w:rPr>
        <w:t>In a prospective multicenter study conducted in the United States, the failure rate was 19.5%</w:t>
      </w:r>
      <w:proofErr w:type="gramStart"/>
      <w:r w:rsidR="003C39BC">
        <w:rPr>
          <w:rFonts w:asciiTheme="minorHAnsi" w:hAnsiTheme="minorHAnsi" w:cstheme="minorHAnsi"/>
        </w:rPr>
        <w:t> »</w:t>
      </w:r>
      <w:r w:rsidR="009C2279" w:rsidRPr="00051F9F">
        <w:rPr>
          <w:rFonts w:asciiTheme="minorHAnsi" w:hAnsiTheme="minorHAnsi" w:cstheme="minorHAnsi"/>
          <w:b/>
        </w:rPr>
        <w:t>[</w:t>
      </w:r>
      <w:proofErr w:type="gramEnd"/>
      <w:r w:rsidR="009C2279" w:rsidRPr="00051F9F">
        <w:rPr>
          <w:rFonts w:asciiTheme="minorHAnsi" w:hAnsiTheme="minorHAnsi" w:cstheme="minorHAnsi"/>
          <w:b/>
        </w:rPr>
        <w:t>6]</w:t>
      </w:r>
      <w:r w:rsidRPr="00051F9F">
        <w:rPr>
          <w:rFonts w:asciiTheme="minorHAnsi" w:hAnsiTheme="minorHAnsi" w:cstheme="minorHAnsi"/>
        </w:rPr>
        <w:t>.</w:t>
      </w:r>
    </w:p>
    <w:p w:rsidR="002E1953" w:rsidRPr="00051F9F" w:rsidRDefault="002E1953" w:rsidP="00CE5199">
      <w:pPr>
        <w:pStyle w:val="NormalWeb"/>
        <w:spacing w:before="0" w:beforeAutospacing="0" w:after="0" w:afterAutospacing="0"/>
        <w:rPr>
          <w:rFonts w:asciiTheme="minorHAnsi" w:hAnsiTheme="minorHAnsi" w:cstheme="minorHAnsi"/>
          <w:b/>
        </w:rPr>
      </w:pPr>
      <w:r w:rsidRPr="00051F9F">
        <w:rPr>
          <w:rFonts w:asciiTheme="minorHAnsi" w:hAnsiTheme="minorHAnsi" w:cstheme="minorHAnsi"/>
        </w:rPr>
        <w:br/>
        <w:t xml:space="preserve">According to the literature, </w:t>
      </w:r>
      <w:r w:rsidR="001B048C">
        <w:rPr>
          <w:rFonts w:asciiTheme="minorHAnsi" w:hAnsiTheme="minorHAnsi" w:cstheme="minorHAnsi"/>
        </w:rPr>
        <w:t>« </w:t>
      </w:r>
      <w:r w:rsidRPr="00051F9F">
        <w:rPr>
          <w:rFonts w:asciiTheme="minorHAnsi" w:hAnsiTheme="minorHAnsi" w:cstheme="minorHAnsi"/>
        </w:rPr>
        <w:t>several factors are significantly associated with biliary cannulation failure. These include a small-sized papilla, dysfunction of the sphincter of Oddi, an intra- or para-diverticular papilla, a tortuous papilla, malignant tumor infiltration of the duodenum or papilla, as well as the presence of edema or distortion of the duodenum caused by acute pancreatitis</w:t>
      </w:r>
      <w:r w:rsidR="001B048C">
        <w:rPr>
          <w:rFonts w:asciiTheme="minorHAnsi" w:hAnsiTheme="minorHAnsi" w:cstheme="minorHAnsi"/>
        </w:rPr>
        <w:t> »</w:t>
      </w:r>
      <w:r w:rsidRPr="00051F9F">
        <w:rPr>
          <w:rFonts w:asciiTheme="minorHAnsi" w:hAnsiTheme="minorHAnsi" w:cstheme="minorHAnsi"/>
        </w:rPr>
        <w:t xml:space="preserve"> </w:t>
      </w:r>
      <w:r w:rsidR="00BC4C44">
        <w:rPr>
          <w:rFonts w:asciiTheme="minorHAnsi" w:hAnsiTheme="minorHAnsi" w:cstheme="minorHAnsi"/>
          <w:b/>
        </w:rPr>
        <w:t>[5 ;7-</w:t>
      </w:r>
      <w:proofErr w:type="gramStart"/>
      <w:r w:rsidR="00BC4C44">
        <w:rPr>
          <w:rFonts w:asciiTheme="minorHAnsi" w:hAnsiTheme="minorHAnsi" w:cstheme="minorHAnsi"/>
          <w:b/>
        </w:rPr>
        <w:t>8;</w:t>
      </w:r>
      <w:proofErr w:type="gramEnd"/>
      <w:r w:rsidR="00BC4C44">
        <w:rPr>
          <w:rFonts w:asciiTheme="minorHAnsi" w:hAnsiTheme="minorHAnsi" w:cstheme="minorHAnsi"/>
          <w:b/>
        </w:rPr>
        <w:t xml:space="preserve"> 10</w:t>
      </w:r>
      <w:r w:rsidRPr="00051F9F">
        <w:rPr>
          <w:rFonts w:asciiTheme="minorHAnsi" w:hAnsiTheme="minorHAnsi" w:cstheme="minorHAnsi"/>
          <w:b/>
        </w:rPr>
        <w:t>].</w:t>
      </w:r>
    </w:p>
    <w:p w:rsidR="00CE5199" w:rsidRPr="00051F9F" w:rsidRDefault="00CE5199" w:rsidP="00CE5199">
      <w:pPr>
        <w:pStyle w:val="NormalWeb"/>
        <w:spacing w:before="0" w:beforeAutospacing="0" w:after="0" w:afterAutospacing="0"/>
        <w:rPr>
          <w:rFonts w:asciiTheme="minorHAnsi" w:hAnsiTheme="minorHAnsi" w:cstheme="minorHAnsi"/>
        </w:rPr>
      </w:pPr>
    </w:p>
    <w:p w:rsidR="002E1953" w:rsidRPr="00051F9F" w:rsidRDefault="001B048C" w:rsidP="00CE5199">
      <w:pPr>
        <w:pStyle w:val="NormalWeb"/>
        <w:spacing w:before="0" w:beforeAutospacing="0" w:after="0" w:afterAutospacing="0"/>
        <w:rPr>
          <w:rFonts w:asciiTheme="minorHAnsi" w:hAnsiTheme="minorHAnsi" w:cstheme="minorHAnsi"/>
        </w:rPr>
      </w:pPr>
      <w:r>
        <w:rPr>
          <w:rFonts w:asciiTheme="minorHAnsi" w:hAnsiTheme="minorHAnsi" w:cstheme="minorHAnsi"/>
        </w:rPr>
        <w:lastRenderedPageBreak/>
        <w:t>« </w:t>
      </w:r>
      <w:r w:rsidR="002E1953" w:rsidRPr="00051F9F">
        <w:rPr>
          <w:rFonts w:asciiTheme="minorHAnsi" w:hAnsiTheme="minorHAnsi" w:cstheme="minorHAnsi"/>
        </w:rPr>
        <w:t>Other factors identified as potentially compromising biliary cannulation success include a history of Billroth II gastric surgery, an initially elevated bilirubin level, an INR ≥ 1.5, and atypical biliary strictures (multifocal or located outside the main bile duct)</w:t>
      </w:r>
      <w:r>
        <w:rPr>
          <w:rFonts w:asciiTheme="minorHAnsi" w:hAnsiTheme="minorHAnsi" w:cstheme="minorHAnsi"/>
        </w:rPr>
        <w:t> »</w:t>
      </w:r>
      <w:r w:rsidR="002E1953" w:rsidRPr="00051F9F">
        <w:rPr>
          <w:rFonts w:asciiTheme="minorHAnsi" w:hAnsiTheme="minorHAnsi" w:cstheme="minorHAnsi"/>
        </w:rPr>
        <w:t xml:space="preserve"> </w:t>
      </w:r>
      <w:r w:rsidR="009C2279" w:rsidRPr="00051F9F">
        <w:rPr>
          <w:rFonts w:asciiTheme="minorHAnsi" w:hAnsiTheme="minorHAnsi" w:cstheme="minorHAnsi"/>
          <w:b/>
        </w:rPr>
        <w:t>[11, 12</w:t>
      </w:r>
      <w:r w:rsidR="002E1953" w:rsidRPr="00051F9F">
        <w:rPr>
          <w:rFonts w:asciiTheme="minorHAnsi" w:hAnsiTheme="minorHAnsi" w:cstheme="minorHAnsi"/>
          <w:b/>
        </w:rPr>
        <w:t>].</w:t>
      </w:r>
    </w:p>
    <w:p w:rsidR="002E1953" w:rsidRPr="00051F9F" w:rsidRDefault="002E1953" w:rsidP="000E53EF">
      <w:pPr>
        <w:pStyle w:val="NormalWeb"/>
        <w:spacing w:after="120" w:afterAutospacing="0"/>
        <w:rPr>
          <w:rFonts w:asciiTheme="minorHAnsi" w:hAnsiTheme="minorHAnsi" w:cstheme="minorHAnsi"/>
        </w:rPr>
      </w:pPr>
      <w:r w:rsidRPr="00051F9F">
        <w:rPr>
          <w:rFonts w:asciiTheme="minorHAnsi" w:hAnsiTheme="minorHAnsi" w:cstheme="minorHAnsi"/>
        </w:rPr>
        <w:t xml:space="preserve">The papilla morphology has been classified into seven types according to the Novel classification (Figure </w:t>
      </w:r>
      <w:r w:rsidR="00210B12">
        <w:rPr>
          <w:rFonts w:asciiTheme="minorHAnsi" w:hAnsiTheme="minorHAnsi" w:cstheme="minorHAnsi"/>
        </w:rPr>
        <w:t>2</w:t>
      </w:r>
      <w:r w:rsidRPr="00051F9F">
        <w:rPr>
          <w:rFonts w:asciiTheme="minorHAnsi" w:hAnsiTheme="minorHAnsi" w:cstheme="minorHAnsi"/>
        </w:rPr>
        <w:t>): type I, flat type without oral protrusion; type IIA, tubular non-pleated prominent type with oral protrusion and fewer than one transverse fold on the protrusion; type IIB, pleated tubular prominent type with oral protrusion and more than two transverse folds on the protrusion; type IIC, prominent bulging type with a widened and bulging oral protrusion; type IIIA, diverticular-intradiverticular type with the papillary orifice located inside the diverticulum; type IIIB, diverticular-border diverticular type with the papillary orifice less than 2 cm from the diverticular edge; and type IV, unclassified papilla without morphology fitting the other categories.</w:t>
      </w:r>
    </w:p>
    <w:p w:rsidR="002E1953" w:rsidRPr="00051F9F" w:rsidRDefault="001B048C" w:rsidP="000E53EF">
      <w:pPr>
        <w:pStyle w:val="NormalWeb"/>
        <w:spacing w:after="120" w:afterAutospacing="0"/>
        <w:rPr>
          <w:rFonts w:asciiTheme="minorHAnsi" w:hAnsiTheme="minorHAnsi" w:cstheme="minorHAnsi"/>
        </w:rPr>
      </w:pPr>
      <w:r>
        <w:rPr>
          <w:rFonts w:asciiTheme="minorHAnsi" w:hAnsiTheme="minorHAnsi" w:cstheme="minorHAnsi"/>
        </w:rPr>
        <w:t>« </w:t>
      </w:r>
      <w:r w:rsidR="002E1953" w:rsidRPr="00051F9F">
        <w:rPr>
          <w:rFonts w:asciiTheme="minorHAnsi" w:hAnsiTheme="minorHAnsi" w:cstheme="minorHAnsi"/>
        </w:rPr>
        <w:t>It has been demonstrated that types I and II are significantly associated with biliary cannulation failure according to prospective multicenter studies conducted in Scandinavia, which align with the findings of our study</w:t>
      </w:r>
      <w:r>
        <w:rPr>
          <w:rFonts w:asciiTheme="minorHAnsi" w:hAnsiTheme="minorHAnsi" w:cstheme="minorHAnsi"/>
        </w:rPr>
        <w:t> »</w:t>
      </w:r>
      <w:r w:rsidR="002E1953" w:rsidRPr="00051F9F">
        <w:rPr>
          <w:rFonts w:asciiTheme="minorHAnsi" w:hAnsiTheme="minorHAnsi" w:cstheme="minorHAnsi"/>
        </w:rPr>
        <w:t xml:space="preserve"> </w:t>
      </w:r>
      <w:r w:rsidR="00EF54C5" w:rsidRPr="00051F9F">
        <w:rPr>
          <w:rFonts w:asciiTheme="minorHAnsi" w:hAnsiTheme="minorHAnsi" w:cstheme="minorHAnsi"/>
          <w:b/>
        </w:rPr>
        <w:t>[13, 14</w:t>
      </w:r>
      <w:r w:rsidR="002E1953" w:rsidRPr="00051F9F">
        <w:rPr>
          <w:rFonts w:asciiTheme="minorHAnsi" w:hAnsiTheme="minorHAnsi" w:cstheme="minorHAnsi"/>
          <w:b/>
        </w:rPr>
        <w:t>].</w:t>
      </w:r>
    </w:p>
    <w:p w:rsidR="002E1953" w:rsidRPr="00051F9F" w:rsidRDefault="002E1953" w:rsidP="000E53EF">
      <w:pPr>
        <w:pStyle w:val="NormalWeb"/>
        <w:spacing w:after="120" w:afterAutospacing="0"/>
        <w:rPr>
          <w:rFonts w:asciiTheme="minorHAnsi" w:hAnsiTheme="minorHAnsi" w:cstheme="minorHAnsi"/>
        </w:rPr>
      </w:pPr>
      <w:r w:rsidRPr="00051F9F">
        <w:rPr>
          <w:rFonts w:asciiTheme="minorHAnsi" w:hAnsiTheme="minorHAnsi" w:cstheme="minorHAnsi"/>
        </w:rPr>
        <w:t xml:space="preserve">In our study, other factors significantly associated with cannulation failure included impacted stones in the distal common bile duct (p&lt;0.001) and intradiverticular papilla (p&lt;0.001), consistent with results reported in the </w:t>
      </w:r>
      <w:proofErr w:type="gramStart"/>
      <w:r w:rsidRPr="00051F9F">
        <w:rPr>
          <w:rFonts w:asciiTheme="minorHAnsi" w:hAnsiTheme="minorHAnsi" w:cstheme="minorHAnsi"/>
        </w:rPr>
        <w:t>literature</w:t>
      </w:r>
      <w:r w:rsidR="001B048C">
        <w:rPr>
          <w:rFonts w:asciiTheme="minorHAnsi" w:hAnsiTheme="minorHAnsi" w:cstheme="minorHAnsi"/>
        </w:rPr>
        <w:t> </w:t>
      </w:r>
      <w:r w:rsidRPr="00051F9F">
        <w:rPr>
          <w:rFonts w:asciiTheme="minorHAnsi" w:hAnsiTheme="minorHAnsi" w:cstheme="minorHAnsi"/>
        </w:rPr>
        <w:t xml:space="preserve"> </w:t>
      </w:r>
      <w:r w:rsidRPr="00051F9F">
        <w:rPr>
          <w:rFonts w:asciiTheme="minorHAnsi" w:hAnsiTheme="minorHAnsi" w:cstheme="minorHAnsi"/>
          <w:b/>
        </w:rPr>
        <w:t>[</w:t>
      </w:r>
      <w:proofErr w:type="gramEnd"/>
      <w:r w:rsidR="00BC4C44">
        <w:rPr>
          <w:rFonts w:asciiTheme="minorHAnsi" w:hAnsiTheme="minorHAnsi" w:cstheme="minorHAnsi"/>
          <w:b/>
        </w:rPr>
        <w:t>15 ;17 ;</w:t>
      </w:r>
      <w:r w:rsidR="00EF54C5" w:rsidRPr="00051F9F">
        <w:rPr>
          <w:rFonts w:asciiTheme="minorHAnsi" w:hAnsiTheme="minorHAnsi" w:cstheme="minorHAnsi"/>
          <w:b/>
        </w:rPr>
        <w:t>18</w:t>
      </w:r>
      <w:r w:rsidRPr="00051F9F">
        <w:rPr>
          <w:rFonts w:asciiTheme="minorHAnsi" w:hAnsiTheme="minorHAnsi" w:cstheme="minorHAnsi"/>
          <w:b/>
        </w:rPr>
        <w:t>].</w:t>
      </w:r>
    </w:p>
    <w:p w:rsidR="00D22217" w:rsidRDefault="003C39BC" w:rsidP="00D22217">
      <w:pPr>
        <w:rPr>
          <w:b/>
          <w:sz w:val="24"/>
        </w:rPr>
      </w:pPr>
      <w:r>
        <w:rPr>
          <w:sz w:val="24"/>
        </w:rPr>
        <w:t>« </w:t>
      </w:r>
      <w:proofErr w:type="gramStart"/>
      <w:r w:rsidR="00D22217" w:rsidRPr="00D22217">
        <w:rPr>
          <w:sz w:val="24"/>
        </w:rPr>
        <w:t>one</w:t>
      </w:r>
      <w:proofErr w:type="gramEnd"/>
      <w:r w:rsidR="00D22217" w:rsidRPr="00D22217">
        <w:rPr>
          <w:sz w:val="24"/>
        </w:rPr>
        <w:t xml:space="preserve"> recent study conducted by Can kurtaran et al. </w:t>
      </w:r>
      <w:proofErr w:type="gramStart"/>
      <w:r w:rsidR="00D22217" w:rsidRPr="00D22217">
        <w:rPr>
          <w:sz w:val="24"/>
        </w:rPr>
        <w:t>revealed</w:t>
      </w:r>
      <w:proofErr w:type="gramEnd"/>
      <w:r w:rsidR="00D22217" w:rsidRPr="00D22217">
        <w:rPr>
          <w:sz w:val="24"/>
        </w:rPr>
        <w:t xml:space="preserve"> that a history of cholecystectomy was signifi cantly associated with difficult cannulation (OR 2.014, p ¼ 0.008)</w:t>
      </w:r>
      <w:r>
        <w:rPr>
          <w:sz w:val="24"/>
        </w:rPr>
        <w:t> »</w:t>
      </w:r>
      <w:r w:rsidR="00D22217" w:rsidRPr="00D22217">
        <w:rPr>
          <w:sz w:val="24"/>
        </w:rPr>
        <w:t xml:space="preserve"> </w:t>
      </w:r>
      <w:r w:rsidR="00D22217" w:rsidRPr="00D22217">
        <w:rPr>
          <w:b/>
          <w:sz w:val="24"/>
        </w:rPr>
        <w:t>[19].</w:t>
      </w:r>
      <w:r>
        <w:rPr>
          <w:b/>
          <w:sz w:val="24"/>
        </w:rPr>
        <w:t> </w:t>
      </w:r>
      <w:r w:rsidR="00D22217" w:rsidRPr="00D22217">
        <w:rPr>
          <w:sz w:val="24"/>
        </w:rPr>
        <w:t xml:space="preserve"> </w:t>
      </w:r>
      <w:r>
        <w:rPr>
          <w:sz w:val="24"/>
        </w:rPr>
        <w:t>« </w:t>
      </w:r>
      <w:r w:rsidR="00D22217" w:rsidRPr="00D22217">
        <w:rPr>
          <w:sz w:val="24"/>
        </w:rPr>
        <w:t>Another study has shown</w:t>
      </w:r>
      <w:r w:rsidR="004578CE">
        <w:rPr>
          <w:sz w:val="24"/>
        </w:rPr>
        <w:t xml:space="preserve"> </w:t>
      </w:r>
      <w:r w:rsidR="00D22217" w:rsidRPr="00D22217">
        <w:rPr>
          <w:sz w:val="24"/>
        </w:rPr>
        <w:t>that</w:t>
      </w:r>
      <w:r w:rsidR="004578CE">
        <w:rPr>
          <w:sz w:val="24"/>
        </w:rPr>
        <w:t xml:space="preserve"> </w:t>
      </w:r>
      <w:r w:rsidR="00D22217" w:rsidRPr="00D22217">
        <w:rPr>
          <w:sz w:val="24"/>
        </w:rPr>
        <w:t>ERCP</w:t>
      </w:r>
      <w:r w:rsidR="004578CE">
        <w:rPr>
          <w:sz w:val="24"/>
        </w:rPr>
        <w:t xml:space="preserve"> </w:t>
      </w:r>
      <w:r w:rsidR="00D22217" w:rsidRPr="00D22217">
        <w:rPr>
          <w:sz w:val="24"/>
        </w:rPr>
        <w:t>difficulty increases in patients with a history of complicated cholecystectomy</w:t>
      </w:r>
      <w:r>
        <w:rPr>
          <w:sz w:val="24"/>
        </w:rPr>
        <w:t> »</w:t>
      </w:r>
      <w:r w:rsidR="00D22217" w:rsidRPr="00D22217">
        <w:rPr>
          <w:sz w:val="24"/>
        </w:rPr>
        <w:t xml:space="preserve"> </w:t>
      </w:r>
      <w:r w:rsidR="00D22217">
        <w:rPr>
          <w:b/>
          <w:sz w:val="24"/>
        </w:rPr>
        <w:t>[24</w:t>
      </w:r>
      <w:r w:rsidR="00D22217" w:rsidRPr="00D22217">
        <w:rPr>
          <w:b/>
          <w:sz w:val="24"/>
        </w:rPr>
        <w:t>].</w:t>
      </w:r>
    </w:p>
    <w:p w:rsidR="004578CE" w:rsidRPr="00D22217" w:rsidRDefault="004578CE" w:rsidP="00D22217">
      <w:pPr>
        <w:rPr>
          <w:sz w:val="24"/>
        </w:rPr>
      </w:pPr>
      <w:r w:rsidRPr="004578CE">
        <w:rPr>
          <w:sz w:val="24"/>
        </w:rPr>
        <w:t>In our study, A history of cholecystectomy was not significantly associated with biliary cannulation failure.</w:t>
      </w:r>
    </w:p>
    <w:p w:rsidR="006C19C1" w:rsidRPr="00051F9F" w:rsidRDefault="006C19C1" w:rsidP="006C19C1">
      <w:pPr>
        <w:pStyle w:val="NormalWeb"/>
        <w:rPr>
          <w:rFonts w:asciiTheme="minorHAnsi" w:hAnsiTheme="minorHAnsi" w:cstheme="minorHAnsi"/>
        </w:rPr>
      </w:pPr>
      <w:r w:rsidRPr="00051F9F">
        <w:rPr>
          <w:rFonts w:asciiTheme="minorHAnsi" w:hAnsiTheme="minorHAnsi" w:cstheme="minorHAnsi"/>
        </w:rPr>
        <w:t>In addition to the factors mentioned above, the experience of the endoscopist or operator was significantly associated with cannulation failure, according to a study conducted in Japan in 2022</w:t>
      </w:r>
      <w:r w:rsidR="00EF54C5" w:rsidRPr="00051F9F">
        <w:rPr>
          <w:rFonts w:asciiTheme="minorHAnsi" w:hAnsiTheme="minorHAnsi" w:cstheme="minorHAnsi"/>
          <w:b/>
        </w:rPr>
        <w:t>[20].</w:t>
      </w:r>
      <w:r w:rsidRPr="00051F9F">
        <w:rPr>
          <w:rFonts w:asciiTheme="minorHAnsi" w:hAnsiTheme="minorHAnsi" w:cstheme="minorHAnsi"/>
        </w:rPr>
        <w:t xml:space="preserve">  </w:t>
      </w:r>
    </w:p>
    <w:p w:rsidR="006C19C1" w:rsidRPr="00051F9F" w:rsidRDefault="003C39BC" w:rsidP="006C19C1">
      <w:pPr>
        <w:spacing w:line="240" w:lineRule="auto"/>
        <w:ind w:right="-57"/>
        <w:rPr>
          <w:sz w:val="24"/>
          <w:szCs w:val="24"/>
        </w:rPr>
      </w:pPr>
      <w:r>
        <w:rPr>
          <w:sz w:val="24"/>
          <w:szCs w:val="24"/>
        </w:rPr>
        <w:t>« </w:t>
      </w:r>
      <w:r w:rsidR="006C19C1" w:rsidRPr="00051F9F">
        <w:rPr>
          <w:sz w:val="24"/>
          <w:szCs w:val="24"/>
        </w:rPr>
        <w:t>In 2024, a study conducted in Sweden comparing the precut technique using a needle-knife versus transpancreatic sphincterotomy for difficult biliary cannulation demonstrated greater success with transpancreatic sphincterotomy, but with higher rates of adverse events such as pancreatitis and perforation</w:t>
      </w:r>
      <w:r>
        <w:rPr>
          <w:sz w:val="24"/>
          <w:szCs w:val="24"/>
        </w:rPr>
        <w:t> »</w:t>
      </w:r>
      <w:r w:rsidR="006C19C1" w:rsidRPr="00051F9F">
        <w:rPr>
          <w:sz w:val="24"/>
          <w:szCs w:val="24"/>
        </w:rPr>
        <w:t xml:space="preserve"> </w:t>
      </w:r>
      <w:r w:rsidR="00EF54C5" w:rsidRPr="00051F9F">
        <w:rPr>
          <w:rFonts w:cstheme="minorHAnsi"/>
          <w:b/>
          <w:sz w:val="24"/>
          <w:szCs w:val="24"/>
        </w:rPr>
        <w:t>[21].</w:t>
      </w:r>
    </w:p>
    <w:p w:rsidR="006C19C1" w:rsidRPr="00051F9F" w:rsidRDefault="003C39BC" w:rsidP="006C19C1">
      <w:pPr>
        <w:spacing w:line="240" w:lineRule="auto"/>
        <w:ind w:right="-57"/>
        <w:rPr>
          <w:sz w:val="24"/>
          <w:szCs w:val="24"/>
        </w:rPr>
      </w:pPr>
      <w:r>
        <w:rPr>
          <w:sz w:val="24"/>
          <w:szCs w:val="24"/>
        </w:rPr>
        <w:t>« </w:t>
      </w:r>
      <w:r w:rsidR="006C19C1" w:rsidRPr="00051F9F">
        <w:rPr>
          <w:sz w:val="24"/>
          <w:szCs w:val="24"/>
        </w:rPr>
        <w:t>Performing a second ERCP after initial biliary cannulation failure has been considered a therapeutic option, with a success rate of approximately 83.9%, according to a study conducted in China in 2022</w:t>
      </w:r>
      <w:r>
        <w:rPr>
          <w:sz w:val="24"/>
          <w:szCs w:val="24"/>
        </w:rPr>
        <w:t> »</w:t>
      </w:r>
      <w:r w:rsidR="00EF54C5" w:rsidRPr="00051F9F">
        <w:rPr>
          <w:rFonts w:cstheme="minorHAnsi"/>
          <w:b/>
          <w:sz w:val="24"/>
          <w:szCs w:val="24"/>
        </w:rPr>
        <w:t>[22].</w:t>
      </w:r>
    </w:p>
    <w:p w:rsidR="002E1953" w:rsidRPr="00051F9F" w:rsidRDefault="006C19C1" w:rsidP="00EF54C5">
      <w:pPr>
        <w:spacing w:line="240" w:lineRule="auto"/>
        <w:ind w:right="-57"/>
        <w:rPr>
          <w:sz w:val="24"/>
          <w:szCs w:val="24"/>
        </w:rPr>
      </w:pPr>
      <w:r w:rsidRPr="00051F9F">
        <w:rPr>
          <w:sz w:val="24"/>
          <w:szCs w:val="24"/>
        </w:rPr>
        <w:t>In our study, as therapeutic alternatives, the majority of patients underwent surgical bypass and radiological drainage.</w:t>
      </w:r>
    </w:p>
    <w:p w:rsidR="0029159F" w:rsidRPr="00F00B2E" w:rsidRDefault="002E1953" w:rsidP="002E1953">
      <w:pPr>
        <w:pStyle w:val="NormalWeb"/>
        <w:rPr>
          <w:rFonts w:asciiTheme="minorHAnsi" w:hAnsiTheme="minorHAnsi" w:cstheme="minorHAnsi"/>
        </w:rPr>
      </w:pPr>
      <w:r w:rsidRPr="002E1953">
        <w:rPr>
          <w:rFonts w:asciiTheme="minorHAnsi" w:hAnsiTheme="minorHAnsi" w:cstheme="minorHAnsi"/>
          <w:noProof/>
        </w:rPr>
        <w:lastRenderedPageBreak/>
        <w:drawing>
          <wp:inline distT="0" distB="0" distL="0" distR="0">
            <wp:extent cx="2658752" cy="1468800"/>
            <wp:effectExtent l="19050" t="0" r="8248"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662858" cy="1471069"/>
                    </a:xfrm>
                    <a:prstGeom prst="rect">
                      <a:avLst/>
                    </a:prstGeom>
                    <a:noFill/>
                    <a:ln w="9525">
                      <a:noFill/>
                      <a:miter lim="800000"/>
                      <a:headEnd/>
                      <a:tailEnd/>
                    </a:ln>
                  </pic:spPr>
                </pic:pic>
              </a:graphicData>
            </a:graphic>
          </wp:inline>
        </w:drawing>
      </w:r>
      <w:r w:rsidR="000E53EF" w:rsidRPr="000E53EF">
        <w:rPr>
          <w:rFonts w:asciiTheme="minorHAnsi" w:hAnsiTheme="minorHAnsi" w:cstheme="minorHAnsi"/>
          <w:noProof/>
        </w:rPr>
        <w:drawing>
          <wp:inline distT="0" distB="0" distL="0" distR="0">
            <wp:extent cx="2609850" cy="1452260"/>
            <wp:effectExtent l="1905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2621357" cy="1458663"/>
                    </a:xfrm>
                    <a:prstGeom prst="rect">
                      <a:avLst/>
                    </a:prstGeom>
                    <a:noFill/>
                    <a:ln w="9525">
                      <a:noFill/>
                      <a:miter lim="800000"/>
                      <a:headEnd/>
                      <a:tailEnd/>
                    </a:ln>
                  </pic:spPr>
                </pic:pic>
              </a:graphicData>
            </a:graphic>
          </wp:inline>
        </w:drawing>
      </w:r>
    </w:p>
    <w:p w:rsidR="0029159F" w:rsidRDefault="001B048C" w:rsidP="002E1953">
      <w:pPr>
        <w:spacing w:line="240" w:lineRule="auto"/>
        <w:rPr>
          <w:rFonts w:cstheme="minorHAnsi"/>
          <w:b/>
          <w:sz w:val="24"/>
        </w:rPr>
      </w:pPr>
      <w:r>
        <w:rPr>
          <w:b/>
          <w:noProof/>
          <w:lang w:eastAsia="en-US"/>
        </w:rPr>
        <w:pict>
          <v:shape id="_x0000_s1029" type="#_x0000_t202" style="position:absolute;margin-left:.35pt;margin-top:121.7pt;width:283.45pt;height:25.5pt;z-index:251665408;mso-width-relative:margin;mso-height-relative:margin" stroked="f">
            <v:textbox>
              <w:txbxContent>
                <w:p w:rsidR="00EF54C5" w:rsidRDefault="00EF54C5" w:rsidP="00EF54C5">
                  <w:pPr>
                    <w:spacing w:line="240" w:lineRule="auto"/>
                    <w:rPr>
                      <w:b/>
                    </w:rPr>
                  </w:pPr>
                  <w:r w:rsidRPr="000E53EF">
                    <w:rPr>
                      <w:b/>
                    </w:rPr>
                    <w:t xml:space="preserve">Figure </w:t>
                  </w:r>
                  <w:proofErr w:type="gramStart"/>
                  <w:r w:rsidR="00A5639B">
                    <w:rPr>
                      <w:b/>
                    </w:rPr>
                    <w:t>4</w:t>
                  </w:r>
                  <w:r w:rsidRPr="000E53EF">
                    <w:rPr>
                      <w:b/>
                    </w:rPr>
                    <w:t>:</w:t>
                  </w:r>
                  <w:proofErr w:type="gramEnd"/>
                  <w:r w:rsidRPr="000E53EF">
                    <w:rPr>
                      <w:b/>
                    </w:rPr>
                    <w:t xml:space="preserve"> Novel Classification of the Duodenal Papilla.</w:t>
                  </w:r>
                </w:p>
                <w:p w:rsidR="00EF54C5" w:rsidRDefault="00EF54C5"/>
              </w:txbxContent>
            </v:textbox>
          </v:shape>
        </w:pict>
      </w:r>
      <w:r w:rsidR="000E53EF" w:rsidRPr="000E53EF">
        <w:rPr>
          <w:rFonts w:cstheme="minorHAnsi"/>
          <w:b/>
          <w:noProof/>
          <w:sz w:val="24"/>
        </w:rPr>
        <w:drawing>
          <wp:inline distT="0" distB="0" distL="0" distR="0">
            <wp:extent cx="2679082" cy="1466445"/>
            <wp:effectExtent l="19050" t="0" r="6968" b="0"/>
            <wp:docPr id="3"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2681243" cy="1467628"/>
                    </a:xfrm>
                    <a:prstGeom prst="rect">
                      <a:avLst/>
                    </a:prstGeom>
                    <a:noFill/>
                    <a:ln w="9525">
                      <a:noFill/>
                      <a:miter lim="800000"/>
                      <a:headEnd/>
                      <a:tailEnd/>
                    </a:ln>
                  </pic:spPr>
                </pic:pic>
              </a:graphicData>
            </a:graphic>
          </wp:inline>
        </w:drawing>
      </w:r>
      <w:r w:rsidR="002E1953" w:rsidRPr="002E1953">
        <w:rPr>
          <w:rFonts w:cstheme="minorHAnsi"/>
          <w:b/>
          <w:noProof/>
          <w:sz w:val="24"/>
        </w:rPr>
        <w:drawing>
          <wp:inline distT="0" distB="0" distL="0" distR="0">
            <wp:extent cx="2714625" cy="688080"/>
            <wp:effectExtent l="19050" t="0" r="9525" b="0"/>
            <wp:docPr id="12"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a:stretch>
                      <a:fillRect/>
                    </a:stretch>
                  </pic:blipFill>
                  <pic:spPr bwMode="auto">
                    <a:xfrm>
                      <a:off x="0" y="0"/>
                      <a:ext cx="2718066" cy="688952"/>
                    </a:xfrm>
                    <a:prstGeom prst="rect">
                      <a:avLst/>
                    </a:prstGeom>
                    <a:noFill/>
                    <a:ln w="9525">
                      <a:noFill/>
                      <a:miter lim="800000"/>
                      <a:headEnd/>
                      <a:tailEnd/>
                    </a:ln>
                  </pic:spPr>
                </pic:pic>
              </a:graphicData>
            </a:graphic>
          </wp:inline>
        </w:drawing>
      </w:r>
    </w:p>
    <w:p w:rsidR="000E53EF" w:rsidRDefault="000E53EF" w:rsidP="002E1953">
      <w:pPr>
        <w:spacing w:line="240" w:lineRule="auto"/>
        <w:rPr>
          <w:b/>
        </w:rPr>
      </w:pPr>
    </w:p>
    <w:p w:rsidR="000E53EF" w:rsidRDefault="000E53EF" w:rsidP="000E53EF">
      <w:pPr>
        <w:spacing w:after="0" w:line="360" w:lineRule="auto"/>
        <w:rPr>
          <w:sz w:val="24"/>
        </w:rPr>
      </w:pPr>
      <w:proofErr w:type="gramStart"/>
      <w:r w:rsidRPr="00051F9F">
        <w:rPr>
          <w:rStyle w:val="Strong"/>
          <w:sz w:val="28"/>
        </w:rPr>
        <w:t>Conclusion:</w:t>
      </w:r>
      <w:proofErr w:type="gramEnd"/>
      <w:r>
        <w:br/>
      </w:r>
      <w:r w:rsidRPr="00051F9F">
        <w:rPr>
          <w:sz w:val="24"/>
        </w:rPr>
        <w:t>The position and morphology of the duodenal papilla, as well as the presence of an impacted stone in the distal common bile duct, determine the risk of biliary cannulation failure.</w:t>
      </w:r>
      <w:r w:rsidRPr="00051F9F">
        <w:rPr>
          <w:sz w:val="24"/>
        </w:rPr>
        <w:br/>
        <w:t>The use of sphincterotomy alone, septotomy, and precut sphincterotomy can help reduce this risk.</w:t>
      </w:r>
    </w:p>
    <w:p w:rsidR="00A56FD3" w:rsidRDefault="00A56FD3" w:rsidP="00A56FD3">
      <w:pPr>
        <w:spacing w:after="0" w:line="360" w:lineRule="auto"/>
      </w:pPr>
      <w:r>
        <w:t xml:space="preserve">Consent </w:t>
      </w:r>
    </w:p>
    <w:p w:rsidR="000E53EF" w:rsidRDefault="00A56FD3" w:rsidP="00A56FD3">
      <w:pPr>
        <w:spacing w:after="0" w:line="360" w:lineRule="auto"/>
      </w:pPr>
      <w:r>
        <w:t>As per international standards or university standards, patient(s) written consent has been collected and preserved by the author(s).</w:t>
      </w:r>
      <w:bookmarkStart w:id="1" w:name="_GoBack"/>
      <w:bookmarkEnd w:id="1"/>
    </w:p>
    <w:p w:rsidR="00BB37E7" w:rsidRDefault="00BB37E7" w:rsidP="000E53EF">
      <w:pPr>
        <w:spacing w:after="0" w:line="360" w:lineRule="auto"/>
      </w:pPr>
    </w:p>
    <w:p w:rsidR="00BB37E7" w:rsidRPr="00270720" w:rsidRDefault="00BB37E7" w:rsidP="00BB37E7">
      <w:pPr>
        <w:rPr>
          <w:highlight w:val="yellow"/>
        </w:rPr>
      </w:pPr>
      <w:r w:rsidRPr="00270720">
        <w:rPr>
          <w:highlight w:val="yellow"/>
        </w:rPr>
        <w:t>Disclaimer (Artificial intelligence)</w:t>
      </w:r>
    </w:p>
    <w:p w:rsidR="00BB37E7" w:rsidRPr="00270720" w:rsidRDefault="00BB37E7" w:rsidP="00BB37E7">
      <w:pPr>
        <w:rPr>
          <w:highlight w:val="yellow"/>
        </w:rPr>
      </w:pPr>
    </w:p>
    <w:p w:rsidR="00BB37E7" w:rsidRPr="00270720" w:rsidRDefault="00BB37E7" w:rsidP="00BB37E7">
      <w:pPr>
        <w:rPr>
          <w:highlight w:val="yellow"/>
        </w:rPr>
      </w:pPr>
      <w:r w:rsidRPr="00270720">
        <w:rPr>
          <w:highlight w:val="yellow"/>
        </w:rPr>
        <w:t xml:space="preserve">Option </w:t>
      </w:r>
      <w:proofErr w:type="gramStart"/>
      <w:r w:rsidRPr="00270720">
        <w:rPr>
          <w:highlight w:val="yellow"/>
        </w:rPr>
        <w:t>1:</w:t>
      </w:r>
      <w:proofErr w:type="gramEnd"/>
      <w:r w:rsidRPr="00270720">
        <w:rPr>
          <w:highlight w:val="yellow"/>
        </w:rPr>
        <w:t xml:space="preserve"> </w:t>
      </w:r>
    </w:p>
    <w:p w:rsidR="00BB37E7" w:rsidRPr="00270720" w:rsidRDefault="00BB37E7" w:rsidP="00BB37E7">
      <w:pPr>
        <w:rPr>
          <w:highlight w:val="yellow"/>
        </w:rPr>
      </w:pPr>
    </w:p>
    <w:p w:rsidR="00BB37E7" w:rsidRPr="00270720" w:rsidRDefault="00BB37E7" w:rsidP="00BB37E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BB37E7" w:rsidRPr="00270720" w:rsidRDefault="00BB37E7" w:rsidP="00BB37E7">
      <w:pPr>
        <w:rPr>
          <w:highlight w:val="yellow"/>
        </w:rPr>
      </w:pPr>
    </w:p>
    <w:p w:rsidR="00BB37E7" w:rsidRPr="00270720" w:rsidRDefault="00BB37E7" w:rsidP="00BB37E7">
      <w:pPr>
        <w:rPr>
          <w:highlight w:val="yellow"/>
        </w:rPr>
      </w:pPr>
      <w:r w:rsidRPr="00270720">
        <w:rPr>
          <w:highlight w:val="yellow"/>
        </w:rPr>
        <w:t xml:space="preserve">Option </w:t>
      </w:r>
      <w:proofErr w:type="gramStart"/>
      <w:r w:rsidRPr="00270720">
        <w:rPr>
          <w:highlight w:val="yellow"/>
        </w:rPr>
        <w:t>2:</w:t>
      </w:r>
      <w:proofErr w:type="gramEnd"/>
      <w:r w:rsidRPr="00270720">
        <w:rPr>
          <w:highlight w:val="yellow"/>
        </w:rPr>
        <w:t xml:space="preserve"> </w:t>
      </w:r>
    </w:p>
    <w:p w:rsidR="00BB37E7" w:rsidRPr="00270720" w:rsidRDefault="00BB37E7" w:rsidP="00BB37E7">
      <w:pPr>
        <w:rPr>
          <w:highlight w:val="yellow"/>
        </w:rPr>
      </w:pPr>
    </w:p>
    <w:p w:rsidR="00BB37E7" w:rsidRPr="00270720" w:rsidRDefault="00BB37E7" w:rsidP="00BB37E7">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B37E7" w:rsidRPr="00270720" w:rsidRDefault="00BB37E7" w:rsidP="00BB37E7">
      <w:pPr>
        <w:rPr>
          <w:highlight w:val="yellow"/>
        </w:rPr>
      </w:pPr>
    </w:p>
    <w:p w:rsidR="00BB37E7" w:rsidRPr="00270720" w:rsidRDefault="00BB37E7" w:rsidP="00BB37E7">
      <w:pPr>
        <w:rPr>
          <w:highlight w:val="yellow"/>
        </w:rPr>
      </w:pPr>
      <w:r w:rsidRPr="00270720">
        <w:rPr>
          <w:highlight w:val="yellow"/>
        </w:rPr>
        <w:t xml:space="preserve">Details of the AI usage are given </w:t>
      </w:r>
      <w:proofErr w:type="gramStart"/>
      <w:r w:rsidRPr="00270720">
        <w:rPr>
          <w:highlight w:val="yellow"/>
        </w:rPr>
        <w:t>below:</w:t>
      </w:r>
      <w:proofErr w:type="gramEnd"/>
    </w:p>
    <w:p w:rsidR="00BB37E7" w:rsidRPr="00270720" w:rsidRDefault="00BB37E7" w:rsidP="00BB37E7">
      <w:pPr>
        <w:rPr>
          <w:highlight w:val="yellow"/>
        </w:rPr>
      </w:pPr>
      <w:r w:rsidRPr="00270720">
        <w:rPr>
          <w:highlight w:val="yellow"/>
        </w:rPr>
        <w:t>1.</w:t>
      </w:r>
    </w:p>
    <w:p w:rsidR="00BB37E7" w:rsidRPr="00270720" w:rsidRDefault="00BB37E7" w:rsidP="00BB37E7">
      <w:pPr>
        <w:rPr>
          <w:highlight w:val="yellow"/>
        </w:rPr>
      </w:pPr>
      <w:r w:rsidRPr="00270720">
        <w:rPr>
          <w:highlight w:val="yellow"/>
        </w:rPr>
        <w:t>2.</w:t>
      </w:r>
    </w:p>
    <w:p w:rsidR="00BB37E7" w:rsidRPr="00270720" w:rsidRDefault="00BB37E7" w:rsidP="00BB37E7">
      <w:r w:rsidRPr="00270720">
        <w:rPr>
          <w:highlight w:val="yellow"/>
        </w:rPr>
        <w:t>3.</w:t>
      </w:r>
    </w:p>
    <w:p w:rsidR="00BB37E7" w:rsidRDefault="00BB37E7" w:rsidP="000E53EF">
      <w:pPr>
        <w:spacing w:after="0" w:line="360" w:lineRule="auto"/>
      </w:pPr>
    </w:p>
    <w:p w:rsidR="00FC7D61" w:rsidRPr="00EF54C5" w:rsidRDefault="00FC7D61" w:rsidP="00FC7D61">
      <w:pPr>
        <w:rPr>
          <w:b/>
        </w:rPr>
      </w:pPr>
      <w:r w:rsidRPr="00EF54C5">
        <w:rPr>
          <w:b/>
        </w:rPr>
        <w:t>Reference :</w:t>
      </w:r>
    </w:p>
    <w:p w:rsidR="00FC7D61" w:rsidRPr="00FC7D61" w:rsidRDefault="00FC7D61" w:rsidP="00FC7D61">
      <w:pPr>
        <w:spacing w:line="240" w:lineRule="auto"/>
        <w:ind w:right="-57"/>
        <w:rPr>
          <w:rFonts w:cstheme="minorHAnsi"/>
        </w:rPr>
      </w:pPr>
      <w:r w:rsidRPr="00FC7D61">
        <w:rPr>
          <w:rFonts w:cstheme="minorHAnsi"/>
        </w:rPr>
        <w:t xml:space="preserve">1. Cheng CL, Tsou YK, Lin CH, Tang JH, Hung CF, Sung KF, et al. Poorly expandable common bile duct with stones on endoscopic retrograde cholangiography. World J Gastroenterol </w:t>
      </w:r>
      <w:proofErr w:type="gramStart"/>
      <w:r w:rsidRPr="00FC7D61">
        <w:rPr>
          <w:rFonts w:cstheme="minorHAnsi"/>
        </w:rPr>
        <w:t>2012;</w:t>
      </w:r>
      <w:proofErr w:type="gramEnd"/>
      <w:r w:rsidRPr="00FC7D61">
        <w:rPr>
          <w:rFonts w:cstheme="minorHAnsi"/>
        </w:rPr>
        <w:t>18:2396 401.</w:t>
      </w:r>
    </w:p>
    <w:p w:rsidR="00FC7D61" w:rsidRPr="00FC7D61" w:rsidRDefault="00FC7D61" w:rsidP="00FC7D61">
      <w:pPr>
        <w:spacing w:line="240" w:lineRule="auto"/>
        <w:ind w:right="-57"/>
        <w:rPr>
          <w:rFonts w:cstheme="minorHAnsi"/>
        </w:rPr>
      </w:pPr>
      <w:r w:rsidRPr="00FC7D61">
        <w:rPr>
          <w:rFonts w:cstheme="minorHAnsi"/>
        </w:rPr>
        <w:t xml:space="preserve">2. Aljebreen AM, Alharbi OR, Azzam N, Almadi MA. Efficacy of spyglass guided electrohydraulic lithotripsy in difficult bile duct stones. Saudi J Gastroenterol </w:t>
      </w:r>
      <w:proofErr w:type="gramStart"/>
      <w:r w:rsidRPr="00FC7D61">
        <w:rPr>
          <w:rFonts w:cstheme="minorHAnsi"/>
        </w:rPr>
        <w:t>2014;</w:t>
      </w:r>
      <w:proofErr w:type="gramEnd"/>
      <w:r w:rsidRPr="00FC7D61">
        <w:rPr>
          <w:rFonts w:cstheme="minorHAnsi"/>
        </w:rPr>
        <w:t>20:366 70.</w:t>
      </w:r>
    </w:p>
    <w:p w:rsidR="00FC7D61" w:rsidRPr="00FC7D61" w:rsidRDefault="00FC7D61" w:rsidP="00FC7D61">
      <w:pPr>
        <w:spacing w:line="240" w:lineRule="auto"/>
        <w:ind w:right="-57"/>
        <w:rPr>
          <w:rFonts w:cstheme="minorHAnsi"/>
        </w:rPr>
      </w:pPr>
      <w:r w:rsidRPr="00FC7D61">
        <w:rPr>
          <w:rFonts w:cstheme="minorHAnsi"/>
        </w:rPr>
        <w:t xml:space="preserve">3. </w:t>
      </w:r>
      <w:r w:rsidRPr="00FC7D61">
        <w:t>Y.W. Yoo, S.W. Cha, W.C. Lee, S.H. Kim, A. Kim, Y.D. Cho, Double guidewire technique vs transpancreatic precut sphincterotomy in difficult biliary cannulation, World J. Gastroenterol. 19 (1) (2013) 108–114.</w:t>
      </w:r>
    </w:p>
    <w:p w:rsidR="00FC7D61" w:rsidRPr="00FC7D61" w:rsidRDefault="00FC7D61" w:rsidP="00FC7D61">
      <w:pPr>
        <w:spacing w:line="240" w:lineRule="auto"/>
        <w:ind w:right="-57"/>
        <w:rPr>
          <w:rFonts w:cstheme="minorHAnsi"/>
        </w:rPr>
      </w:pPr>
      <w:r w:rsidRPr="00FC7D61">
        <w:rPr>
          <w:rFonts w:cstheme="minorHAnsi"/>
        </w:rPr>
        <w:t xml:space="preserve">4. </w:t>
      </w:r>
      <w:r w:rsidRPr="00FC7D61">
        <w:t xml:space="preserve">N. Shahidi, G. Ou, J. Telford, R. Enns, When trainees reach competency in performing </w:t>
      </w:r>
      <w:proofErr w:type="gramStart"/>
      <w:r w:rsidRPr="00FC7D61">
        <w:t>ERCP:</w:t>
      </w:r>
      <w:proofErr w:type="gramEnd"/>
      <w:r w:rsidRPr="00FC7D61">
        <w:t xml:space="preserve"> a systematic review, Gastrointest. Endosc. 81 (6) (2015) 1337–1342.</w:t>
      </w:r>
    </w:p>
    <w:p w:rsidR="00FC7D61" w:rsidRPr="00FC7D61" w:rsidRDefault="00FC7D61" w:rsidP="00FC7D61">
      <w:pPr>
        <w:spacing w:line="240" w:lineRule="auto"/>
        <w:ind w:right="-57"/>
        <w:rPr>
          <w:rFonts w:cstheme="minorHAnsi"/>
        </w:rPr>
      </w:pPr>
      <w:r w:rsidRPr="00777040">
        <w:rPr>
          <w:rFonts w:cstheme="minorHAnsi"/>
          <w:highlight w:val="red"/>
        </w:rPr>
        <w:t xml:space="preserve">5. </w:t>
      </w:r>
      <w:r w:rsidR="0072193F">
        <w:rPr>
          <w:rFonts w:ascii="Arial" w:hAnsi="Arial" w:cs="Arial"/>
          <w:color w:val="222222"/>
          <w:sz w:val="20"/>
          <w:szCs w:val="20"/>
          <w:shd w:val="clear" w:color="auto" w:fill="FFFFFF"/>
        </w:rPr>
        <w:t xml:space="preserve">Testoni, P. A., Mariani, A., Aabakken, L., Arvanitakis, M., Bories, E., Costamagna, G., ... &amp; Williams, E. J. (2016). Papillary cannulation and sphincterotomy techniques at </w:t>
      </w:r>
      <w:proofErr w:type="gramStart"/>
      <w:r w:rsidR="0072193F">
        <w:rPr>
          <w:rFonts w:ascii="Arial" w:hAnsi="Arial" w:cs="Arial"/>
          <w:color w:val="222222"/>
          <w:sz w:val="20"/>
          <w:szCs w:val="20"/>
          <w:shd w:val="clear" w:color="auto" w:fill="FFFFFF"/>
        </w:rPr>
        <w:t>ERCP:</w:t>
      </w:r>
      <w:proofErr w:type="gramEnd"/>
      <w:r w:rsidR="0072193F">
        <w:rPr>
          <w:rFonts w:ascii="Arial" w:hAnsi="Arial" w:cs="Arial"/>
          <w:color w:val="222222"/>
          <w:sz w:val="20"/>
          <w:szCs w:val="20"/>
          <w:shd w:val="clear" w:color="auto" w:fill="FFFFFF"/>
        </w:rPr>
        <w:t xml:space="preserve"> European Society of Gastrointestinal Endoscopy (ESGE) clinical guideline. </w:t>
      </w:r>
      <w:r w:rsidR="0072193F">
        <w:rPr>
          <w:rFonts w:ascii="Arial" w:hAnsi="Arial" w:cs="Arial"/>
          <w:i/>
          <w:iCs/>
          <w:color w:val="222222"/>
          <w:sz w:val="20"/>
          <w:szCs w:val="20"/>
          <w:shd w:val="clear" w:color="auto" w:fill="FFFFFF"/>
        </w:rPr>
        <w:t>Endoscopy</w:t>
      </w:r>
      <w:r w:rsidR="0072193F">
        <w:rPr>
          <w:rFonts w:ascii="Arial" w:hAnsi="Arial" w:cs="Arial"/>
          <w:color w:val="222222"/>
          <w:sz w:val="20"/>
          <w:szCs w:val="20"/>
          <w:shd w:val="clear" w:color="auto" w:fill="FFFFFF"/>
        </w:rPr>
        <w:t>, </w:t>
      </w:r>
      <w:r w:rsidR="0072193F">
        <w:rPr>
          <w:rFonts w:ascii="Arial" w:hAnsi="Arial" w:cs="Arial"/>
          <w:i/>
          <w:iCs/>
          <w:color w:val="222222"/>
          <w:sz w:val="20"/>
          <w:szCs w:val="20"/>
          <w:shd w:val="clear" w:color="auto" w:fill="FFFFFF"/>
        </w:rPr>
        <w:t>48</w:t>
      </w:r>
      <w:r w:rsidR="0072193F">
        <w:rPr>
          <w:rFonts w:ascii="Arial" w:hAnsi="Arial" w:cs="Arial"/>
          <w:color w:val="222222"/>
          <w:sz w:val="20"/>
          <w:szCs w:val="20"/>
          <w:shd w:val="clear" w:color="auto" w:fill="FFFFFF"/>
        </w:rPr>
        <w:t>(07), 657-683.</w:t>
      </w:r>
    </w:p>
    <w:p w:rsidR="00FC7D61" w:rsidRPr="00FC7D61" w:rsidRDefault="00FC7D61" w:rsidP="00FC7D61">
      <w:pPr>
        <w:spacing w:line="240" w:lineRule="auto"/>
        <w:ind w:right="-57"/>
        <w:rPr>
          <w:rFonts w:cstheme="minorHAnsi"/>
        </w:rPr>
      </w:pPr>
      <w:r w:rsidRPr="00FC7D61">
        <w:rPr>
          <w:rFonts w:cstheme="minorHAnsi"/>
        </w:rPr>
        <w:t xml:space="preserve">6. Failed biliary </w:t>
      </w:r>
      <w:proofErr w:type="gramStart"/>
      <w:r w:rsidRPr="00FC7D61">
        <w:rPr>
          <w:rFonts w:cstheme="minorHAnsi"/>
        </w:rPr>
        <w:t>ERCP:</w:t>
      </w:r>
      <w:proofErr w:type="gramEnd"/>
      <w:r w:rsidRPr="00FC7D61">
        <w:rPr>
          <w:rFonts w:cstheme="minorHAnsi"/>
        </w:rPr>
        <w:t xml:space="preserve"> A Prospective Multicenter Study of Risk Factors, Complications, and Resource Utilization. Gastrointestinal Endoscopy. </w:t>
      </w:r>
      <w:proofErr w:type="gramStart"/>
      <w:r w:rsidRPr="00FC7D61">
        <w:rPr>
          <w:rFonts w:cstheme="minorHAnsi"/>
        </w:rPr>
        <w:t>2004;</w:t>
      </w:r>
      <w:proofErr w:type="gramEnd"/>
      <w:r w:rsidRPr="00FC7D61">
        <w:rPr>
          <w:rFonts w:cstheme="minorHAnsi"/>
        </w:rPr>
        <w:t>60(6):1035-1041.</w:t>
      </w:r>
    </w:p>
    <w:p w:rsidR="00FC7D61" w:rsidRPr="00FC7D61" w:rsidRDefault="00FC7D61" w:rsidP="00FC7D61">
      <w:pPr>
        <w:spacing w:line="240" w:lineRule="auto"/>
        <w:ind w:right="-57"/>
        <w:rPr>
          <w:rFonts w:cstheme="minorHAnsi"/>
        </w:rPr>
      </w:pPr>
      <w:r w:rsidRPr="00FC7D61">
        <w:rPr>
          <w:rFonts w:cstheme="minorHAnsi"/>
        </w:rPr>
        <w:t xml:space="preserve">7. Bakman, Y.G., Freeman, M.L. Difficult biliary access at ERCP. Gastrointest. Endosc. Clin. N Am. </w:t>
      </w:r>
      <w:proofErr w:type="gramStart"/>
      <w:r w:rsidRPr="00FC7D61">
        <w:rPr>
          <w:rFonts w:cstheme="minorHAnsi"/>
        </w:rPr>
        <w:t>2013;</w:t>
      </w:r>
      <w:proofErr w:type="gramEnd"/>
      <w:r w:rsidRPr="00FC7D61">
        <w:rPr>
          <w:rFonts w:cstheme="minorHAnsi"/>
        </w:rPr>
        <w:t xml:space="preserve">23(2):219–236. </w:t>
      </w:r>
      <w:proofErr w:type="gramStart"/>
      <w:r w:rsidRPr="00FC7D61">
        <w:rPr>
          <w:rFonts w:cstheme="minorHAnsi"/>
        </w:rPr>
        <w:t>DOI:</w:t>
      </w:r>
      <w:proofErr w:type="gramEnd"/>
      <w:r w:rsidRPr="00FC7D61">
        <w:rPr>
          <w:rFonts w:cstheme="minorHAnsi"/>
        </w:rPr>
        <w:t xml:space="preserve"> 10.1016/j.giec.2012.12.012.</w:t>
      </w:r>
    </w:p>
    <w:p w:rsidR="00FC7D61" w:rsidRPr="00FC7D61" w:rsidRDefault="00FC7D61" w:rsidP="00FC7D61">
      <w:pPr>
        <w:spacing w:line="240" w:lineRule="auto"/>
        <w:ind w:right="-57"/>
        <w:rPr>
          <w:rFonts w:cstheme="minorHAnsi"/>
        </w:rPr>
      </w:pPr>
      <w:r w:rsidRPr="00FC7D61">
        <w:rPr>
          <w:rFonts w:cstheme="minorHAnsi"/>
        </w:rPr>
        <w:t xml:space="preserve">8. </w:t>
      </w:r>
      <w:r w:rsidRPr="00FC7D61">
        <w:t xml:space="preserve">E.J. Williams, R. Ogollah, P. Thomas, R.F. Logan, D. Martin, M.L. Wilkinson, et al., What predicts failed cannulation and therapy at </w:t>
      </w:r>
      <w:proofErr w:type="gramStart"/>
      <w:r w:rsidRPr="00FC7D61">
        <w:t>ERCP?</w:t>
      </w:r>
      <w:proofErr w:type="gramEnd"/>
      <w:r w:rsidRPr="00FC7D61">
        <w:t xml:space="preserve"> results of a large-scale multicenter analysis, Endoscopy 44 (7) (2012) 674–683.</w:t>
      </w:r>
    </w:p>
    <w:p w:rsidR="00FC7D61" w:rsidRPr="00FC7D61" w:rsidRDefault="00FC7D61" w:rsidP="00FC7D61">
      <w:pPr>
        <w:spacing w:line="240" w:lineRule="auto"/>
        <w:ind w:right="-57"/>
        <w:rPr>
          <w:rFonts w:cstheme="minorHAnsi"/>
        </w:rPr>
      </w:pPr>
      <w:r w:rsidRPr="00FC7D61">
        <w:rPr>
          <w:rFonts w:cstheme="minorHAnsi"/>
        </w:rPr>
        <w:t xml:space="preserve">9. </w:t>
      </w:r>
      <w:r w:rsidRPr="00FC7D61">
        <w:t xml:space="preserve">D. Caceres Escobar, O.M. Mu~noz Velandia, R. Vargas Rubio, Factors associated with difficult biliary cannulation in </w:t>
      </w:r>
      <w:proofErr w:type="gramStart"/>
      <w:r w:rsidRPr="00FC7D61">
        <w:t>a</w:t>
      </w:r>
      <w:proofErr w:type="gramEnd"/>
      <w:r w:rsidRPr="00FC7D61">
        <w:t xml:space="preserve"> training center for endoscopic intervention of the biliary tract, Arq. Gastroenterol. 59 (1) (2022) 29–34.</w:t>
      </w:r>
    </w:p>
    <w:p w:rsidR="00FC7D61" w:rsidRPr="00FC7D61" w:rsidRDefault="00FC7D61" w:rsidP="00FC7D61">
      <w:pPr>
        <w:spacing w:line="240" w:lineRule="auto"/>
        <w:ind w:right="-57"/>
        <w:rPr>
          <w:rFonts w:cstheme="minorHAnsi"/>
        </w:rPr>
      </w:pPr>
      <w:r w:rsidRPr="00FC7D61">
        <w:rPr>
          <w:rFonts w:cstheme="minorHAnsi"/>
        </w:rPr>
        <w:t xml:space="preserve">10. Saito H, Kadono Y, Shono T, Kamikawa K, Urata A, Nasu J, Imamura H, Matsushita I, Kakuma T, Tada S. Factors Predicting Difficult Biliary Cannulation During Endoscopic Retrograde Cholangiopancreatography for Common Bile Duct Stones. Clinical Endoscopy. </w:t>
      </w:r>
      <w:proofErr w:type="gramStart"/>
      <w:r w:rsidRPr="00FC7D61">
        <w:rPr>
          <w:rFonts w:cstheme="minorHAnsi"/>
        </w:rPr>
        <w:t>2022;</w:t>
      </w:r>
      <w:proofErr w:type="gramEnd"/>
      <w:r w:rsidRPr="00FC7D61">
        <w:rPr>
          <w:rFonts w:cstheme="minorHAnsi"/>
        </w:rPr>
        <w:t>55(2):263–269.</w:t>
      </w:r>
    </w:p>
    <w:p w:rsidR="00FC7D61" w:rsidRPr="00FC7D61" w:rsidRDefault="00FC7D61" w:rsidP="00FC7D61">
      <w:pPr>
        <w:spacing w:line="240" w:lineRule="auto"/>
        <w:ind w:right="-57"/>
        <w:rPr>
          <w:rFonts w:cstheme="minorHAnsi"/>
        </w:rPr>
      </w:pPr>
      <w:r w:rsidRPr="00FC7D61">
        <w:rPr>
          <w:rFonts w:cstheme="minorHAnsi"/>
        </w:rPr>
        <w:lastRenderedPageBreak/>
        <w:t xml:space="preserve">11. Dumonceau JM, Tringali A, Blero D, et al. Biliary </w:t>
      </w:r>
      <w:proofErr w:type="gramStart"/>
      <w:r w:rsidRPr="00FC7D61">
        <w:rPr>
          <w:rFonts w:cstheme="minorHAnsi"/>
        </w:rPr>
        <w:t>stenting:</w:t>
      </w:r>
      <w:proofErr w:type="gramEnd"/>
      <w:r w:rsidRPr="00FC7D61">
        <w:rPr>
          <w:rFonts w:cstheme="minorHAnsi"/>
        </w:rPr>
        <w:t xml:space="preserve"> indications, choice of stents and results: European Society of GastrointestinalEndoscopy (ESGE) clinical guideline. Endoscopy. </w:t>
      </w:r>
      <w:proofErr w:type="gramStart"/>
      <w:r w:rsidRPr="00FC7D61">
        <w:rPr>
          <w:rFonts w:cstheme="minorHAnsi"/>
        </w:rPr>
        <w:t>2012;</w:t>
      </w:r>
      <w:proofErr w:type="gramEnd"/>
      <w:r w:rsidRPr="00FC7D61">
        <w:rPr>
          <w:rFonts w:cstheme="minorHAnsi"/>
        </w:rPr>
        <w:t xml:space="preserve"> 44:277-98.</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12. Rey JF, Dumas R, Canard JM, et al., Recommendation of the French Society of Digestive </w:t>
      </w:r>
      <w:proofErr w:type="gramStart"/>
      <w:r w:rsidRPr="00FC7D61">
        <w:rPr>
          <w:rFonts w:cstheme="minorHAnsi"/>
          <w:shd w:val="clear" w:color="auto" w:fill="FFFFFF"/>
        </w:rPr>
        <w:t>Endoscopy:</w:t>
      </w:r>
      <w:proofErr w:type="gramEnd"/>
      <w:r w:rsidRPr="00FC7D61">
        <w:rPr>
          <w:rFonts w:cstheme="minorHAnsi"/>
          <w:shd w:val="clear" w:color="auto" w:fill="FFFFFF"/>
        </w:rPr>
        <w:t xml:space="preserve"> Biliary Prostheses. Endoscopy. </w:t>
      </w:r>
      <w:proofErr w:type="gramStart"/>
      <w:r w:rsidRPr="00FC7D61">
        <w:rPr>
          <w:rFonts w:cstheme="minorHAnsi"/>
          <w:shd w:val="clear" w:color="auto" w:fill="FFFFFF"/>
        </w:rPr>
        <w:t>2002;</w:t>
      </w:r>
      <w:proofErr w:type="gramEnd"/>
      <w:r w:rsidRPr="00FC7D61">
        <w:rPr>
          <w:rFonts w:cstheme="minorHAnsi"/>
          <w:shd w:val="clear" w:color="auto" w:fill="FFFFFF"/>
        </w:rPr>
        <w:t xml:space="preserve"> 34: 181–185.</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13. Haraldsson E., Lundell L., Swahn F., Enochsson L., Löhr J., Arnelo U. Endoscopic classification of the papilla of Vater. Results of an inter- and intra-observer agreement study. Unit. Eur. Gastroenterol. J. </w:t>
      </w:r>
      <w:proofErr w:type="gramStart"/>
      <w:r w:rsidRPr="00FC7D61">
        <w:rPr>
          <w:rFonts w:cstheme="minorHAnsi"/>
          <w:shd w:val="clear" w:color="auto" w:fill="FFFFFF"/>
        </w:rPr>
        <w:t>2017;</w:t>
      </w:r>
      <w:proofErr w:type="gramEnd"/>
      <w:r w:rsidRPr="00FC7D61">
        <w:rPr>
          <w:rFonts w:cstheme="minorHAnsi"/>
          <w:shd w:val="clear" w:color="auto" w:fill="FFFFFF"/>
        </w:rPr>
        <w:t xml:space="preserve"> 5(4):504–510. </w:t>
      </w:r>
      <w:proofErr w:type="gramStart"/>
      <w:r w:rsidRPr="00FC7D61">
        <w:rPr>
          <w:rFonts w:cstheme="minorHAnsi"/>
          <w:shd w:val="clear" w:color="auto" w:fill="FFFFFF"/>
        </w:rPr>
        <w:t>DOI:</w:t>
      </w:r>
      <w:proofErr w:type="gramEnd"/>
      <w:r w:rsidRPr="00FC7D61">
        <w:rPr>
          <w:rFonts w:cstheme="minorHAnsi"/>
          <w:shd w:val="clear" w:color="auto" w:fill="FFFFFF"/>
        </w:rPr>
        <w:t xml:space="preserve"> 10.1177/2050640616674837].</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14. Haraldsson E., Kylänpää L., Grönroos J.M., Saarela A., Toth E., Qvigstad G. Macroscopic appearance of the major duodenal papilla influences bile duct </w:t>
      </w:r>
      <w:proofErr w:type="gramStart"/>
      <w:r w:rsidRPr="00FC7D61">
        <w:rPr>
          <w:rFonts w:cstheme="minorHAnsi"/>
          <w:shd w:val="clear" w:color="auto" w:fill="FFFFFF"/>
        </w:rPr>
        <w:t>cannulation:</w:t>
      </w:r>
      <w:proofErr w:type="gramEnd"/>
      <w:r w:rsidRPr="00FC7D61">
        <w:rPr>
          <w:rFonts w:cstheme="minorHAnsi"/>
          <w:shd w:val="clear" w:color="auto" w:fill="FFFFFF"/>
        </w:rPr>
        <w:t xml:space="preserve"> a prospective multicenter study by the Scandinavian Association for Gastrointestinal Endoscopy for ERCP Study Group. Gastrointest. Endosc. </w:t>
      </w:r>
      <w:proofErr w:type="gramStart"/>
      <w:r w:rsidRPr="00FC7D61">
        <w:rPr>
          <w:rFonts w:cstheme="minorHAnsi"/>
          <w:shd w:val="clear" w:color="auto" w:fill="FFFFFF"/>
        </w:rPr>
        <w:t>2019;</w:t>
      </w:r>
      <w:proofErr w:type="gramEnd"/>
      <w:r w:rsidRPr="00FC7D61">
        <w:rPr>
          <w:rFonts w:cstheme="minorHAnsi"/>
          <w:shd w:val="clear" w:color="auto" w:fill="FFFFFF"/>
        </w:rPr>
        <w:t xml:space="preserve">90(6):957–963. </w:t>
      </w:r>
      <w:proofErr w:type="gramStart"/>
      <w:r w:rsidRPr="00FC7D61">
        <w:rPr>
          <w:rFonts w:cstheme="minorHAnsi"/>
          <w:shd w:val="clear" w:color="auto" w:fill="FFFFFF"/>
        </w:rPr>
        <w:t>DOI:</w:t>
      </w:r>
      <w:proofErr w:type="gramEnd"/>
      <w:r w:rsidRPr="00FC7D61">
        <w:rPr>
          <w:rFonts w:cstheme="minorHAnsi"/>
          <w:shd w:val="clear" w:color="auto" w:fill="FFFFFF"/>
        </w:rPr>
        <w:t xml:space="preserve"> 10.1016/j.gie.2019.07.014.].</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15. Almadi M., Eltayeb M., Thaniah S., Alrashed F., Aljebreen M., Alharbi O. Predictors of failure of endoscopic retrograde cholangiography in gallstone removal during the initial procedure. Saudi J. Gastroenterol. </w:t>
      </w:r>
      <w:proofErr w:type="gramStart"/>
      <w:r w:rsidRPr="00FC7D61">
        <w:rPr>
          <w:rFonts w:cstheme="minorHAnsi"/>
          <w:shd w:val="clear" w:color="auto" w:fill="FFFFFF"/>
        </w:rPr>
        <w:t>2019;</w:t>
      </w:r>
      <w:proofErr w:type="gramEnd"/>
      <w:r w:rsidRPr="00FC7D61">
        <w:rPr>
          <w:rFonts w:cstheme="minorHAnsi"/>
          <w:shd w:val="clear" w:color="auto" w:fill="FFFFFF"/>
        </w:rPr>
        <w:t xml:space="preserve"> 25(2):132. </w:t>
      </w:r>
      <w:proofErr w:type="gramStart"/>
      <w:r w:rsidRPr="00FC7D61">
        <w:rPr>
          <w:rFonts w:cstheme="minorHAnsi"/>
          <w:shd w:val="clear" w:color="auto" w:fill="FFFFFF"/>
        </w:rPr>
        <w:t>DOI:</w:t>
      </w:r>
      <w:proofErr w:type="gramEnd"/>
      <w:r w:rsidRPr="00FC7D61">
        <w:rPr>
          <w:rFonts w:cstheme="minorHAnsi"/>
          <w:shd w:val="clear" w:color="auto" w:fill="FFFFFF"/>
        </w:rPr>
        <w:t xml:space="preserve"> 10.4103/SJG. SJG_304_18.</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16. </w:t>
      </w:r>
      <w:r w:rsidRPr="00FC7D61">
        <w:t>J. Halttunen, S. Meisner, L. Aabakken, U. Arnelo, J. Gr€ onroos, T. Hauge, et al., Difficult cannulation as defined by a prospective study of the scandinavian association for digestive endoscopy (SADE) in 907 ERCPs, Scand. J. Gastroenterol. 49 (6) (2014) 752–758.</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17. Kim H.J., Choi H.S., Park J.H., Park D.I., Cho Y.K., Sohn C.I. Factors influencing the technical difficulty of endoscopic gallstone removal. Gastrointest. Endosc. </w:t>
      </w:r>
      <w:proofErr w:type="gramStart"/>
      <w:r w:rsidRPr="00FC7D61">
        <w:rPr>
          <w:rFonts w:cstheme="minorHAnsi"/>
          <w:shd w:val="clear" w:color="auto" w:fill="FFFFFF"/>
        </w:rPr>
        <w:t>2007;</w:t>
      </w:r>
      <w:proofErr w:type="gramEnd"/>
      <w:r w:rsidRPr="00FC7D61">
        <w:rPr>
          <w:rFonts w:cstheme="minorHAnsi"/>
          <w:shd w:val="clear" w:color="auto" w:fill="FFFFFF"/>
        </w:rPr>
        <w:t xml:space="preserve"> 66(6):1154–1160. </w:t>
      </w:r>
      <w:proofErr w:type="gramStart"/>
      <w:r w:rsidRPr="00FC7D61">
        <w:rPr>
          <w:rFonts w:cstheme="minorHAnsi"/>
          <w:shd w:val="clear" w:color="auto" w:fill="FFFFFF"/>
        </w:rPr>
        <w:t>DOI:</w:t>
      </w:r>
      <w:proofErr w:type="gramEnd"/>
      <w:r w:rsidRPr="00FC7D61">
        <w:rPr>
          <w:rFonts w:cstheme="minorHAnsi"/>
          <w:shd w:val="clear" w:color="auto" w:fill="FFFFFF"/>
        </w:rPr>
        <w:t xml:space="preserve"> 10.1016/j.gie.2007.04.033.</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18. Ramírez García, J. Factors associated with treatment failure in gallstone removal by endoscopic retrograde colangiopancreatography, ERCP. Rev. Gastroenterol. Peru. </w:t>
      </w:r>
      <w:proofErr w:type="gramStart"/>
      <w:r w:rsidRPr="00FC7D61">
        <w:rPr>
          <w:rFonts w:cstheme="minorHAnsi"/>
          <w:shd w:val="clear" w:color="auto" w:fill="FFFFFF"/>
        </w:rPr>
        <w:t>2011;</w:t>
      </w:r>
      <w:proofErr w:type="gramEnd"/>
      <w:r w:rsidRPr="00FC7D61">
        <w:rPr>
          <w:rFonts w:cstheme="minorHAnsi"/>
          <w:shd w:val="clear" w:color="auto" w:fill="FFFFFF"/>
        </w:rPr>
        <w:t xml:space="preserve"> 31(4):330–334.</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19. </w:t>
      </w:r>
      <w:r w:rsidRPr="00FC7D61">
        <w:t xml:space="preserve">R.E. Cankurtaran, R. Atalay, Y.H. Polat, F. Kivrakoglu, M. Tahtaci, O. Ersoy, Is cholecystectomy a cause of difficult biliary cannulation in endoscopic retrograde </w:t>
      </w:r>
      <w:proofErr w:type="gramStart"/>
      <w:r w:rsidRPr="00FC7D61">
        <w:t>cholangiopancreatography?</w:t>
      </w:r>
      <w:proofErr w:type="gramEnd"/>
      <w:r w:rsidRPr="00FC7D61">
        <w:t xml:space="preserve"> Acta Gastroenterol Belg 84 (4) (2021) 563–569.</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20. Saito H, Kadono Y, Shono T, Kamikawa K, Urata A, Nasu J, Imamura H, Matsushita I, Kakuma T, Tada S. Factors Predicting Difficult Biliary Cannulation during Endoscopic Retrograde Cholangiopancreatography for Common Bile Duct Stones. Clinical Endoscopy.</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21. Difficult cannulation during endoscopic retrograde cholangiopancreatography — needle knife precut versus transpancreatic sphincterotomy on the basis of successful cannulation and adverse events. Surgical Endoscopy. 2024 Dec </w:t>
      </w:r>
      <w:proofErr w:type="gramStart"/>
      <w:r w:rsidRPr="00FC7D61">
        <w:rPr>
          <w:rFonts w:cstheme="minorHAnsi"/>
          <w:shd w:val="clear" w:color="auto" w:fill="FFFFFF"/>
        </w:rPr>
        <w:t>29;</w:t>
      </w:r>
      <w:proofErr w:type="gramEnd"/>
      <w:r w:rsidRPr="00FC7D61">
        <w:rPr>
          <w:rFonts w:cstheme="minorHAnsi"/>
          <w:shd w:val="clear" w:color="auto" w:fill="FFFFFF"/>
        </w:rPr>
        <w:t>39(2):1200 1206.</w:t>
      </w:r>
    </w:p>
    <w:p w:rsidR="00FC7D61" w:rsidRPr="00FC7D61" w:rsidRDefault="00FC7D61" w:rsidP="00FC7D61">
      <w:pPr>
        <w:spacing w:line="240" w:lineRule="auto"/>
        <w:ind w:right="-57"/>
        <w:rPr>
          <w:rFonts w:cstheme="minorHAnsi"/>
          <w:shd w:val="clear" w:color="auto" w:fill="FFFFFF"/>
        </w:rPr>
      </w:pPr>
      <w:r w:rsidRPr="00FC7D61">
        <w:rPr>
          <w:rFonts w:cstheme="minorHAnsi"/>
          <w:shd w:val="clear" w:color="auto" w:fill="FFFFFF"/>
        </w:rPr>
        <w:t xml:space="preserve">22. Second endoscopic retrograde cholangiopancreatography after failure of initial biliary </w:t>
      </w:r>
      <w:proofErr w:type="gramStart"/>
      <w:r w:rsidRPr="00FC7D61">
        <w:rPr>
          <w:rFonts w:cstheme="minorHAnsi"/>
          <w:shd w:val="clear" w:color="auto" w:fill="FFFFFF"/>
        </w:rPr>
        <w:t>cannulation:</w:t>
      </w:r>
      <w:proofErr w:type="gramEnd"/>
      <w:r w:rsidRPr="00FC7D61">
        <w:rPr>
          <w:rFonts w:cstheme="minorHAnsi"/>
          <w:shd w:val="clear" w:color="auto" w:fill="FFFFFF"/>
        </w:rPr>
        <w:t xml:space="preserve"> A single institution retrospective experience.” Translational Medicine Studies. 2022.</w:t>
      </w:r>
    </w:p>
    <w:p w:rsidR="00FC7D61" w:rsidRPr="00FC7D61" w:rsidRDefault="00FC7D61" w:rsidP="00FC7D61">
      <w:pPr>
        <w:spacing w:line="240" w:lineRule="auto"/>
        <w:ind w:right="-57"/>
      </w:pPr>
      <w:r w:rsidRPr="00FC7D61">
        <w:rPr>
          <w:rFonts w:cstheme="minorHAnsi"/>
          <w:shd w:val="clear" w:color="auto" w:fill="FFFFFF"/>
        </w:rPr>
        <w:t>23.</w:t>
      </w:r>
      <w:r>
        <w:rPr>
          <w:rFonts w:cstheme="minorHAnsi"/>
          <w:shd w:val="clear" w:color="auto" w:fill="FFFFFF"/>
        </w:rPr>
        <w:t xml:space="preserve"> </w:t>
      </w:r>
      <w:r w:rsidRPr="00FC7D61">
        <w:t xml:space="preserve">Y.S. Lee, C.M. Cho, K.B. Cho, J. Heo, M.K. Jung, S.B. Kim, et al., Difficult biliary cannulation from the perspective of post-endoscopic retrograde cholangiopancreatography </w:t>
      </w:r>
      <w:proofErr w:type="gramStart"/>
      <w:r w:rsidRPr="00FC7D61">
        <w:t>pancreatitis:</w:t>
      </w:r>
      <w:proofErr w:type="gramEnd"/>
      <w:r w:rsidRPr="00FC7D61">
        <w:t xml:space="preserve"> identifying the optimal timing for the rescue cannulation technique, Gut Liver 15 (3) (2021) 459–465.</w:t>
      </w:r>
    </w:p>
    <w:p w:rsidR="00FC7D61" w:rsidRPr="00FC7D61" w:rsidRDefault="00FC7D61" w:rsidP="00FC7D61">
      <w:pPr>
        <w:spacing w:line="240" w:lineRule="auto"/>
        <w:ind w:right="-57"/>
        <w:rPr>
          <w:rFonts w:cstheme="minorHAnsi"/>
          <w:shd w:val="clear" w:color="auto" w:fill="FFFFFF"/>
        </w:rPr>
      </w:pPr>
      <w:r w:rsidRPr="00FC7D61">
        <w:t xml:space="preserve">24. A. Facciorusso, D. Ramai, P. Gkolfakis, S.R. Khan, I.S. Papanikolaou, K. Triantafyllou, A. Tringali, S. Chandan, B.P. Mohan, D.G. Adler, Comparative efficacy of different methods for difficult biliary cannulation in </w:t>
      </w:r>
      <w:proofErr w:type="gramStart"/>
      <w:r w:rsidRPr="00FC7D61">
        <w:t>ERCP:</w:t>
      </w:r>
      <w:proofErr w:type="gramEnd"/>
      <w:r w:rsidRPr="00FC7D61">
        <w:t xml:space="preserve"> systematic review and network meta-analysis, Gastrointest. Endosc. 95 (1) (2022 Jan 1) 60–71.</w:t>
      </w:r>
    </w:p>
    <w:p w:rsidR="00FC7D61" w:rsidRPr="00FC7D61" w:rsidRDefault="00FC7D61" w:rsidP="00FC7D61">
      <w:pPr>
        <w:spacing w:line="240" w:lineRule="auto"/>
        <w:ind w:right="-57"/>
        <w:rPr>
          <w:rFonts w:cstheme="minorHAnsi"/>
          <w:b/>
          <w:sz w:val="28"/>
        </w:rPr>
      </w:pPr>
    </w:p>
    <w:p w:rsidR="00FC7D61" w:rsidRPr="00FC7D61" w:rsidRDefault="00FC7D61" w:rsidP="00FC7D61"/>
    <w:p w:rsidR="00E43E52" w:rsidRPr="00FC7D61" w:rsidRDefault="00E43E52" w:rsidP="00E43E52">
      <w:pPr>
        <w:spacing w:line="240" w:lineRule="auto"/>
        <w:ind w:right="-57"/>
        <w:rPr>
          <w:rFonts w:cstheme="minorHAnsi"/>
          <w:b/>
          <w:sz w:val="28"/>
        </w:rPr>
      </w:pPr>
    </w:p>
    <w:sectPr w:rsidR="00E43E52" w:rsidRPr="00FC7D61" w:rsidSect="004824D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1BB" w:rsidRDefault="00E031BB" w:rsidP="007D56CC">
      <w:pPr>
        <w:spacing w:after="0" w:line="240" w:lineRule="auto"/>
      </w:pPr>
      <w:r>
        <w:separator/>
      </w:r>
    </w:p>
  </w:endnote>
  <w:endnote w:type="continuationSeparator" w:id="0">
    <w:p w:rsidR="00E031BB" w:rsidRDefault="00E031BB" w:rsidP="007D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6CC" w:rsidRDefault="007D5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6CC" w:rsidRDefault="007D5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6CC" w:rsidRDefault="007D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1BB" w:rsidRDefault="00E031BB" w:rsidP="007D56CC">
      <w:pPr>
        <w:spacing w:after="0" w:line="240" w:lineRule="auto"/>
      </w:pPr>
      <w:r>
        <w:separator/>
      </w:r>
    </w:p>
  </w:footnote>
  <w:footnote w:type="continuationSeparator" w:id="0">
    <w:p w:rsidR="00E031BB" w:rsidRDefault="00E031BB" w:rsidP="007D5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6CC" w:rsidRDefault="001B04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08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6CC" w:rsidRDefault="001B04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083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6CC" w:rsidRDefault="001B04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08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09B6"/>
    <w:multiLevelType w:val="hybridMultilevel"/>
    <w:tmpl w:val="84E81AA6"/>
    <w:lvl w:ilvl="0" w:tplc="563CB62E">
      <w:start w:val="1"/>
      <w:numFmt w:val="decimal"/>
      <w:lvlText w:val="%1."/>
      <w:lvlJc w:val="left"/>
      <w:pPr>
        <w:ind w:left="720" w:hanging="360"/>
      </w:pPr>
      <w:rPr>
        <w:rFonts w:hint="default"/>
        <w:b/>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E56C87"/>
    <w:multiLevelType w:val="multilevel"/>
    <w:tmpl w:val="78A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fr-FR"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zsLA0MTQ2MjUwMDRS0lEKTi0uzszPAykwrgUAWTjBBSwAAAA="/>
  </w:docVars>
  <w:rsids>
    <w:rsidRoot w:val="0029159F"/>
    <w:rsid w:val="00051F9F"/>
    <w:rsid w:val="00093E89"/>
    <w:rsid w:val="000E53EF"/>
    <w:rsid w:val="001033D9"/>
    <w:rsid w:val="0010522C"/>
    <w:rsid w:val="00152369"/>
    <w:rsid w:val="00161B97"/>
    <w:rsid w:val="001A19D5"/>
    <w:rsid w:val="001B048C"/>
    <w:rsid w:val="00210B12"/>
    <w:rsid w:val="002440CB"/>
    <w:rsid w:val="002537DA"/>
    <w:rsid w:val="0025641A"/>
    <w:rsid w:val="00273344"/>
    <w:rsid w:val="0029159F"/>
    <w:rsid w:val="002D1F3B"/>
    <w:rsid w:val="002E1953"/>
    <w:rsid w:val="00302172"/>
    <w:rsid w:val="00313C9E"/>
    <w:rsid w:val="00323A60"/>
    <w:rsid w:val="003328F6"/>
    <w:rsid w:val="0034084C"/>
    <w:rsid w:val="003944CB"/>
    <w:rsid w:val="003C39BC"/>
    <w:rsid w:val="004272DA"/>
    <w:rsid w:val="004578CE"/>
    <w:rsid w:val="004824DF"/>
    <w:rsid w:val="00546EDC"/>
    <w:rsid w:val="005D6686"/>
    <w:rsid w:val="0069365A"/>
    <w:rsid w:val="00694B8C"/>
    <w:rsid w:val="006C19C1"/>
    <w:rsid w:val="0072193F"/>
    <w:rsid w:val="00726AF0"/>
    <w:rsid w:val="007327D1"/>
    <w:rsid w:val="00777040"/>
    <w:rsid w:val="007A36C6"/>
    <w:rsid w:val="007B3D44"/>
    <w:rsid w:val="007D56CC"/>
    <w:rsid w:val="007D6230"/>
    <w:rsid w:val="008224C2"/>
    <w:rsid w:val="00876242"/>
    <w:rsid w:val="008935C0"/>
    <w:rsid w:val="008A416B"/>
    <w:rsid w:val="008D6A4D"/>
    <w:rsid w:val="009C2279"/>
    <w:rsid w:val="009C6B36"/>
    <w:rsid w:val="00A5639B"/>
    <w:rsid w:val="00A56FD3"/>
    <w:rsid w:val="00A930FD"/>
    <w:rsid w:val="00AB26C9"/>
    <w:rsid w:val="00AF0A7A"/>
    <w:rsid w:val="00B34E08"/>
    <w:rsid w:val="00BB37E7"/>
    <w:rsid w:val="00BB6DB0"/>
    <w:rsid w:val="00BC4C44"/>
    <w:rsid w:val="00BD3E51"/>
    <w:rsid w:val="00BE3C2D"/>
    <w:rsid w:val="00BE3D3B"/>
    <w:rsid w:val="00C24070"/>
    <w:rsid w:val="00C447E3"/>
    <w:rsid w:val="00CE5199"/>
    <w:rsid w:val="00CF0671"/>
    <w:rsid w:val="00D22217"/>
    <w:rsid w:val="00D237CE"/>
    <w:rsid w:val="00DC2014"/>
    <w:rsid w:val="00DD3C7F"/>
    <w:rsid w:val="00E031BB"/>
    <w:rsid w:val="00E15BA4"/>
    <w:rsid w:val="00E43E52"/>
    <w:rsid w:val="00E4766D"/>
    <w:rsid w:val="00EB2257"/>
    <w:rsid w:val="00ED0B69"/>
    <w:rsid w:val="00ED387F"/>
    <w:rsid w:val="00EF54C5"/>
    <w:rsid w:val="00F00B2E"/>
    <w:rsid w:val="00F20358"/>
    <w:rsid w:val="00F9635C"/>
    <w:rsid w:val="00FA7E7C"/>
    <w:rsid w:val="00FC7D61"/>
    <w:rsid w:val="00FE750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26"/>
        <o:r id="V:Rule4" type="connector" idref="#_x0000_s1027"/>
      </o:rules>
    </o:shapelayout>
  </w:shapeDefaults>
  <w:decimalSymbol w:val="."/>
  <w:listSeparator w:val=","/>
  <w14:docId w14:val="122F11A0"/>
  <w15:docId w15:val="{C5845F06-B58D-41AF-B595-9A0B1E5E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4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15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59F"/>
    <w:rPr>
      <w:b/>
      <w:bCs/>
    </w:rPr>
  </w:style>
  <w:style w:type="table" w:styleId="TableGrid">
    <w:name w:val="Table Grid"/>
    <w:basedOn w:val="TableNormal"/>
    <w:uiPriority w:val="59"/>
    <w:rsid w:val="00F00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E1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953"/>
    <w:rPr>
      <w:rFonts w:ascii="Tahoma" w:hAnsi="Tahoma" w:cs="Tahoma"/>
      <w:sz w:val="16"/>
      <w:szCs w:val="16"/>
    </w:rPr>
  </w:style>
  <w:style w:type="character" w:styleId="HTMLCite">
    <w:name w:val="HTML Cite"/>
    <w:basedOn w:val="DefaultParagraphFont"/>
    <w:uiPriority w:val="99"/>
    <w:semiHidden/>
    <w:unhideWhenUsed/>
    <w:rsid w:val="000E53EF"/>
    <w:rPr>
      <w:i/>
      <w:iCs/>
    </w:rPr>
  </w:style>
  <w:style w:type="paragraph" w:styleId="ListParagraph">
    <w:name w:val="List Paragraph"/>
    <w:basedOn w:val="Normal"/>
    <w:uiPriority w:val="34"/>
    <w:qFormat/>
    <w:rsid w:val="000E53EF"/>
    <w:pPr>
      <w:ind w:left="720"/>
      <w:contextualSpacing/>
    </w:pPr>
  </w:style>
  <w:style w:type="character" w:styleId="Emphasis">
    <w:name w:val="Emphasis"/>
    <w:basedOn w:val="DefaultParagraphFont"/>
    <w:uiPriority w:val="20"/>
    <w:qFormat/>
    <w:rsid w:val="00CE5199"/>
    <w:rPr>
      <w:i/>
      <w:iCs/>
    </w:rPr>
  </w:style>
  <w:style w:type="character" w:styleId="Hyperlink">
    <w:name w:val="Hyperlink"/>
    <w:basedOn w:val="DefaultParagraphFont"/>
    <w:uiPriority w:val="99"/>
    <w:unhideWhenUsed/>
    <w:rsid w:val="00C447E3"/>
    <w:rPr>
      <w:color w:val="0000FF" w:themeColor="hyperlink"/>
      <w:u w:val="single"/>
    </w:rPr>
  </w:style>
  <w:style w:type="character" w:customStyle="1" w:styleId="UnresolvedMention1">
    <w:name w:val="Unresolved Mention1"/>
    <w:basedOn w:val="DefaultParagraphFont"/>
    <w:uiPriority w:val="99"/>
    <w:semiHidden/>
    <w:unhideWhenUsed/>
    <w:rsid w:val="00C447E3"/>
    <w:rPr>
      <w:color w:val="605E5C"/>
      <w:shd w:val="clear" w:color="auto" w:fill="E1DFDD"/>
    </w:rPr>
  </w:style>
  <w:style w:type="paragraph" w:styleId="Header">
    <w:name w:val="header"/>
    <w:basedOn w:val="Normal"/>
    <w:link w:val="HeaderChar"/>
    <w:uiPriority w:val="99"/>
    <w:unhideWhenUsed/>
    <w:rsid w:val="007D5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6CC"/>
  </w:style>
  <w:style w:type="paragraph" w:styleId="Footer">
    <w:name w:val="footer"/>
    <w:basedOn w:val="Normal"/>
    <w:link w:val="FooterChar"/>
    <w:uiPriority w:val="99"/>
    <w:unhideWhenUsed/>
    <w:rsid w:val="007D5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7736">
      <w:bodyDiv w:val="1"/>
      <w:marLeft w:val="0"/>
      <w:marRight w:val="0"/>
      <w:marTop w:val="0"/>
      <w:marBottom w:val="0"/>
      <w:divBdr>
        <w:top w:val="none" w:sz="0" w:space="0" w:color="auto"/>
        <w:left w:val="none" w:sz="0" w:space="0" w:color="auto"/>
        <w:bottom w:val="none" w:sz="0" w:space="0" w:color="auto"/>
        <w:right w:val="none" w:sz="0" w:space="0" w:color="auto"/>
      </w:divBdr>
    </w:div>
    <w:div w:id="116023537">
      <w:bodyDiv w:val="1"/>
      <w:marLeft w:val="0"/>
      <w:marRight w:val="0"/>
      <w:marTop w:val="0"/>
      <w:marBottom w:val="0"/>
      <w:divBdr>
        <w:top w:val="none" w:sz="0" w:space="0" w:color="auto"/>
        <w:left w:val="none" w:sz="0" w:space="0" w:color="auto"/>
        <w:bottom w:val="none" w:sz="0" w:space="0" w:color="auto"/>
        <w:right w:val="none" w:sz="0" w:space="0" w:color="auto"/>
      </w:divBdr>
      <w:divsChild>
        <w:div w:id="716204556">
          <w:marLeft w:val="0"/>
          <w:marRight w:val="0"/>
          <w:marTop w:val="0"/>
          <w:marBottom w:val="0"/>
          <w:divBdr>
            <w:top w:val="none" w:sz="0" w:space="0" w:color="auto"/>
            <w:left w:val="none" w:sz="0" w:space="0" w:color="auto"/>
            <w:bottom w:val="none" w:sz="0" w:space="0" w:color="auto"/>
            <w:right w:val="none" w:sz="0" w:space="0" w:color="auto"/>
          </w:divBdr>
          <w:divsChild>
            <w:div w:id="633557833">
              <w:marLeft w:val="0"/>
              <w:marRight w:val="0"/>
              <w:marTop w:val="0"/>
              <w:marBottom w:val="0"/>
              <w:divBdr>
                <w:top w:val="none" w:sz="0" w:space="0" w:color="auto"/>
                <w:left w:val="none" w:sz="0" w:space="0" w:color="auto"/>
                <w:bottom w:val="none" w:sz="0" w:space="0" w:color="auto"/>
                <w:right w:val="none" w:sz="0" w:space="0" w:color="auto"/>
              </w:divBdr>
              <w:divsChild>
                <w:div w:id="1688099420">
                  <w:marLeft w:val="0"/>
                  <w:marRight w:val="0"/>
                  <w:marTop w:val="0"/>
                  <w:marBottom w:val="0"/>
                  <w:divBdr>
                    <w:top w:val="none" w:sz="0" w:space="0" w:color="auto"/>
                    <w:left w:val="none" w:sz="0" w:space="0" w:color="auto"/>
                    <w:bottom w:val="none" w:sz="0" w:space="0" w:color="auto"/>
                    <w:right w:val="none" w:sz="0" w:space="0" w:color="auto"/>
                  </w:divBdr>
                  <w:divsChild>
                    <w:div w:id="1148938867">
                      <w:marLeft w:val="0"/>
                      <w:marRight w:val="0"/>
                      <w:marTop w:val="0"/>
                      <w:marBottom w:val="0"/>
                      <w:divBdr>
                        <w:top w:val="none" w:sz="0" w:space="0" w:color="auto"/>
                        <w:left w:val="none" w:sz="0" w:space="0" w:color="auto"/>
                        <w:bottom w:val="none" w:sz="0" w:space="0" w:color="auto"/>
                        <w:right w:val="none" w:sz="0" w:space="0" w:color="auto"/>
                      </w:divBdr>
                      <w:divsChild>
                        <w:div w:id="1550873803">
                          <w:marLeft w:val="0"/>
                          <w:marRight w:val="0"/>
                          <w:marTop w:val="0"/>
                          <w:marBottom w:val="0"/>
                          <w:divBdr>
                            <w:top w:val="none" w:sz="0" w:space="0" w:color="auto"/>
                            <w:left w:val="none" w:sz="0" w:space="0" w:color="auto"/>
                            <w:bottom w:val="none" w:sz="0" w:space="0" w:color="auto"/>
                            <w:right w:val="none" w:sz="0" w:space="0" w:color="auto"/>
                          </w:divBdr>
                          <w:divsChild>
                            <w:div w:id="17701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5422">
      <w:bodyDiv w:val="1"/>
      <w:marLeft w:val="0"/>
      <w:marRight w:val="0"/>
      <w:marTop w:val="0"/>
      <w:marBottom w:val="0"/>
      <w:divBdr>
        <w:top w:val="none" w:sz="0" w:space="0" w:color="auto"/>
        <w:left w:val="none" w:sz="0" w:space="0" w:color="auto"/>
        <w:bottom w:val="none" w:sz="0" w:space="0" w:color="auto"/>
        <w:right w:val="none" w:sz="0" w:space="0" w:color="auto"/>
      </w:divBdr>
    </w:div>
    <w:div w:id="718018191">
      <w:bodyDiv w:val="1"/>
      <w:marLeft w:val="0"/>
      <w:marRight w:val="0"/>
      <w:marTop w:val="0"/>
      <w:marBottom w:val="0"/>
      <w:divBdr>
        <w:top w:val="none" w:sz="0" w:space="0" w:color="auto"/>
        <w:left w:val="none" w:sz="0" w:space="0" w:color="auto"/>
        <w:bottom w:val="none" w:sz="0" w:space="0" w:color="auto"/>
        <w:right w:val="none" w:sz="0" w:space="0" w:color="auto"/>
      </w:divBdr>
    </w:div>
    <w:div w:id="1011838803">
      <w:bodyDiv w:val="1"/>
      <w:marLeft w:val="0"/>
      <w:marRight w:val="0"/>
      <w:marTop w:val="0"/>
      <w:marBottom w:val="0"/>
      <w:divBdr>
        <w:top w:val="none" w:sz="0" w:space="0" w:color="auto"/>
        <w:left w:val="none" w:sz="0" w:space="0" w:color="auto"/>
        <w:bottom w:val="none" w:sz="0" w:space="0" w:color="auto"/>
        <w:right w:val="none" w:sz="0" w:space="0" w:color="auto"/>
      </w:divBdr>
    </w:div>
    <w:div w:id="1254824896">
      <w:bodyDiv w:val="1"/>
      <w:marLeft w:val="0"/>
      <w:marRight w:val="0"/>
      <w:marTop w:val="0"/>
      <w:marBottom w:val="0"/>
      <w:divBdr>
        <w:top w:val="none" w:sz="0" w:space="0" w:color="auto"/>
        <w:left w:val="none" w:sz="0" w:space="0" w:color="auto"/>
        <w:bottom w:val="none" w:sz="0" w:space="0" w:color="auto"/>
        <w:right w:val="none" w:sz="0" w:space="0" w:color="auto"/>
      </w:divBdr>
    </w:div>
    <w:div w:id="2025595426">
      <w:bodyDiv w:val="1"/>
      <w:marLeft w:val="0"/>
      <w:marRight w:val="0"/>
      <w:marTop w:val="0"/>
      <w:marBottom w:val="0"/>
      <w:divBdr>
        <w:top w:val="none" w:sz="0" w:space="0" w:color="auto"/>
        <w:left w:val="none" w:sz="0" w:space="0" w:color="auto"/>
        <w:bottom w:val="none" w:sz="0" w:space="0" w:color="auto"/>
        <w:right w:val="none" w:sz="0" w:space="0" w:color="auto"/>
      </w:divBdr>
    </w:div>
    <w:div w:id="2033341048">
      <w:bodyDiv w:val="1"/>
      <w:marLeft w:val="0"/>
      <w:marRight w:val="0"/>
      <w:marTop w:val="0"/>
      <w:marBottom w:val="0"/>
      <w:divBdr>
        <w:top w:val="none" w:sz="0" w:space="0" w:color="auto"/>
        <w:left w:val="none" w:sz="0" w:space="0" w:color="auto"/>
        <w:bottom w:val="none" w:sz="0" w:space="0" w:color="auto"/>
        <w:right w:val="none" w:sz="0" w:space="0" w:color="auto"/>
      </w:divBdr>
    </w:div>
    <w:div w:id="20778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chec%20KT%20cp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echec%20KT%20cp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echec%20KT%20cp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Feuil1!$D$92:$D$95</c:f>
              <c:strCache>
                <c:ptCount val="4"/>
                <c:pt idx="0">
                  <c:v>no medical history</c:v>
                </c:pt>
                <c:pt idx="1">
                  <c:v>cholecystectomy</c:v>
                </c:pt>
                <c:pt idx="2">
                  <c:v>smoking and alcohol</c:v>
                </c:pt>
                <c:pt idx="3">
                  <c:v>Acute gallstone pancreatitis</c:v>
                </c:pt>
              </c:strCache>
            </c:strRef>
          </c:cat>
          <c:val>
            <c:numRef>
              <c:f>Feuil1!$E$92:$E$95</c:f>
              <c:numCache>
                <c:formatCode>General</c:formatCode>
                <c:ptCount val="4"/>
                <c:pt idx="0">
                  <c:v>23</c:v>
                </c:pt>
                <c:pt idx="1">
                  <c:v>4</c:v>
                </c:pt>
                <c:pt idx="2">
                  <c:v>1</c:v>
                </c:pt>
                <c:pt idx="3">
                  <c:v>2</c:v>
                </c:pt>
              </c:numCache>
            </c:numRef>
          </c:val>
          <c:extLst>
            <c:ext xmlns:c16="http://schemas.microsoft.com/office/drawing/2014/chart" uri="{C3380CC4-5D6E-409C-BE32-E72D297353CC}">
              <c16:uniqueId val="{00000000-E3FA-4BC8-B9DA-C21DDF1E4B3F}"/>
            </c:ext>
          </c:extLst>
        </c:ser>
        <c:dLbls>
          <c:showLegendKey val="0"/>
          <c:showVal val="0"/>
          <c:showCatName val="0"/>
          <c:showSerName val="0"/>
          <c:showPercent val="1"/>
          <c:showBubbleSize val="0"/>
          <c:showLeaderLines val="0"/>
        </c:dLbls>
      </c:pie3DChart>
    </c:plotArea>
    <c:legend>
      <c:legendPos val="t"/>
      <c:overlay val="0"/>
      <c:txPr>
        <a:bodyPr/>
        <a:lstStyle/>
        <a:p>
          <a:pPr>
            <a:defRPr sz="9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800"/>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Feuil1!$D$69:$D$70</c:f>
              <c:strCache>
                <c:ptCount val="2"/>
                <c:pt idx="0">
                  <c:v>men</c:v>
                </c:pt>
                <c:pt idx="1">
                  <c:v>women</c:v>
                </c:pt>
              </c:strCache>
            </c:strRef>
          </c:cat>
          <c:val>
            <c:numRef>
              <c:f>Feuil1!$E$69:$E$70</c:f>
              <c:numCache>
                <c:formatCode>General</c:formatCode>
                <c:ptCount val="2"/>
                <c:pt idx="0">
                  <c:v>11</c:v>
                </c:pt>
                <c:pt idx="1">
                  <c:v>19</c:v>
                </c:pt>
              </c:numCache>
            </c:numRef>
          </c:val>
          <c:extLst>
            <c:ext xmlns:c16="http://schemas.microsoft.com/office/drawing/2014/chart" uri="{C3380CC4-5D6E-409C-BE32-E72D297353CC}">
              <c16:uniqueId val="{00000000-9C09-4EB7-B7A7-0B66D830FCA0}"/>
            </c:ext>
          </c:extLst>
        </c:ser>
        <c:dLbls>
          <c:showLegendKey val="0"/>
          <c:showVal val="0"/>
          <c:showCatName val="0"/>
          <c:showSerName val="0"/>
          <c:showPercent val="1"/>
          <c:showBubbleSize val="0"/>
          <c:showLeaderLines val="1"/>
        </c:dLbls>
      </c:pie3DChart>
    </c:plotArea>
    <c:legend>
      <c:legendPos val="t"/>
      <c:overlay val="0"/>
      <c:txPr>
        <a:bodyPr/>
        <a:lstStyle/>
        <a:p>
          <a:pPr>
            <a:defRPr sz="12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200"/>
            </a:pPr>
            <a:r>
              <a:rPr lang="fr-FR" sz="1200"/>
              <a:t>INDICATION OF ERCP</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34365966447254931"/>
          <c:w val="1"/>
          <c:h val="0.58368807158442582"/>
        </c:manualLayout>
      </c:layout>
      <c:pie3DChart>
        <c:varyColors val="1"/>
        <c:ser>
          <c:idx val="0"/>
          <c:order val="0"/>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Feuil1!$D$116:$D$119</c:f>
              <c:strCache>
                <c:ptCount val="4"/>
                <c:pt idx="0">
                  <c:v>Common bile duct stones</c:v>
                </c:pt>
                <c:pt idx="1">
                  <c:v>Cholangitis</c:v>
                </c:pt>
                <c:pt idx="2">
                  <c:v>Acute gallstone pancreatitis</c:v>
                </c:pt>
                <c:pt idx="3">
                  <c:v>Distal common bile duct stricture</c:v>
                </c:pt>
              </c:strCache>
            </c:strRef>
          </c:cat>
          <c:val>
            <c:numRef>
              <c:f>Feuil1!$E$116:$E$119</c:f>
              <c:numCache>
                <c:formatCode>General</c:formatCode>
                <c:ptCount val="4"/>
                <c:pt idx="0">
                  <c:v>21</c:v>
                </c:pt>
                <c:pt idx="1">
                  <c:v>4</c:v>
                </c:pt>
                <c:pt idx="2">
                  <c:v>4</c:v>
                </c:pt>
                <c:pt idx="3">
                  <c:v>1</c:v>
                </c:pt>
              </c:numCache>
            </c:numRef>
          </c:val>
          <c:extLst>
            <c:ext xmlns:c16="http://schemas.microsoft.com/office/drawing/2014/chart" uri="{C3380CC4-5D6E-409C-BE32-E72D297353CC}">
              <c16:uniqueId val="{00000000-431E-4477-81F8-6BEE8FCC6EA2}"/>
            </c:ext>
          </c:extLst>
        </c:ser>
        <c:ser>
          <c:idx val="1"/>
          <c:order val="1"/>
          <c:explosion val="25"/>
          <c:dLbls>
            <c:spPr>
              <a:noFill/>
              <a:ln>
                <a:noFill/>
              </a:ln>
              <a:effectLst/>
            </c:spPr>
            <c:txPr>
              <a:bodyPr/>
              <a:lstStyle/>
              <a:p>
                <a:pPr>
                  <a:defRPr lang="en-US"/>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Feuil1!$D$116:$D$119</c:f>
              <c:strCache>
                <c:ptCount val="4"/>
                <c:pt idx="0">
                  <c:v>Common bile duct stones</c:v>
                </c:pt>
                <c:pt idx="1">
                  <c:v>Cholangitis</c:v>
                </c:pt>
                <c:pt idx="2">
                  <c:v>Acute gallstone pancreatitis</c:v>
                </c:pt>
                <c:pt idx="3">
                  <c:v>Distal common bile duct stricture</c:v>
                </c:pt>
              </c:strCache>
            </c:strRef>
          </c:cat>
          <c:val>
            <c:numRef>
              <c:f>Feuil1!$F$116:$F$119</c:f>
              <c:numCache>
                <c:formatCode>0%</c:formatCode>
                <c:ptCount val="4"/>
                <c:pt idx="0">
                  <c:v>0.70000000000000029</c:v>
                </c:pt>
                <c:pt idx="1">
                  <c:v>0.13</c:v>
                </c:pt>
                <c:pt idx="2">
                  <c:v>0.13</c:v>
                </c:pt>
                <c:pt idx="3">
                  <c:v>4.0000000000000022E-2</c:v>
                </c:pt>
              </c:numCache>
            </c:numRef>
          </c:val>
          <c:extLst>
            <c:ext xmlns:c16="http://schemas.microsoft.com/office/drawing/2014/chart" uri="{C3380CC4-5D6E-409C-BE32-E72D297353CC}">
              <c16:uniqueId val="{00000001-431E-4477-81F8-6BEE8FCC6EA2}"/>
            </c:ext>
          </c:extLst>
        </c:ser>
        <c:dLbls>
          <c:showLegendKey val="0"/>
          <c:showVal val="0"/>
          <c:showCatName val="0"/>
          <c:showSerName val="0"/>
          <c:showPercent val="1"/>
          <c:showBubbleSize val="0"/>
          <c:showLeaderLines val="0"/>
        </c:dLbls>
      </c:pie3DChart>
    </c:plotArea>
    <c:legend>
      <c:legendPos val="t"/>
      <c:overlay val="0"/>
      <c:txPr>
        <a:bodyPr/>
        <a:lstStyle/>
        <a:p>
          <a:pPr>
            <a:defRPr lang="en-US" sz="800"/>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1620</TotalTime>
  <Pages>9</Pages>
  <Words>2687</Words>
  <Characters>15321</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90</cp:revision>
  <dcterms:created xsi:type="dcterms:W3CDTF">2025-07-23T19:33:00Z</dcterms:created>
  <dcterms:modified xsi:type="dcterms:W3CDTF">2025-10-23T11:45:00Z</dcterms:modified>
</cp:coreProperties>
</file>