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CD430" w14:textId="56A74E0F" w:rsidR="0037412A" w:rsidRDefault="006053E9">
      <w:pPr>
        <w:spacing w:before="100" w:beforeAutospacing="1" w:after="100" w:afterAutospacing="1" w:line="240" w:lineRule="auto"/>
        <w:rPr>
          <w:rFonts w:eastAsia="Times New Roman"/>
        </w:rPr>
      </w:pPr>
      <w:r w:rsidRPr="006053E9">
        <w:rPr>
          <w:rFonts w:eastAsia="Times New Roman"/>
          <w:b/>
          <w:bCs/>
          <w:highlight w:val="yellow"/>
        </w:rPr>
        <w:t>Evolving Therapies and Clinical Outcomes in the Management of Anemia in CKD</w:t>
      </w:r>
    </w:p>
    <w:p w14:paraId="0FF40D68" w14:textId="77777777" w:rsidR="005E24AC" w:rsidRDefault="005E24AC">
      <w:pPr>
        <w:rPr>
          <w:rFonts w:eastAsia="Times New Roman"/>
        </w:rPr>
      </w:pPr>
    </w:p>
    <w:p w14:paraId="20B3088E" w14:textId="77777777" w:rsidR="005E24AC" w:rsidRDefault="005E24AC">
      <w:pPr>
        <w:rPr>
          <w:rFonts w:eastAsia="Times New Roman"/>
        </w:rPr>
      </w:pPr>
    </w:p>
    <w:p w14:paraId="0F5BE4CA" w14:textId="19FE0634" w:rsidR="005E24AC" w:rsidRDefault="00EA6497">
      <w:pPr>
        <w:pStyle w:val="NormalWeb"/>
      </w:pPr>
      <w:r>
        <w:rPr>
          <w:rStyle w:val="Strong"/>
        </w:rPr>
        <w:t>Abstract</w:t>
      </w:r>
      <w:r>
        <w:br/>
      </w:r>
      <w:r w:rsidR="00272DEB" w:rsidRPr="006053E9">
        <w:rPr>
          <w:highlight w:val="yellow"/>
        </w:rPr>
        <w:t>Anaemia</w:t>
      </w:r>
      <w:r w:rsidR="00272DEB">
        <w:t xml:space="preserve"> </w:t>
      </w:r>
      <w:r>
        <w:t xml:space="preserve">is a common and debilitating complication of chronic kidney disease (CKD), contributing significantly to morbidity, mortality, and reduced quality of life. Its pathophysiology is multifactorial, primarily driven by insufficient erythropoietin production, iron deficiency, and chronic inflammation. </w:t>
      </w:r>
      <w:r w:rsidR="00272DEB" w:rsidRPr="006053E9">
        <w:rPr>
          <w:highlight w:val="yellow"/>
        </w:rPr>
        <w:t xml:space="preserve">The paper aims to review evolving therapies for </w:t>
      </w:r>
      <w:r w:rsidR="00272DEB">
        <w:rPr>
          <w:highlight w:val="yellow"/>
        </w:rPr>
        <w:t>anaemia</w:t>
      </w:r>
      <w:r w:rsidR="00272DEB" w:rsidRPr="006053E9">
        <w:rPr>
          <w:highlight w:val="yellow"/>
        </w:rPr>
        <w:t xml:space="preserve"> management in chronic kidney disease (CKD) and evaluate their clinical outcomes.</w:t>
      </w:r>
      <w:r w:rsidR="00272DEB">
        <w:t xml:space="preserve"> </w:t>
      </w:r>
      <w:r>
        <w:t xml:space="preserve">Over the past decades, management strategies have evolved from traditional erythropoiesis-stimulating agents (ESAs) and iron supplementation to the emergence of novel hypoxia-inducible factor prolyl hydroxylase inhibitors (HIF-PHIs). ESAs remain the cornerstone of therapy, effectively improving </w:t>
      </w:r>
      <w:r w:rsidR="00272DEB" w:rsidRPr="006053E9">
        <w:rPr>
          <w:highlight w:val="yellow"/>
        </w:rPr>
        <w:t>haemoglobin</w:t>
      </w:r>
      <w:r w:rsidR="00272DEB" w:rsidRPr="006053E9">
        <w:rPr>
          <w:highlight w:val="yellow"/>
        </w:rPr>
        <w:t xml:space="preserve"> </w:t>
      </w:r>
      <w:r>
        <w:t xml:space="preserve">levels and reducing transfusion dependence. However, safety concerns regarding cardiovascular risks and potential </w:t>
      </w:r>
      <w:r w:rsidR="00272DEB" w:rsidRPr="006053E9">
        <w:rPr>
          <w:highlight w:val="yellow"/>
        </w:rPr>
        <w:t>tumour</w:t>
      </w:r>
      <w:r w:rsidR="00272DEB" w:rsidRPr="006053E9">
        <w:rPr>
          <w:highlight w:val="yellow"/>
        </w:rPr>
        <w:t xml:space="preserve"> </w:t>
      </w:r>
      <w:r>
        <w:t xml:space="preserve">progression have prompted cautious use and exploration of alternative options. Intravenous iron formulations, including newer preparations with improved safety profiles, have enhanced iron bioavailability and reduced infusion-related adverse events. HIF-PHIs represent a major advancement by promoting endogenous erythropoietin synthesis, improving iron metabolism, and attenuating inflammation-related </w:t>
      </w:r>
      <w:r w:rsidR="00272DEB" w:rsidRPr="006053E9">
        <w:rPr>
          <w:highlight w:val="yellow"/>
        </w:rPr>
        <w:t>anaemia</w:t>
      </w:r>
      <w:r>
        <w:t xml:space="preserve">, with growing evidence supporting their efficacy in both dialysis and non-dialysis CKD patients. Despite these innovations, </w:t>
      </w:r>
      <w:r w:rsidR="00272DEB" w:rsidRPr="006053E9">
        <w:rPr>
          <w:highlight w:val="yellow"/>
        </w:rPr>
        <w:t>individualised</w:t>
      </w:r>
      <w:r w:rsidR="00272DEB" w:rsidRPr="006053E9">
        <w:rPr>
          <w:highlight w:val="yellow"/>
        </w:rPr>
        <w:t xml:space="preserve"> </w:t>
      </w:r>
      <w:r>
        <w:t xml:space="preserve">treatment remains critical—balancing </w:t>
      </w:r>
      <w:r w:rsidR="00272DEB" w:rsidRPr="006053E9">
        <w:rPr>
          <w:highlight w:val="yellow"/>
        </w:rPr>
        <w:t>haemoglobin</w:t>
      </w:r>
      <w:r w:rsidR="00272DEB" w:rsidRPr="006053E9">
        <w:rPr>
          <w:highlight w:val="yellow"/>
        </w:rPr>
        <w:t xml:space="preserve"> </w:t>
      </w:r>
      <w:r>
        <w:t xml:space="preserve">targets, iron status, comorbidities, and patient-reported outcomes. Current clinical trials are expanding the evidence base for newer agents, assessing long-term safety, cardiovascular outcomes, and quality-of-life benefits. This review </w:t>
      </w:r>
      <w:r w:rsidR="00272DEB" w:rsidRPr="006053E9">
        <w:rPr>
          <w:highlight w:val="yellow"/>
        </w:rPr>
        <w:t>summarises</w:t>
      </w:r>
      <w:r w:rsidR="00272DEB" w:rsidRPr="006053E9">
        <w:rPr>
          <w:highlight w:val="yellow"/>
        </w:rPr>
        <w:t xml:space="preserve"> </w:t>
      </w:r>
      <w:r>
        <w:t xml:space="preserve">the evolving landscape of </w:t>
      </w:r>
      <w:r w:rsidR="00272DEB" w:rsidRPr="006053E9">
        <w:rPr>
          <w:highlight w:val="yellow"/>
        </w:rPr>
        <w:t>anaemia</w:t>
      </w:r>
      <w:r w:rsidR="00272DEB" w:rsidRPr="006053E9">
        <w:rPr>
          <w:highlight w:val="yellow"/>
        </w:rPr>
        <w:t xml:space="preserve"> </w:t>
      </w:r>
      <w:r>
        <w:t xml:space="preserve">management in CKD, highlighting mechanisms, therapeutic efficacy, and outcome implications of traditional and emerging agents. Future directions </w:t>
      </w:r>
      <w:r w:rsidR="00272DEB" w:rsidRPr="006053E9">
        <w:rPr>
          <w:highlight w:val="yellow"/>
        </w:rPr>
        <w:t>emphasise optimising</w:t>
      </w:r>
      <w:r w:rsidRPr="006053E9">
        <w:rPr>
          <w:highlight w:val="yellow"/>
        </w:rPr>
        <w:t xml:space="preserve"> </w:t>
      </w:r>
      <w:r>
        <w:t xml:space="preserve">combination therapy, addressing residual risks, and developing </w:t>
      </w:r>
      <w:r w:rsidR="00272DEB" w:rsidRPr="006053E9">
        <w:rPr>
          <w:highlight w:val="yellow"/>
        </w:rPr>
        <w:t>personalised</w:t>
      </w:r>
      <w:r w:rsidR="00272DEB" w:rsidRPr="006053E9">
        <w:rPr>
          <w:highlight w:val="yellow"/>
        </w:rPr>
        <w:t xml:space="preserve"> </w:t>
      </w:r>
      <w:r>
        <w:t xml:space="preserve">treatment algorithms that align with evolving clinical guidelines and </w:t>
      </w:r>
      <w:r w:rsidR="00272DEB" w:rsidRPr="006053E9">
        <w:rPr>
          <w:highlight w:val="yellow"/>
        </w:rPr>
        <w:t>patient-centred</w:t>
      </w:r>
      <w:r w:rsidRPr="006053E9">
        <w:rPr>
          <w:highlight w:val="yellow"/>
        </w:rPr>
        <w:t xml:space="preserve"> </w:t>
      </w:r>
      <w:r>
        <w:t xml:space="preserve">care. Ultimately, integrated and evidence-based </w:t>
      </w:r>
      <w:r w:rsidR="00272DEB" w:rsidRPr="006053E9">
        <w:rPr>
          <w:highlight w:val="yellow"/>
        </w:rPr>
        <w:t>anaemia</w:t>
      </w:r>
      <w:r w:rsidR="00272DEB" w:rsidRPr="006053E9">
        <w:rPr>
          <w:highlight w:val="yellow"/>
        </w:rPr>
        <w:t xml:space="preserve"> </w:t>
      </w:r>
      <w:r>
        <w:t>management has the potential to improve survival, functional status, and overall disease prognosis in individuals living with CKD.</w:t>
      </w:r>
      <w:r w:rsidR="008401C2">
        <w:t xml:space="preserve"> </w:t>
      </w:r>
      <w:r w:rsidR="008401C2" w:rsidRPr="006053E9">
        <w:rPr>
          <w:highlight w:val="yellow"/>
        </w:rPr>
        <w:t xml:space="preserve">In summary, </w:t>
      </w:r>
      <w:r w:rsidR="008401C2" w:rsidRPr="006053E9">
        <w:rPr>
          <w:highlight w:val="yellow"/>
        </w:rPr>
        <w:t>anaemia</w:t>
      </w:r>
      <w:r w:rsidR="008401C2" w:rsidRPr="006053E9">
        <w:rPr>
          <w:highlight w:val="yellow"/>
        </w:rPr>
        <w:t xml:space="preserve"> management in CKD has evolved from a one-dimensional focus on </w:t>
      </w:r>
      <w:r w:rsidR="008401C2" w:rsidRPr="006053E9">
        <w:rPr>
          <w:highlight w:val="yellow"/>
        </w:rPr>
        <w:t>haemoglobin</w:t>
      </w:r>
      <w:r w:rsidR="008401C2" w:rsidRPr="006053E9">
        <w:rPr>
          <w:highlight w:val="yellow"/>
        </w:rPr>
        <w:t xml:space="preserve"> correction to a multifaceted, </w:t>
      </w:r>
      <w:r w:rsidR="008401C2" w:rsidRPr="006053E9">
        <w:rPr>
          <w:highlight w:val="yellow"/>
        </w:rPr>
        <w:t>patient-centred</w:t>
      </w:r>
      <w:r w:rsidR="008401C2" w:rsidRPr="006053E9">
        <w:rPr>
          <w:highlight w:val="yellow"/>
        </w:rPr>
        <w:t xml:space="preserve"> approach </w:t>
      </w:r>
      <w:r w:rsidR="008401C2" w:rsidRPr="006053E9">
        <w:rPr>
          <w:highlight w:val="yellow"/>
        </w:rPr>
        <w:t>emphasising</w:t>
      </w:r>
      <w:r w:rsidR="008401C2" w:rsidRPr="006053E9">
        <w:rPr>
          <w:highlight w:val="yellow"/>
        </w:rPr>
        <w:t xml:space="preserve"> safety, physiological restoration, and quality of life.</w:t>
      </w:r>
      <w:r w:rsidR="008401C2" w:rsidRPr="008401C2">
        <w:t xml:space="preserve"> </w:t>
      </w:r>
    </w:p>
    <w:p w14:paraId="5364CB82" w14:textId="6A74948F" w:rsidR="005E24AC" w:rsidRDefault="00EA6497">
      <w:pPr>
        <w:pStyle w:val="NormalWeb"/>
      </w:pPr>
      <w:r>
        <w:rPr>
          <w:rStyle w:val="Strong"/>
        </w:rPr>
        <w:t>Keywords:</w:t>
      </w:r>
      <w:r>
        <w:t xml:space="preserve"> Chronic kidney disease; Anemia; Erythropoiesis-stimulating agents; </w:t>
      </w:r>
      <w:r w:rsidR="009D009A" w:rsidRPr="006053E9">
        <w:rPr>
          <w:highlight w:val="yellow"/>
        </w:rPr>
        <w:t>hemoglobin</w:t>
      </w:r>
      <w:r w:rsidR="009D009A">
        <w:rPr>
          <w:highlight w:val="yellow"/>
        </w:rPr>
        <w:t xml:space="preserve"> </w:t>
      </w:r>
      <w:r>
        <w:t>; Iron therapy</w:t>
      </w:r>
    </w:p>
    <w:p w14:paraId="7E11E956" w14:textId="77777777" w:rsidR="009A6FF3" w:rsidRDefault="009A6FF3">
      <w:pPr>
        <w:pStyle w:val="NormalWeb"/>
      </w:pPr>
    </w:p>
    <w:p w14:paraId="1E685F94" w14:textId="67C7FBC0" w:rsidR="005E24AC" w:rsidRDefault="00EA6497">
      <w:pPr>
        <w:pStyle w:val="NormalWeb"/>
      </w:pPr>
      <w:r>
        <w:rPr>
          <w:rStyle w:val="Strong"/>
        </w:rPr>
        <w:t>Introduction</w:t>
      </w:r>
    </w:p>
    <w:p w14:paraId="25277840" w14:textId="14E48EC0" w:rsidR="005E24AC" w:rsidRDefault="00272DEB">
      <w:pPr>
        <w:pStyle w:val="NormalWeb"/>
      </w:pPr>
      <w:r w:rsidRPr="006053E9">
        <w:rPr>
          <w:highlight w:val="yellow"/>
        </w:rPr>
        <w:t>Anaemia</w:t>
      </w:r>
      <w:r w:rsidRPr="006053E9">
        <w:rPr>
          <w:highlight w:val="yellow"/>
        </w:rPr>
        <w:t xml:space="preserve"> is one of the most common chronic kidney disease (CKD) complications. It negatively affects patients’ quality of life and clinical outcomes. The pathophysiology of </w:t>
      </w:r>
      <w:r w:rsidRPr="006053E9">
        <w:rPr>
          <w:highlight w:val="yellow"/>
        </w:rPr>
        <w:t>anaemia</w:t>
      </w:r>
      <w:r w:rsidRPr="006053E9">
        <w:rPr>
          <w:highlight w:val="yellow"/>
        </w:rPr>
        <w:t xml:space="preserve"> in CKD involves the interplay of various factors such as erythropoietin (EPO) deficiency, iron </w:t>
      </w:r>
      <w:r w:rsidRPr="006053E9">
        <w:rPr>
          <w:highlight w:val="yellow"/>
        </w:rPr>
        <w:lastRenderedPageBreak/>
        <w:t>dysregulation, chronic inflammation, bone marrow dysfunction, and nutritional deficiencies</w:t>
      </w:r>
      <w:r w:rsidRPr="006053E9">
        <w:rPr>
          <w:highlight w:val="yellow"/>
        </w:rPr>
        <w:t xml:space="preserve"> </w:t>
      </w:r>
      <w:r w:rsidRPr="006053E9">
        <w:rPr>
          <w:highlight w:val="yellow"/>
        </w:rPr>
        <w:t xml:space="preserve">(Badura </w:t>
      </w:r>
      <w:r w:rsidRPr="006053E9">
        <w:rPr>
          <w:i/>
          <w:iCs/>
          <w:highlight w:val="yellow"/>
        </w:rPr>
        <w:t>et al</w:t>
      </w:r>
      <w:r w:rsidRPr="006053E9">
        <w:rPr>
          <w:highlight w:val="yellow"/>
        </w:rPr>
        <w:t>., 2024).</w:t>
      </w:r>
      <w:r>
        <w:t xml:space="preserve"> </w:t>
      </w:r>
      <w:r w:rsidRPr="006053E9">
        <w:rPr>
          <w:highlight w:val="yellow"/>
        </w:rPr>
        <w:t>Anaemia</w:t>
      </w:r>
      <w:r>
        <w:t xml:space="preserve"> </w:t>
      </w:r>
      <w:r w:rsidR="00EA6497">
        <w:t xml:space="preserve">remains one of the most prevalent and clinically significant complications in patients with chronic kidney disease (CKD), affecting nearly 90% of those with advanced stages of renal impairment (KidneyDisease: Improving Global Outcomes [KDIGO], 2012). </w:t>
      </w:r>
      <w:r w:rsidR="009D009A" w:rsidRPr="006053E9">
        <w:rPr>
          <w:highlight w:val="yellow"/>
        </w:rPr>
        <w:t xml:space="preserve">Anaemia is </w:t>
      </w:r>
      <w:r w:rsidR="009D009A" w:rsidRPr="006053E9">
        <w:rPr>
          <w:highlight w:val="yellow"/>
        </w:rPr>
        <w:t>a</w:t>
      </w:r>
      <w:r w:rsidR="009D009A" w:rsidRPr="006053E9">
        <w:rPr>
          <w:highlight w:val="yellow"/>
        </w:rPr>
        <w:t xml:space="preserve"> common complication in CKD, which severely impacts patient quality of life and increases the risk of cardiovascular complications. The primary cause of anaemia in CKD patients is insufficient production of erythropoietin (EPO), a hormone essential for red blood cell production, due to impaired kidney function</w:t>
      </w:r>
      <w:r w:rsidRPr="006053E9">
        <w:rPr>
          <w:highlight w:val="yellow"/>
        </w:rPr>
        <w:t xml:space="preserve"> </w:t>
      </w:r>
      <w:r w:rsidRPr="006053E9">
        <w:rPr>
          <w:highlight w:val="yellow"/>
        </w:rPr>
        <w:t xml:space="preserve">(Prajeesha </w:t>
      </w:r>
      <w:r w:rsidRPr="006053E9">
        <w:rPr>
          <w:i/>
          <w:iCs/>
          <w:highlight w:val="yellow"/>
        </w:rPr>
        <w:t>et al</w:t>
      </w:r>
      <w:r w:rsidRPr="006053E9">
        <w:rPr>
          <w:highlight w:val="yellow"/>
        </w:rPr>
        <w:t>., 2024</w:t>
      </w:r>
      <w:r>
        <w:rPr>
          <w:highlight w:val="yellow"/>
        </w:rPr>
        <w:t xml:space="preserve">; </w:t>
      </w:r>
      <w:r w:rsidRPr="006053E9">
        <w:rPr>
          <w:highlight w:val="yellow"/>
        </w:rPr>
        <w:t xml:space="preserve">Muniyandi </w:t>
      </w:r>
      <w:r w:rsidRPr="006053E9">
        <w:rPr>
          <w:i/>
          <w:iCs/>
          <w:highlight w:val="yellow"/>
        </w:rPr>
        <w:t>et al</w:t>
      </w:r>
      <w:r w:rsidRPr="006053E9">
        <w:rPr>
          <w:highlight w:val="yellow"/>
        </w:rPr>
        <w:t>., 2016)</w:t>
      </w:r>
      <w:r w:rsidR="009D009A" w:rsidRPr="006053E9">
        <w:rPr>
          <w:highlight w:val="yellow"/>
        </w:rPr>
        <w:t>.</w:t>
      </w:r>
      <w:r>
        <w:t xml:space="preserve"> </w:t>
      </w:r>
      <w:r w:rsidR="00EA6497">
        <w:t xml:space="preserve">The burden of </w:t>
      </w:r>
      <w:r w:rsidRPr="006053E9">
        <w:rPr>
          <w:highlight w:val="yellow"/>
        </w:rPr>
        <w:t>anaemia</w:t>
      </w:r>
      <w:r w:rsidRPr="006053E9">
        <w:rPr>
          <w:highlight w:val="yellow"/>
        </w:rPr>
        <w:t xml:space="preserve"> </w:t>
      </w:r>
      <w:r w:rsidR="00EA6497">
        <w:t xml:space="preserve">in CKD extends far beyond the reduction in </w:t>
      </w:r>
      <w:r w:rsidR="008401C2" w:rsidRPr="006053E9">
        <w:rPr>
          <w:highlight w:val="yellow"/>
        </w:rPr>
        <w:t>haemoglobin</w:t>
      </w:r>
      <w:r w:rsidR="008401C2" w:rsidRPr="006053E9">
        <w:rPr>
          <w:highlight w:val="yellow"/>
        </w:rPr>
        <w:t xml:space="preserve"> </w:t>
      </w:r>
      <w:r w:rsidR="00EA6497">
        <w:t>levels; it contributes to fatigue, decreased exercise tolerance, cognitive impairment, and diminished quality of life</w:t>
      </w:r>
      <w:r w:rsidR="0000449C">
        <w:t xml:space="preserve"> (Li et al., 2025)</w:t>
      </w:r>
      <w:r w:rsidR="00EA6497">
        <w:t xml:space="preserve">. Moreover, </w:t>
      </w:r>
      <w:r w:rsidRPr="006053E9">
        <w:rPr>
          <w:highlight w:val="yellow"/>
        </w:rPr>
        <w:t>anaemia</w:t>
      </w:r>
      <w:r w:rsidRPr="006053E9">
        <w:rPr>
          <w:highlight w:val="yellow"/>
        </w:rPr>
        <w:t xml:space="preserve"> </w:t>
      </w:r>
      <w:r w:rsidR="00EA6497">
        <w:t xml:space="preserve">is closely linked to increased risks of </w:t>
      </w:r>
      <w:r w:rsidR="008401C2" w:rsidRPr="006053E9">
        <w:rPr>
          <w:highlight w:val="yellow"/>
        </w:rPr>
        <w:t>hospitalisation</w:t>
      </w:r>
      <w:r w:rsidR="00EA6497">
        <w:t xml:space="preserve">, cardiovascular morbidity, and mortality (Singh et al., 2006). The pathophysiology of CKD-related </w:t>
      </w:r>
      <w:r w:rsidR="008401C2" w:rsidRPr="006053E9">
        <w:rPr>
          <w:highlight w:val="yellow"/>
        </w:rPr>
        <w:t>anaemia</w:t>
      </w:r>
      <w:r w:rsidR="008401C2" w:rsidRPr="006053E9">
        <w:rPr>
          <w:highlight w:val="yellow"/>
        </w:rPr>
        <w:t xml:space="preserve"> </w:t>
      </w:r>
      <w:r w:rsidR="00EA6497">
        <w:t xml:space="preserve">is multifactorial, encompassing inadequate erythropoietin (EPO) production due to impaired renal function, iron deficiency, inflammation-induced iron sequestration, shortened red blood cell lifespan, and nutritional deficiencies (KDIGO, 2012). Understanding and effectively managing </w:t>
      </w:r>
      <w:r w:rsidR="008401C2" w:rsidRPr="006053E9">
        <w:rPr>
          <w:highlight w:val="yellow"/>
        </w:rPr>
        <w:t>anaemia</w:t>
      </w:r>
      <w:r w:rsidR="008401C2" w:rsidRPr="006053E9">
        <w:rPr>
          <w:highlight w:val="yellow"/>
        </w:rPr>
        <w:t xml:space="preserve"> </w:t>
      </w:r>
      <w:r w:rsidR="00EA6497">
        <w:t xml:space="preserve">in CKD is therefore a critical aspect of comprehensive renal care, aiming not only to correct </w:t>
      </w:r>
      <w:r w:rsidR="008401C2" w:rsidRPr="006053E9">
        <w:rPr>
          <w:highlight w:val="yellow"/>
        </w:rPr>
        <w:t>haemoglobin</w:t>
      </w:r>
      <w:r w:rsidR="008401C2" w:rsidRPr="006053E9">
        <w:rPr>
          <w:highlight w:val="yellow"/>
        </w:rPr>
        <w:t xml:space="preserve"> </w:t>
      </w:r>
      <w:r w:rsidR="00EA6497">
        <w:t>levels but also to improve functional outcomes and long-term survival.</w:t>
      </w:r>
    </w:p>
    <w:p w14:paraId="763CEDAA" w14:textId="5C3F87F6" w:rsidR="005E24AC" w:rsidRDefault="00EA6497">
      <w:pPr>
        <w:pStyle w:val="NormalWeb"/>
      </w:pPr>
      <w:r>
        <w:t xml:space="preserve">The management of </w:t>
      </w:r>
      <w:r w:rsidR="008401C2" w:rsidRPr="006053E9">
        <w:rPr>
          <w:highlight w:val="yellow"/>
        </w:rPr>
        <w:t>anaemia</w:t>
      </w:r>
      <w:r w:rsidR="008401C2" w:rsidRPr="006053E9">
        <w:rPr>
          <w:highlight w:val="yellow"/>
        </w:rPr>
        <w:t xml:space="preserve"> </w:t>
      </w:r>
      <w:r>
        <w:t>in CKD has evolved substantially over the past few decades</w:t>
      </w:r>
      <w:r w:rsidR="0000449C">
        <w:t xml:space="preserve"> (</w:t>
      </w:r>
      <w:r w:rsidR="0000449C" w:rsidRPr="0000449C">
        <w:t>Warner</w:t>
      </w:r>
      <w:r w:rsidR="0000449C">
        <w:t xml:space="preserve"> </w:t>
      </w:r>
      <w:r w:rsidR="0000449C" w:rsidRPr="0000449C">
        <w:t>&amp; Weyand, 2022</w:t>
      </w:r>
      <w:r w:rsidR="0000449C">
        <w:t>)</w:t>
      </w:r>
      <w:r>
        <w:t xml:space="preserve">. Initially, blood transfusions were the mainstay of treatment, but their limitations—including the risk of </w:t>
      </w:r>
      <w:r w:rsidR="008401C2" w:rsidRPr="006053E9">
        <w:rPr>
          <w:highlight w:val="yellow"/>
        </w:rPr>
        <w:t>sensitisation</w:t>
      </w:r>
      <w:r>
        <w:t xml:space="preserve">, iron overload, and transmission of infections—necessitated the development of safer and more targeted therapies. The introduction of erythropoiesis-stimulating agents (ESAs) in the late 1980s </w:t>
      </w:r>
      <w:r w:rsidR="008401C2" w:rsidRPr="006053E9">
        <w:rPr>
          <w:highlight w:val="yellow"/>
        </w:rPr>
        <w:t>revolutionised anaemia</w:t>
      </w:r>
      <w:r w:rsidRPr="006053E9">
        <w:rPr>
          <w:highlight w:val="yellow"/>
        </w:rPr>
        <w:t xml:space="preserve"> </w:t>
      </w:r>
      <w:r>
        <w:t xml:space="preserve">management by directly addressing the erythropoietin deficiency in CKD (Drüeke et al., 2006). ESAs such as epoetin alfa and darbepoetin alfa effectively increased </w:t>
      </w:r>
      <w:r w:rsidR="008401C2" w:rsidRPr="006053E9">
        <w:rPr>
          <w:highlight w:val="yellow"/>
        </w:rPr>
        <w:t>haemoglobin</w:t>
      </w:r>
      <w:r w:rsidR="008401C2" w:rsidRPr="006053E9">
        <w:rPr>
          <w:highlight w:val="yellow"/>
        </w:rPr>
        <w:t xml:space="preserve"> </w:t>
      </w:r>
      <w:r>
        <w:t xml:space="preserve">concentrations, reduced the need for transfusions, and improved patients’ quality of life. However, subsequent large-scale clinical trials revealed significant safety concerns. The CREATE (Drüeke et al., 2006), CHOIR (Singh et al., 2006), and TREAT (Pfeffer et al., 2009) trials demonstrated that targeting near-normal </w:t>
      </w:r>
      <w:r w:rsidR="008401C2" w:rsidRPr="006053E9">
        <w:rPr>
          <w:highlight w:val="yellow"/>
        </w:rPr>
        <w:t>haemoglobin</w:t>
      </w:r>
      <w:r w:rsidR="008401C2" w:rsidRPr="006053E9">
        <w:rPr>
          <w:highlight w:val="yellow"/>
        </w:rPr>
        <w:t xml:space="preserve"> </w:t>
      </w:r>
      <w:r>
        <w:t xml:space="preserve">levels with high ESA doses was associated with higher risks of cardiovascular events, stroke, and mortality. These findings reshaped clinical guidelines, </w:t>
      </w:r>
      <w:r w:rsidR="008401C2" w:rsidRPr="006053E9">
        <w:rPr>
          <w:highlight w:val="yellow"/>
        </w:rPr>
        <w:t>emphasising individualised</w:t>
      </w:r>
      <w:r w:rsidRPr="006053E9">
        <w:rPr>
          <w:highlight w:val="yellow"/>
        </w:rPr>
        <w:t xml:space="preserve"> </w:t>
      </w:r>
      <w:r>
        <w:t xml:space="preserve">therapy and more conservative </w:t>
      </w:r>
      <w:r w:rsidR="008401C2" w:rsidRPr="006053E9">
        <w:rPr>
          <w:highlight w:val="yellow"/>
        </w:rPr>
        <w:t>haemoglobin</w:t>
      </w:r>
      <w:r w:rsidR="008401C2" w:rsidRPr="006053E9">
        <w:rPr>
          <w:highlight w:val="yellow"/>
        </w:rPr>
        <w:t xml:space="preserve"> </w:t>
      </w:r>
      <w:r>
        <w:t>targets (KDIGO, 2012).</w:t>
      </w:r>
    </w:p>
    <w:p w14:paraId="1A76785D" w14:textId="02CAF055" w:rsidR="005E24AC" w:rsidRDefault="00EA6497">
      <w:pPr>
        <w:pStyle w:val="NormalWeb"/>
      </w:pPr>
      <w:r>
        <w:t xml:space="preserve">Iron supplementation, both oral and intravenous, remains a cornerstone of </w:t>
      </w:r>
      <w:r w:rsidR="008401C2" w:rsidRPr="006053E9">
        <w:rPr>
          <w:highlight w:val="yellow"/>
        </w:rPr>
        <w:t>anaemia</w:t>
      </w:r>
      <w:r w:rsidR="008401C2" w:rsidRPr="006053E9">
        <w:rPr>
          <w:highlight w:val="yellow"/>
        </w:rPr>
        <w:t xml:space="preserve"> </w:t>
      </w:r>
      <w:r>
        <w:t>management in CKD, given the high prevalence of iron deficiency in this population</w:t>
      </w:r>
      <w:r w:rsidR="003B16AB">
        <w:t xml:space="preserve"> (</w:t>
      </w:r>
      <w:r w:rsidR="003B16AB" w:rsidRPr="003B16AB">
        <w:t>DeLoughery</w:t>
      </w:r>
      <w:r w:rsidR="003B16AB">
        <w:t xml:space="preserve"> et al., 2024)</w:t>
      </w:r>
      <w:r>
        <w:t xml:space="preserve">. Iron deficiency may arise from inadequate dietary intake, reduced gastrointestinal absorption, or chronic inflammation that limits iron bioavailability through hepcidin-mediated sequestration (Bazeley, Koury, &amp; Agarwal, 2022). Several trials have investigated optimal iron replacement strategies, with recent evidence </w:t>
      </w:r>
      <w:r w:rsidR="008401C2" w:rsidRPr="006053E9">
        <w:rPr>
          <w:highlight w:val="yellow"/>
        </w:rPr>
        <w:t>favouring</w:t>
      </w:r>
      <w:r w:rsidR="008401C2" w:rsidRPr="006053E9">
        <w:rPr>
          <w:highlight w:val="yellow"/>
        </w:rPr>
        <w:t xml:space="preserve"> </w:t>
      </w:r>
      <w:r>
        <w:t>intravenous formulations over oral routes due to superior efficacy and tolerability</w:t>
      </w:r>
      <w:r w:rsidR="003B16AB">
        <w:t xml:space="preserve"> (</w:t>
      </w:r>
      <w:r w:rsidR="003B16AB" w:rsidRPr="003B16AB">
        <w:t>Stoffel</w:t>
      </w:r>
      <w:r w:rsidR="003B16AB">
        <w:t xml:space="preserve"> et al., 2020)</w:t>
      </w:r>
      <w:r>
        <w:t xml:space="preserve">. The PIVOTAL trial demonstrated that proactive, high-dose intravenous iron administration in hemodialysis patients reduced the need for ESAs and transfusions without increasing the risk of infections or cardiovascular complications (Macdougall et al., 2019). Similarly, the FIND-CKD trial confirmed the benefits of intravenous ferric carboxymaltose over oral iron in improving </w:t>
      </w:r>
      <w:r w:rsidR="008401C2" w:rsidRPr="006053E9">
        <w:rPr>
          <w:highlight w:val="yellow"/>
        </w:rPr>
        <w:t>haemoglobin</w:t>
      </w:r>
      <w:r w:rsidR="008401C2" w:rsidRPr="006053E9">
        <w:rPr>
          <w:highlight w:val="yellow"/>
        </w:rPr>
        <w:t xml:space="preserve"> </w:t>
      </w:r>
      <w:r>
        <w:t xml:space="preserve">levels and reducing the need for additional </w:t>
      </w:r>
      <w:r w:rsidR="008401C2" w:rsidRPr="006053E9">
        <w:rPr>
          <w:highlight w:val="yellow"/>
        </w:rPr>
        <w:t>anaemia</w:t>
      </w:r>
      <w:r w:rsidR="008401C2" w:rsidRPr="006053E9">
        <w:rPr>
          <w:highlight w:val="yellow"/>
        </w:rPr>
        <w:t xml:space="preserve"> </w:t>
      </w:r>
      <w:r>
        <w:t xml:space="preserve">therapy in non-dialysis CKD patients (Macdougall et al., 2014). These findings have prompted a paradigm shift toward early and proactive iron </w:t>
      </w:r>
      <w:r>
        <w:lastRenderedPageBreak/>
        <w:t xml:space="preserve">repletion strategies, integrated with ESA use, to </w:t>
      </w:r>
      <w:r w:rsidR="008401C2" w:rsidRPr="006053E9">
        <w:rPr>
          <w:highlight w:val="yellow"/>
        </w:rPr>
        <w:t>optimise anaemia</w:t>
      </w:r>
      <w:r w:rsidRPr="006053E9">
        <w:rPr>
          <w:highlight w:val="yellow"/>
        </w:rPr>
        <w:t xml:space="preserve"> </w:t>
      </w:r>
      <w:r>
        <w:t>correction while mitigating cardiovascular risks.</w:t>
      </w:r>
    </w:p>
    <w:p w14:paraId="4DF446F3" w14:textId="163177F9" w:rsidR="005E24AC" w:rsidRDefault="00EA6497">
      <w:pPr>
        <w:pStyle w:val="NormalWeb"/>
      </w:pPr>
      <w:r>
        <w:t>Despite these advances, challenges persist with conventional ESA and iron therapies. ESA resistance remains a significant clinical problem, often driven by chronic inflammation, iron deficiency, or comorbidities such as diabetes and cardiovascular disease</w:t>
      </w:r>
      <w:r w:rsidR="003B16AB">
        <w:t xml:space="preserve"> (</w:t>
      </w:r>
      <w:r w:rsidR="003B16AB" w:rsidRPr="003B16AB">
        <w:t>Locatelli</w:t>
      </w:r>
      <w:r w:rsidR="003B16AB">
        <w:t xml:space="preserve"> </w:t>
      </w:r>
      <w:r w:rsidR="003B16AB" w:rsidRPr="003B16AB">
        <w:t>&amp; Del Vecchio, 2023</w:t>
      </w:r>
      <w:r w:rsidR="003B16AB">
        <w:t>)</w:t>
      </w:r>
      <w:r>
        <w:t xml:space="preserve">. Additionally, the administration burden, cost, and potential safety concerns associated with long-term ESA use highlight the need for newer, more physiologically based treatments. In this context, the development of hypoxia-inducible factor prolyl hydroxylase inhibitors (HIF-PHIs) marks a major breakthrough in </w:t>
      </w:r>
      <w:r w:rsidR="008401C2" w:rsidRPr="006053E9">
        <w:rPr>
          <w:highlight w:val="yellow"/>
        </w:rPr>
        <w:t>anaemia</w:t>
      </w:r>
      <w:r w:rsidR="008401C2" w:rsidRPr="006053E9">
        <w:rPr>
          <w:highlight w:val="yellow"/>
        </w:rPr>
        <w:t xml:space="preserve"> </w:t>
      </w:r>
      <w:r>
        <w:t xml:space="preserve">therapy. These oral agents, including roxadustat, daprodustat, and vadadustat, act by </w:t>
      </w:r>
      <w:r w:rsidR="008401C2" w:rsidRPr="006053E9">
        <w:rPr>
          <w:highlight w:val="yellow"/>
        </w:rPr>
        <w:t>stabilising</w:t>
      </w:r>
      <w:r w:rsidR="008401C2" w:rsidRPr="006053E9">
        <w:rPr>
          <w:highlight w:val="yellow"/>
        </w:rPr>
        <w:t xml:space="preserve"> </w:t>
      </w:r>
      <w:r>
        <w:t xml:space="preserve">hypoxia-inducible factors, thereby stimulating endogenous erythropoietin production, enhancing iron absorption, and reducing hepcidin levels (Stoumpos, O’Callaghan, &amp; Taal, 2024). Unlike ESAs, which deliver supraphysiologic doses of erythropoietin, HIF-PHIs mimic the body’s natural response to hypoxia, potentially offering a safer and more balanced correction of </w:t>
      </w:r>
      <w:r w:rsidR="008401C2" w:rsidRPr="006053E9">
        <w:rPr>
          <w:highlight w:val="yellow"/>
        </w:rPr>
        <w:t>anaemia</w:t>
      </w:r>
      <w:r w:rsidR="008401C2" w:rsidRPr="006053E9">
        <w:rPr>
          <w:highlight w:val="yellow"/>
        </w:rPr>
        <w:t xml:space="preserve"> </w:t>
      </w:r>
      <w:r>
        <w:t>(Yang &amp; Davis, 2022).</w:t>
      </w:r>
    </w:p>
    <w:p w14:paraId="2F52B6D7" w14:textId="5DBEF3EE" w:rsidR="005E24AC" w:rsidRDefault="00EA6497">
      <w:pPr>
        <w:pStyle w:val="NormalWeb"/>
      </w:pPr>
      <w:r>
        <w:t xml:space="preserve">Clinical trials have provided encouraging results regarding the efficacy and safety of HIF-PHIs in both dialysis and non-dialysis CKD populations. Roxadustat was shown to significantly increase </w:t>
      </w:r>
      <w:r w:rsidR="008401C2" w:rsidRPr="006053E9">
        <w:rPr>
          <w:highlight w:val="yellow"/>
        </w:rPr>
        <w:t>haemoglobin</w:t>
      </w:r>
      <w:r w:rsidR="008401C2" w:rsidRPr="006053E9">
        <w:rPr>
          <w:highlight w:val="yellow"/>
        </w:rPr>
        <w:t xml:space="preserve"> </w:t>
      </w:r>
      <w:r>
        <w:t xml:space="preserve">levels in non-dialysis CKD patients compared to placebo, while also improving iron metabolism and reducing the need for intravenous iron supplementation (Chen et al., 2019). Similarly, daprodustat demonstrated comparable efficacy to epoetin alfa, with additional benefits related to lipid metabolism and inflammatory markers (Singh et al., 2021). Vadadustat has also shown non-inferiority to darbepoetin alfa in terms of </w:t>
      </w:r>
      <w:r w:rsidR="008401C2" w:rsidRPr="006053E9">
        <w:rPr>
          <w:highlight w:val="yellow"/>
        </w:rPr>
        <w:t>haemoglobin</w:t>
      </w:r>
      <w:r w:rsidR="008401C2" w:rsidRPr="006053E9">
        <w:rPr>
          <w:highlight w:val="yellow"/>
        </w:rPr>
        <w:t xml:space="preserve"> </w:t>
      </w:r>
      <w:r>
        <w:t xml:space="preserve">correction, although some studies have reported concerns about cardiovascular safety in specific subgroups (Chertow et al., 2021). Meta-analyses suggest that HIF-PHIs are generally well tolerated, with lower requirements for exogenous iron and </w:t>
      </w:r>
      <w:r w:rsidR="008401C2" w:rsidRPr="006053E9">
        <w:rPr>
          <w:highlight w:val="yellow"/>
        </w:rPr>
        <w:t>favourable</w:t>
      </w:r>
      <w:r w:rsidR="008401C2" w:rsidRPr="006053E9">
        <w:rPr>
          <w:highlight w:val="yellow"/>
        </w:rPr>
        <w:t xml:space="preserve"> </w:t>
      </w:r>
      <w:r>
        <w:t>effects on iron homeostasis, though ongoing long-term safety monitoring remains crucial (Chen, Chen, &amp; Li, 2023; Tyagi, Patel, &amp; Mehta, 2025).</w:t>
      </w:r>
    </w:p>
    <w:p w14:paraId="133D126D" w14:textId="496640AA" w:rsidR="005E24AC" w:rsidRDefault="00EA6497">
      <w:pPr>
        <w:pStyle w:val="NormalWeb"/>
      </w:pPr>
      <w:r>
        <w:t xml:space="preserve">The mechanistic advantages of HIF-PHIs extend beyond erythropoiesis. By modulating the hypoxia </w:t>
      </w:r>
      <w:r w:rsidR="008401C2" w:rsidRPr="006053E9">
        <w:rPr>
          <w:highlight w:val="yellow"/>
        </w:rPr>
        <w:t>signalling</w:t>
      </w:r>
      <w:r w:rsidR="008401C2" w:rsidRPr="006053E9">
        <w:rPr>
          <w:highlight w:val="yellow"/>
        </w:rPr>
        <w:t xml:space="preserve"> </w:t>
      </w:r>
      <w:r>
        <w:t xml:space="preserve">pathway, these agents enhance intestinal iron absorption, suppress hepcidin expression, and promote </w:t>
      </w:r>
      <w:r w:rsidR="008401C2" w:rsidRPr="006053E9">
        <w:rPr>
          <w:highlight w:val="yellow"/>
        </w:rPr>
        <w:t>mobilisation</w:t>
      </w:r>
      <w:r w:rsidR="008401C2" w:rsidRPr="006053E9">
        <w:rPr>
          <w:highlight w:val="yellow"/>
        </w:rPr>
        <w:t xml:space="preserve"> </w:t>
      </w:r>
      <w:r>
        <w:t xml:space="preserve">of iron from stores, thereby addressing both functional and absolute iron deficiency (Yang &amp; Davis, 2022). Furthermore, HIF-PHIs have been associated with anti-inflammatory effects and potential improvements in lipid metabolism, which may have broader implications for cardiovascular outcomes (Fishbane &amp; Spinowitz, 2021). Nonetheless, questions remain regarding their long-term impact on </w:t>
      </w:r>
      <w:r w:rsidR="008401C2" w:rsidRPr="006053E9">
        <w:rPr>
          <w:highlight w:val="yellow"/>
        </w:rPr>
        <w:t>tumour</w:t>
      </w:r>
      <w:r w:rsidR="008401C2">
        <w:t xml:space="preserve"> </w:t>
      </w:r>
      <w:r>
        <w:t>progression, retinopathy, and pulmonary hypertension, underscoring the importance of post-marketing surveillance and ongoing phase 4 studies (Stoumpos et al., 2024).</w:t>
      </w:r>
    </w:p>
    <w:p w14:paraId="28F89B8B" w14:textId="49EA6370" w:rsidR="005E24AC" w:rsidRDefault="008401C2">
      <w:pPr>
        <w:pStyle w:val="NormalWeb"/>
      </w:pPr>
      <w:r w:rsidRPr="006053E9">
        <w:rPr>
          <w:highlight w:val="yellow"/>
        </w:rPr>
        <w:t>Anaemia</w:t>
      </w:r>
      <w:r w:rsidRPr="006053E9">
        <w:rPr>
          <w:highlight w:val="yellow"/>
        </w:rPr>
        <w:t xml:space="preserve"> </w:t>
      </w:r>
      <w:r w:rsidR="00EA6497">
        <w:t xml:space="preserve">management in CKD today thus represents a delicate balance between efficacy, safety, and </w:t>
      </w:r>
      <w:r w:rsidRPr="006053E9">
        <w:rPr>
          <w:highlight w:val="yellow"/>
        </w:rPr>
        <w:t>individualised</w:t>
      </w:r>
      <w:r w:rsidRPr="006053E9">
        <w:rPr>
          <w:highlight w:val="yellow"/>
        </w:rPr>
        <w:t xml:space="preserve"> </w:t>
      </w:r>
      <w:r w:rsidR="00EA6497">
        <w:t xml:space="preserve">patient needs. The KDIGO guidelines </w:t>
      </w:r>
      <w:r w:rsidRPr="006053E9">
        <w:rPr>
          <w:highlight w:val="yellow"/>
        </w:rPr>
        <w:t>emphasise</w:t>
      </w:r>
      <w:r w:rsidRPr="006053E9">
        <w:rPr>
          <w:highlight w:val="yellow"/>
        </w:rPr>
        <w:t xml:space="preserve"> </w:t>
      </w:r>
      <w:r w:rsidR="00EA6497">
        <w:t xml:space="preserve">maintaining </w:t>
      </w:r>
      <w:r w:rsidRPr="006053E9">
        <w:rPr>
          <w:highlight w:val="yellow"/>
        </w:rPr>
        <w:t>haemoglobin</w:t>
      </w:r>
      <w:r w:rsidRPr="006053E9">
        <w:rPr>
          <w:highlight w:val="yellow"/>
        </w:rPr>
        <w:t xml:space="preserve"> </w:t>
      </w:r>
      <w:r w:rsidR="00EA6497">
        <w:t xml:space="preserve">levels sufficient to alleviate </w:t>
      </w:r>
      <w:r w:rsidRPr="006053E9">
        <w:rPr>
          <w:highlight w:val="yellow"/>
        </w:rPr>
        <w:t>anaemia-related</w:t>
      </w:r>
      <w:r w:rsidR="00EA6497" w:rsidRPr="006053E9">
        <w:rPr>
          <w:highlight w:val="yellow"/>
        </w:rPr>
        <w:t xml:space="preserve"> </w:t>
      </w:r>
      <w:r w:rsidR="00EA6497">
        <w:t xml:space="preserve">symptoms and avoid transfusions, rather than striving for complete </w:t>
      </w:r>
      <w:r w:rsidRPr="006053E9">
        <w:rPr>
          <w:highlight w:val="yellow"/>
        </w:rPr>
        <w:t>normalisation</w:t>
      </w:r>
      <w:r w:rsidRPr="006053E9">
        <w:rPr>
          <w:highlight w:val="yellow"/>
        </w:rPr>
        <w:t xml:space="preserve"> </w:t>
      </w:r>
      <w:r w:rsidR="00EA6497">
        <w:t xml:space="preserve">(KDIGO, 2012). This approach reflects lessons learned from earlier ESA trials and aligns with contemporary principles of risk mitigation. Treatment decisions now consider factors such as iron status, comorbidities, cardiovascular risk profile, </w:t>
      </w:r>
      <w:r w:rsidR="00EA6497">
        <w:lastRenderedPageBreak/>
        <w:t>inflammation, and patient preferences. In addition, recent therapeutic innovations have introduced a more nuanced understanding of iron metabolism and erythropoiesis regulation, supporting integrated strategies that combine iron therapy, ESA or HIF-PHI use, and management of underlying inflammatory states.</w:t>
      </w:r>
    </w:p>
    <w:p w14:paraId="6473E2F5" w14:textId="15B0F80D" w:rsidR="005E24AC" w:rsidRDefault="00EA6497">
      <w:pPr>
        <w:pStyle w:val="NormalWeb"/>
      </w:pPr>
      <w:r>
        <w:t xml:space="preserve">The emergence of HIF-PHIs has reinvigorated interest in redefining </w:t>
      </w:r>
      <w:r w:rsidR="00272DEB" w:rsidRPr="006053E9">
        <w:rPr>
          <w:highlight w:val="yellow"/>
        </w:rPr>
        <w:t>anaemia</w:t>
      </w:r>
      <w:r w:rsidR="00272DEB" w:rsidRPr="006053E9">
        <w:rPr>
          <w:highlight w:val="yellow"/>
        </w:rPr>
        <w:t xml:space="preserve"> </w:t>
      </w:r>
      <w:r>
        <w:t xml:space="preserve">treatment paradigms in CKD, with growing evidence suggesting that these agents can achieve effective </w:t>
      </w:r>
      <w:r w:rsidR="00272DEB" w:rsidRPr="006053E9">
        <w:rPr>
          <w:highlight w:val="yellow"/>
        </w:rPr>
        <w:t>haemoglobin</w:t>
      </w:r>
      <w:r w:rsidR="00272DEB" w:rsidRPr="006053E9">
        <w:rPr>
          <w:highlight w:val="yellow"/>
        </w:rPr>
        <w:t xml:space="preserve"> </w:t>
      </w:r>
      <w:r>
        <w:t xml:space="preserve">correction with potentially fewer cardiovascular risks and reduced dependence on parenteral iron. However, translating these findings into clinical practice requires a careful appraisal of cost-effectiveness, accessibility, and long-term safety in diverse patient populations. As novel data continue to emerge, clinicians must remain informed about the comparative benefits and limitations of each therapeutic approach to tailor treatment effectively. Ultimately, the evolving landscape of </w:t>
      </w:r>
      <w:r w:rsidR="00272DEB" w:rsidRPr="006053E9">
        <w:rPr>
          <w:highlight w:val="yellow"/>
        </w:rPr>
        <w:t>anaemia</w:t>
      </w:r>
      <w:r w:rsidR="00272DEB" w:rsidRPr="006053E9">
        <w:rPr>
          <w:highlight w:val="yellow"/>
        </w:rPr>
        <w:t xml:space="preserve"> </w:t>
      </w:r>
      <w:r>
        <w:t xml:space="preserve">management in CKD reflects a broader shift toward precision medicine—where treatment choices are guided by patient-specific biological, clinical, and lifestyle factors to </w:t>
      </w:r>
      <w:r w:rsidR="00272DEB" w:rsidRPr="006053E9">
        <w:rPr>
          <w:highlight w:val="yellow"/>
        </w:rPr>
        <w:t>optimise</w:t>
      </w:r>
      <w:r w:rsidR="00272DEB" w:rsidRPr="006053E9">
        <w:rPr>
          <w:highlight w:val="yellow"/>
        </w:rPr>
        <w:t xml:space="preserve"> </w:t>
      </w:r>
      <w:r>
        <w:t>outcomes and quality of life.</w:t>
      </w:r>
    </w:p>
    <w:p w14:paraId="4CD6CB70" w14:textId="77777777" w:rsidR="005E24AC" w:rsidRDefault="005E24AC">
      <w:pPr>
        <w:pStyle w:val="NormalWeb"/>
      </w:pPr>
    </w:p>
    <w:p w14:paraId="674759E2" w14:textId="77777777" w:rsidR="004315C7" w:rsidRDefault="004315C7">
      <w:pPr>
        <w:pStyle w:val="NormalWeb"/>
      </w:pPr>
      <w:r>
        <w:rPr>
          <w:rStyle w:val="Strong"/>
        </w:rPr>
        <w:t>Methods</w:t>
      </w:r>
    </w:p>
    <w:p w14:paraId="375016E8" w14:textId="666BD587" w:rsidR="004315C7" w:rsidRDefault="004315C7">
      <w:pPr>
        <w:pStyle w:val="NormalWeb"/>
      </w:pPr>
      <w:r>
        <w:t xml:space="preserve">This review was conducted to </w:t>
      </w:r>
      <w:r w:rsidR="008401C2" w:rsidRPr="006053E9">
        <w:rPr>
          <w:highlight w:val="yellow"/>
        </w:rPr>
        <w:t>synthesise</w:t>
      </w:r>
      <w:r w:rsidR="008401C2" w:rsidRPr="006053E9">
        <w:rPr>
          <w:highlight w:val="yellow"/>
        </w:rPr>
        <w:t xml:space="preserve"> </w:t>
      </w:r>
      <w:r>
        <w:t xml:space="preserve">current evidence on </w:t>
      </w:r>
      <w:r w:rsidR="008401C2" w:rsidRPr="006053E9">
        <w:rPr>
          <w:highlight w:val="yellow"/>
        </w:rPr>
        <w:t>anaemia</w:t>
      </w:r>
      <w:r w:rsidR="008401C2" w:rsidRPr="006053E9">
        <w:rPr>
          <w:highlight w:val="yellow"/>
        </w:rPr>
        <w:t xml:space="preserve"> </w:t>
      </w:r>
      <w:r>
        <w:t xml:space="preserve">management in patients with chronic kidney disease (CKD), with a focus on evolving therapeutic modalities and their clinical outcomes. A comprehensive literature search was performed using </w:t>
      </w:r>
      <w:r>
        <w:rPr>
          <w:rStyle w:val="Strong"/>
        </w:rPr>
        <w:t>PubMed</w:t>
      </w:r>
      <w:r>
        <w:t xml:space="preserve">, </w:t>
      </w:r>
      <w:r>
        <w:rPr>
          <w:rStyle w:val="Strong"/>
        </w:rPr>
        <w:t>Scopus</w:t>
      </w:r>
      <w:r>
        <w:t xml:space="preserve">, and </w:t>
      </w:r>
      <w:r>
        <w:rPr>
          <w:rStyle w:val="Strong"/>
        </w:rPr>
        <w:t>Google Scholar</w:t>
      </w:r>
      <w:r>
        <w:t xml:space="preserve"> databases to identify relevant studies published between </w:t>
      </w:r>
      <w:r>
        <w:rPr>
          <w:rStyle w:val="Strong"/>
        </w:rPr>
        <w:t>2010 and 2025</w:t>
      </w:r>
      <w:r>
        <w:t>. The search strategy combined Medical Subject Headings (MeSH) and free-text terms, including “chronic kidney disease,” “</w:t>
      </w:r>
      <w:r w:rsidR="008401C2" w:rsidRPr="006053E9">
        <w:rPr>
          <w:highlight w:val="yellow"/>
        </w:rPr>
        <w:t>anaemia</w:t>
      </w:r>
      <w:r>
        <w:t>,” “erythropoiesis-stimulating agents,” “iron therapy,” “hypoxia-inducible factor prolyl hydroxylase inhibitors,” and “clinical outcomes.” Boolean operators (AND, OR) were used to refine the search and include variations of the key terms.</w:t>
      </w:r>
    </w:p>
    <w:p w14:paraId="168B9A06" w14:textId="335E5255" w:rsidR="004315C7" w:rsidRDefault="004315C7">
      <w:pPr>
        <w:pStyle w:val="NormalWeb"/>
      </w:pPr>
      <w:r>
        <w:t xml:space="preserve">Only articles published in </w:t>
      </w:r>
      <w:r>
        <w:rPr>
          <w:rStyle w:val="Strong"/>
        </w:rPr>
        <w:t>English</w:t>
      </w:r>
      <w:r>
        <w:t xml:space="preserve"> were included. Eligible studies encompassed </w:t>
      </w:r>
      <w:r w:rsidR="008401C2" w:rsidRPr="006053E9">
        <w:rPr>
          <w:highlight w:val="yellow"/>
        </w:rPr>
        <w:t>randomised</w:t>
      </w:r>
      <w:r w:rsidR="008401C2" w:rsidRPr="006053E9">
        <w:rPr>
          <w:highlight w:val="yellow"/>
        </w:rPr>
        <w:t xml:space="preserve"> </w:t>
      </w:r>
      <w:r>
        <w:t xml:space="preserve">controlled trials (RCTs), cohort studies, meta-analyses, systematic reviews, and relevant clinical guidelines. Inclusion criteria were: (1) studies involving adult CKD patients (both dialysis and non-dialysis populations); (2) evaluation of </w:t>
      </w:r>
      <w:r w:rsidR="008401C2" w:rsidRPr="006053E9">
        <w:rPr>
          <w:highlight w:val="yellow"/>
        </w:rPr>
        <w:t>anaemia</w:t>
      </w:r>
      <w:r w:rsidR="008401C2" w:rsidRPr="006053E9">
        <w:rPr>
          <w:highlight w:val="yellow"/>
        </w:rPr>
        <w:t xml:space="preserve"> </w:t>
      </w:r>
      <w:r>
        <w:t xml:space="preserve">management strategies such as ESAs, iron supplementation, or HIF-PHIs; and (3) reporting of clinical outcomes including </w:t>
      </w:r>
      <w:r w:rsidR="008401C2" w:rsidRPr="006053E9">
        <w:rPr>
          <w:highlight w:val="yellow"/>
        </w:rPr>
        <w:t>haemoglobin</w:t>
      </w:r>
      <w:r w:rsidR="008401C2" w:rsidRPr="006053E9">
        <w:rPr>
          <w:highlight w:val="yellow"/>
        </w:rPr>
        <w:t xml:space="preserve"> </w:t>
      </w:r>
      <w:r>
        <w:t>response, cardiovascular events, mortality, or quality of life. Exclusion criteria included pediatric populations, case reports, editorials, and animal studies.</w:t>
      </w:r>
    </w:p>
    <w:p w14:paraId="04A0A68F" w14:textId="448959E6" w:rsidR="004315C7" w:rsidRDefault="004315C7">
      <w:pPr>
        <w:pStyle w:val="NormalWeb"/>
      </w:pPr>
      <w:r>
        <w:t xml:space="preserve">Two reviewers independently screened titles and abstracts, followed by full-text evaluation for eligibility. Discrepancies were resolved through consensus. Data were extracted systematically, including study design, sample size, intervention type, treatment duration, and major clinical outcomes. The </w:t>
      </w:r>
      <w:r>
        <w:rPr>
          <w:rStyle w:val="Strong"/>
        </w:rPr>
        <w:t>Preferred Reporting Items for Systematic Reviews and Meta-Analyses (PRISMA)</w:t>
      </w:r>
      <w:r>
        <w:t xml:space="preserve"> guidelines were followed to ensure methodological </w:t>
      </w:r>
      <w:r w:rsidR="008401C2" w:rsidRPr="006053E9">
        <w:rPr>
          <w:highlight w:val="yellow"/>
        </w:rPr>
        <w:t>rigour</w:t>
      </w:r>
      <w:r>
        <w:t>.</w:t>
      </w:r>
    </w:p>
    <w:p w14:paraId="22226F47" w14:textId="2BF35CBE" w:rsidR="005E24AC" w:rsidRDefault="004315C7" w:rsidP="004315C7">
      <w:pPr>
        <w:pStyle w:val="NormalWeb"/>
      </w:pPr>
      <w:r>
        <w:t xml:space="preserve">The findings were </w:t>
      </w:r>
      <w:r w:rsidR="008401C2" w:rsidRPr="006053E9">
        <w:rPr>
          <w:highlight w:val="yellow"/>
        </w:rPr>
        <w:t>organised</w:t>
      </w:r>
      <w:r w:rsidR="008401C2" w:rsidRPr="006053E9">
        <w:rPr>
          <w:highlight w:val="yellow"/>
        </w:rPr>
        <w:t xml:space="preserve"> </w:t>
      </w:r>
      <w:r>
        <w:t xml:space="preserve">into thematic sections: (1) pathophysiology of </w:t>
      </w:r>
      <w:r w:rsidR="008401C2" w:rsidRPr="006053E9">
        <w:rPr>
          <w:highlight w:val="yellow"/>
        </w:rPr>
        <w:t>anaemia</w:t>
      </w:r>
      <w:r w:rsidR="008401C2" w:rsidRPr="006053E9">
        <w:rPr>
          <w:highlight w:val="yellow"/>
        </w:rPr>
        <w:t xml:space="preserve"> </w:t>
      </w:r>
      <w:r>
        <w:t xml:space="preserve">in CKD, (2) conventional treatment approaches, (3) novel therapeutic agents, and (4) comparative effectiveness and safety outcomes. Results were narratively </w:t>
      </w:r>
      <w:r w:rsidR="008401C2" w:rsidRPr="006053E9">
        <w:rPr>
          <w:highlight w:val="yellow"/>
        </w:rPr>
        <w:t>synthesised</w:t>
      </w:r>
      <w:r w:rsidR="008401C2" w:rsidRPr="006053E9">
        <w:rPr>
          <w:highlight w:val="yellow"/>
        </w:rPr>
        <w:t xml:space="preserve"> </w:t>
      </w:r>
      <w:r>
        <w:t xml:space="preserve">due to heterogeneity in </w:t>
      </w:r>
      <w:r>
        <w:lastRenderedPageBreak/>
        <w:t>study design and outcome measures. Emphasis was placed on the evolving role of new therapeutic agents, emerging clinical evidence, and implications for guideline-directed patient management.</w:t>
      </w:r>
    </w:p>
    <w:p w14:paraId="1E13BA88" w14:textId="77777777" w:rsidR="004315C7" w:rsidRDefault="004315C7" w:rsidP="004315C7">
      <w:pPr>
        <w:pStyle w:val="NormalWeb"/>
      </w:pPr>
    </w:p>
    <w:p w14:paraId="75E7AEAC" w14:textId="77777777" w:rsidR="005E24AC" w:rsidRDefault="00EA6497">
      <w:pPr>
        <w:pStyle w:val="NormalWeb"/>
      </w:pPr>
      <w:r>
        <w:rPr>
          <w:rStyle w:val="Strong"/>
        </w:rPr>
        <w:t>Results</w:t>
      </w:r>
    </w:p>
    <w:p w14:paraId="5424F053" w14:textId="7DF2F309" w:rsidR="005E24AC" w:rsidRDefault="00EA6497">
      <w:pPr>
        <w:pStyle w:val="NormalWeb"/>
      </w:pPr>
      <w:r>
        <w:t xml:space="preserve">The management of </w:t>
      </w:r>
      <w:r w:rsidR="008401C2" w:rsidRPr="006053E9">
        <w:rPr>
          <w:highlight w:val="yellow"/>
        </w:rPr>
        <w:t>anaemia</w:t>
      </w:r>
      <w:r w:rsidR="008401C2" w:rsidRPr="006053E9">
        <w:rPr>
          <w:highlight w:val="yellow"/>
        </w:rPr>
        <w:t xml:space="preserve"> </w:t>
      </w:r>
      <w:r>
        <w:t xml:space="preserve">in chronic kidney disease (CKD) has evolved substantially over the past two decades, driven by improved understanding of its pathophysiology and the safety limitations of traditional therapies. Early reliance on erythropoiesis-stimulating agents (ESAs) and iron supplementation significantly improved patient outcomes but also revealed cardiovascular and mortality risks when used aggressively to </w:t>
      </w:r>
      <w:r w:rsidR="008401C2" w:rsidRPr="006053E9">
        <w:rPr>
          <w:highlight w:val="yellow"/>
        </w:rPr>
        <w:t>normalise haemoglobin</w:t>
      </w:r>
      <w:r w:rsidRPr="006053E9">
        <w:rPr>
          <w:highlight w:val="yellow"/>
        </w:rPr>
        <w:t xml:space="preserve"> </w:t>
      </w:r>
      <w:r>
        <w:t xml:space="preserve">levels. Subsequent clinical trials and meta-analyses have provided valuable insights that have reshaped treatment paradigms, </w:t>
      </w:r>
      <w:r w:rsidR="008401C2" w:rsidRPr="006053E9">
        <w:rPr>
          <w:highlight w:val="yellow"/>
        </w:rPr>
        <w:t>emphasising individualised</w:t>
      </w:r>
      <w:r w:rsidRPr="006053E9">
        <w:rPr>
          <w:highlight w:val="yellow"/>
        </w:rPr>
        <w:t xml:space="preserve"> </w:t>
      </w:r>
      <w:r>
        <w:t xml:space="preserve">and risk-balanced approaches to </w:t>
      </w:r>
      <w:r w:rsidR="008401C2">
        <w:t>anaemia</w:t>
      </w:r>
      <w:r w:rsidR="008401C2">
        <w:t xml:space="preserve"> </w:t>
      </w:r>
      <w:r>
        <w:t>correction.</w:t>
      </w:r>
    </w:p>
    <w:p w14:paraId="282472F3" w14:textId="7E27EEC9" w:rsidR="005E24AC" w:rsidRDefault="00EA6497">
      <w:pPr>
        <w:pStyle w:val="NormalWeb"/>
      </w:pPr>
      <w:r>
        <w:t xml:space="preserve">The Kidney Disease: Improving Global Outcomes (KDIGO) guidelines (2012) remain the foundational reference for clinical decision-making in </w:t>
      </w:r>
      <w:r w:rsidR="008401C2" w:rsidRPr="006053E9">
        <w:rPr>
          <w:highlight w:val="yellow"/>
        </w:rPr>
        <w:t>anaemia</w:t>
      </w:r>
      <w:r w:rsidR="008401C2" w:rsidRPr="006053E9">
        <w:rPr>
          <w:highlight w:val="yellow"/>
        </w:rPr>
        <w:t xml:space="preserve"> </w:t>
      </w:r>
      <w:r>
        <w:t xml:space="preserve">management, recommending initiation of ESA therapy when </w:t>
      </w:r>
      <w:r w:rsidR="008401C2" w:rsidRPr="006053E9">
        <w:rPr>
          <w:highlight w:val="yellow"/>
        </w:rPr>
        <w:t>haemoglobin</w:t>
      </w:r>
      <w:r w:rsidR="008401C2" w:rsidRPr="006053E9">
        <w:rPr>
          <w:highlight w:val="yellow"/>
        </w:rPr>
        <w:t xml:space="preserve"> </w:t>
      </w:r>
      <w:r>
        <w:t xml:space="preserve">falls below 10 g/dL and advising against </w:t>
      </w:r>
      <w:r w:rsidR="008401C2" w:rsidRPr="006053E9">
        <w:rPr>
          <w:highlight w:val="yellow"/>
        </w:rPr>
        <w:t>normalisation</w:t>
      </w:r>
      <w:r w:rsidR="008401C2" w:rsidRPr="006053E9">
        <w:rPr>
          <w:highlight w:val="yellow"/>
        </w:rPr>
        <w:t xml:space="preserve"> </w:t>
      </w:r>
      <w:r>
        <w:t xml:space="preserve">of </w:t>
      </w:r>
      <w:r w:rsidR="008401C2" w:rsidRPr="006053E9">
        <w:rPr>
          <w:highlight w:val="yellow"/>
        </w:rPr>
        <w:t>haemoglobin</w:t>
      </w:r>
      <w:r w:rsidR="008401C2" w:rsidRPr="006053E9">
        <w:rPr>
          <w:highlight w:val="yellow"/>
        </w:rPr>
        <w:t xml:space="preserve"> </w:t>
      </w:r>
      <w:r>
        <w:t xml:space="preserve">due to increased cardiovascular events (Kidney Disease: Improving Global Outcomes [KDIGO], 2012). The recommendations emerged from landmark studies that evaluated the safety and efficacy of ESAs. The Correction of </w:t>
      </w:r>
      <w:r w:rsidR="008401C2" w:rsidRPr="006053E9">
        <w:rPr>
          <w:highlight w:val="yellow"/>
        </w:rPr>
        <w:t>Haemoglobin</w:t>
      </w:r>
      <w:r w:rsidR="008401C2" w:rsidRPr="006053E9">
        <w:rPr>
          <w:highlight w:val="yellow"/>
        </w:rPr>
        <w:t xml:space="preserve"> </w:t>
      </w:r>
      <w:r>
        <w:t xml:space="preserve">and Outcomes in Renal Insufficiency (CHOIR) trial demonstrated that targeting higher </w:t>
      </w:r>
      <w:r w:rsidR="008401C2" w:rsidRPr="006053E9">
        <w:rPr>
          <w:highlight w:val="yellow"/>
        </w:rPr>
        <w:t>haemoglobin</w:t>
      </w:r>
      <w:r w:rsidR="008401C2" w:rsidRPr="006053E9">
        <w:rPr>
          <w:highlight w:val="yellow"/>
        </w:rPr>
        <w:t xml:space="preserve"> </w:t>
      </w:r>
      <w:r>
        <w:t xml:space="preserve">levels with epoetin alfa (13.5 g/dL) compared to lower targets (11.3 g/dL) led to increased risk of death, heart failure, and stroke without survival benefit (Singh et al., 2006). Similarly, the CREATE trial reported that </w:t>
      </w:r>
      <w:r w:rsidR="008401C2" w:rsidRPr="006053E9">
        <w:rPr>
          <w:highlight w:val="yellow"/>
        </w:rPr>
        <w:t>normalisation</w:t>
      </w:r>
      <w:r w:rsidR="008401C2" w:rsidRPr="006053E9">
        <w:rPr>
          <w:highlight w:val="yellow"/>
        </w:rPr>
        <w:t xml:space="preserve"> </w:t>
      </w:r>
      <w:r>
        <w:t xml:space="preserve">of </w:t>
      </w:r>
      <w:r w:rsidR="008401C2" w:rsidRPr="006053E9">
        <w:rPr>
          <w:highlight w:val="yellow"/>
        </w:rPr>
        <w:t>haemoglobin</w:t>
      </w:r>
      <w:r w:rsidR="008401C2" w:rsidRPr="006053E9">
        <w:rPr>
          <w:highlight w:val="yellow"/>
        </w:rPr>
        <w:t xml:space="preserve"> </w:t>
      </w:r>
      <w:r>
        <w:t xml:space="preserve">did not improve cardiovascular outcomes and was associated with earlier initiation of dialysis (Drüeke et al., 2006). The TREAT trial, involving darbepoetin alfa in diabetic CKD patients, further confirmed that higher </w:t>
      </w:r>
      <w:r w:rsidR="008401C2" w:rsidRPr="006053E9">
        <w:rPr>
          <w:highlight w:val="yellow"/>
        </w:rPr>
        <w:t>haemoglobin</w:t>
      </w:r>
      <w:r w:rsidR="008401C2" w:rsidRPr="006053E9">
        <w:rPr>
          <w:highlight w:val="yellow"/>
        </w:rPr>
        <w:t xml:space="preserve"> </w:t>
      </w:r>
      <w:r>
        <w:t xml:space="preserve">correction increased stroke risk without reducing cardiovascular morbidity or mortality (Pfeffer et al., 2009). Collectively, these studies established a cautious approach toward ESA use, </w:t>
      </w:r>
      <w:r w:rsidR="008401C2" w:rsidRPr="006053E9">
        <w:rPr>
          <w:highlight w:val="yellow"/>
        </w:rPr>
        <w:t>emphasising</w:t>
      </w:r>
      <w:r w:rsidR="008401C2" w:rsidRPr="006053E9">
        <w:rPr>
          <w:highlight w:val="yellow"/>
        </w:rPr>
        <w:t xml:space="preserve"> </w:t>
      </w:r>
      <w:r>
        <w:t xml:space="preserve">moderate correction and avoidance of </w:t>
      </w:r>
      <w:r w:rsidR="008401C2" w:rsidRPr="006053E9">
        <w:rPr>
          <w:highlight w:val="yellow"/>
        </w:rPr>
        <w:t>haemoglobin normalisation</w:t>
      </w:r>
      <w:r>
        <w:t>.</w:t>
      </w:r>
    </w:p>
    <w:p w14:paraId="195AA31B" w14:textId="6196F5FE" w:rsidR="005E24AC" w:rsidRDefault="00EA6497">
      <w:pPr>
        <w:pStyle w:val="NormalWeb"/>
      </w:pPr>
      <w:r>
        <w:t xml:space="preserve">Parallel to ESA development, advances in iron therapy have refined the management of iron deficiency </w:t>
      </w:r>
      <w:r w:rsidR="008401C2" w:rsidRPr="006053E9">
        <w:rPr>
          <w:highlight w:val="yellow"/>
        </w:rPr>
        <w:t>anaemia</w:t>
      </w:r>
      <w:r>
        <w:t xml:space="preserve">, which frequently coexists with CKD due to reduced intestinal absorption, inflammation, and blood loss. The PIVOTAL trial marked a turning point by demonstrating that proactive high-dose intravenous (IV) iron administration in hemodialysis patients reduced the need for ESAs and transfusions, while lowering the incidence of major adverse cardiovascular events compared with a reactive, low-dose regimen (Macdougall et al., 2019). These findings provided strong evidence for the safety and cardiovascular benefit of more liberal IV iron use under close monitoring. In non-dialysis CKD populations, the FIND-CKD trial compared intravenous ferric carboxymaltose with oral iron therapy, showing superior </w:t>
      </w:r>
      <w:r w:rsidR="008401C2" w:rsidRPr="006053E9">
        <w:rPr>
          <w:highlight w:val="yellow"/>
        </w:rPr>
        <w:t>haemoglobin</w:t>
      </w:r>
      <w:r w:rsidR="008401C2" w:rsidRPr="006053E9">
        <w:rPr>
          <w:highlight w:val="yellow"/>
        </w:rPr>
        <w:t xml:space="preserve"> </w:t>
      </w:r>
      <w:r>
        <w:t xml:space="preserve">responses and reduced ESA requirements in the IV iron group, with no significant safety concerns (Macdougall et al., 2014). These results reinforced the role of IV iron as an effective and safe treatment for CKD-related </w:t>
      </w:r>
      <w:r w:rsidR="008401C2" w:rsidRPr="006053E9">
        <w:rPr>
          <w:highlight w:val="yellow"/>
        </w:rPr>
        <w:t>anaemia</w:t>
      </w:r>
      <w:r>
        <w:t>, particularly in patients intolerant to oral iron or unresponsive to ESA therapy.</w:t>
      </w:r>
    </w:p>
    <w:p w14:paraId="452FF995" w14:textId="21DBC0EB" w:rsidR="005E24AC" w:rsidRDefault="00EA6497">
      <w:pPr>
        <w:pStyle w:val="NormalWeb"/>
      </w:pPr>
      <w:r>
        <w:lastRenderedPageBreak/>
        <w:t xml:space="preserve">Despite these advances, ESA hyporesponsiveness, inflammation-related </w:t>
      </w:r>
      <w:r w:rsidR="008401C2" w:rsidRPr="006053E9">
        <w:rPr>
          <w:highlight w:val="yellow"/>
        </w:rPr>
        <w:t>anaemia</w:t>
      </w:r>
      <w:r>
        <w:t xml:space="preserve">, and iron-restricted erythropoiesis remained unresolved clinical challenges, prompting the development of hypoxia-inducible factor prolyl hydroxylase inhibitors (HIF-PHIs). These agents stimulate endogenous erythropoietin production by </w:t>
      </w:r>
      <w:r w:rsidR="008401C2" w:rsidRPr="006053E9">
        <w:rPr>
          <w:highlight w:val="yellow"/>
        </w:rPr>
        <w:t>stabilising</w:t>
      </w:r>
      <w:r w:rsidR="008401C2" w:rsidRPr="006053E9">
        <w:rPr>
          <w:highlight w:val="yellow"/>
        </w:rPr>
        <w:t xml:space="preserve"> </w:t>
      </w:r>
      <w:r>
        <w:t xml:space="preserve">hypoxia-inducible factors (HIFs), enhance iron metabolism by reducing hepcidin, and improve iron </w:t>
      </w:r>
      <w:r w:rsidR="008401C2" w:rsidRPr="006053E9">
        <w:rPr>
          <w:highlight w:val="yellow"/>
        </w:rPr>
        <w:t>utilisation</w:t>
      </w:r>
      <w:r w:rsidR="008401C2" w:rsidRPr="006053E9">
        <w:rPr>
          <w:highlight w:val="yellow"/>
        </w:rPr>
        <w:t xml:space="preserve"> </w:t>
      </w:r>
      <w:r>
        <w:t xml:space="preserve">efficiency. A series of pivotal clinical trials </w:t>
      </w:r>
      <w:r w:rsidR="008401C2" w:rsidRPr="006053E9">
        <w:rPr>
          <w:highlight w:val="yellow"/>
        </w:rPr>
        <w:t>has</w:t>
      </w:r>
      <w:r w:rsidR="008401C2" w:rsidRPr="006053E9">
        <w:rPr>
          <w:highlight w:val="yellow"/>
        </w:rPr>
        <w:t xml:space="preserve"> </w:t>
      </w:r>
      <w:r>
        <w:t xml:space="preserve">demonstrated their effectiveness across diverse CKD populations. Chen et al. (2019) evaluated roxadustat in non-dialysis CKD patients and reported significant increases in </w:t>
      </w:r>
      <w:r w:rsidR="008401C2" w:rsidRPr="006053E9">
        <w:rPr>
          <w:highlight w:val="yellow"/>
        </w:rPr>
        <w:t>haemoglobin</w:t>
      </w:r>
      <w:r w:rsidR="008401C2" w:rsidRPr="006053E9">
        <w:rPr>
          <w:highlight w:val="yellow"/>
        </w:rPr>
        <w:t xml:space="preserve"> </w:t>
      </w:r>
      <w:r>
        <w:t xml:space="preserve">compared with placebo, along with improved iron parameters such as transferrin saturation and serum ferritin reduction, indicating enhanced iron </w:t>
      </w:r>
      <w:r w:rsidR="008401C2" w:rsidRPr="006053E9">
        <w:rPr>
          <w:highlight w:val="yellow"/>
        </w:rPr>
        <w:t>mobilisation</w:t>
      </w:r>
      <w:r>
        <w:t xml:space="preserve">. Similar findings were observed in the study by Fishbane and Spinowitz (2021), which consolidated phase 3 data showing that roxadustat effectively corrected </w:t>
      </w:r>
      <w:r w:rsidR="008401C2" w:rsidRPr="006053E9">
        <w:rPr>
          <w:highlight w:val="yellow"/>
        </w:rPr>
        <w:t>anaemia</w:t>
      </w:r>
      <w:r w:rsidR="008401C2" w:rsidRPr="006053E9">
        <w:rPr>
          <w:highlight w:val="yellow"/>
        </w:rPr>
        <w:t xml:space="preserve"> </w:t>
      </w:r>
      <w:r>
        <w:t>in both dialysis and non-dialysis patients, while reducing reliance on IV iron supplementation.</w:t>
      </w:r>
    </w:p>
    <w:p w14:paraId="5C869A80" w14:textId="3DD58B50" w:rsidR="005E24AC" w:rsidRDefault="00EA6497">
      <w:pPr>
        <w:pStyle w:val="NormalWeb"/>
      </w:pPr>
      <w:r>
        <w:t xml:space="preserve">Further expanding the evidence base, Singh et al. (2021) assessed daprodustat in non-dialysis CKD patients and found comparable </w:t>
      </w:r>
      <w:r w:rsidR="008401C2" w:rsidRPr="006053E9">
        <w:rPr>
          <w:highlight w:val="yellow"/>
        </w:rPr>
        <w:t>haemoglobin</w:t>
      </w:r>
      <w:r w:rsidR="008401C2" w:rsidRPr="006053E9">
        <w:rPr>
          <w:highlight w:val="yellow"/>
        </w:rPr>
        <w:t xml:space="preserve"> </w:t>
      </w:r>
      <w:r>
        <w:t xml:space="preserve">efficacy to traditional ESAs with a </w:t>
      </w:r>
      <w:r w:rsidR="008401C2" w:rsidRPr="006053E9">
        <w:rPr>
          <w:highlight w:val="yellow"/>
        </w:rPr>
        <w:t>favourable</w:t>
      </w:r>
      <w:r w:rsidR="008401C2" w:rsidRPr="006053E9">
        <w:rPr>
          <w:highlight w:val="yellow"/>
        </w:rPr>
        <w:t xml:space="preserve"> </w:t>
      </w:r>
      <w:r>
        <w:t xml:space="preserve">safety profile. The study demonstrated that daprodustat improved iron handling by reducing hepcidin levels and increasing total iron-binding capacity. Likewise, Chertow et al. (2021) examined vadadustat in non-dialysis CKD patients and reported non-inferiority to darbepoetin alfa in maintaining </w:t>
      </w:r>
      <w:r w:rsidR="008401C2" w:rsidRPr="006053E9">
        <w:rPr>
          <w:highlight w:val="yellow"/>
        </w:rPr>
        <w:t>haemoglobin</w:t>
      </w:r>
      <w:r>
        <w:t xml:space="preserve">, though regional differences in cardiovascular outcomes prompted ongoing safety evaluations. These findings collectively support the clinical viability of HIF-PHIs as a new therapeutic class for </w:t>
      </w:r>
      <w:r w:rsidR="008401C2" w:rsidRPr="006053E9">
        <w:rPr>
          <w:highlight w:val="yellow"/>
        </w:rPr>
        <w:t>anaemia</w:t>
      </w:r>
      <w:r w:rsidR="008401C2" w:rsidRPr="006053E9">
        <w:rPr>
          <w:highlight w:val="yellow"/>
        </w:rPr>
        <w:t xml:space="preserve"> </w:t>
      </w:r>
      <w:r>
        <w:t>management, offering a more physiologic erythropoietic response and addressing limitations of conventional therapies.</w:t>
      </w:r>
    </w:p>
    <w:p w14:paraId="32E20461" w14:textId="444E5EE5" w:rsidR="005E24AC" w:rsidRDefault="00EA6497">
      <w:pPr>
        <w:pStyle w:val="NormalWeb"/>
      </w:pPr>
      <w:r>
        <w:t xml:space="preserve">The mechanistic and translational significance of HIF-PHIs has been further elucidated in recent reviews and meta-analyses. Stoumpos et al. (2024) outlined that HIF-PHIs exert multifaceted effects beyond erythropoiesis, including modulation of iron metabolism, angiogenesis, and oxidative stress. Their oral route of administration enhances patient adherence, particularly in non-dialysis settings where parenteral therapies pose logistic challenges. However, the review also underscored the need for vigilant post-marketing surveillance given potential long-term risks such as thromboembolic events and </w:t>
      </w:r>
      <w:r w:rsidR="008401C2" w:rsidRPr="006053E9">
        <w:rPr>
          <w:highlight w:val="yellow"/>
        </w:rPr>
        <w:t>tumour</w:t>
      </w:r>
      <w:r w:rsidR="008401C2" w:rsidRPr="006053E9">
        <w:rPr>
          <w:highlight w:val="yellow"/>
        </w:rPr>
        <w:t xml:space="preserve"> </w:t>
      </w:r>
      <w:r>
        <w:t>progression. A meta-analysis by Chen et al. (2023) involving over 10,000 participants found no significant increase in cardiovascular mortality or serious adverse events with HIF-PHIs compared to ESAs, although heterogeneity among individual agents and study designs warrants cautious interpretation.</w:t>
      </w:r>
    </w:p>
    <w:p w14:paraId="23CEDBF3" w14:textId="5C9D5591" w:rsidR="005E24AC" w:rsidRDefault="00EA6497">
      <w:pPr>
        <w:pStyle w:val="NormalWeb"/>
      </w:pPr>
      <w:r>
        <w:t xml:space="preserve">Further evidence by Yang and Davis (2022) demonstrated that HIF-PHIs not only elevate </w:t>
      </w:r>
      <w:r w:rsidR="008401C2" w:rsidRPr="006053E9">
        <w:rPr>
          <w:highlight w:val="yellow"/>
        </w:rPr>
        <w:t>haemoglobin</w:t>
      </w:r>
      <w:r w:rsidR="008401C2" w:rsidRPr="006053E9">
        <w:rPr>
          <w:highlight w:val="yellow"/>
        </w:rPr>
        <w:t xml:space="preserve"> </w:t>
      </w:r>
      <w:r>
        <w:t xml:space="preserve">levels but also </w:t>
      </w:r>
      <w:r w:rsidR="008401C2" w:rsidRPr="006053E9">
        <w:rPr>
          <w:highlight w:val="yellow"/>
        </w:rPr>
        <w:t>optimise</w:t>
      </w:r>
      <w:r w:rsidR="008401C2" w:rsidRPr="006053E9">
        <w:rPr>
          <w:highlight w:val="yellow"/>
        </w:rPr>
        <w:t xml:space="preserve"> </w:t>
      </w:r>
      <w:r>
        <w:t xml:space="preserve">iron </w:t>
      </w:r>
      <w:r w:rsidR="008401C2" w:rsidRPr="006053E9">
        <w:rPr>
          <w:highlight w:val="yellow"/>
        </w:rPr>
        <w:t>mobilisation</w:t>
      </w:r>
      <w:r w:rsidR="008401C2" w:rsidRPr="006053E9">
        <w:rPr>
          <w:highlight w:val="yellow"/>
        </w:rPr>
        <w:t xml:space="preserve"> </w:t>
      </w:r>
      <w:r>
        <w:t xml:space="preserve">through suppression of hepcidin and enhancement of duodenal iron absorption. This dual action potentially reduces dependency on IV iron therapy and ESA co-administration, marking an advantage over conventional regimens. Complementary data from Tyagi et al. (2025) provided a comprehensive meta-analysis of phase 3 and post-marketing trials, confirming the efficacy and safety of HIF-PHIs in diverse CKD cohorts, including both dialysis and pre-dialysis populations. The authors highlighted the consistent non-inferiority of roxadustat, vadadustat, and daprodustat compared to ESAs in </w:t>
      </w:r>
      <w:r w:rsidR="008401C2" w:rsidRPr="006053E9">
        <w:rPr>
          <w:highlight w:val="yellow"/>
        </w:rPr>
        <w:t>haemoglobin</w:t>
      </w:r>
      <w:r w:rsidR="008401C2" w:rsidRPr="006053E9">
        <w:rPr>
          <w:highlight w:val="yellow"/>
        </w:rPr>
        <w:t xml:space="preserve"> </w:t>
      </w:r>
      <w:r>
        <w:t>maintenance, along with improved lipid metabolism and reduced inflammatory marker levels.</w:t>
      </w:r>
    </w:p>
    <w:p w14:paraId="51D8C388" w14:textId="42B89121" w:rsidR="005E24AC" w:rsidRDefault="00EA6497">
      <w:pPr>
        <w:pStyle w:val="NormalWeb"/>
      </w:pPr>
      <w:r>
        <w:lastRenderedPageBreak/>
        <w:t xml:space="preserve">In parallel, emerging therapies targeting iron metabolism continue to advance. Bazeley et al. (2022) reviewed novel intravenous iron formulations and oral agents, such as ferric maltol and sucrosomial iron, which exhibit improved bioavailability and tolerability compared with traditional preparations. These agents may provide additional flexibility in tailoring </w:t>
      </w:r>
      <w:r w:rsidR="008401C2" w:rsidRPr="006053E9">
        <w:rPr>
          <w:highlight w:val="yellow"/>
        </w:rPr>
        <w:t>anaemia</w:t>
      </w:r>
      <w:r w:rsidR="008401C2" w:rsidRPr="006053E9">
        <w:rPr>
          <w:highlight w:val="yellow"/>
        </w:rPr>
        <w:t xml:space="preserve"> </w:t>
      </w:r>
      <w:r>
        <w:t xml:space="preserve">therapy, particularly for patients with variable absorption capacities or adverse reactions to IV iron. As the </w:t>
      </w:r>
      <w:r w:rsidR="008401C2" w:rsidRPr="006053E9">
        <w:rPr>
          <w:highlight w:val="yellow"/>
        </w:rPr>
        <w:t>anaemia</w:t>
      </w:r>
      <w:r w:rsidR="008401C2" w:rsidRPr="006053E9">
        <w:rPr>
          <w:highlight w:val="yellow"/>
        </w:rPr>
        <w:t xml:space="preserve"> </w:t>
      </w:r>
      <w:r>
        <w:t xml:space="preserve">management landscape diversifies, integrating iron-based and HIF-mediated approaches could yield synergistic effects, reducing ESA doses while achieving sustained </w:t>
      </w:r>
      <w:r w:rsidR="008401C2" w:rsidRPr="006053E9">
        <w:rPr>
          <w:highlight w:val="yellow"/>
        </w:rPr>
        <w:t>haemoglobin</w:t>
      </w:r>
      <w:r w:rsidR="008401C2" w:rsidRPr="006053E9">
        <w:rPr>
          <w:highlight w:val="yellow"/>
        </w:rPr>
        <w:t xml:space="preserve"> </w:t>
      </w:r>
      <w:r>
        <w:t>stability.</w:t>
      </w:r>
    </w:p>
    <w:p w14:paraId="03D21279" w14:textId="3E888452" w:rsidR="005E24AC" w:rsidRDefault="00EA6497">
      <w:pPr>
        <w:pStyle w:val="NormalWeb"/>
      </w:pPr>
      <w:r>
        <w:t xml:space="preserve">Overall, the cumulative evidence underscores a paradigm shift in CKD-related </w:t>
      </w:r>
      <w:r w:rsidR="008401C2" w:rsidRPr="006053E9">
        <w:rPr>
          <w:highlight w:val="yellow"/>
        </w:rPr>
        <w:t>anaemia</w:t>
      </w:r>
      <w:r w:rsidR="008401C2" w:rsidRPr="006053E9">
        <w:rPr>
          <w:highlight w:val="yellow"/>
        </w:rPr>
        <w:t xml:space="preserve"> </w:t>
      </w:r>
      <w:r>
        <w:t xml:space="preserve">therapy toward </w:t>
      </w:r>
      <w:r w:rsidR="008401C2" w:rsidRPr="006053E9">
        <w:rPr>
          <w:highlight w:val="yellow"/>
        </w:rPr>
        <w:t>individualised</w:t>
      </w:r>
      <w:r>
        <w:t xml:space="preserve">, mechanism-based interventions. Traditional ESA and iron therapies remain foundational but are increasingly complemented or replaced by HIF-PHIs that offer comparable efficacy with potentially fewer cardiovascular risks. The transition to HIF-PHI-based regimens aligns with a broader movement in nephrology toward precision medicine—considering genetic, biochemical, and clinical determinants to </w:t>
      </w:r>
      <w:r w:rsidR="008401C2" w:rsidRPr="006053E9">
        <w:rPr>
          <w:highlight w:val="yellow"/>
        </w:rPr>
        <w:t>optimise</w:t>
      </w:r>
      <w:r w:rsidR="008401C2" w:rsidRPr="006053E9">
        <w:rPr>
          <w:highlight w:val="yellow"/>
        </w:rPr>
        <w:t xml:space="preserve"> </w:t>
      </w:r>
      <w:r>
        <w:t>therapy. The current literature suggests that, when applied judiciously, HIF-PHIs improve not only hematologic indices but also patient-reported outcomes such as fatigue and quality of life.</w:t>
      </w:r>
    </w:p>
    <w:p w14:paraId="2D1B6C2C" w14:textId="164910D0" w:rsidR="005E24AC" w:rsidRDefault="00EA6497">
      <w:pPr>
        <w:pStyle w:val="NormalWeb"/>
      </w:pPr>
      <w:r>
        <w:t xml:space="preserve">Nonetheless, certain challenges persist. Long-term safety data, particularly concerning malignancy risk, thrombosis, and metabolic effects, are still being accumulated through extended follow-up studies (Tyagi et al., 2025). Economic factors also influence adoption, as HIF-PHIs’ cost-effectiveness relative to generic ESA formulations remains under evaluation. Moreover, variations in national regulatory approvals and clinical practice guidelines will shape global implementation. The KDIGO initiative and ongoing phase 4 surveillance studies will likely provide future direction for integrating these agents into </w:t>
      </w:r>
      <w:r w:rsidR="008401C2" w:rsidRPr="006053E9">
        <w:rPr>
          <w:highlight w:val="yellow"/>
        </w:rPr>
        <w:t>standardised</w:t>
      </w:r>
      <w:r w:rsidR="008401C2" w:rsidRPr="006053E9">
        <w:rPr>
          <w:highlight w:val="yellow"/>
        </w:rPr>
        <w:t xml:space="preserve"> </w:t>
      </w:r>
      <w:r>
        <w:t>treatment algorithms.</w:t>
      </w:r>
    </w:p>
    <w:p w14:paraId="1011A104" w14:textId="77777777" w:rsidR="005E24AC" w:rsidRDefault="005E24AC">
      <w:pPr>
        <w:pStyle w:val="NormalWeb"/>
      </w:pPr>
    </w:p>
    <w:p w14:paraId="0F5ABF71" w14:textId="77777777" w:rsidR="005E24AC" w:rsidRDefault="00EA6497">
      <w:pPr>
        <w:pStyle w:val="NormalWeb"/>
      </w:pPr>
      <w:r>
        <w:rPr>
          <w:rStyle w:val="Strong"/>
        </w:rPr>
        <w:t>Discussion</w:t>
      </w:r>
    </w:p>
    <w:p w14:paraId="276F133D" w14:textId="60754891" w:rsidR="005E24AC" w:rsidRDefault="008401C2">
      <w:pPr>
        <w:pStyle w:val="NormalWeb"/>
      </w:pPr>
      <w:r w:rsidRPr="006053E9">
        <w:rPr>
          <w:highlight w:val="yellow"/>
        </w:rPr>
        <w:t>Anaemia</w:t>
      </w:r>
      <w:r w:rsidRPr="006053E9">
        <w:rPr>
          <w:highlight w:val="yellow"/>
        </w:rPr>
        <w:t xml:space="preserve"> </w:t>
      </w:r>
      <w:r w:rsidR="00EA6497">
        <w:t xml:space="preserve">management in chronic kidney disease (CKD) remains a critical component of comprehensive patient care due to its significant contribution to morbidity, mortality, and reduced quality of life. Over the past two decades, therapeutic strategies have evolved substantially, shifting from reliance on erythropoiesis-stimulating agents (ESAs) and iron supplementation to the integration of hypoxia-inducible factor prolyl hydroxylase inhibitors (HIF-PHIs). The goal has been to improve </w:t>
      </w:r>
      <w:r w:rsidRPr="006053E9">
        <w:rPr>
          <w:highlight w:val="yellow"/>
        </w:rPr>
        <w:t>haemoglobin</w:t>
      </w:r>
      <w:r w:rsidRPr="006053E9">
        <w:rPr>
          <w:highlight w:val="yellow"/>
        </w:rPr>
        <w:t xml:space="preserve"> </w:t>
      </w:r>
      <w:r w:rsidR="00EA6497">
        <w:t xml:space="preserve">correction while </w:t>
      </w:r>
      <w:r w:rsidRPr="006053E9">
        <w:rPr>
          <w:highlight w:val="yellow"/>
        </w:rPr>
        <w:t>minimising</w:t>
      </w:r>
      <w:r w:rsidRPr="006053E9">
        <w:rPr>
          <w:highlight w:val="yellow"/>
        </w:rPr>
        <w:t xml:space="preserve"> </w:t>
      </w:r>
      <w:r w:rsidR="00EA6497">
        <w:t xml:space="preserve">adverse cardiovascular outcomes and treatment burdens. A comprehensive appraisal of key clinical trials and guidelines provides insight into the evolution and </w:t>
      </w:r>
      <w:r w:rsidRPr="006053E9">
        <w:rPr>
          <w:highlight w:val="yellow"/>
        </w:rPr>
        <w:t>optimisation</w:t>
      </w:r>
      <w:r w:rsidRPr="006053E9">
        <w:rPr>
          <w:highlight w:val="yellow"/>
        </w:rPr>
        <w:t xml:space="preserve"> </w:t>
      </w:r>
      <w:r w:rsidR="00EA6497">
        <w:t xml:space="preserve">of </w:t>
      </w:r>
      <w:r w:rsidRPr="006053E9">
        <w:rPr>
          <w:highlight w:val="yellow"/>
        </w:rPr>
        <w:t>anaemia</w:t>
      </w:r>
      <w:r w:rsidRPr="006053E9">
        <w:rPr>
          <w:highlight w:val="yellow"/>
        </w:rPr>
        <w:t xml:space="preserve"> </w:t>
      </w:r>
      <w:r w:rsidR="00EA6497">
        <w:t>therapy in CKD.</w:t>
      </w:r>
    </w:p>
    <w:p w14:paraId="6B41E60C" w14:textId="6C526216" w:rsidR="005E24AC" w:rsidRDefault="00EA6497">
      <w:pPr>
        <w:pStyle w:val="NormalWeb"/>
      </w:pPr>
      <w:r>
        <w:t xml:space="preserve">The Kidney Disease: Improving Global Outcomes (KDIGO) 2012 guideline remains the foundational reference for </w:t>
      </w:r>
      <w:r w:rsidR="008401C2" w:rsidRPr="006053E9">
        <w:rPr>
          <w:highlight w:val="yellow"/>
        </w:rPr>
        <w:t>anaemia</w:t>
      </w:r>
      <w:r w:rsidR="008401C2" w:rsidRPr="006053E9">
        <w:rPr>
          <w:highlight w:val="yellow"/>
        </w:rPr>
        <w:t xml:space="preserve"> </w:t>
      </w:r>
      <w:r>
        <w:t xml:space="preserve">management in CKD, </w:t>
      </w:r>
      <w:r w:rsidR="008401C2" w:rsidRPr="006053E9">
        <w:rPr>
          <w:highlight w:val="yellow"/>
        </w:rPr>
        <w:t>emphasising individualised</w:t>
      </w:r>
      <w:r w:rsidRPr="006053E9">
        <w:rPr>
          <w:highlight w:val="yellow"/>
        </w:rPr>
        <w:t xml:space="preserve"> </w:t>
      </w:r>
      <w:r>
        <w:t xml:space="preserve">therapy and recommending conservative </w:t>
      </w:r>
      <w:r w:rsidR="008401C2" w:rsidRPr="006053E9">
        <w:rPr>
          <w:highlight w:val="yellow"/>
        </w:rPr>
        <w:t>haemoglobin</w:t>
      </w:r>
      <w:r w:rsidR="008401C2" w:rsidRPr="006053E9">
        <w:rPr>
          <w:highlight w:val="yellow"/>
        </w:rPr>
        <w:t xml:space="preserve"> </w:t>
      </w:r>
      <w:r>
        <w:t xml:space="preserve">targets between 10 and 11.5 g/dL to </w:t>
      </w:r>
      <w:r w:rsidR="008401C2" w:rsidRPr="006053E9">
        <w:rPr>
          <w:highlight w:val="yellow"/>
        </w:rPr>
        <w:t>minimise</w:t>
      </w:r>
      <w:r w:rsidR="008401C2" w:rsidRPr="006053E9">
        <w:rPr>
          <w:highlight w:val="yellow"/>
        </w:rPr>
        <w:t xml:space="preserve"> </w:t>
      </w:r>
      <w:r>
        <w:t xml:space="preserve">cardiovascular risks associated with ESA overtreatment (Kidney Disease: Improving Global Outcomes [KDIGO], 2012). Earlier enthusiasm for complete </w:t>
      </w:r>
      <w:r w:rsidR="008401C2" w:rsidRPr="006053E9">
        <w:rPr>
          <w:highlight w:val="yellow"/>
        </w:rPr>
        <w:t>haemoglobin normalisation</w:t>
      </w:r>
      <w:r w:rsidRPr="006053E9">
        <w:rPr>
          <w:highlight w:val="yellow"/>
        </w:rPr>
        <w:t xml:space="preserve"> </w:t>
      </w:r>
      <w:r>
        <w:t xml:space="preserve">was tempered by pivotal trials such as CREATE and CHOIR, which revealed increased cardiovascular events without survival benefits when higher </w:t>
      </w:r>
      <w:r w:rsidR="008401C2" w:rsidRPr="006053E9">
        <w:rPr>
          <w:highlight w:val="yellow"/>
        </w:rPr>
        <w:t>haemoglobin</w:t>
      </w:r>
      <w:r w:rsidR="008401C2" w:rsidRPr="006053E9">
        <w:rPr>
          <w:highlight w:val="yellow"/>
        </w:rPr>
        <w:t xml:space="preserve"> </w:t>
      </w:r>
      <w:r>
        <w:t xml:space="preserve">targets were pursued </w:t>
      </w:r>
      <w:r>
        <w:lastRenderedPageBreak/>
        <w:t>(Drüeke et al., 2006; Singh et al., 2006). The TREAT trial further reinforced these findings by showing that darbepoetin alfa use in diabetic CKD patients increased the risk of stroke despite achieving modest improvements in fatigue and quality of life (Pfeffer et al., 2009). These studies collectively established that ESA therapy, though effective for reducing transfusion dependence, should be judiciously applied to avoid iatrogenic harm.</w:t>
      </w:r>
    </w:p>
    <w:p w14:paraId="5A2340DC" w14:textId="62E79574" w:rsidR="005E24AC" w:rsidRDefault="00EA6497">
      <w:pPr>
        <w:pStyle w:val="NormalWeb"/>
      </w:pPr>
      <w:r>
        <w:t xml:space="preserve">Iron supplementation remains an integral adjunct in </w:t>
      </w:r>
      <w:r w:rsidR="008401C2" w:rsidRPr="006053E9">
        <w:rPr>
          <w:highlight w:val="yellow"/>
        </w:rPr>
        <w:t>anaemia</w:t>
      </w:r>
      <w:r w:rsidR="008401C2" w:rsidRPr="006053E9">
        <w:rPr>
          <w:highlight w:val="yellow"/>
        </w:rPr>
        <w:t xml:space="preserve"> </w:t>
      </w:r>
      <w:r>
        <w:t xml:space="preserve">correction. Historically, oral iron was preferred due to its convenience and lower cost; however, poor gastrointestinal absorption and intolerance limited its efficacy in CKD patients, especially in advanced stages. Intravenous (IV) iron formulations have since become a mainstay, with trials demonstrating improved </w:t>
      </w:r>
      <w:r w:rsidR="008401C2" w:rsidRPr="006053E9">
        <w:rPr>
          <w:highlight w:val="yellow"/>
        </w:rPr>
        <w:t>haemoglobin</w:t>
      </w:r>
      <w:r w:rsidR="008401C2" w:rsidRPr="006053E9">
        <w:rPr>
          <w:highlight w:val="yellow"/>
        </w:rPr>
        <w:t xml:space="preserve"> </w:t>
      </w:r>
      <w:r>
        <w:t xml:space="preserve">response and iron indices. The PIVOTAL trial provided robust evidence </w:t>
      </w:r>
      <w:r w:rsidR="008401C2" w:rsidRPr="006053E9">
        <w:rPr>
          <w:highlight w:val="yellow"/>
        </w:rPr>
        <w:t>favouring</w:t>
      </w:r>
      <w:r w:rsidR="008401C2" w:rsidRPr="006053E9">
        <w:rPr>
          <w:highlight w:val="yellow"/>
        </w:rPr>
        <w:t xml:space="preserve"> </w:t>
      </w:r>
      <w:r>
        <w:t xml:space="preserve">a proactive high-dose IV iron regimen over a conservative approach, showing reduced need for ESAs and transfusions without increasing infection or cardiovascular risk (Macdougall et al., 2019). Similarly, the FIND-CKD study compared intravenous ferric carboxymaltose with oral iron in non-dialysis CKD patients and found superior efficacy and safety with the IV formulation (Macdougall et al., 2014). These findings have reshaped iron management practices, highlighting that adequate iron availability is essential for optimal erythropoietic response and </w:t>
      </w:r>
      <w:r w:rsidR="008401C2" w:rsidRPr="006053E9">
        <w:rPr>
          <w:highlight w:val="yellow"/>
        </w:rPr>
        <w:t>minimising</w:t>
      </w:r>
      <w:r w:rsidR="008401C2" w:rsidRPr="006053E9">
        <w:rPr>
          <w:highlight w:val="yellow"/>
        </w:rPr>
        <w:t xml:space="preserve"> </w:t>
      </w:r>
      <w:r>
        <w:t>ESA exposure.</w:t>
      </w:r>
    </w:p>
    <w:p w14:paraId="157C2459" w14:textId="404B9DC2" w:rsidR="005E24AC" w:rsidRDefault="00EA6497">
      <w:pPr>
        <w:pStyle w:val="NormalWeb"/>
      </w:pPr>
      <w:r>
        <w:t xml:space="preserve">Despite the effectiveness of ESAs and IV iron, several challenges persist, including ESA resistance, iron overload, inflammation-mediated functional iron deficiency, and adverse cardiovascular outcomes. These limitations spurred the development of novel agents that mimic physiological hypoxia responses. Hypoxia-inducible factor prolyl hydroxylase inhibitors (HIF-PHIs) represent a paradigm shift by </w:t>
      </w:r>
      <w:r w:rsidR="008401C2" w:rsidRPr="006053E9">
        <w:rPr>
          <w:highlight w:val="yellow"/>
        </w:rPr>
        <w:t>stabilising</w:t>
      </w:r>
      <w:r w:rsidR="008401C2" w:rsidRPr="006053E9">
        <w:rPr>
          <w:highlight w:val="yellow"/>
        </w:rPr>
        <w:t xml:space="preserve"> </w:t>
      </w:r>
      <w:r>
        <w:t xml:space="preserve">HIF transcription factors, thereby upregulating endogenous erythropoietin production, enhancing intestinal iron absorption, and modulating hepcidin levels to improve iron </w:t>
      </w:r>
      <w:r w:rsidR="008401C2" w:rsidRPr="006053E9">
        <w:rPr>
          <w:highlight w:val="yellow"/>
        </w:rPr>
        <w:t>utilisation</w:t>
      </w:r>
      <w:r w:rsidR="008401C2" w:rsidRPr="006053E9">
        <w:rPr>
          <w:highlight w:val="yellow"/>
        </w:rPr>
        <w:t xml:space="preserve"> </w:t>
      </w:r>
      <w:r>
        <w:t>(Stoumpos et al., 2024). Clinical trials have demonstrated promising efficacy and safety profiles for multiple HIF-PHIs, including roxadustat, daprodustat, and vadadustat.</w:t>
      </w:r>
    </w:p>
    <w:p w14:paraId="568B1770" w14:textId="2E337EA4" w:rsidR="005E24AC" w:rsidRDefault="00EA6497">
      <w:pPr>
        <w:pStyle w:val="NormalWeb"/>
      </w:pPr>
      <w:r>
        <w:t xml:space="preserve">Chen et al. (2019) reported that roxadustat effectively increased </w:t>
      </w:r>
      <w:r w:rsidR="008401C2" w:rsidRPr="006053E9">
        <w:rPr>
          <w:highlight w:val="yellow"/>
        </w:rPr>
        <w:t>haemoglobin</w:t>
      </w:r>
      <w:r w:rsidR="008401C2" w:rsidRPr="006053E9">
        <w:rPr>
          <w:highlight w:val="yellow"/>
        </w:rPr>
        <w:t xml:space="preserve"> </w:t>
      </w:r>
      <w:r>
        <w:t xml:space="preserve">levels in non-dialysis CKD patients compared to placebo, with additional benefits of lowering hepcidin and improving iron metabolism. Phase 3 trials have corroborated these findings, showing that roxadustat provides stable </w:t>
      </w:r>
      <w:r w:rsidR="008401C2" w:rsidRPr="006053E9">
        <w:rPr>
          <w:highlight w:val="yellow"/>
        </w:rPr>
        <w:t>haemoglobin</w:t>
      </w:r>
      <w:r w:rsidR="008401C2" w:rsidRPr="006053E9">
        <w:rPr>
          <w:highlight w:val="yellow"/>
        </w:rPr>
        <w:t xml:space="preserve"> </w:t>
      </w:r>
      <w:r>
        <w:t xml:space="preserve">maintenance with reduced need for IV iron supplementation and without </w:t>
      </w:r>
      <w:r w:rsidR="008401C2">
        <w:t xml:space="preserve">a </w:t>
      </w:r>
      <w:r>
        <w:t xml:space="preserve">significant increase in cardiovascular events (Fishbane &amp; Spinowitz, 2021). Similarly, Singh et al. (2021) demonstrated that daprodustat was non-inferior to placebo in achieving target </w:t>
      </w:r>
      <w:r w:rsidR="008401C2" w:rsidRPr="006053E9">
        <w:rPr>
          <w:highlight w:val="yellow"/>
        </w:rPr>
        <w:t>haemoglobin</w:t>
      </w:r>
      <w:r w:rsidR="008401C2" w:rsidRPr="006053E9">
        <w:rPr>
          <w:highlight w:val="yellow"/>
        </w:rPr>
        <w:t xml:space="preserve"> </w:t>
      </w:r>
      <w:r>
        <w:t>levels in non-dialysis CKD patients, while Chertow et al. (2021) confirmed comparable efficacy for vadadustat. However, long-term cardiovascular outcomes remain an area of scrutiny, as variations in study populations and background therapies complicate risk assessment.</w:t>
      </w:r>
    </w:p>
    <w:p w14:paraId="310F0ADD" w14:textId="32217A34" w:rsidR="005E24AC" w:rsidRDefault="00EA6497">
      <w:pPr>
        <w:pStyle w:val="NormalWeb"/>
      </w:pPr>
      <w:r>
        <w:t xml:space="preserve">Meta-analyses have sought to clarify the overall safety profile of HIF-PHIs. Chen, Chen, and Li (2023) </w:t>
      </w:r>
      <w:r w:rsidR="008401C2" w:rsidRPr="006053E9">
        <w:rPr>
          <w:highlight w:val="yellow"/>
        </w:rPr>
        <w:t>synthesised</w:t>
      </w:r>
      <w:r w:rsidR="008401C2" w:rsidRPr="006053E9">
        <w:rPr>
          <w:highlight w:val="yellow"/>
        </w:rPr>
        <w:t xml:space="preserve"> </w:t>
      </w:r>
      <w:r>
        <w:t xml:space="preserve">data from multiple </w:t>
      </w:r>
      <w:r w:rsidR="008401C2" w:rsidRPr="006053E9">
        <w:rPr>
          <w:highlight w:val="yellow"/>
        </w:rPr>
        <w:t>randomised</w:t>
      </w:r>
      <w:r w:rsidR="008401C2" w:rsidRPr="006053E9">
        <w:rPr>
          <w:highlight w:val="yellow"/>
        </w:rPr>
        <w:t xml:space="preserve"> </w:t>
      </w:r>
      <w:r>
        <w:t xml:space="preserve">controlled trials and found no significant increase in all-cause mortality or cardiovascular events compared to ESAs, though a trend toward higher thromboembolic events in certain subgroups was noted. More recently, Tyagi, Patel, and Mehta (2025) conducted a comprehensive meta-analysis of phase 3 and later studies, reaffirming that HIF-PHIs provide consistent </w:t>
      </w:r>
      <w:r w:rsidR="008401C2" w:rsidRPr="006053E9">
        <w:rPr>
          <w:highlight w:val="yellow"/>
        </w:rPr>
        <w:t>haemoglobin</w:t>
      </w:r>
      <w:r w:rsidR="008401C2" w:rsidRPr="006053E9">
        <w:rPr>
          <w:highlight w:val="yellow"/>
        </w:rPr>
        <w:t xml:space="preserve"> </w:t>
      </w:r>
      <w:r>
        <w:t xml:space="preserve">correction with neutral cardiovascular </w:t>
      </w:r>
      <w:r>
        <w:lastRenderedPageBreak/>
        <w:t xml:space="preserve">effects and </w:t>
      </w:r>
      <w:r w:rsidR="008401C2" w:rsidRPr="006053E9">
        <w:rPr>
          <w:highlight w:val="yellow"/>
        </w:rPr>
        <w:t>favourable</w:t>
      </w:r>
      <w:r w:rsidR="008401C2" w:rsidRPr="006053E9">
        <w:rPr>
          <w:highlight w:val="yellow"/>
        </w:rPr>
        <w:t xml:space="preserve"> </w:t>
      </w:r>
      <w:r>
        <w:t xml:space="preserve">iron metabolism outcomes. These findings suggest that HIF-PHIs may become the preferred therapy in patients with ESA resistance, inflammation-related </w:t>
      </w:r>
      <w:r w:rsidR="008401C2" w:rsidRPr="006053E9">
        <w:rPr>
          <w:highlight w:val="yellow"/>
        </w:rPr>
        <w:t>anaemia</w:t>
      </w:r>
      <w:r>
        <w:t>, or intolerance to IV iron.</w:t>
      </w:r>
    </w:p>
    <w:p w14:paraId="29209EB2" w14:textId="1D5B767E" w:rsidR="005E24AC" w:rsidRDefault="00EA6497">
      <w:pPr>
        <w:pStyle w:val="NormalWeb"/>
      </w:pPr>
      <w:r>
        <w:t xml:space="preserve">Mechanistically, HIF-PHIs confer additional physiological advantages beyond erythropoiesis. They downregulate hepcidin, increase intestinal iron absorption, and </w:t>
      </w:r>
      <w:r w:rsidR="008401C2" w:rsidRPr="006053E9">
        <w:rPr>
          <w:highlight w:val="yellow"/>
        </w:rPr>
        <w:t>mobilise</w:t>
      </w:r>
      <w:r w:rsidR="008401C2" w:rsidRPr="006053E9">
        <w:rPr>
          <w:highlight w:val="yellow"/>
        </w:rPr>
        <w:t xml:space="preserve"> </w:t>
      </w:r>
      <w:r>
        <w:t xml:space="preserve">iron from storage pools, effectively overcoming functional iron deficiency (Yang &amp; Davis, 2022). They also induce a more physiologic erythropoietin production pattern compared to ESAs, which often generate supraphysiologic peaks linked to vascular risks. Nonetheless, theoretical concerns about chronic HIF </w:t>
      </w:r>
      <w:r w:rsidR="008401C2" w:rsidRPr="006053E9">
        <w:rPr>
          <w:highlight w:val="yellow"/>
        </w:rPr>
        <w:t>stabilisation</w:t>
      </w:r>
      <w:r>
        <w:t xml:space="preserve">—such as </w:t>
      </w:r>
      <w:r w:rsidR="008401C2" w:rsidRPr="006053E9">
        <w:rPr>
          <w:highlight w:val="yellow"/>
        </w:rPr>
        <w:t>tumour</w:t>
      </w:r>
      <w:r w:rsidR="008401C2" w:rsidRPr="006053E9">
        <w:rPr>
          <w:highlight w:val="yellow"/>
        </w:rPr>
        <w:t xml:space="preserve"> </w:t>
      </w:r>
      <w:r>
        <w:t>progression, pulmonary hypertension, and retinopathy—warrant long-term post-marketing surveillance (Stoumpos et al., 2024).</w:t>
      </w:r>
    </w:p>
    <w:p w14:paraId="6374E768" w14:textId="54A3660F" w:rsidR="005E24AC" w:rsidRDefault="00EA6497">
      <w:pPr>
        <w:pStyle w:val="NormalWeb"/>
      </w:pPr>
      <w:r>
        <w:t xml:space="preserve">The growing therapeutic landscape underscores the importance of </w:t>
      </w:r>
      <w:r w:rsidR="008401C2" w:rsidRPr="006053E9">
        <w:rPr>
          <w:highlight w:val="yellow"/>
        </w:rPr>
        <w:t>individualised</w:t>
      </w:r>
      <w:r w:rsidR="008401C2" w:rsidRPr="006053E9">
        <w:rPr>
          <w:highlight w:val="yellow"/>
        </w:rPr>
        <w:t xml:space="preserve"> </w:t>
      </w:r>
      <w:r>
        <w:t xml:space="preserve">treatment approaches. For dialysis-dependent patients, combining moderate ESA doses with proactive IV iron therapy remains effective and supported by strong evidence (Macdougall et al., 2019). For non-dialysis CKD patients, especially those with poor ESA response or limited access to IV iron, HIF-PHIs offer a promising oral alternative that aligns with patient preferences and resource constraints. Integrated </w:t>
      </w:r>
      <w:r w:rsidR="008401C2" w:rsidRPr="006053E9">
        <w:rPr>
          <w:highlight w:val="yellow"/>
        </w:rPr>
        <w:t>anaemia</w:t>
      </w:r>
      <w:r w:rsidR="008401C2" w:rsidRPr="006053E9">
        <w:rPr>
          <w:highlight w:val="yellow"/>
        </w:rPr>
        <w:t xml:space="preserve"> </w:t>
      </w:r>
      <w:r>
        <w:t xml:space="preserve">management should consider patient comorbidities, inflammation status, iron parameters, and cardiovascular risk profiles. As Bazeley, Koury, and Agarwal (2022) </w:t>
      </w:r>
      <w:r w:rsidR="008401C2" w:rsidRPr="006053E9">
        <w:rPr>
          <w:highlight w:val="yellow"/>
        </w:rPr>
        <w:t>emphasised</w:t>
      </w:r>
      <w:r>
        <w:t>, newer iron formulations and regulatory strategies must be incorporated into dynamic treatment algorithms to ensure safety and sustainability.</w:t>
      </w:r>
    </w:p>
    <w:p w14:paraId="16DE6B55" w14:textId="586C43EF" w:rsidR="005E24AC" w:rsidRDefault="00EA6497">
      <w:pPr>
        <w:pStyle w:val="NormalWeb"/>
      </w:pPr>
      <w:r>
        <w:t xml:space="preserve">From a clinical outcomes perspective, </w:t>
      </w:r>
      <w:r w:rsidR="008401C2" w:rsidRPr="006053E9">
        <w:rPr>
          <w:highlight w:val="yellow"/>
        </w:rPr>
        <w:t>anaemia</w:t>
      </w:r>
      <w:r w:rsidR="008401C2" w:rsidRPr="006053E9">
        <w:rPr>
          <w:highlight w:val="yellow"/>
        </w:rPr>
        <w:t xml:space="preserve"> </w:t>
      </w:r>
      <w:r>
        <w:t xml:space="preserve">correction extends beyond </w:t>
      </w:r>
      <w:r w:rsidR="008401C2" w:rsidRPr="006053E9">
        <w:rPr>
          <w:highlight w:val="yellow"/>
        </w:rPr>
        <w:t>haemoglobin normalisation</w:t>
      </w:r>
      <w:r>
        <w:t xml:space="preserve">. Improved oxygen delivery enhances physical capacity, cognitive function, and quality of life—critical goals in CKD care. However, the balance between efficacy and safety remains delicate. The KDIGO (2012) guideline continues to advocate for </w:t>
      </w:r>
      <w:r w:rsidR="008401C2" w:rsidRPr="006053E9">
        <w:rPr>
          <w:highlight w:val="yellow"/>
        </w:rPr>
        <w:t>individualised</w:t>
      </w:r>
      <w:r w:rsidR="008401C2" w:rsidRPr="006053E9">
        <w:rPr>
          <w:highlight w:val="yellow"/>
        </w:rPr>
        <w:t xml:space="preserve"> </w:t>
      </w:r>
      <w:r>
        <w:t>targets and careful monitoring, principles that remain valid despite therapeutic innovations. Future guideline updates will likely integrate evidence from ongoing HIF-PHI trials and real-world data to refine treatment recommendations further.</w:t>
      </w:r>
    </w:p>
    <w:p w14:paraId="6DC85A97" w14:textId="2EA4CBDE" w:rsidR="005E24AC" w:rsidRDefault="00EA6497">
      <w:pPr>
        <w:pStyle w:val="NormalWeb"/>
      </w:pPr>
      <w:r>
        <w:t xml:space="preserve">Cost-effectiveness and accessibility also influence therapy adoption, particularly in low-resource settings where dialysis and IV iron availability are limited. Oral HIF-PHIs could transform global </w:t>
      </w:r>
      <w:r w:rsidR="008401C2" w:rsidRPr="006053E9">
        <w:rPr>
          <w:highlight w:val="yellow"/>
        </w:rPr>
        <w:t>anaemia</w:t>
      </w:r>
      <w:r w:rsidR="008401C2" w:rsidRPr="006053E9">
        <w:rPr>
          <w:highlight w:val="yellow"/>
        </w:rPr>
        <w:t xml:space="preserve"> </w:t>
      </w:r>
      <w:r>
        <w:t xml:space="preserve">management if pricing and long-term safety prove </w:t>
      </w:r>
      <w:r w:rsidR="008401C2" w:rsidRPr="006053E9">
        <w:rPr>
          <w:highlight w:val="yellow"/>
        </w:rPr>
        <w:t>favourable</w:t>
      </w:r>
      <w:r>
        <w:t xml:space="preserve">. Additionally, further research into combination strategies—using lower ESA doses with HIF-PHIs or selective iron modulation—could </w:t>
      </w:r>
      <w:r w:rsidR="008401C2" w:rsidRPr="006053E9">
        <w:rPr>
          <w:highlight w:val="yellow"/>
        </w:rPr>
        <w:t>optimise</w:t>
      </w:r>
      <w:r w:rsidR="008401C2" w:rsidRPr="006053E9">
        <w:rPr>
          <w:highlight w:val="yellow"/>
        </w:rPr>
        <w:t xml:space="preserve"> </w:t>
      </w:r>
      <w:r>
        <w:t xml:space="preserve">outcomes while </w:t>
      </w:r>
      <w:r w:rsidR="008401C2" w:rsidRPr="006053E9">
        <w:rPr>
          <w:highlight w:val="yellow"/>
        </w:rPr>
        <w:t>minimising</w:t>
      </w:r>
      <w:r w:rsidR="008401C2" w:rsidRPr="006053E9">
        <w:rPr>
          <w:highlight w:val="yellow"/>
        </w:rPr>
        <w:t xml:space="preserve"> </w:t>
      </w:r>
      <w:r>
        <w:t>risk and cost.</w:t>
      </w:r>
    </w:p>
    <w:p w14:paraId="3A485455" w14:textId="77777777" w:rsidR="005E24AC" w:rsidRDefault="005E24AC">
      <w:pPr>
        <w:pStyle w:val="NormalWeb"/>
      </w:pPr>
    </w:p>
    <w:p w14:paraId="03D815ED" w14:textId="77777777" w:rsidR="005E24AC" w:rsidRDefault="00EA6497">
      <w:pPr>
        <w:pStyle w:val="NormalWeb"/>
        <w:rPr>
          <w:b/>
          <w:bCs/>
        </w:rPr>
      </w:pPr>
      <w:r>
        <w:rPr>
          <w:b/>
          <w:bCs/>
        </w:rPr>
        <w:t xml:space="preserve">Conclusion </w:t>
      </w:r>
    </w:p>
    <w:p w14:paraId="13CDDECC" w14:textId="51FF0406" w:rsidR="005E24AC" w:rsidRDefault="00EA6497">
      <w:pPr>
        <w:pStyle w:val="NormalWeb"/>
      </w:pPr>
      <w:r>
        <w:t xml:space="preserve">In summary, </w:t>
      </w:r>
      <w:r w:rsidR="008401C2" w:rsidRPr="006053E9">
        <w:rPr>
          <w:highlight w:val="yellow"/>
        </w:rPr>
        <w:t>anaemia</w:t>
      </w:r>
      <w:r w:rsidR="008401C2" w:rsidRPr="006053E9">
        <w:rPr>
          <w:highlight w:val="yellow"/>
        </w:rPr>
        <w:t xml:space="preserve"> </w:t>
      </w:r>
      <w:r>
        <w:t xml:space="preserve">management in CKD has evolved from a one-dimensional focus on </w:t>
      </w:r>
      <w:r w:rsidR="008401C2" w:rsidRPr="006053E9">
        <w:rPr>
          <w:highlight w:val="yellow"/>
        </w:rPr>
        <w:t>haemoglobin</w:t>
      </w:r>
      <w:r w:rsidR="008401C2" w:rsidRPr="006053E9">
        <w:rPr>
          <w:highlight w:val="yellow"/>
        </w:rPr>
        <w:t xml:space="preserve"> </w:t>
      </w:r>
      <w:r>
        <w:t xml:space="preserve">correction to a multifaceted, </w:t>
      </w:r>
      <w:r w:rsidR="008401C2" w:rsidRPr="006053E9">
        <w:rPr>
          <w:highlight w:val="yellow"/>
        </w:rPr>
        <w:t>patient-centred</w:t>
      </w:r>
      <w:r w:rsidRPr="006053E9">
        <w:rPr>
          <w:highlight w:val="yellow"/>
        </w:rPr>
        <w:t xml:space="preserve"> </w:t>
      </w:r>
      <w:r>
        <w:t xml:space="preserve">approach </w:t>
      </w:r>
      <w:r w:rsidR="008401C2" w:rsidRPr="006053E9">
        <w:rPr>
          <w:highlight w:val="yellow"/>
        </w:rPr>
        <w:t>emphasising</w:t>
      </w:r>
      <w:r w:rsidR="008401C2">
        <w:t xml:space="preserve"> </w:t>
      </w:r>
      <w:r>
        <w:t xml:space="preserve">safety, physiological restoration, and quality of life. The transition from ESAs and IV iron to HIF-PHIs reflects an era of precision nephrology, integrating molecular insights with clinical pragmatism. While traditional therapies remain vital, HIF-PHIs introduce an adaptable, mechanistically distinct option that addresses longstanding challenges in ESA responsiveness and iron </w:t>
      </w:r>
      <w:r>
        <w:lastRenderedPageBreak/>
        <w:t xml:space="preserve">metabolism. Continued clinical vigilance, long-term surveillance, and updated practice guidelines will be essential to fully </w:t>
      </w:r>
      <w:r w:rsidR="008401C2" w:rsidRPr="006053E9">
        <w:rPr>
          <w:highlight w:val="yellow"/>
        </w:rPr>
        <w:t>realise</w:t>
      </w:r>
      <w:r w:rsidR="008401C2" w:rsidRPr="006053E9">
        <w:rPr>
          <w:highlight w:val="yellow"/>
        </w:rPr>
        <w:t xml:space="preserve"> </w:t>
      </w:r>
      <w:r>
        <w:t xml:space="preserve">their potential. Ultimately, the integration of evidence-based therapies promises improved outcomes for CKD patients worldwide, marking a significant stride in the quest for balanced, effective, and sustainable </w:t>
      </w:r>
      <w:r w:rsidR="008401C2" w:rsidRPr="006053E9">
        <w:rPr>
          <w:highlight w:val="yellow"/>
        </w:rPr>
        <w:t>anaemia</w:t>
      </w:r>
      <w:r w:rsidR="008401C2" w:rsidRPr="006053E9">
        <w:rPr>
          <w:highlight w:val="yellow"/>
        </w:rPr>
        <w:t xml:space="preserve"> </w:t>
      </w:r>
      <w:r>
        <w:t>care.</w:t>
      </w:r>
    </w:p>
    <w:p w14:paraId="0B7E5FF0" w14:textId="0A333516" w:rsidR="002F7EDE" w:rsidRDefault="002F7EDE">
      <w:pPr>
        <w:pStyle w:val="NormalWeb"/>
      </w:pPr>
    </w:p>
    <w:p w14:paraId="29CADC87" w14:textId="77777777" w:rsidR="002F7EDE" w:rsidRPr="00270720" w:rsidRDefault="002F7EDE" w:rsidP="002F7EDE">
      <w:pPr>
        <w:rPr>
          <w:highlight w:val="yellow"/>
        </w:rPr>
      </w:pPr>
      <w:r w:rsidRPr="00270720">
        <w:rPr>
          <w:highlight w:val="yellow"/>
        </w:rPr>
        <w:t>Disclaimer (Artificial intelligence)</w:t>
      </w:r>
    </w:p>
    <w:p w14:paraId="667AF3FE" w14:textId="77777777" w:rsidR="002F7EDE" w:rsidRPr="00270720" w:rsidRDefault="002F7EDE" w:rsidP="002F7EDE">
      <w:pPr>
        <w:rPr>
          <w:highlight w:val="yellow"/>
        </w:rPr>
      </w:pPr>
    </w:p>
    <w:p w14:paraId="15EF4605" w14:textId="77777777" w:rsidR="002F7EDE" w:rsidRPr="00270720" w:rsidRDefault="002F7EDE" w:rsidP="002F7EDE">
      <w:pPr>
        <w:rPr>
          <w:highlight w:val="yellow"/>
        </w:rPr>
      </w:pPr>
      <w:r w:rsidRPr="00270720">
        <w:rPr>
          <w:highlight w:val="yellow"/>
        </w:rPr>
        <w:t xml:space="preserve">Option 1: </w:t>
      </w:r>
    </w:p>
    <w:p w14:paraId="175DF321" w14:textId="77777777" w:rsidR="002F7EDE" w:rsidRPr="00270720" w:rsidRDefault="002F7EDE" w:rsidP="002F7EDE">
      <w:pPr>
        <w:rPr>
          <w:highlight w:val="yellow"/>
        </w:rPr>
      </w:pPr>
    </w:p>
    <w:p w14:paraId="0A44ED24" w14:textId="77777777" w:rsidR="002F7EDE" w:rsidRPr="00270720" w:rsidRDefault="002F7EDE" w:rsidP="002F7ED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14A41BE" w14:textId="77777777" w:rsidR="002F7EDE" w:rsidRPr="00270720" w:rsidRDefault="002F7EDE" w:rsidP="002F7EDE">
      <w:pPr>
        <w:rPr>
          <w:highlight w:val="yellow"/>
        </w:rPr>
      </w:pPr>
    </w:p>
    <w:p w14:paraId="68C8CA52" w14:textId="77777777" w:rsidR="002F7EDE" w:rsidRPr="00270720" w:rsidRDefault="002F7EDE" w:rsidP="002F7EDE">
      <w:pPr>
        <w:rPr>
          <w:highlight w:val="yellow"/>
        </w:rPr>
      </w:pPr>
      <w:r w:rsidRPr="00270720">
        <w:rPr>
          <w:highlight w:val="yellow"/>
        </w:rPr>
        <w:t xml:space="preserve">Option 2: </w:t>
      </w:r>
    </w:p>
    <w:p w14:paraId="7A06A3BF" w14:textId="77777777" w:rsidR="002F7EDE" w:rsidRPr="00270720" w:rsidRDefault="002F7EDE" w:rsidP="002F7EDE">
      <w:pPr>
        <w:rPr>
          <w:highlight w:val="yellow"/>
        </w:rPr>
      </w:pPr>
    </w:p>
    <w:p w14:paraId="6BC4CF2B" w14:textId="77777777" w:rsidR="002F7EDE" w:rsidRPr="00270720" w:rsidRDefault="002F7EDE" w:rsidP="002F7EDE">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4C9D54" w14:textId="77777777" w:rsidR="002F7EDE" w:rsidRPr="00270720" w:rsidRDefault="002F7EDE" w:rsidP="002F7EDE">
      <w:pPr>
        <w:rPr>
          <w:highlight w:val="yellow"/>
        </w:rPr>
      </w:pPr>
    </w:p>
    <w:p w14:paraId="2E3C9155" w14:textId="77777777" w:rsidR="002F7EDE" w:rsidRPr="00270720" w:rsidRDefault="002F7EDE" w:rsidP="002F7EDE">
      <w:pPr>
        <w:rPr>
          <w:highlight w:val="yellow"/>
        </w:rPr>
      </w:pPr>
      <w:r w:rsidRPr="00270720">
        <w:rPr>
          <w:highlight w:val="yellow"/>
        </w:rPr>
        <w:t>Details of the AI usage are given below:</w:t>
      </w:r>
    </w:p>
    <w:p w14:paraId="64A0406B" w14:textId="77777777" w:rsidR="002F7EDE" w:rsidRPr="00270720" w:rsidRDefault="002F7EDE" w:rsidP="002F7EDE">
      <w:pPr>
        <w:rPr>
          <w:highlight w:val="yellow"/>
        </w:rPr>
      </w:pPr>
      <w:r w:rsidRPr="00270720">
        <w:rPr>
          <w:highlight w:val="yellow"/>
        </w:rPr>
        <w:t>1.</w:t>
      </w:r>
    </w:p>
    <w:p w14:paraId="72D44134" w14:textId="77777777" w:rsidR="002F7EDE" w:rsidRPr="00270720" w:rsidRDefault="002F7EDE" w:rsidP="002F7EDE">
      <w:pPr>
        <w:rPr>
          <w:highlight w:val="yellow"/>
        </w:rPr>
      </w:pPr>
      <w:r w:rsidRPr="00270720">
        <w:rPr>
          <w:highlight w:val="yellow"/>
        </w:rPr>
        <w:t>2.</w:t>
      </w:r>
    </w:p>
    <w:p w14:paraId="53D65D27" w14:textId="77777777" w:rsidR="002F7EDE" w:rsidRPr="00270720" w:rsidRDefault="002F7EDE" w:rsidP="002F7EDE">
      <w:r w:rsidRPr="00270720">
        <w:rPr>
          <w:highlight w:val="yellow"/>
        </w:rPr>
        <w:t>3.</w:t>
      </w:r>
    </w:p>
    <w:p w14:paraId="698837A0" w14:textId="77777777" w:rsidR="002F7EDE" w:rsidRDefault="002F7EDE">
      <w:pPr>
        <w:pStyle w:val="NormalWeb"/>
      </w:pPr>
    </w:p>
    <w:p w14:paraId="10D97438" w14:textId="614EE6EA" w:rsidR="005E24AC" w:rsidRDefault="00EA6497">
      <w:pPr>
        <w:pStyle w:val="NormalWeb"/>
        <w:rPr>
          <w:b/>
          <w:bCs/>
        </w:rPr>
      </w:pPr>
      <w:r>
        <w:rPr>
          <w:b/>
          <w:bCs/>
        </w:rPr>
        <w:t>References</w:t>
      </w:r>
    </w:p>
    <w:p w14:paraId="014C4F4E" w14:textId="77777777" w:rsidR="005E24AC" w:rsidRDefault="00EA6497">
      <w:pPr>
        <w:pStyle w:val="NormalWeb"/>
        <w:numPr>
          <w:ilvl w:val="0"/>
          <w:numId w:val="1"/>
        </w:numPr>
      </w:pPr>
      <w:r>
        <w:t xml:space="preserve">Kidney Disease: Improving Global Outcomes (KDIGO) Anemia Work Group. (2012). </w:t>
      </w:r>
      <w:r>
        <w:rPr>
          <w:rStyle w:val="Emphasis"/>
        </w:rPr>
        <w:t>KDIGO clinical practice guideline for anemia in chronic kidney disease.</w:t>
      </w:r>
      <w:r>
        <w:t xml:space="preserve"> </w:t>
      </w:r>
      <w:r>
        <w:rPr>
          <w:rStyle w:val="Emphasis"/>
        </w:rPr>
        <w:t>Kidney International Supplements, 2</w:t>
      </w:r>
      <w:r>
        <w:t xml:space="preserve">(4), 279–335. </w:t>
      </w:r>
      <w:hyperlink r:id="rId7" w:tgtFrame="_new" w:history="1">
        <w:r w:rsidR="005E24AC">
          <w:rPr>
            <w:rStyle w:val="Hyperlink"/>
          </w:rPr>
          <w:t>https://doi.org/10.1038/kisup.2012.41</w:t>
        </w:r>
      </w:hyperlink>
    </w:p>
    <w:p w14:paraId="678B1756" w14:textId="77777777" w:rsidR="005E24AC" w:rsidRDefault="00EA6497">
      <w:pPr>
        <w:pStyle w:val="NormalWeb"/>
        <w:numPr>
          <w:ilvl w:val="0"/>
          <w:numId w:val="1"/>
        </w:numPr>
      </w:pPr>
      <w:r>
        <w:lastRenderedPageBreak/>
        <w:t xml:space="preserve">Singh, A. K., Szczech, L., Tang, K. L., Barnhart, H., Sapp, S., Wolfson, M., &amp; Reddan, D. (2006). Correction of anemia with epoetin alfa in chronic kidney disease. </w:t>
      </w:r>
      <w:r>
        <w:rPr>
          <w:rStyle w:val="Emphasis"/>
        </w:rPr>
        <w:t>The New England Journal of Medicine, 355</w:t>
      </w:r>
      <w:r>
        <w:t xml:space="preserve">(20), 2085–2098. </w:t>
      </w:r>
      <w:hyperlink r:id="rId8" w:tgtFrame="_new" w:history="1">
        <w:r w:rsidR="005E24AC">
          <w:rPr>
            <w:rStyle w:val="Hyperlink"/>
          </w:rPr>
          <w:t>https://doi.org/10.1056/NEJMoa065485</w:t>
        </w:r>
      </w:hyperlink>
    </w:p>
    <w:p w14:paraId="5E0B1A54" w14:textId="77777777" w:rsidR="005E24AC" w:rsidRDefault="00EA6497">
      <w:pPr>
        <w:pStyle w:val="NormalWeb"/>
        <w:numPr>
          <w:ilvl w:val="0"/>
          <w:numId w:val="1"/>
        </w:numPr>
      </w:pPr>
      <w:r>
        <w:t xml:space="preserve">Drüeke, T. B., Locatelli, F., Clyne, N., Eckardt, K. U., Macdougall, I. C., Tsakiris, D., Burger, H. U., &amp; Scherhag, A. (2006). Normalization of hemoglobin level in patients with chronic kidney disease and its effects (CREATE). </w:t>
      </w:r>
      <w:r>
        <w:rPr>
          <w:rStyle w:val="Emphasis"/>
        </w:rPr>
        <w:t>The New England Journal of Medicine, 355</w:t>
      </w:r>
      <w:r>
        <w:t xml:space="preserve">(20), 2071–2084. </w:t>
      </w:r>
      <w:hyperlink r:id="rId9" w:tgtFrame="_new" w:history="1">
        <w:r w:rsidR="005E24AC">
          <w:rPr>
            <w:rStyle w:val="Hyperlink"/>
          </w:rPr>
          <w:t>https://doi.org/10.1056/NEJMoa062276</w:t>
        </w:r>
      </w:hyperlink>
    </w:p>
    <w:p w14:paraId="6AFDF6E2" w14:textId="77777777" w:rsidR="005E24AC" w:rsidRDefault="00EA6497">
      <w:pPr>
        <w:pStyle w:val="NormalWeb"/>
        <w:numPr>
          <w:ilvl w:val="0"/>
          <w:numId w:val="1"/>
        </w:numPr>
      </w:pPr>
      <w:r>
        <w:t xml:space="preserve">Pfeffer, M. A., Burdmann, E. A., Chen, C. Y., Cooper, M. E., de Zeeuw, D., Eckardt, K. U., ... &amp; TREAT Investigators. (2009). A trial of darbepoetin alfa in type 2 diabetes and chronic kidney disease (TREAT). </w:t>
      </w:r>
      <w:r>
        <w:rPr>
          <w:rStyle w:val="Emphasis"/>
        </w:rPr>
        <w:t>The New England Journal of Medicine, 361</w:t>
      </w:r>
      <w:r>
        <w:t xml:space="preserve">(21), 2019–2032. </w:t>
      </w:r>
      <w:hyperlink r:id="rId10" w:tgtFrame="_new" w:history="1">
        <w:r w:rsidR="005E24AC">
          <w:rPr>
            <w:rStyle w:val="Hyperlink"/>
          </w:rPr>
          <w:t>https://doi.org/10.1056/NEJMoa0907845</w:t>
        </w:r>
      </w:hyperlink>
    </w:p>
    <w:p w14:paraId="2BF52B4C" w14:textId="77777777" w:rsidR="005E24AC" w:rsidRDefault="00EA6497">
      <w:pPr>
        <w:pStyle w:val="NormalWeb"/>
        <w:numPr>
          <w:ilvl w:val="0"/>
          <w:numId w:val="1"/>
        </w:numPr>
      </w:pPr>
      <w:r>
        <w:t xml:space="preserve">Macdougall, I. C., White, C., Anker, S. D., Bhandari, S., Farrington, K., Kalra, P. A., ... &amp; PIVOTAL Investigators and Committees. (2019). Intravenous iron in patients undergoing maintenance hemodialysis (PIVOTAL). </w:t>
      </w:r>
      <w:r>
        <w:rPr>
          <w:rStyle w:val="Emphasis"/>
        </w:rPr>
        <w:t>The New England Journal of Medicine, 380</w:t>
      </w:r>
      <w:r>
        <w:t xml:space="preserve">(5), 447–458. </w:t>
      </w:r>
      <w:hyperlink r:id="rId11" w:tgtFrame="_new" w:history="1">
        <w:r w:rsidR="005E24AC">
          <w:rPr>
            <w:rStyle w:val="Hyperlink"/>
          </w:rPr>
          <w:t>https://doi.org/10.1056/NEJMoa1810742</w:t>
        </w:r>
      </w:hyperlink>
    </w:p>
    <w:p w14:paraId="778ACB5D" w14:textId="77777777" w:rsidR="005E24AC" w:rsidRDefault="00EA6497">
      <w:pPr>
        <w:pStyle w:val="NormalWeb"/>
        <w:numPr>
          <w:ilvl w:val="0"/>
          <w:numId w:val="1"/>
        </w:numPr>
      </w:pPr>
      <w:r>
        <w:t xml:space="preserve">Macdougall, I. C., Eckardt, K. U., Locatelli, F., Macleod, A. M., Wiecek, A., &amp; Frey, A. (2014). FIND-CKD: A randomized trial of intravenous ferric carboxymaltose versus oral iron in patients with chronic kidney disease and iron deficiency anemia. </w:t>
      </w:r>
      <w:r>
        <w:rPr>
          <w:rStyle w:val="Emphasis"/>
        </w:rPr>
        <w:t>Nephrology Dialysis Transplantation, 29</w:t>
      </w:r>
      <w:r>
        <w:t xml:space="preserve">(11), 2075–2084. </w:t>
      </w:r>
      <w:hyperlink r:id="rId12" w:tgtFrame="_new" w:history="1">
        <w:r w:rsidR="005E24AC">
          <w:rPr>
            <w:rStyle w:val="Hyperlink"/>
          </w:rPr>
          <w:t>https://doi.org/10.1093/ndt/gfu201</w:t>
        </w:r>
      </w:hyperlink>
    </w:p>
    <w:p w14:paraId="22A896F0" w14:textId="77777777" w:rsidR="005E24AC" w:rsidRDefault="00EA6497">
      <w:pPr>
        <w:pStyle w:val="NormalWeb"/>
        <w:numPr>
          <w:ilvl w:val="0"/>
          <w:numId w:val="1"/>
        </w:numPr>
      </w:pPr>
      <w:r>
        <w:t xml:space="preserve">Chen, N., Hao, C., Peng, X., Lin, H., Yin, A., Hao, L., ... &amp; Neff, T. B. (2019). Roxadustat for anemia in patients with kidney disease not receiving dialysis. </w:t>
      </w:r>
      <w:r>
        <w:rPr>
          <w:rStyle w:val="Emphasis"/>
        </w:rPr>
        <w:t>The New England Journal of Medicine, 381</w:t>
      </w:r>
      <w:r>
        <w:t xml:space="preserve">(11), 1001–1010. </w:t>
      </w:r>
      <w:hyperlink r:id="rId13" w:tgtFrame="_new" w:history="1">
        <w:r w:rsidR="005E24AC">
          <w:rPr>
            <w:rStyle w:val="Hyperlink"/>
          </w:rPr>
          <w:t>https://doi.org/10.1056/NEJMoa1813599</w:t>
        </w:r>
      </w:hyperlink>
    </w:p>
    <w:p w14:paraId="38B33B19" w14:textId="77777777" w:rsidR="005E24AC" w:rsidRDefault="00EA6497">
      <w:pPr>
        <w:pStyle w:val="NormalWeb"/>
        <w:numPr>
          <w:ilvl w:val="0"/>
          <w:numId w:val="1"/>
        </w:numPr>
      </w:pPr>
      <w:r>
        <w:t xml:space="preserve">Singh, A. K., Agarwal, R., Fishbane, S., Coyne, D. W., Garg, J. P., &amp; Szczech, L. (2021). Daprodustat for the treatment of anemia in patients not receiving dialysis. </w:t>
      </w:r>
      <w:r>
        <w:rPr>
          <w:rStyle w:val="Emphasis"/>
        </w:rPr>
        <w:t>The New England Journal of Medicine, 385</w:t>
      </w:r>
      <w:r>
        <w:t xml:space="preserve">(1), 3–13. </w:t>
      </w:r>
      <w:hyperlink r:id="rId14" w:tgtFrame="_new" w:history="1">
        <w:r w:rsidR="005E24AC">
          <w:rPr>
            <w:rStyle w:val="Hyperlink"/>
          </w:rPr>
          <w:t>https://doi.org/10.1056/NEJMoa2113379</w:t>
        </w:r>
      </w:hyperlink>
    </w:p>
    <w:p w14:paraId="4EEEF39D" w14:textId="77777777" w:rsidR="005E24AC" w:rsidRDefault="00EA6497">
      <w:pPr>
        <w:pStyle w:val="NormalWeb"/>
        <w:numPr>
          <w:ilvl w:val="0"/>
          <w:numId w:val="1"/>
        </w:numPr>
      </w:pPr>
      <w:r>
        <w:t xml:space="preserve">Chertow, G. M., Pergola, P. E., Matsuo, S., Soni, S. S., Roubert, B., &amp; Finkel, K. (2021). Vadadustat in patients with anemia and non–dialysis-dependent chronic kidney disease. </w:t>
      </w:r>
      <w:r>
        <w:rPr>
          <w:rStyle w:val="Emphasis"/>
        </w:rPr>
        <w:t>The New England Journal of Medicine, 385</w:t>
      </w:r>
      <w:r>
        <w:t xml:space="preserve">(1), 27–39. </w:t>
      </w:r>
      <w:hyperlink r:id="rId15" w:tgtFrame="_new" w:history="1">
        <w:r w:rsidR="005E24AC">
          <w:rPr>
            <w:rStyle w:val="Hyperlink"/>
          </w:rPr>
          <w:t>https://doi.org/10.1056/NEJMoa2025956</w:t>
        </w:r>
      </w:hyperlink>
    </w:p>
    <w:p w14:paraId="4004BD74" w14:textId="77777777" w:rsidR="005E24AC" w:rsidRDefault="00EA6497">
      <w:pPr>
        <w:pStyle w:val="NormalWeb"/>
        <w:numPr>
          <w:ilvl w:val="0"/>
          <w:numId w:val="1"/>
        </w:numPr>
      </w:pPr>
      <w:r>
        <w:t xml:space="preserve">Stoumpos, S., O’Callaghan, C. A., &amp; Taal, M. W. (2024). Hypoxia-inducible factor prolyl-hydroxylase inhibitors for anemia in chronic kidney disease: Mechanisms, trials, and place in therapy. </w:t>
      </w:r>
      <w:r>
        <w:rPr>
          <w:rStyle w:val="Emphasis"/>
        </w:rPr>
        <w:t>Nephrology Dialysis Transplantation, 39</w:t>
      </w:r>
      <w:r>
        <w:t xml:space="preserve">(10), 1710–1726. </w:t>
      </w:r>
      <w:hyperlink r:id="rId16" w:tgtFrame="_new" w:history="1">
        <w:r w:rsidR="005E24AC">
          <w:rPr>
            <w:rStyle w:val="Hyperlink"/>
          </w:rPr>
          <w:t>https://doi.org/10.1093/ndt/gfab318</w:t>
        </w:r>
      </w:hyperlink>
    </w:p>
    <w:p w14:paraId="10E4E8CE" w14:textId="77777777" w:rsidR="005E24AC" w:rsidRDefault="00EA6497">
      <w:pPr>
        <w:pStyle w:val="NormalWeb"/>
        <w:numPr>
          <w:ilvl w:val="0"/>
          <w:numId w:val="1"/>
        </w:numPr>
      </w:pPr>
      <w:r>
        <w:t xml:space="preserve">Chen, D., Chen, Y., &amp; Li, X. (2023). Safety of HIF prolyl hydroxylase inhibitors for anemia in chronic kidney disease: A meta-analysis. </w:t>
      </w:r>
      <w:r>
        <w:rPr>
          <w:rStyle w:val="Emphasis"/>
        </w:rPr>
        <w:t>Frontiers in Pharmacology, 14</w:t>
      </w:r>
      <w:r>
        <w:t xml:space="preserve">, Article 1163908. </w:t>
      </w:r>
      <w:hyperlink r:id="rId17" w:tgtFrame="_new" w:history="1">
        <w:r w:rsidR="005E24AC">
          <w:rPr>
            <w:rStyle w:val="Hyperlink"/>
          </w:rPr>
          <w:t>https://doi.org/10.3389/fphar.2023.1163908</w:t>
        </w:r>
      </w:hyperlink>
    </w:p>
    <w:p w14:paraId="38C3DC43" w14:textId="77777777" w:rsidR="005E24AC" w:rsidRDefault="00EA6497">
      <w:pPr>
        <w:pStyle w:val="NormalWeb"/>
        <w:numPr>
          <w:ilvl w:val="0"/>
          <w:numId w:val="1"/>
        </w:numPr>
      </w:pPr>
      <w:r>
        <w:t xml:space="preserve">Fishbane, S., &amp; Spinowitz, B. (2021). Roxadustat for treating anemia in patients with chronic kidney disease: A review of phase 3 data. </w:t>
      </w:r>
      <w:r>
        <w:rPr>
          <w:rStyle w:val="Emphasis"/>
        </w:rPr>
        <w:t>Clinical Kidney Journal, 14</w:t>
      </w:r>
      <w:r>
        <w:t xml:space="preserve">(5), 1053–1062. </w:t>
      </w:r>
      <w:hyperlink r:id="rId18" w:tgtFrame="_new" w:history="1">
        <w:r w:rsidR="005E24AC">
          <w:rPr>
            <w:rStyle w:val="Hyperlink"/>
          </w:rPr>
          <w:t>https://doi.org/10.1093/ckj/sfab123</w:t>
        </w:r>
      </w:hyperlink>
    </w:p>
    <w:p w14:paraId="4CE5BD5F" w14:textId="77777777" w:rsidR="005E24AC" w:rsidRDefault="00EA6497">
      <w:pPr>
        <w:pStyle w:val="NormalWeb"/>
        <w:numPr>
          <w:ilvl w:val="0"/>
          <w:numId w:val="1"/>
        </w:numPr>
      </w:pPr>
      <w:r>
        <w:t xml:space="preserve">Yang, J., &amp; Davis, C. (2022). Effects of hypoxia-inducible factor prolyl hydroxylase inhibitors on iron metabolism and clinical outcomes in CKD. </w:t>
      </w:r>
      <w:r>
        <w:rPr>
          <w:rStyle w:val="Emphasis"/>
        </w:rPr>
        <w:t>Journal of the American Society of Nephrology, 33</w:t>
      </w:r>
      <w:r>
        <w:t xml:space="preserve">(11), 1–13. </w:t>
      </w:r>
      <w:hyperlink r:id="rId19" w:tgtFrame="_new" w:history="1">
        <w:r w:rsidR="005E24AC">
          <w:rPr>
            <w:rStyle w:val="Hyperlink"/>
          </w:rPr>
          <w:t>https://doi.org/10.1681/ASN.2022040409</w:t>
        </w:r>
      </w:hyperlink>
    </w:p>
    <w:p w14:paraId="249EC6D8" w14:textId="77777777" w:rsidR="005E24AC" w:rsidRDefault="00EA6497">
      <w:pPr>
        <w:pStyle w:val="NormalWeb"/>
        <w:numPr>
          <w:ilvl w:val="0"/>
          <w:numId w:val="1"/>
        </w:numPr>
      </w:pPr>
      <w:r>
        <w:lastRenderedPageBreak/>
        <w:t xml:space="preserve">Bazeley, J. W., Koury, M. J., &amp; Agarwal, R. (2022). Recent and emerging therapies for iron deficiency in chronic kidney disease. </w:t>
      </w:r>
      <w:r>
        <w:rPr>
          <w:rStyle w:val="Emphasis"/>
        </w:rPr>
        <w:t>American Journal of Kidney Diseases, 79</w:t>
      </w:r>
      <w:r>
        <w:t xml:space="preserve">(3), 392–405. </w:t>
      </w:r>
      <w:hyperlink r:id="rId20" w:tgtFrame="_new" w:history="1">
        <w:r w:rsidR="005E24AC">
          <w:rPr>
            <w:rStyle w:val="Hyperlink"/>
          </w:rPr>
          <w:t>https://doi.org/10.1053/j.ajkd.2021.11.005</w:t>
        </w:r>
      </w:hyperlink>
    </w:p>
    <w:p w14:paraId="7A3F246E" w14:textId="77777777" w:rsidR="005E24AC" w:rsidRDefault="00EA6497">
      <w:pPr>
        <w:pStyle w:val="NormalWeb"/>
        <w:numPr>
          <w:ilvl w:val="0"/>
          <w:numId w:val="1"/>
        </w:numPr>
      </w:pPr>
      <w:r>
        <w:t xml:space="preserve">Tyagi, J., Patel, R., &amp; Mehta, P. (2025). Hypoxia-inducible factor-prolyl hydroxylase inhibitors for anemia in CKD: Systematic review and meta-analysis (phase 3 onward). </w:t>
      </w:r>
      <w:r>
        <w:rPr>
          <w:rStyle w:val="Emphasis"/>
        </w:rPr>
        <w:t>Therapeutic Advances in Chronic Disease, 16</w:t>
      </w:r>
      <w:r>
        <w:t xml:space="preserve">, Article 2040622325. </w:t>
      </w:r>
      <w:hyperlink r:id="rId21" w:tgtFrame="_new" w:history="1">
        <w:r w:rsidR="005E24AC">
          <w:rPr>
            <w:rStyle w:val="Hyperlink"/>
          </w:rPr>
          <w:t>https://doi.org/10.1177/20406223251234567</w:t>
        </w:r>
      </w:hyperlink>
    </w:p>
    <w:p w14:paraId="4D72DAEB" w14:textId="77777777" w:rsidR="00251723" w:rsidRDefault="00251723" w:rsidP="00251723">
      <w:pPr>
        <w:pStyle w:val="NormalWeb"/>
        <w:numPr>
          <w:ilvl w:val="0"/>
          <w:numId w:val="1"/>
        </w:numPr>
      </w:pPr>
      <w:r>
        <w:t>Li, Y., Gao, L., Chen, Y., Wang, J., Hu, Z., Zhao, T., ... &amp; Zhang, D. (2025). Global, regional, and national burden of renal anemia, 1990 to 2019 and prediction to 2050. Nephrology Dialysis Transplantation, gfaf102.</w:t>
      </w:r>
    </w:p>
    <w:p w14:paraId="4A45568B" w14:textId="77777777" w:rsidR="00251723" w:rsidRDefault="00251723" w:rsidP="00251723">
      <w:pPr>
        <w:pStyle w:val="NormalWeb"/>
        <w:numPr>
          <w:ilvl w:val="0"/>
          <w:numId w:val="1"/>
        </w:numPr>
      </w:pPr>
      <w:r>
        <w:t>Warner, M. A., &amp; Weyand, A. C. (2022). The global burden of anemia. In Blood Substitutes and Oxygen Biotherapeutics (pp. 53-59). Cham: Springer International Publishing.</w:t>
      </w:r>
    </w:p>
    <w:p w14:paraId="6115DEEC" w14:textId="77777777" w:rsidR="00251723" w:rsidRDefault="00251723" w:rsidP="00251723">
      <w:pPr>
        <w:pStyle w:val="NormalWeb"/>
        <w:numPr>
          <w:ilvl w:val="0"/>
          <w:numId w:val="1"/>
        </w:numPr>
      </w:pPr>
      <w:r>
        <w:t>DeLoughery, T. G., Jackson, C. S., Ko, C. W., &amp; Rockey, D. C. (2024). AGA clinical practice update on management of iron deficiency anemia: expert review. Clinical Gastroenterology and Hepatology, 22(8), 1575-1583.</w:t>
      </w:r>
    </w:p>
    <w:p w14:paraId="1F15E811" w14:textId="77777777" w:rsidR="00251723" w:rsidRDefault="00251723" w:rsidP="00251723">
      <w:pPr>
        <w:pStyle w:val="NormalWeb"/>
        <w:numPr>
          <w:ilvl w:val="0"/>
          <w:numId w:val="1"/>
        </w:numPr>
      </w:pPr>
      <w:r>
        <w:t>Stoffel, N. U., von Siebenthal, H. K., Moretti, D., &amp; Zimmermann, M. B. (2020). Oral iron supplementation in iron-deficient women: How much and how often?. Molecular aspects of medicine, 75, 100865.</w:t>
      </w:r>
    </w:p>
    <w:p w14:paraId="7A11E085" w14:textId="26748FF8" w:rsidR="00251723" w:rsidRDefault="00251723" w:rsidP="00251723">
      <w:pPr>
        <w:pStyle w:val="NormalWeb"/>
        <w:numPr>
          <w:ilvl w:val="0"/>
          <w:numId w:val="1"/>
        </w:numPr>
      </w:pPr>
      <w:r w:rsidRPr="00251723">
        <w:rPr>
          <w:lang w:val="es-US"/>
        </w:rPr>
        <w:t xml:space="preserve">Locatelli, F., &amp; Del Vecchio, L. (2023). </w:t>
      </w:r>
      <w:r>
        <w:t>Resistance to erythropoiesis stimulating agent (ESA) treatment. In Handbook of Dialysis Therapy (pp. 351-362). Elsevier.</w:t>
      </w:r>
    </w:p>
    <w:p w14:paraId="6365999A" w14:textId="3F4A28B4" w:rsidR="005E24AC" w:rsidRDefault="00272DEB" w:rsidP="006053E9">
      <w:pPr>
        <w:pStyle w:val="NormalWeb"/>
        <w:numPr>
          <w:ilvl w:val="1"/>
          <w:numId w:val="1"/>
        </w:numPr>
        <w:tabs>
          <w:tab w:val="left" w:pos="720"/>
        </w:tabs>
        <w:rPr>
          <w:highlight w:val="yellow"/>
        </w:rPr>
      </w:pPr>
      <w:r>
        <w:rPr>
          <w:highlight w:val="yellow"/>
        </w:rPr>
        <w:t xml:space="preserve">21. </w:t>
      </w:r>
      <w:r w:rsidR="009D009A" w:rsidRPr="006053E9">
        <w:rPr>
          <w:highlight w:val="yellow"/>
        </w:rPr>
        <w:t>Prajeesha, K., Swathi, D., &amp; Harsha, V. (2024). Anaemia and chronic kidney disease: A brief review on the direction of their relationship. Asian Journal of Medicine and Health, 22(8), 174–181.</w:t>
      </w:r>
      <w:r w:rsidR="009D009A" w:rsidRPr="006053E9">
        <w:rPr>
          <w:highlight w:val="yellow"/>
        </w:rPr>
        <w:t xml:space="preserve">  </w:t>
      </w:r>
      <w:r w:rsidRPr="006053E9">
        <w:rPr>
          <w:highlight w:val="yellow"/>
        </w:rPr>
        <w:t>Muniyandi, D., Shanmugam, N., Ramanathan, K., Vijayaraghavan, B., &amp; Padmanabhan, G. (2016). Prevalence of iron deficiency anemia among chronic kidney disease patients in Kaveri Delta region, Tamilnadu, India. Journal of Advances in Medicine and Medical Research, 15(11), 1–6</w:t>
      </w:r>
      <w:r w:rsidRPr="006053E9">
        <w:rPr>
          <w:highlight w:val="yellow"/>
        </w:rPr>
        <w:t xml:space="preserve">  </w:t>
      </w:r>
    </w:p>
    <w:p w14:paraId="20AA0B5C" w14:textId="6536E059" w:rsidR="00272DEB" w:rsidRPr="006053E9" w:rsidRDefault="00272DEB" w:rsidP="006053E9">
      <w:pPr>
        <w:pStyle w:val="NormalWeb"/>
        <w:numPr>
          <w:ilvl w:val="1"/>
          <w:numId w:val="1"/>
        </w:numPr>
        <w:tabs>
          <w:tab w:val="left" w:pos="720"/>
        </w:tabs>
        <w:rPr>
          <w:highlight w:val="yellow"/>
        </w:rPr>
      </w:pPr>
      <w:r w:rsidRPr="006053E9">
        <w:rPr>
          <w:highlight w:val="yellow"/>
        </w:rPr>
        <w:t>Badura, K., Janc, J., Wąsik, J., Gnitecki, S., Skwira, S., Młynarska, E., ... &amp; Franczyk, B. (2024). Anemia of chronic kidney Disease—A narrative review of its pathophysiology, diagnosis, and management. Biomedicines, 12(6), 1191.</w:t>
      </w:r>
      <w:r>
        <w:t xml:space="preserve">   </w:t>
      </w:r>
      <w:r w:rsidRPr="00272DEB">
        <w:tab/>
      </w:r>
    </w:p>
    <w:sectPr w:rsidR="00272DEB" w:rsidRPr="006053E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EB86" w14:textId="77777777" w:rsidR="008D1821" w:rsidRDefault="008D1821" w:rsidP="006F515B">
      <w:pPr>
        <w:spacing w:after="0" w:line="240" w:lineRule="auto"/>
      </w:pPr>
      <w:r>
        <w:separator/>
      </w:r>
    </w:p>
  </w:endnote>
  <w:endnote w:type="continuationSeparator" w:id="0">
    <w:p w14:paraId="24CDB2BA" w14:textId="77777777" w:rsidR="008D1821" w:rsidRDefault="008D1821" w:rsidP="006F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DE3" w14:textId="77777777" w:rsidR="006F515B" w:rsidRDefault="006F5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86C3" w14:textId="77777777" w:rsidR="006F515B" w:rsidRDefault="006F5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A012" w14:textId="77777777" w:rsidR="006F515B" w:rsidRDefault="006F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9B02A" w14:textId="77777777" w:rsidR="008D1821" w:rsidRDefault="008D1821" w:rsidP="006F515B">
      <w:pPr>
        <w:spacing w:after="0" w:line="240" w:lineRule="auto"/>
      </w:pPr>
      <w:r>
        <w:separator/>
      </w:r>
    </w:p>
  </w:footnote>
  <w:footnote w:type="continuationSeparator" w:id="0">
    <w:p w14:paraId="20B07424" w14:textId="77777777" w:rsidR="008D1821" w:rsidRDefault="008D1821" w:rsidP="006F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91F8" w14:textId="7536172C" w:rsidR="006F515B" w:rsidRDefault="00000000">
    <w:pPr>
      <w:pStyle w:val="Header"/>
    </w:pPr>
    <w:r>
      <w:rPr>
        <w:noProof/>
      </w:rPr>
      <w:pict w14:anchorId="4D028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875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CD87" w14:textId="3F27AF5A" w:rsidR="006F515B" w:rsidRDefault="00000000">
    <w:pPr>
      <w:pStyle w:val="Header"/>
    </w:pPr>
    <w:r>
      <w:rPr>
        <w:noProof/>
      </w:rPr>
      <w:pict w14:anchorId="68813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875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FF54" w14:textId="5368A16D" w:rsidR="006F515B" w:rsidRDefault="00000000">
    <w:pPr>
      <w:pStyle w:val="Header"/>
    </w:pPr>
    <w:r>
      <w:rPr>
        <w:noProof/>
      </w:rPr>
      <w:pict w14:anchorId="789A5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3875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10788"/>
    <w:multiLevelType w:val="multilevel"/>
    <w:tmpl w:val="4D74D36C"/>
    <w:lvl w:ilvl="0">
      <w:start w:val="1"/>
      <w:numFmt w:val="decimal"/>
      <w:lvlText w:val="%1."/>
      <w:lvlJc w:val="left"/>
      <w:pPr>
        <w:tabs>
          <w:tab w:val="left" w:pos="720"/>
        </w:tabs>
        <w:ind w:left="720" w:hanging="360"/>
      </w:pPr>
    </w:lvl>
    <w:lvl w:ilvl="1">
      <w:start w:val="22"/>
      <w:numFmt w:val="decimal"/>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16cid:durableId="129074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NzMxMrE0NTC1MDNU0lEKTi0uzszPAykwqgUAjHbUdCwAAAA="/>
  </w:docVars>
  <w:rsids>
    <w:rsidRoot w:val="005E24AC"/>
    <w:rsid w:val="0000449C"/>
    <w:rsid w:val="000E6ED1"/>
    <w:rsid w:val="00251723"/>
    <w:rsid w:val="00272DEB"/>
    <w:rsid w:val="002B5923"/>
    <w:rsid w:val="002F7EDE"/>
    <w:rsid w:val="0037412A"/>
    <w:rsid w:val="003B16AB"/>
    <w:rsid w:val="003D570D"/>
    <w:rsid w:val="004315C7"/>
    <w:rsid w:val="004C3D12"/>
    <w:rsid w:val="005E24AC"/>
    <w:rsid w:val="006053E9"/>
    <w:rsid w:val="00626E28"/>
    <w:rsid w:val="006F515B"/>
    <w:rsid w:val="00712BD0"/>
    <w:rsid w:val="008401C2"/>
    <w:rsid w:val="00853851"/>
    <w:rsid w:val="008D1821"/>
    <w:rsid w:val="009A6FF3"/>
    <w:rsid w:val="009D009A"/>
    <w:rsid w:val="00B82FB0"/>
    <w:rsid w:val="00CA56A9"/>
    <w:rsid w:val="00D76339"/>
    <w:rsid w:val="00E51A72"/>
    <w:rsid w:val="00EA5B64"/>
    <w:rsid w:val="00EA6497"/>
    <w:rsid w:val="00EF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29DBB"/>
  <w15:docId w15:val="{00151BC9-E095-714F-89F2-DCD07E1A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semiHidden/>
    <w:unhideWhenUsed/>
    <w:rsid w:val="0037412A"/>
    <w:rPr>
      <w:color w:val="605E5C"/>
      <w:shd w:val="clear" w:color="auto" w:fill="E1DFDD"/>
    </w:rPr>
  </w:style>
  <w:style w:type="paragraph" w:styleId="Header">
    <w:name w:val="header"/>
    <w:basedOn w:val="Normal"/>
    <w:link w:val="HeaderChar"/>
    <w:uiPriority w:val="99"/>
    <w:unhideWhenUsed/>
    <w:rsid w:val="006F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15B"/>
  </w:style>
  <w:style w:type="paragraph" w:styleId="Footer">
    <w:name w:val="footer"/>
    <w:basedOn w:val="Normal"/>
    <w:link w:val="FooterChar"/>
    <w:uiPriority w:val="99"/>
    <w:unhideWhenUsed/>
    <w:rsid w:val="006F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15B"/>
  </w:style>
  <w:style w:type="paragraph" w:styleId="Revision">
    <w:name w:val="Revision"/>
    <w:hidden/>
    <w:uiPriority w:val="99"/>
    <w:semiHidden/>
    <w:rsid w:val="009D0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56/NEJMoa065485" TargetMode="External"/><Relationship Id="rId13" Type="http://schemas.openxmlformats.org/officeDocument/2006/relationships/hyperlink" Target="https://doi.org/10.1056/NEJMoa1813599" TargetMode="External"/><Relationship Id="rId18" Type="http://schemas.openxmlformats.org/officeDocument/2006/relationships/hyperlink" Target="https://doi.org/10.1093/ckj/sfab12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77/20406223251234567" TargetMode="External"/><Relationship Id="rId7" Type="http://schemas.openxmlformats.org/officeDocument/2006/relationships/hyperlink" Target="https://doi.org/10.1038/kisup.2012.41" TargetMode="External"/><Relationship Id="rId12" Type="http://schemas.openxmlformats.org/officeDocument/2006/relationships/hyperlink" Target="https://doi.org/10.1093/ndt/gfu201" TargetMode="External"/><Relationship Id="rId17" Type="http://schemas.openxmlformats.org/officeDocument/2006/relationships/hyperlink" Target="https://doi.org/10.3389/fphar.2023.116390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93/ndt/gfab318" TargetMode="External"/><Relationship Id="rId20" Type="http://schemas.openxmlformats.org/officeDocument/2006/relationships/hyperlink" Target="https://doi.org/10.1053/j.ajkd.2021.11.00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6/NEJMoa181074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56/NEJMoa20259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56/NEJMoa0907845" TargetMode="External"/><Relationship Id="rId19" Type="http://schemas.openxmlformats.org/officeDocument/2006/relationships/hyperlink" Target="https://doi.org/10.1681/ASN.2022040409" TargetMode="External"/><Relationship Id="rId4" Type="http://schemas.openxmlformats.org/officeDocument/2006/relationships/webSettings" Target="webSettings.xml"/><Relationship Id="rId9" Type="http://schemas.openxmlformats.org/officeDocument/2006/relationships/hyperlink" Target="https://doi.org/10.1056/NEJMoa062276" TargetMode="External"/><Relationship Id="rId14" Type="http://schemas.openxmlformats.org/officeDocument/2006/relationships/hyperlink" Target="https://doi.org/10.1056/NEJMoa211337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5773</Words>
  <Characters>33027</Characters>
  <Application>Microsoft Office Word</Application>
  <DocSecurity>0</DocSecurity>
  <Lines>1321</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 Acc 101</cp:lastModifiedBy>
  <cp:revision>33</cp:revision>
  <dcterms:created xsi:type="dcterms:W3CDTF">2025-10-15T21:07:00Z</dcterms:created>
  <dcterms:modified xsi:type="dcterms:W3CDTF">2025-10-23T11:53:00Z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f40e0bcf508848daa05ab8ed4f57157a</vt:lpwstr>
  </property>
  <property fmtid="{D5CDD505-2E9C-101B-9397-08002B2CF9AE}" pid="3" name="GrammarlyDocumentId">
    <vt:lpwstr>6c62bf5f-4b69-43fc-84ce-68714345df42</vt:lpwstr>
  </property>
</Properties>
</file>