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6E87C" w14:textId="77777777" w:rsidR="00754C9A" w:rsidRPr="001D3AD0" w:rsidRDefault="00754C9A" w:rsidP="00441B6F">
      <w:pPr>
        <w:pStyle w:val="Ttulo"/>
        <w:spacing w:after="0"/>
        <w:jc w:val="both"/>
        <w:rPr>
          <w:rFonts w:ascii="Arial" w:hAnsi="Arial" w:cs="Arial"/>
        </w:rPr>
      </w:pPr>
    </w:p>
    <w:p w14:paraId="3671E6B1" w14:textId="77777777" w:rsidR="00351D3D" w:rsidRPr="001D3AD0" w:rsidRDefault="00351D3D" w:rsidP="00441B6F">
      <w:pPr>
        <w:pStyle w:val="Author"/>
        <w:spacing w:line="240" w:lineRule="auto"/>
        <w:rPr>
          <w:rFonts w:ascii="Arial" w:hAnsi="Arial" w:cs="Arial"/>
          <w:bCs/>
          <w:iCs/>
          <w:kern w:val="28"/>
          <w:sz w:val="36"/>
        </w:rPr>
      </w:pPr>
      <w:bookmarkStart w:id="0" w:name="_GoBack"/>
      <w:bookmarkEnd w:id="0"/>
      <w:r w:rsidRPr="001D3AD0">
        <w:rPr>
          <w:rFonts w:ascii="Arial" w:hAnsi="Arial" w:cs="Arial"/>
          <w:bCs/>
          <w:iCs/>
          <w:kern w:val="28"/>
          <w:sz w:val="36"/>
        </w:rPr>
        <w:t>Sistematic Review</w:t>
      </w:r>
    </w:p>
    <w:p w14:paraId="4AABE1B4" w14:textId="77777777" w:rsidR="00163BC4" w:rsidRPr="001D3AD0" w:rsidRDefault="00401927" w:rsidP="00441B6F">
      <w:pPr>
        <w:pStyle w:val="Author"/>
        <w:spacing w:line="240" w:lineRule="auto"/>
        <w:rPr>
          <w:rFonts w:ascii="Arial" w:hAnsi="Arial" w:cs="Arial"/>
          <w:bCs/>
          <w:iCs/>
          <w:kern w:val="28"/>
          <w:sz w:val="36"/>
        </w:rPr>
      </w:pPr>
      <w:r w:rsidRPr="001D3AD0">
        <w:rPr>
          <w:rFonts w:ascii="Arial" w:hAnsi="Arial" w:cs="Arial"/>
          <w:bCs/>
          <w:iCs/>
          <w:kern w:val="28"/>
          <w:sz w:val="36"/>
        </w:rPr>
        <w:t xml:space="preserve"> </w:t>
      </w:r>
      <w:r w:rsidR="00351D3D" w:rsidRPr="001D3AD0">
        <w:rPr>
          <w:rFonts w:ascii="Arial" w:hAnsi="Arial" w:cs="Arial"/>
          <w:bCs/>
          <w:iCs/>
          <w:kern w:val="28"/>
          <w:sz w:val="36"/>
        </w:rPr>
        <w:t>Beyond the Infection: Metabolic Imprints of Long COVID</w:t>
      </w:r>
    </w:p>
    <w:p w14:paraId="3EFE8238" w14:textId="77777777" w:rsidR="00A258C3" w:rsidRPr="001D3AD0" w:rsidRDefault="00A258C3" w:rsidP="00441B6F">
      <w:pPr>
        <w:pStyle w:val="Author"/>
        <w:spacing w:line="240" w:lineRule="auto"/>
        <w:jc w:val="both"/>
        <w:rPr>
          <w:rFonts w:ascii="Arial" w:hAnsi="Arial" w:cs="Arial"/>
          <w:sz w:val="36"/>
        </w:rPr>
      </w:pPr>
    </w:p>
    <w:p w14:paraId="44D6714A" w14:textId="77777777" w:rsidR="00790ADA" w:rsidRPr="001D3AD0" w:rsidRDefault="00790ADA" w:rsidP="00441B6F">
      <w:pPr>
        <w:pStyle w:val="Affiliation"/>
        <w:spacing w:after="0" w:line="240" w:lineRule="auto"/>
        <w:jc w:val="both"/>
        <w:rPr>
          <w:rFonts w:ascii="Arial" w:hAnsi="Arial" w:cs="Arial"/>
        </w:rPr>
      </w:pPr>
    </w:p>
    <w:p w14:paraId="71C500A4" w14:textId="77777777" w:rsidR="002C57D2" w:rsidRPr="001D3AD0" w:rsidRDefault="002C57D2" w:rsidP="00441B6F">
      <w:pPr>
        <w:pStyle w:val="Affiliation"/>
        <w:spacing w:after="0" w:line="240" w:lineRule="auto"/>
        <w:jc w:val="both"/>
        <w:rPr>
          <w:rFonts w:ascii="Arial" w:hAnsi="Arial" w:cs="Arial"/>
        </w:rPr>
      </w:pPr>
    </w:p>
    <w:p w14:paraId="2DB68ED6" w14:textId="77777777" w:rsidR="00B01FCD" w:rsidRPr="001D3AD0" w:rsidRDefault="00AB61FD" w:rsidP="00B132CC">
      <w:pPr>
        <w:pStyle w:val="Copyright"/>
        <w:spacing w:after="0" w:line="240" w:lineRule="auto"/>
        <w:jc w:val="both"/>
        <w:rPr>
          <w:rFonts w:ascii="Arial" w:hAnsi="Arial" w:cs="Arial"/>
        </w:rPr>
      </w:pPr>
      <w:r w:rsidRPr="001D3AD0">
        <w:rPr>
          <w:rFonts w:ascii="Arial" w:hAnsi="Arial" w:cs="Arial"/>
          <w:lang w:val="en-US"/>
        </w:rPr>
      </w:r>
      <w:r w:rsidRPr="001D3AD0">
        <w:rPr>
          <w:rFonts w:ascii="Arial" w:hAnsi="Arial" w:cs="Arial"/>
        </w:rPr>
        <w:pict w14:anchorId="2666D94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D3AD0">
        <w:rPr>
          <w:rFonts w:ascii="Arial" w:hAnsi="Arial" w:cs="Arial"/>
        </w:rPr>
        <w:t>.</w:t>
      </w:r>
      <w:r w:rsidR="00B01FCD" w:rsidRPr="001D3AD0">
        <w:rPr>
          <w:rFonts w:ascii="Arial" w:hAnsi="Arial" w:cs="Arial"/>
        </w:rPr>
        <w:t>ABSTRACT</w:t>
      </w:r>
    </w:p>
    <w:p w14:paraId="4F9279F0" w14:textId="77777777" w:rsidR="00790ADA" w:rsidRPr="001D3AD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D3AD0" w14:paraId="5632E379" w14:textId="77777777" w:rsidTr="001E44FE">
        <w:tc>
          <w:tcPr>
            <w:tcW w:w="9576" w:type="dxa"/>
            <w:shd w:val="clear" w:color="auto" w:fill="F2F2F2"/>
          </w:tcPr>
          <w:p w14:paraId="415CCFFE"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Forte"/>
                <w:rFonts w:ascii="Arial" w:hAnsi="Arial" w:cs="Arial"/>
                <w:sz w:val="20"/>
                <w:szCs w:val="20"/>
              </w:rPr>
              <w:t>Aims:</w:t>
            </w:r>
            <w:r w:rsidRPr="001D3AD0">
              <w:rPr>
                <w:rFonts w:ascii="Arial" w:hAnsi="Arial" w:cs="Arial"/>
                <w:sz w:val="20"/>
                <w:szCs w:val="20"/>
              </w:rPr>
              <w:t xml:space="preserve"> This systematic review aimed to investigate the association between long COVID and metabolic dysfunctions such as diabetes mellitus (DM), obesity, and dyslipidemias, with emphasis on the underlying pathophysiological mechanisms. </w:t>
            </w:r>
          </w:p>
          <w:p w14:paraId="20A41B04"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Forte"/>
                <w:rFonts w:ascii="Arial" w:hAnsi="Arial" w:cs="Arial"/>
                <w:sz w:val="20"/>
                <w:szCs w:val="20"/>
              </w:rPr>
              <w:t>Study design:</w:t>
            </w:r>
            <w:r w:rsidRPr="001D3AD0">
              <w:rPr>
                <w:rFonts w:ascii="Arial" w:hAnsi="Arial" w:cs="Arial"/>
                <w:sz w:val="20"/>
                <w:szCs w:val="20"/>
              </w:rPr>
              <w:t xml:space="preserve"> Systematic review.</w:t>
            </w:r>
          </w:p>
          <w:p w14:paraId="52AD36D4"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Forte"/>
                <w:rFonts w:ascii="Arial" w:hAnsi="Arial" w:cs="Arial"/>
                <w:sz w:val="20"/>
                <w:szCs w:val="20"/>
              </w:rPr>
              <w:t>Place and Duration of Study:</w:t>
            </w:r>
            <w:r w:rsidRPr="001D3AD0">
              <w:rPr>
                <w:rFonts w:ascii="Arial" w:hAnsi="Arial" w:cs="Arial"/>
                <w:sz w:val="20"/>
                <w:szCs w:val="20"/>
              </w:rPr>
              <w:t xml:space="preserve"> Searches were conducted between January and May 2024 across PubMed/MEDLINE, Scopus, and the Virtual Health Library (BVS) databases, considering publications from 2019 to 2024.</w:t>
            </w:r>
          </w:p>
          <w:p w14:paraId="5A1D3CB4"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Forte"/>
                <w:rFonts w:ascii="Arial" w:hAnsi="Arial" w:cs="Arial"/>
                <w:sz w:val="20"/>
                <w:szCs w:val="20"/>
              </w:rPr>
              <w:t>Methodology:</w:t>
            </w:r>
            <w:r w:rsidRPr="001D3AD0">
              <w:rPr>
                <w:rFonts w:ascii="Arial" w:hAnsi="Arial" w:cs="Arial"/>
                <w:sz w:val="20"/>
                <w:szCs w:val="20"/>
              </w:rPr>
              <w:t xml:space="preserve"> The review followed the PRISMA guidelines (Preferred Reporting Items for Systematic Reviews and Meta-Analyses). The PICO strategy guided the formulation of the research question. Eligible studies included observational and interventional designs that assessed metabolic outcomes in patients with long COVID. Although the search timeframe began in 2019, no eligible studies were found from 2019 and 2020, as the prolonged effects of COVID-19 had not yet been described in the scientific literature. A total of eight studies published between 2021 and 2024 met the inclusion criteria and were critically analyzed regarding design, level of evidence, and main findings.</w:t>
            </w:r>
          </w:p>
          <w:p w14:paraId="2EAEAF7E" w14:textId="77777777" w:rsidR="00E5347C" w:rsidRPr="001D3AD0" w:rsidRDefault="00E5347C" w:rsidP="00E5347C">
            <w:pPr>
              <w:pStyle w:val="NormalWeb"/>
              <w:spacing w:before="0" w:beforeAutospacing="0" w:after="0" w:afterAutospacing="0"/>
              <w:jc w:val="both"/>
              <w:rPr>
                <w:rFonts w:ascii="Arial" w:hAnsi="Arial" w:cs="Arial"/>
                <w:sz w:val="20"/>
                <w:szCs w:val="20"/>
              </w:rPr>
            </w:pPr>
            <w:r w:rsidRPr="001D3AD0">
              <w:rPr>
                <w:rStyle w:val="Forte"/>
                <w:rFonts w:ascii="Arial" w:hAnsi="Arial" w:cs="Arial"/>
                <w:sz w:val="20"/>
                <w:szCs w:val="20"/>
              </w:rPr>
              <w:t>Results:</w:t>
            </w:r>
            <w:r w:rsidRPr="001D3AD0">
              <w:rPr>
                <w:rFonts w:ascii="Arial" w:hAnsi="Arial" w:cs="Arial"/>
                <w:sz w:val="20"/>
                <w:szCs w:val="20"/>
              </w:rPr>
              <w:t xml:space="preserve"> The included studies consistently reported persistent metabolic alterations in patients with long COVID, including insulin resistance, chronic inflammation, lipid dysfunctions, and elevated laboratory markers (ferritin, CRP, HbA1c). Additionally, cognitive impairments and reduced quality of life were frequently observed. However, sample sizes across studies were generally small, and heterogeneity in methodology limited direct comparisons.</w:t>
            </w:r>
          </w:p>
          <w:p w14:paraId="7E8F300A" w14:textId="77777777" w:rsidR="00505F06" w:rsidRPr="001D3AD0" w:rsidRDefault="00E5347C" w:rsidP="00E5347C">
            <w:pPr>
              <w:pStyle w:val="NormalWeb"/>
              <w:spacing w:before="0" w:beforeAutospacing="0" w:after="0" w:afterAutospacing="0"/>
              <w:jc w:val="both"/>
              <w:rPr>
                <w:rFonts w:ascii="Arial" w:hAnsi="Arial" w:cs="Arial"/>
                <w:sz w:val="20"/>
                <w:szCs w:val="20"/>
              </w:rPr>
            </w:pPr>
            <w:r w:rsidRPr="001D3AD0">
              <w:rPr>
                <w:rStyle w:val="Forte"/>
                <w:rFonts w:ascii="Arial" w:hAnsi="Arial" w:cs="Arial"/>
                <w:sz w:val="20"/>
                <w:szCs w:val="20"/>
              </w:rPr>
              <w:t>Conclusion:</w:t>
            </w:r>
            <w:r w:rsidRPr="001D3AD0">
              <w:rPr>
                <w:rFonts w:ascii="Arial" w:hAnsi="Arial" w:cs="Arial"/>
                <w:sz w:val="20"/>
                <w:szCs w:val="20"/>
              </w:rPr>
              <w:t xml:space="preserve"> Long COVID represents a complex condition with significant metabolic manifestations. The current evidence highlights the need for larger, longitudinal, and controlled studies to deepen understanding of the mechanisms involved and to support the development of effective post-COVID care strategies.</w:t>
            </w:r>
          </w:p>
        </w:tc>
      </w:tr>
    </w:tbl>
    <w:p w14:paraId="794D6BE6" w14:textId="77777777" w:rsidR="00636EB2" w:rsidRPr="001D3AD0" w:rsidRDefault="00636EB2" w:rsidP="00441B6F">
      <w:pPr>
        <w:pStyle w:val="Body"/>
        <w:spacing w:after="0"/>
        <w:rPr>
          <w:rFonts w:ascii="Arial" w:hAnsi="Arial" w:cs="Arial"/>
          <w:i/>
        </w:rPr>
      </w:pPr>
    </w:p>
    <w:p w14:paraId="2A3159AE" w14:textId="77777777" w:rsidR="00A24E7E" w:rsidRPr="001D3AD0" w:rsidRDefault="00A24E7E" w:rsidP="00441B6F">
      <w:pPr>
        <w:pStyle w:val="Body"/>
        <w:spacing w:after="0"/>
        <w:rPr>
          <w:rFonts w:ascii="Arial" w:hAnsi="Arial" w:cs="Arial"/>
          <w:i/>
        </w:rPr>
      </w:pPr>
      <w:r w:rsidRPr="001D3AD0">
        <w:rPr>
          <w:rFonts w:ascii="Arial" w:hAnsi="Arial" w:cs="Arial"/>
          <w:i/>
        </w:rPr>
        <w:t xml:space="preserve">Keywords: </w:t>
      </w:r>
      <w:r w:rsidR="0015700C" w:rsidRPr="001D3AD0">
        <w:rPr>
          <w:rFonts w:ascii="Arial" w:hAnsi="Arial" w:cs="Arial"/>
          <w:i/>
        </w:rPr>
        <w:t xml:space="preserve">COVID-19, Post-COVID Syndrome, Metabolic Diseases, </w:t>
      </w:r>
      <w:r w:rsidR="00047913" w:rsidRPr="001D3AD0">
        <w:rPr>
          <w:rFonts w:ascii="Arial" w:hAnsi="Arial" w:cs="Arial"/>
          <w:i/>
        </w:rPr>
        <w:t>Long COVID.</w:t>
      </w:r>
    </w:p>
    <w:p w14:paraId="424A3D41" w14:textId="77777777" w:rsidR="00790ADA" w:rsidRPr="001D3AD0" w:rsidRDefault="00790ADA" w:rsidP="00441B6F">
      <w:pPr>
        <w:pStyle w:val="Body"/>
        <w:spacing w:after="0"/>
        <w:rPr>
          <w:rFonts w:ascii="Arial" w:hAnsi="Arial" w:cs="Arial"/>
          <w:i/>
        </w:rPr>
      </w:pPr>
    </w:p>
    <w:p w14:paraId="351CC6AC" w14:textId="77777777" w:rsidR="00505F06" w:rsidRPr="001D3AD0" w:rsidRDefault="00505F06" w:rsidP="00441B6F">
      <w:pPr>
        <w:pStyle w:val="Body"/>
        <w:spacing w:after="0"/>
        <w:rPr>
          <w:rFonts w:ascii="Arial" w:hAnsi="Arial" w:cs="Arial"/>
          <w:i/>
        </w:rPr>
      </w:pPr>
    </w:p>
    <w:p w14:paraId="2BFE8914" w14:textId="77777777" w:rsidR="00CD1669" w:rsidRPr="001D3AD0" w:rsidRDefault="00902823" w:rsidP="00D44457">
      <w:pPr>
        <w:pStyle w:val="AbstHead"/>
        <w:spacing w:after="0"/>
        <w:jc w:val="both"/>
        <w:rPr>
          <w:rFonts w:ascii="Arial" w:hAnsi="Arial" w:cs="Arial"/>
        </w:rPr>
      </w:pPr>
      <w:r w:rsidRPr="001D3AD0">
        <w:rPr>
          <w:rFonts w:ascii="Arial" w:hAnsi="Arial" w:cs="Arial"/>
        </w:rPr>
        <w:t xml:space="preserve">1. </w:t>
      </w:r>
      <w:r w:rsidR="00B01FCD" w:rsidRPr="001D3AD0">
        <w:rPr>
          <w:rFonts w:ascii="Arial" w:hAnsi="Arial" w:cs="Arial"/>
        </w:rPr>
        <w:t>INTRODUCTION</w:t>
      </w:r>
    </w:p>
    <w:p w14:paraId="5EDDA0E0" w14:textId="77777777" w:rsidR="00D44457" w:rsidRPr="001D3AD0" w:rsidRDefault="00D44457" w:rsidP="00D44457">
      <w:pPr>
        <w:spacing w:before="240"/>
        <w:jc w:val="both"/>
        <w:rPr>
          <w:rFonts w:ascii="Arial" w:hAnsi="Arial" w:cs="Arial"/>
          <w:highlight w:val="yellow"/>
        </w:rPr>
      </w:pPr>
      <w:r w:rsidRPr="001D3AD0">
        <w:rPr>
          <w:rFonts w:ascii="Arial" w:hAnsi="Arial" w:cs="Arial"/>
          <w:highlight w:val="yellow"/>
        </w:rPr>
        <w:t>Severe Acute Respiratory Syndrome Coronavirus 2 (SARS-CoV-2), the etiological agent of Coronavirus Disease 2019 (COVID-19), has profoundly impacted global public health, affecting millions of individuals and exposing substantial challenges to healthcare systems worldwide (N</w:t>
      </w:r>
      <w:r w:rsidR="00AB61FD" w:rsidRPr="001D3AD0">
        <w:rPr>
          <w:rFonts w:ascii="Arial" w:hAnsi="Arial" w:cs="Arial"/>
          <w:highlight w:val="yellow"/>
        </w:rPr>
        <w:t>albandian</w:t>
      </w:r>
      <w:r w:rsidRPr="001D3AD0">
        <w:rPr>
          <w:rFonts w:ascii="Arial" w:hAnsi="Arial" w:cs="Arial"/>
          <w:highlight w:val="yellow"/>
        </w:rPr>
        <w:t xml:space="preserve"> et al., 2021). Initially regarded as an acute respiratory illness, COVID-19 has progressively been recognized as a systemic condition, capable of producing manifestations that extend beyond the acute phase and may persist for weeks or months after the initial infection (</w:t>
      </w:r>
      <w:r w:rsidR="00AB61FD" w:rsidRPr="001D3AD0">
        <w:rPr>
          <w:rFonts w:ascii="Arial" w:hAnsi="Arial" w:cs="Arial"/>
          <w:highlight w:val="yellow"/>
          <w:lang w:val="pt-BR"/>
        </w:rPr>
        <w:t>N</w:t>
      </w:r>
      <w:r w:rsidR="00AB61FD" w:rsidRPr="001D3AD0">
        <w:rPr>
          <w:rFonts w:ascii="Arial" w:hAnsi="Arial" w:cs="Arial"/>
          <w:highlight w:val="yellow"/>
        </w:rPr>
        <w:t xml:space="preserve">albandian </w:t>
      </w:r>
      <w:r w:rsidRPr="001D3AD0">
        <w:rPr>
          <w:rFonts w:ascii="Arial" w:hAnsi="Arial" w:cs="Arial"/>
          <w:highlight w:val="yellow"/>
        </w:rPr>
        <w:t>et al., 2021), even in the absence of detectable viral activity (</w:t>
      </w:r>
      <w:r w:rsidR="00AB61FD" w:rsidRPr="001D3AD0">
        <w:rPr>
          <w:rFonts w:ascii="Arial" w:hAnsi="Arial" w:cs="Arial"/>
          <w:highlight w:val="yellow"/>
        </w:rPr>
        <w:t xml:space="preserve">Pasini </w:t>
      </w:r>
      <w:r w:rsidRPr="001D3AD0">
        <w:rPr>
          <w:rFonts w:ascii="Arial" w:hAnsi="Arial" w:cs="Arial"/>
          <w:highlight w:val="yellow"/>
        </w:rPr>
        <w:t>et al., 2021).</w:t>
      </w:r>
    </w:p>
    <w:p w14:paraId="77719EB1" w14:textId="77777777" w:rsidR="00D44457" w:rsidRPr="001D3AD0" w:rsidRDefault="00D44457" w:rsidP="00D44457">
      <w:pPr>
        <w:spacing w:before="240"/>
        <w:jc w:val="both"/>
        <w:rPr>
          <w:rFonts w:ascii="Arial" w:hAnsi="Arial" w:cs="Arial"/>
          <w:highlight w:val="yellow"/>
        </w:rPr>
      </w:pPr>
      <w:r w:rsidRPr="001D3AD0">
        <w:rPr>
          <w:rFonts w:ascii="Arial" w:hAnsi="Arial" w:cs="Arial"/>
          <w:highlight w:val="yellow"/>
        </w:rPr>
        <w:t>This constellation of persistent and often debilitating symptoms has been termed long COVID or post-COVID syndrome (</w:t>
      </w:r>
      <w:r w:rsidR="00AB61FD" w:rsidRPr="001D3AD0">
        <w:rPr>
          <w:rFonts w:ascii="Arial" w:hAnsi="Arial" w:cs="Arial"/>
          <w:highlight w:val="yellow"/>
        </w:rPr>
        <w:t xml:space="preserve">Del Rio; Collins; Malani, </w:t>
      </w:r>
      <w:r w:rsidRPr="001D3AD0">
        <w:rPr>
          <w:rFonts w:ascii="Arial" w:hAnsi="Arial" w:cs="Arial"/>
          <w:highlight w:val="yellow"/>
        </w:rPr>
        <w:t>2020; WHO, 2021). In October 2021, the World Health Organization (WHO) officially defined the condition as occurring in individuals with a probable or confirmed history of SARS-CoV-2 infection, usually within three months from onset, with symptoms lasting at least two months and not explained by alternative diagnoses (WHO, 2021).</w:t>
      </w:r>
    </w:p>
    <w:p w14:paraId="5CE1ED07" w14:textId="40617965" w:rsidR="00D44457" w:rsidRPr="001D3AD0" w:rsidRDefault="00D44457" w:rsidP="00D44457">
      <w:pPr>
        <w:spacing w:before="240"/>
        <w:jc w:val="both"/>
        <w:rPr>
          <w:rFonts w:ascii="Arial" w:hAnsi="Arial" w:cs="Arial"/>
          <w:highlight w:val="yellow"/>
        </w:rPr>
      </w:pPr>
      <w:r w:rsidRPr="001D3AD0">
        <w:rPr>
          <w:rFonts w:ascii="Arial" w:hAnsi="Arial" w:cs="Arial"/>
          <w:highlight w:val="yellow"/>
        </w:rPr>
        <w:t>Long COVID is associated with a wide spectrum of clinical manifestations, including fatigue, dyspnea, cognitive dysfunction, and neurocognitive disturbances (</w:t>
      </w:r>
      <w:r w:rsidR="00AB61FD" w:rsidRPr="001D3AD0">
        <w:rPr>
          <w:rFonts w:ascii="Arial" w:hAnsi="Arial" w:cs="Arial"/>
          <w:highlight w:val="yellow"/>
        </w:rPr>
        <w:t xml:space="preserve">Pasini </w:t>
      </w:r>
      <w:r w:rsidR="00AB61FD" w:rsidRPr="001D3AD0">
        <w:rPr>
          <w:rFonts w:ascii="Arial" w:hAnsi="Arial" w:cs="Arial"/>
          <w:highlight w:val="yellow"/>
          <w:lang w:val="pt-BR"/>
        </w:rPr>
        <w:t>et al</w:t>
      </w:r>
      <w:r w:rsidR="00AB61FD" w:rsidRPr="001D3AD0">
        <w:rPr>
          <w:rFonts w:ascii="Arial" w:hAnsi="Arial" w:cs="Arial"/>
          <w:highlight w:val="yellow"/>
        </w:rPr>
        <w:t>., 2021; Del Rio; Collins; Malani, 2020</w:t>
      </w:r>
      <w:r w:rsidRPr="001D3AD0">
        <w:rPr>
          <w:rFonts w:ascii="Arial" w:hAnsi="Arial" w:cs="Arial"/>
          <w:highlight w:val="yellow"/>
        </w:rPr>
        <w:t xml:space="preserve">; </w:t>
      </w:r>
      <w:r w:rsidR="00AB61FD" w:rsidRPr="001D3AD0">
        <w:rPr>
          <w:rFonts w:ascii="Arial" w:hAnsi="Arial" w:cs="Arial"/>
          <w:highlight w:val="yellow"/>
        </w:rPr>
        <w:t xml:space="preserve">Barreto </w:t>
      </w:r>
      <w:r w:rsidRPr="001D3AD0">
        <w:rPr>
          <w:rFonts w:ascii="Arial" w:hAnsi="Arial" w:cs="Arial"/>
          <w:highlight w:val="yellow"/>
        </w:rPr>
        <w:t xml:space="preserve">et al., 2022; </w:t>
      </w:r>
      <w:r w:rsidR="00AB61FD" w:rsidRPr="001D3AD0">
        <w:rPr>
          <w:rFonts w:ascii="Arial" w:hAnsi="Arial" w:cs="Arial"/>
          <w:highlight w:val="yellow"/>
        </w:rPr>
        <w:t xml:space="preserve">Menezes </w:t>
      </w:r>
      <w:r w:rsidRPr="001D3AD0">
        <w:rPr>
          <w:rFonts w:ascii="Arial" w:hAnsi="Arial" w:cs="Arial"/>
          <w:highlight w:val="yellow"/>
        </w:rPr>
        <w:t xml:space="preserve">et al., 2023; </w:t>
      </w:r>
      <w:r w:rsidR="00AB61FD" w:rsidRPr="001D3AD0">
        <w:rPr>
          <w:rFonts w:ascii="Arial" w:hAnsi="Arial" w:cs="Arial"/>
          <w:highlight w:val="yellow"/>
        </w:rPr>
        <w:t xml:space="preserve">Ida </w:t>
      </w:r>
      <w:r w:rsidRPr="001D3AD0">
        <w:rPr>
          <w:rFonts w:ascii="Arial" w:hAnsi="Arial" w:cs="Arial"/>
          <w:highlight w:val="yellow"/>
        </w:rPr>
        <w:t>et al., 2024). Beyond these symptoms, growing evidence has highlighted its relationship with metabolic health, with metabolic dysfunction emerging as one of the major consequences of the syndrome (</w:t>
      </w:r>
      <w:r w:rsidR="00AB61FD" w:rsidRPr="001D3AD0">
        <w:rPr>
          <w:rFonts w:ascii="Arial" w:hAnsi="Arial" w:cs="Arial"/>
          <w:highlight w:val="yellow"/>
        </w:rPr>
        <w:t xml:space="preserve">Michelen </w:t>
      </w:r>
      <w:r w:rsidRPr="001D3AD0">
        <w:rPr>
          <w:rFonts w:ascii="Arial" w:hAnsi="Arial" w:cs="Arial"/>
          <w:highlight w:val="yellow"/>
        </w:rPr>
        <w:t>et al., 2021). Chronic inflammation and oxidative stress triggered by SARS-CoV-2 infection may contribute to insulin resistance, endocrine imbalance, and increased susceptibility to metabolic disorders (</w:t>
      </w:r>
      <w:r w:rsidR="00AB61FD" w:rsidRPr="001D3AD0">
        <w:rPr>
          <w:rFonts w:ascii="Arial" w:hAnsi="Arial" w:cs="Arial"/>
          <w:highlight w:val="yellow"/>
        </w:rPr>
        <w:t xml:space="preserve">Pasini </w:t>
      </w:r>
      <w:r w:rsidRPr="001D3AD0">
        <w:rPr>
          <w:rFonts w:ascii="Arial" w:hAnsi="Arial" w:cs="Arial"/>
          <w:highlight w:val="yellow"/>
        </w:rPr>
        <w:t xml:space="preserve">et al., 2021). Individuals with pre-existing risk factors, such as obesity or a family history of diabetes mellitus, are particularly vulnerable, showing higher rates of complications, hospitalization, and morbidity following infection </w:t>
      </w:r>
      <w:r w:rsidR="00D348C1" w:rsidRPr="001D3AD0">
        <w:rPr>
          <w:rFonts w:ascii="Arial" w:hAnsi="Arial" w:cs="Arial"/>
        </w:rPr>
        <w:t>(Michelen et al., 2021).</w:t>
      </w:r>
    </w:p>
    <w:p w14:paraId="7F942BD5" w14:textId="71FB99F9" w:rsidR="00D348C1" w:rsidRPr="001D3AD0" w:rsidRDefault="00D348C1" w:rsidP="00D348C1">
      <w:pPr>
        <w:pStyle w:val="NormalWeb"/>
        <w:spacing w:before="0" w:beforeAutospacing="0" w:after="240" w:afterAutospacing="0"/>
        <w:jc w:val="both"/>
        <w:rPr>
          <w:rFonts w:ascii="Arial" w:hAnsi="Arial" w:cs="Arial"/>
          <w:sz w:val="20"/>
        </w:rPr>
      </w:pPr>
      <w:r w:rsidRPr="001D3AD0">
        <w:rPr>
          <w:rFonts w:ascii="Arial" w:hAnsi="Arial" w:cs="Arial"/>
          <w:sz w:val="20"/>
        </w:rPr>
        <w:lastRenderedPageBreak/>
        <w:t>Chronic inflammation and oxidative stress triggered by viral infection may lead to insulin resistance and hormonal imbalances, favoring the onset of new metabolic disorders or the worsening of pre-existing conditions (Pasini et al., 2021). Individuals infected with SARS-CoV-2 who already present risk factors such as obesity and family history of diabetes mellitus are particularly vulnerable to complications, with higher rates of</w:t>
      </w:r>
      <w:r w:rsidRPr="001D3AD0">
        <w:rPr>
          <w:rFonts w:ascii="Arial" w:hAnsi="Arial" w:cs="Arial"/>
          <w:sz w:val="20"/>
        </w:rPr>
        <w:t xml:space="preserve"> hospitalization and morbidity.</w:t>
      </w:r>
    </w:p>
    <w:p w14:paraId="0C042023" w14:textId="495692D5" w:rsidR="00D44457" w:rsidRPr="001D3AD0" w:rsidRDefault="00D44457" w:rsidP="00D44457">
      <w:pPr>
        <w:spacing w:before="240"/>
        <w:jc w:val="both"/>
        <w:rPr>
          <w:rFonts w:ascii="Arial" w:hAnsi="Arial" w:cs="Arial"/>
          <w:highlight w:val="yellow"/>
        </w:rPr>
      </w:pPr>
      <w:r w:rsidRPr="001D3AD0">
        <w:rPr>
          <w:rFonts w:ascii="Arial" w:hAnsi="Arial" w:cs="Arial"/>
          <w:highlight w:val="yellow"/>
        </w:rPr>
        <w:t xml:space="preserve">From an endocrine perspective, </w:t>
      </w:r>
      <w:r w:rsidR="00BD3229" w:rsidRPr="001D3AD0">
        <w:rPr>
          <w:rFonts w:ascii="Arial" w:hAnsi="Arial" w:cs="Arial"/>
          <w:highlight w:val="yellow"/>
          <w:lang w:val="pt-BR"/>
        </w:rPr>
        <w:t>of</w:t>
      </w:r>
      <w:r w:rsidRPr="001D3AD0">
        <w:rPr>
          <w:rFonts w:ascii="Arial" w:hAnsi="Arial" w:cs="Arial"/>
          <w:highlight w:val="yellow"/>
        </w:rPr>
        <w:t xml:space="preserve"> COVID</w:t>
      </w:r>
      <w:r w:rsidR="00BD3229" w:rsidRPr="001D3AD0">
        <w:rPr>
          <w:rFonts w:ascii="Arial" w:hAnsi="Arial" w:cs="Arial"/>
          <w:highlight w:val="yellow"/>
          <w:lang w:val="pt-BR"/>
        </w:rPr>
        <w:t>-19</w:t>
      </w:r>
      <w:r w:rsidRPr="001D3AD0">
        <w:rPr>
          <w:rFonts w:ascii="Arial" w:hAnsi="Arial" w:cs="Arial"/>
          <w:highlight w:val="yellow"/>
        </w:rPr>
        <w:t xml:space="preserve"> patients exhibited at least one hormonal abnormality three months after infection, such as prediabetes, reduced dehydroepiandrosterone sulfate (DHEA-S) levels, subclinical hypothyroidism, or male hypogonadism (</w:t>
      </w:r>
      <w:r w:rsidR="00BD3229" w:rsidRPr="001D3AD0">
        <w:rPr>
          <w:rFonts w:ascii="Arial" w:hAnsi="Arial" w:cs="Arial"/>
          <w:highlight w:val="yellow"/>
          <w:lang w:val="pt-BR"/>
        </w:rPr>
        <w:t>Das et al., 2021</w:t>
      </w:r>
      <w:r w:rsidRPr="001D3AD0">
        <w:rPr>
          <w:rFonts w:ascii="Arial" w:hAnsi="Arial" w:cs="Arial"/>
          <w:highlight w:val="yellow"/>
        </w:rPr>
        <w:t>). Furthermore, systematic reviews and meta-analyses have suggested that long COVID is associated with atherogenic lipid profiles, including increased LDL, triglycerides, and ApoB, as well as decreased HDL and ApoA, pointing to an elevated cardiovascular risk in affected individuals compared to controls (</w:t>
      </w:r>
      <w:r w:rsidR="00AB61FD" w:rsidRPr="001D3AD0">
        <w:rPr>
          <w:rFonts w:ascii="Arial" w:hAnsi="Arial" w:cs="Arial"/>
          <w:highlight w:val="yellow"/>
          <w:lang w:val="pt-BR"/>
        </w:rPr>
        <w:t>Iosef</w:t>
      </w:r>
      <w:r w:rsidRPr="001D3AD0">
        <w:rPr>
          <w:rFonts w:ascii="Arial" w:hAnsi="Arial" w:cs="Arial"/>
          <w:highlight w:val="yellow"/>
        </w:rPr>
        <w:t xml:space="preserve"> et al., 2025).</w:t>
      </w:r>
    </w:p>
    <w:p w14:paraId="1551A753" w14:textId="77777777" w:rsidR="00CD1669" w:rsidRPr="001D3AD0" w:rsidRDefault="00D44457" w:rsidP="00D44457">
      <w:pPr>
        <w:spacing w:before="240"/>
        <w:jc w:val="both"/>
        <w:rPr>
          <w:rFonts w:ascii="Arial" w:hAnsi="Arial" w:cs="Arial"/>
        </w:rPr>
      </w:pPr>
      <w:r w:rsidRPr="001D3AD0">
        <w:rPr>
          <w:rFonts w:ascii="Arial" w:hAnsi="Arial" w:cs="Arial"/>
          <w:highlight w:val="yellow"/>
        </w:rPr>
        <w:t xml:space="preserve">Taken together — encompassing metabolic dysregulation, mitochondrial dysfunction, lipid abnormalities, and endocrine alterations — these findings underscore the critical need to understand the relationship between long COVID and metabolic diseases. Such knowledge has direct implications for screening, clinical management, prevention, and therapeutic strategies in post-COVID populations. Therefore, early recognition of metabolic complications and timely implementation of preventive and therapeutic measures may mitigate the long-term burden of long COVID on metabolic health. In this context, the present review aims to investigate the </w:t>
      </w:r>
      <w:r w:rsidR="00CD1669" w:rsidRPr="001D3AD0">
        <w:rPr>
          <w:rFonts w:ascii="Arial" w:hAnsi="Arial" w:cs="Arial"/>
          <w:highlight w:val="yellow"/>
        </w:rPr>
        <w:t>relationship between long COVID and the development or aggravation of metabolic conditions such as diabetes mellitus, obesity, and dyslipidemia, with emphasis on the underlying pathophysiological mechanisms, including inflammation, cytokine alterations, and oxidative stress.</w:t>
      </w:r>
    </w:p>
    <w:p w14:paraId="788CCF00" w14:textId="77777777" w:rsidR="00790ADA" w:rsidRPr="001D3AD0" w:rsidRDefault="00790ADA" w:rsidP="00441B6F">
      <w:pPr>
        <w:pStyle w:val="Body"/>
        <w:spacing w:after="0"/>
        <w:rPr>
          <w:rFonts w:ascii="Arial" w:hAnsi="Arial" w:cs="Arial"/>
        </w:rPr>
      </w:pPr>
    </w:p>
    <w:p w14:paraId="4CEE2783" w14:textId="77777777" w:rsidR="00B927B9" w:rsidRPr="001D3AD0" w:rsidRDefault="00902823" w:rsidP="00B927B9">
      <w:pPr>
        <w:pStyle w:val="AbstHead"/>
        <w:spacing w:after="0"/>
        <w:jc w:val="both"/>
        <w:rPr>
          <w:rFonts w:ascii="Arial" w:hAnsi="Arial" w:cs="Arial"/>
        </w:rPr>
      </w:pPr>
      <w:r w:rsidRPr="001D3AD0">
        <w:rPr>
          <w:rFonts w:ascii="Arial" w:hAnsi="Arial" w:cs="Arial"/>
        </w:rPr>
        <w:t xml:space="preserve">2. </w:t>
      </w:r>
      <w:r w:rsidR="006B57D0" w:rsidRPr="001D3AD0">
        <w:rPr>
          <w:rFonts w:ascii="Arial" w:hAnsi="Arial" w:cs="Arial"/>
        </w:rPr>
        <w:t>methodology</w:t>
      </w:r>
      <w:r w:rsidR="007F7B32" w:rsidRPr="001D3AD0">
        <w:rPr>
          <w:rFonts w:ascii="Arial" w:hAnsi="Arial" w:cs="Arial"/>
        </w:rPr>
        <w:t xml:space="preserve"> </w:t>
      </w:r>
    </w:p>
    <w:p w14:paraId="676EB7CF" w14:textId="77777777" w:rsidR="00B927B9" w:rsidRPr="001D3AD0" w:rsidRDefault="00B927B9" w:rsidP="00B927B9">
      <w:pPr>
        <w:pStyle w:val="AbstHead"/>
        <w:spacing w:after="0"/>
        <w:jc w:val="both"/>
        <w:rPr>
          <w:rFonts w:ascii="Arial" w:hAnsi="Arial" w:cs="Arial"/>
        </w:rPr>
      </w:pPr>
    </w:p>
    <w:p w14:paraId="1D8E7DA2" w14:textId="77777777" w:rsidR="00B927B9" w:rsidRPr="001D3AD0" w:rsidRDefault="00B927B9" w:rsidP="00064A0C">
      <w:pPr>
        <w:pStyle w:val="NormalWeb"/>
        <w:spacing w:before="0" w:beforeAutospacing="0"/>
        <w:jc w:val="both"/>
        <w:rPr>
          <w:rFonts w:ascii="Arial" w:hAnsi="Arial" w:cs="Arial"/>
          <w:sz w:val="20"/>
          <w:szCs w:val="20"/>
        </w:rPr>
      </w:pPr>
      <w:r w:rsidRPr="001D3AD0">
        <w:rPr>
          <w:rFonts w:ascii="Arial" w:hAnsi="Arial" w:cs="Arial"/>
          <w:sz w:val="20"/>
          <w:szCs w:val="20"/>
        </w:rPr>
        <w:t>This study consists of a systematic literature review, a methodological approach that enables the analysis and synthesis of different types of studies on a specific topic, providing a comprehensive overview of the available scientific evidence. The guiding research question was developed based on the PICO strategy (Population, Intervention, Comparison, Outcome): Population (P): Patients with long COVID; Intervention/Interest (I): Development or worsening of metabolic diseases; Comparison (C): Patients without a history of long COVID (when applicable); Outcome (O): Metabolic alterations associated with long COVID. Accordingly, the guiding question of this review was formulated as follows: How does long COVID contribute to the development or worsening of metabolic complications, such as diabetes mellitus, obesity, and dyslipidemia?</w:t>
      </w:r>
    </w:p>
    <w:p w14:paraId="7E7665DF"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A systematic search was carried out in health-related databases, including PubMed/MEDLINE, Scopus (Elsevier), and the Virtual Health Library (BVS). Keywords were selected according to the controlled vocabularies Medical Subject Headings (MeSH) and Health Sciences Descriptors (DeCS), combined with Boolean operators. The search strategy was adapted for each database to encompass the study objective. For the retrieval of publications, the following descriptors were used, combined with Boolean operators: ("Long COVID" OR "Post-COVID Syndrome" OR "PASC") AND ("Diabetes Mellitus, Type 2" OR "Insulin Resistance" OR "Obesity" OR "Dyslipidemia" OR "Metabolic Syndrome") AND ("Inflammation" OR "Cytokines" OR "Oxidative Stress").</w:t>
      </w:r>
    </w:p>
    <w:p w14:paraId="1F2F1ACB"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To ensure the relevance of studies, the following selection criteria were applied: publications between 2019 and 2024; studies addressing the relationship between long COVID and the development or worsening of metabolic complications; written in English, Portuguese, or Spanish; and original studies, including clinical trials. Exclusion criteria comprised studies involving pediatric populations, those addressing only acute COVID-19, non-peer-reviewed articles (preprints), review papers, and studies in non-accessible languages (e.g., Chinese, Russian).</w:t>
      </w:r>
    </w:p>
    <w:p w14:paraId="6D239E1B"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The entire process of screening, organization, and management of references was carried out with the support of the online tool Rayyan (</w:t>
      </w:r>
      <w:hyperlink r:id="rId8" w:history="1">
        <w:r w:rsidRPr="001D3AD0">
          <w:rPr>
            <w:rStyle w:val="Hyperlink"/>
            <w:rFonts w:ascii="Arial" w:hAnsi="Arial" w:cs="Arial"/>
            <w:sz w:val="20"/>
            <w:szCs w:val="20"/>
          </w:rPr>
          <w:t>https://rayyan.ai/</w:t>
        </w:r>
      </w:hyperlink>
      <w:r w:rsidRPr="001D3AD0">
        <w:rPr>
          <w:rFonts w:ascii="Arial" w:hAnsi="Arial" w:cs="Arial"/>
          <w:sz w:val="20"/>
          <w:szCs w:val="20"/>
        </w:rPr>
        <w:t>), developed to facilitate systematic reviews in a collaborative, efficient, and transparent manner. Data extracted from the included studies were analyzed descriptively and categorically, grouping the findings into main thematic areas.</w:t>
      </w:r>
    </w:p>
    <w:p w14:paraId="0A757323"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The studies were organized in a file for duplicate identification and removal, ensuring repeated records were counted only once. Titles and abstracts were then screened, and only those meeting the inclusion and exclusion criteria were retained. Selected full texts were assessed for eligibility, considering only those that fully addressed the research question.</w:t>
      </w:r>
    </w:p>
    <w:p w14:paraId="56CECCF8" w14:textId="77777777" w:rsidR="00B927B9"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Data were extracted and organized into a standardized spreadsheet to facilitate comparative analysis and categorization of findings, including the following information: first author, year of publication, country of study, study design, objective, main findings on the relationship between long COVID and metabolic alterations, and study limitations. Article screening was performed independently by two reviewers, and disagreements were resolved by consensus.</w:t>
      </w:r>
    </w:p>
    <w:p w14:paraId="569A3C54" w14:textId="77777777" w:rsidR="00B927B9" w:rsidRPr="001D3AD0" w:rsidRDefault="00B927B9" w:rsidP="00064A0C">
      <w:pPr>
        <w:pStyle w:val="NormalWeb"/>
        <w:jc w:val="both"/>
        <w:rPr>
          <w:rFonts w:ascii="Arial" w:hAnsi="Arial" w:cs="Arial"/>
          <w:sz w:val="20"/>
          <w:szCs w:val="20"/>
        </w:rPr>
      </w:pPr>
      <w:r w:rsidRPr="001D3AD0">
        <w:rPr>
          <w:rFonts w:ascii="Arial" w:hAnsi="Arial" w:cs="Arial"/>
          <w:sz w:val="20"/>
          <w:szCs w:val="20"/>
        </w:rPr>
        <w:lastRenderedPageBreak/>
        <w:t>To ensure scientific rigor, the quality of the selected studies was assessed using the hierarchical classification proposed by Melnyk and Fineout-Overholt (2011), a method employed to determine the level of scientific evidence, ranking studies according to the strength and reliability of their data. This hierarchy is divided into seven levels: I) the most robust evidence, derived from systematic reviews, meta-analyses, or clinical practice guidelines based on systematic reviews of randomized controlled trials; II) evidence from at least one randomized controlled trial; III) well-designed clinical studies without randomization; IV) structured observational studies, such as cohort and case-control studies; V) evidence obtained from systematic reviews of descriptive and qualitative research; VI) evidence from a single descriptive or qualitative study; and VII) the least rigorous evidence, based on expert opinions or committee reports.</w:t>
      </w:r>
    </w:p>
    <w:p w14:paraId="7609547B" w14:textId="77777777" w:rsidR="00790ADA" w:rsidRPr="001D3AD0" w:rsidRDefault="00B927B9" w:rsidP="00B927B9">
      <w:pPr>
        <w:pStyle w:val="NormalWeb"/>
        <w:spacing w:before="0" w:beforeAutospacing="0"/>
        <w:jc w:val="both"/>
        <w:rPr>
          <w:rFonts w:ascii="Arial" w:hAnsi="Arial" w:cs="Arial"/>
          <w:sz w:val="20"/>
          <w:szCs w:val="20"/>
        </w:rPr>
      </w:pPr>
      <w:r w:rsidRPr="001D3AD0">
        <w:rPr>
          <w:rFonts w:ascii="Arial" w:hAnsi="Arial" w:cs="Arial"/>
          <w:sz w:val="20"/>
          <w:szCs w:val="20"/>
        </w:rPr>
        <w:t>To illustrate the stages of search and study selection, a flow diagram adapted from the Preferred Reporting Items for Systematic Reviews and Meta-Analyses (PRISMA, 2020) was used. Although the PRISMA model was followed for review structuring, the results were presented narratively and categorically, without performing a meta-analysis, due to the methodological heterogeneity of the included studies.</w:t>
      </w:r>
    </w:p>
    <w:p w14:paraId="5EFAD716" w14:textId="77777777" w:rsidR="00B927B9" w:rsidRPr="001D3AD0" w:rsidRDefault="00B927B9" w:rsidP="00441B6F">
      <w:pPr>
        <w:pStyle w:val="Body"/>
        <w:spacing w:after="0"/>
        <w:rPr>
          <w:rFonts w:ascii="Arial" w:hAnsi="Arial" w:cs="Arial"/>
        </w:rPr>
      </w:pPr>
    </w:p>
    <w:p w14:paraId="581A501E" w14:textId="77777777" w:rsidR="00902823" w:rsidRPr="001D3AD0" w:rsidRDefault="00000F8F" w:rsidP="00441B6F">
      <w:pPr>
        <w:pStyle w:val="Head1"/>
        <w:spacing w:after="0"/>
        <w:jc w:val="both"/>
        <w:rPr>
          <w:rFonts w:ascii="Arial" w:hAnsi="Arial" w:cs="Arial"/>
        </w:rPr>
      </w:pPr>
      <w:r w:rsidRPr="001D3AD0">
        <w:rPr>
          <w:rFonts w:ascii="Arial" w:hAnsi="Arial" w:cs="Arial"/>
        </w:rPr>
        <w:t>3</w:t>
      </w:r>
      <w:r w:rsidR="00902823" w:rsidRPr="001D3AD0">
        <w:rPr>
          <w:rFonts w:ascii="Arial" w:hAnsi="Arial" w:cs="Arial"/>
        </w:rPr>
        <w:t xml:space="preserve">. </w:t>
      </w:r>
      <w:r w:rsidRPr="001D3AD0">
        <w:rPr>
          <w:rFonts w:ascii="Arial" w:hAnsi="Arial" w:cs="Arial"/>
        </w:rPr>
        <w:t>results and discussion</w:t>
      </w:r>
    </w:p>
    <w:p w14:paraId="048062AC" w14:textId="77777777" w:rsidR="00790ADA" w:rsidRPr="001D3AD0" w:rsidRDefault="00790ADA" w:rsidP="00441B6F">
      <w:pPr>
        <w:pStyle w:val="Head1"/>
        <w:spacing w:after="0"/>
        <w:jc w:val="both"/>
        <w:rPr>
          <w:rFonts w:ascii="Arial" w:hAnsi="Arial" w:cs="Arial"/>
        </w:rPr>
      </w:pPr>
    </w:p>
    <w:p w14:paraId="4C5616CF" w14:textId="77777777" w:rsidR="00B927B9" w:rsidRPr="001D3AD0" w:rsidRDefault="00B927B9" w:rsidP="00441B6F">
      <w:pPr>
        <w:pStyle w:val="Body"/>
        <w:spacing w:after="0"/>
        <w:rPr>
          <w:rFonts w:ascii="Arial" w:hAnsi="Arial" w:cs="Arial"/>
        </w:rPr>
      </w:pPr>
      <w:r w:rsidRPr="001D3AD0">
        <w:rPr>
          <w:rFonts w:ascii="Arial" w:hAnsi="Arial" w:cs="Arial"/>
        </w:rPr>
        <w:t xml:space="preserve">Figure 1 describes the process of identification, screening, eligibility, and inclusion of studies according to the databases consulted. </w:t>
      </w:r>
    </w:p>
    <w:p w14:paraId="1DB5D121" w14:textId="77777777" w:rsidR="00B927B9" w:rsidRPr="001D3AD0" w:rsidRDefault="00B927B9" w:rsidP="00441B6F">
      <w:pPr>
        <w:pStyle w:val="Body"/>
        <w:spacing w:after="0"/>
        <w:rPr>
          <w:rFonts w:ascii="Arial" w:hAnsi="Arial" w:cs="Arial"/>
        </w:rPr>
      </w:pPr>
    </w:p>
    <w:p w14:paraId="63248EDE" w14:textId="77777777" w:rsidR="00B927B9" w:rsidRPr="001D3AD0" w:rsidRDefault="00643F35" w:rsidP="00643F35">
      <w:pPr>
        <w:pStyle w:val="Body"/>
        <w:spacing w:after="0"/>
        <w:jc w:val="center"/>
        <w:rPr>
          <w:rFonts w:ascii="Arial" w:hAnsi="Arial" w:cs="Arial"/>
        </w:rPr>
      </w:pPr>
      <w:r w:rsidRPr="001D3AD0">
        <w:rPr>
          <w:rFonts w:ascii="Arial" w:hAnsi="Arial" w:cs="Arial"/>
          <w:noProof/>
          <w:lang w:val="pt-BR" w:eastAsia="pt-BR"/>
        </w:rPr>
        <w:drawing>
          <wp:inline distT="0" distB="0" distL="0" distR="0" wp14:anchorId="52AA934B" wp14:editId="74E192EA">
            <wp:extent cx="4810796" cy="5115639"/>
            <wp:effectExtent l="0" t="0" r="889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796" cy="5115639"/>
                    </a:xfrm>
                    <a:prstGeom prst="rect">
                      <a:avLst/>
                    </a:prstGeom>
                  </pic:spPr>
                </pic:pic>
              </a:graphicData>
            </a:graphic>
          </wp:inline>
        </w:drawing>
      </w:r>
    </w:p>
    <w:p w14:paraId="0C89B71D" w14:textId="77777777" w:rsidR="00335650" w:rsidRPr="001D3AD0" w:rsidRDefault="00147876" w:rsidP="00064A0C">
      <w:pPr>
        <w:pStyle w:val="NormalWeb"/>
        <w:spacing w:before="0" w:beforeAutospacing="0"/>
        <w:jc w:val="both"/>
        <w:rPr>
          <w:rStyle w:val="Forte"/>
          <w:rFonts w:ascii="Arial" w:hAnsi="Arial" w:cs="Arial"/>
          <w:sz w:val="20"/>
        </w:rPr>
      </w:pPr>
      <w:r w:rsidRPr="001D3AD0">
        <w:rPr>
          <w:rStyle w:val="Forte"/>
          <w:rFonts w:ascii="Arial" w:hAnsi="Arial" w:cs="Arial"/>
          <w:sz w:val="20"/>
        </w:rPr>
        <w:t>Figure 1 – Flow diagram of the identification and selection process of studies included in the review.</w:t>
      </w:r>
      <w:r w:rsidR="00335650" w:rsidRPr="001D3AD0">
        <w:rPr>
          <w:rStyle w:val="Forte"/>
          <w:rFonts w:ascii="Arial" w:hAnsi="Arial" w:cs="Arial"/>
          <w:sz w:val="20"/>
        </w:rPr>
        <w:t xml:space="preserve"> </w:t>
      </w:r>
    </w:p>
    <w:p w14:paraId="1A428C8F" w14:textId="77777777" w:rsidR="00335650" w:rsidRPr="001D3AD0" w:rsidRDefault="00335650" w:rsidP="00064A0C">
      <w:pPr>
        <w:pStyle w:val="NormalWeb"/>
        <w:spacing w:before="0" w:beforeAutospacing="0"/>
        <w:jc w:val="both"/>
        <w:rPr>
          <w:rFonts w:ascii="Arial" w:hAnsi="Arial" w:cs="Arial"/>
          <w:b/>
          <w:bCs/>
          <w:sz w:val="20"/>
        </w:rPr>
      </w:pPr>
      <w:r w:rsidRPr="001D3AD0">
        <w:rPr>
          <w:rStyle w:val="Forte"/>
          <w:rFonts w:ascii="Arial" w:hAnsi="Arial" w:cs="Arial"/>
          <w:b w:val="0"/>
          <w:sz w:val="20"/>
        </w:rPr>
        <w:t>Source: Adapted for Page et al (2020).</w:t>
      </w:r>
    </w:p>
    <w:p w14:paraId="06170632" w14:textId="77777777" w:rsidR="00147876" w:rsidRPr="001D3AD0" w:rsidRDefault="00147876" w:rsidP="00147876">
      <w:pPr>
        <w:pStyle w:val="NormalWeb"/>
        <w:spacing w:before="0" w:beforeAutospacing="0"/>
        <w:jc w:val="both"/>
        <w:rPr>
          <w:rFonts w:ascii="Arial" w:hAnsi="Arial" w:cs="Arial"/>
          <w:sz w:val="20"/>
        </w:rPr>
      </w:pPr>
      <w:r w:rsidRPr="001D3AD0">
        <w:rPr>
          <w:rFonts w:ascii="Arial" w:hAnsi="Arial" w:cs="Arial"/>
          <w:sz w:val="20"/>
        </w:rPr>
        <w:lastRenderedPageBreak/>
        <w:t>Initially, 829 publications were identified across the PubMed (n = 52), BVS (n = 72), and Scopus (n = 705) databases. After removing 82 duplicate records, 747 articles remained for title and abstract screening, during which 712 were excluded for not meeting the scope of the research. Of the 35 articles selected for eligibility assessment, 27 were excluded for not fulfilling the predefined criteria related to the research question. In the end, 8 studies were included, forming the body of evidence analyzed and allowing for a grounded synthesis of the investigated topic.</w:t>
      </w:r>
    </w:p>
    <w:p w14:paraId="3C556124" w14:textId="77777777" w:rsidR="00147876" w:rsidRPr="001D3AD0" w:rsidRDefault="00147876" w:rsidP="00147876">
      <w:pPr>
        <w:pStyle w:val="NormalWeb"/>
        <w:spacing w:before="0" w:beforeAutospacing="0"/>
        <w:jc w:val="both"/>
        <w:rPr>
          <w:rFonts w:ascii="Arial" w:hAnsi="Arial" w:cs="Arial"/>
          <w:sz w:val="20"/>
        </w:rPr>
      </w:pPr>
      <w:r w:rsidRPr="001D3AD0">
        <w:rPr>
          <w:rFonts w:ascii="Arial" w:hAnsi="Arial" w:cs="Arial"/>
          <w:sz w:val="20"/>
        </w:rPr>
        <w:t>Although the search timeframe encompassed publications from 2019 to 2024, no eligible studies were identified in 2019 and 2020. This is explained by the fact that, in the early years of the pandemic, scientific investigations were primarily focused on the acute manifestations of COVID-19 and emergency infection-control measures, while the prolonged effects of the disease had not yet been recognized or sufficiently described in the scientific literature.</w:t>
      </w:r>
    </w:p>
    <w:p w14:paraId="327C65AA" w14:textId="77777777" w:rsidR="00B132CC" w:rsidRPr="001D3AD0" w:rsidRDefault="00147876" w:rsidP="00064A0C">
      <w:pPr>
        <w:pStyle w:val="NormalWeb"/>
        <w:spacing w:before="0" w:beforeAutospacing="0"/>
        <w:jc w:val="both"/>
        <w:rPr>
          <w:rFonts w:ascii="Arial" w:hAnsi="Arial" w:cs="Arial"/>
          <w:sz w:val="20"/>
        </w:rPr>
      </w:pPr>
      <w:r w:rsidRPr="001D3AD0">
        <w:rPr>
          <w:rFonts w:ascii="Arial" w:hAnsi="Arial" w:cs="Arial"/>
          <w:sz w:val="20"/>
        </w:rPr>
        <w:t>Of the included studies, 2 were published in 2021 (</w:t>
      </w:r>
      <w:r w:rsidR="00064A0C" w:rsidRPr="001D3AD0">
        <w:rPr>
          <w:rFonts w:ascii="Arial" w:hAnsi="Arial" w:cs="Arial"/>
          <w:sz w:val="20"/>
        </w:rPr>
        <w:t xml:space="preserve">Mittal </w:t>
      </w:r>
      <w:r w:rsidRPr="001D3AD0">
        <w:rPr>
          <w:rFonts w:ascii="Arial" w:hAnsi="Arial" w:cs="Arial"/>
          <w:sz w:val="20"/>
        </w:rPr>
        <w:t xml:space="preserve">et al., 2021; </w:t>
      </w:r>
      <w:r w:rsidR="00064A0C" w:rsidRPr="001D3AD0">
        <w:rPr>
          <w:rFonts w:ascii="Arial" w:hAnsi="Arial" w:cs="Arial"/>
          <w:sz w:val="20"/>
        </w:rPr>
        <w:t xml:space="preserve">Pasini </w:t>
      </w:r>
      <w:r w:rsidRPr="001D3AD0">
        <w:rPr>
          <w:rFonts w:ascii="Arial" w:hAnsi="Arial" w:cs="Arial"/>
          <w:sz w:val="20"/>
        </w:rPr>
        <w:t>et al., 2021), 1 in 2022 (</w:t>
      </w:r>
      <w:r w:rsidR="00064A0C" w:rsidRPr="001D3AD0">
        <w:rPr>
          <w:rFonts w:ascii="Arial" w:hAnsi="Arial" w:cs="Arial"/>
          <w:sz w:val="20"/>
        </w:rPr>
        <w:t xml:space="preserve">Barreto </w:t>
      </w:r>
      <w:r w:rsidRPr="001D3AD0">
        <w:rPr>
          <w:rFonts w:ascii="Arial" w:hAnsi="Arial" w:cs="Arial"/>
          <w:sz w:val="20"/>
        </w:rPr>
        <w:t>et al., 2022), 2 in 2023 (</w:t>
      </w:r>
      <w:r w:rsidR="00064A0C" w:rsidRPr="001D3AD0">
        <w:rPr>
          <w:rFonts w:ascii="Arial" w:hAnsi="Arial" w:cs="Arial"/>
          <w:sz w:val="20"/>
        </w:rPr>
        <w:t xml:space="preserve">Menezes </w:t>
      </w:r>
      <w:r w:rsidRPr="001D3AD0">
        <w:rPr>
          <w:rFonts w:ascii="Arial" w:hAnsi="Arial" w:cs="Arial"/>
          <w:sz w:val="20"/>
        </w:rPr>
        <w:t xml:space="preserve">et al., 2023; </w:t>
      </w:r>
      <w:r w:rsidR="00064A0C" w:rsidRPr="001D3AD0">
        <w:rPr>
          <w:rFonts w:ascii="Arial" w:hAnsi="Arial" w:cs="Arial"/>
          <w:sz w:val="20"/>
        </w:rPr>
        <w:t xml:space="preserve">Sanhueza </w:t>
      </w:r>
      <w:r w:rsidRPr="001D3AD0">
        <w:rPr>
          <w:rFonts w:ascii="Arial" w:hAnsi="Arial" w:cs="Arial"/>
          <w:sz w:val="20"/>
        </w:rPr>
        <w:t>et al., 2023), and 3 in 2024 (</w:t>
      </w:r>
      <w:r w:rsidR="002E5185" w:rsidRPr="001D3AD0">
        <w:rPr>
          <w:rFonts w:ascii="Arial" w:hAnsi="Arial" w:cs="Arial"/>
          <w:sz w:val="20"/>
        </w:rPr>
        <w:t xml:space="preserve">Al-Zadjali </w:t>
      </w:r>
      <w:r w:rsidRPr="001D3AD0">
        <w:rPr>
          <w:rFonts w:ascii="Arial" w:hAnsi="Arial" w:cs="Arial"/>
          <w:sz w:val="20"/>
        </w:rPr>
        <w:t xml:space="preserve">et al., 2024; </w:t>
      </w:r>
      <w:r w:rsidR="002E5185" w:rsidRPr="001D3AD0">
        <w:rPr>
          <w:rFonts w:ascii="Arial" w:hAnsi="Arial" w:cs="Arial"/>
          <w:sz w:val="20"/>
        </w:rPr>
        <w:t xml:space="preserve">Le </w:t>
      </w:r>
      <w:r w:rsidRPr="001D3AD0">
        <w:rPr>
          <w:rFonts w:ascii="Arial" w:hAnsi="Arial" w:cs="Arial"/>
          <w:sz w:val="20"/>
        </w:rPr>
        <w:t xml:space="preserve">et al., 2024; </w:t>
      </w:r>
      <w:r w:rsidR="002E5185" w:rsidRPr="001D3AD0">
        <w:rPr>
          <w:rFonts w:ascii="Arial" w:hAnsi="Arial" w:cs="Arial"/>
          <w:sz w:val="20"/>
        </w:rPr>
        <w:t xml:space="preserve">Man </w:t>
      </w:r>
      <w:r w:rsidRPr="001D3AD0">
        <w:rPr>
          <w:rFonts w:ascii="Arial" w:hAnsi="Arial" w:cs="Arial"/>
          <w:sz w:val="20"/>
        </w:rPr>
        <w:t>et al., 2024). Regarding the level of evidence, the studies were classified into levels II, IV, and V (Table 1).</w:t>
      </w:r>
    </w:p>
    <w:p w14:paraId="6954FE73" w14:textId="77777777" w:rsidR="00B132CC" w:rsidRPr="001D3AD0" w:rsidRDefault="00B132CC">
      <w:pPr>
        <w:rPr>
          <w:rFonts w:ascii="Arial" w:hAnsi="Arial" w:cs="Arial"/>
        </w:rPr>
        <w:sectPr w:rsidR="00B132CC" w:rsidRPr="001D3AD0" w:rsidSect="00B132C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lnNumType w:countBy="1" w:restart="continuous"/>
          <w:cols w:space="720"/>
          <w:docGrid w:linePitch="360"/>
        </w:sectPr>
      </w:pPr>
    </w:p>
    <w:p w14:paraId="7CB27DDB" w14:textId="77777777" w:rsidR="00147876" w:rsidRPr="001D3AD0" w:rsidRDefault="002E1AEE" w:rsidP="00B132CC">
      <w:pPr>
        <w:rPr>
          <w:rFonts w:ascii="Arial" w:hAnsi="Arial" w:cs="Arial"/>
        </w:rPr>
      </w:pPr>
      <w:r w:rsidRPr="001D3AD0">
        <w:rPr>
          <w:rFonts w:ascii="Arial" w:hAnsi="Arial" w:cs="Arial"/>
          <w:b/>
        </w:rPr>
        <w:lastRenderedPageBreak/>
        <w:t>Table 1 –</w:t>
      </w:r>
      <w:r w:rsidRPr="001D3AD0">
        <w:rPr>
          <w:rFonts w:ascii="Arial" w:hAnsi="Arial" w:cs="Arial"/>
        </w:rPr>
        <w:t xml:space="preserve"> Characterization of the articles according to title and authorship, year and country of publication, study design, objective, outcome, and level of evidence. </w:t>
      </w:r>
    </w:p>
    <w:tbl>
      <w:tblPr>
        <w:tblStyle w:val="Tabelacomgrade"/>
        <w:tblpPr w:leftFromText="141" w:rightFromText="141" w:vertAnchor="text" w:tblpY="1"/>
        <w:tblOverlap w:val="never"/>
        <w:tblW w:w="14425" w:type="dxa"/>
        <w:tblLayout w:type="fixed"/>
        <w:tblLook w:val="04A0" w:firstRow="1" w:lastRow="0" w:firstColumn="1" w:lastColumn="0" w:noHBand="0" w:noVBand="1"/>
      </w:tblPr>
      <w:tblGrid>
        <w:gridCol w:w="3216"/>
        <w:gridCol w:w="3217"/>
        <w:gridCol w:w="3216"/>
        <w:gridCol w:w="3217"/>
        <w:gridCol w:w="1559"/>
      </w:tblGrid>
      <w:tr w:rsidR="00FE7906" w:rsidRPr="001D3AD0" w14:paraId="03731881" w14:textId="77777777" w:rsidTr="0039138A">
        <w:tc>
          <w:tcPr>
            <w:tcW w:w="3216" w:type="dxa"/>
          </w:tcPr>
          <w:p w14:paraId="669332F7"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Study-Authorship</w:t>
            </w:r>
          </w:p>
        </w:tc>
        <w:tc>
          <w:tcPr>
            <w:tcW w:w="3217" w:type="dxa"/>
          </w:tcPr>
          <w:p w14:paraId="38172A0A"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Year and Country of Publication</w:t>
            </w:r>
          </w:p>
        </w:tc>
        <w:tc>
          <w:tcPr>
            <w:tcW w:w="3216" w:type="dxa"/>
          </w:tcPr>
          <w:p w14:paraId="6BB48238"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Study Type/Objectivies</w:t>
            </w:r>
          </w:p>
        </w:tc>
        <w:tc>
          <w:tcPr>
            <w:tcW w:w="3217" w:type="dxa"/>
          </w:tcPr>
          <w:p w14:paraId="06F48E37"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Outcome</w:t>
            </w:r>
          </w:p>
        </w:tc>
        <w:tc>
          <w:tcPr>
            <w:tcW w:w="1559" w:type="dxa"/>
          </w:tcPr>
          <w:p w14:paraId="6F008ECC" w14:textId="77777777" w:rsidR="00FE7906" w:rsidRPr="001D3AD0" w:rsidRDefault="00204ED2" w:rsidP="003A28E8">
            <w:pPr>
              <w:pStyle w:val="Body"/>
              <w:spacing w:after="0"/>
              <w:jc w:val="center"/>
              <w:rPr>
                <w:rFonts w:ascii="Arial" w:hAnsi="Arial" w:cs="Arial"/>
                <w:b/>
                <w:sz w:val="20"/>
                <w:szCs w:val="20"/>
              </w:rPr>
            </w:pPr>
            <w:r w:rsidRPr="001D3AD0">
              <w:rPr>
                <w:rFonts w:ascii="Arial" w:hAnsi="Arial" w:cs="Arial"/>
                <w:b/>
                <w:sz w:val="20"/>
                <w:szCs w:val="20"/>
              </w:rPr>
              <w:t>Level of Evidence</w:t>
            </w:r>
          </w:p>
        </w:tc>
      </w:tr>
      <w:tr w:rsidR="00FE7906" w:rsidRPr="001D3AD0" w14:paraId="76F7D97D" w14:textId="77777777" w:rsidTr="0039138A">
        <w:tc>
          <w:tcPr>
            <w:tcW w:w="3216" w:type="dxa"/>
          </w:tcPr>
          <w:p w14:paraId="717FD205" w14:textId="77777777" w:rsidR="00A87DF9" w:rsidRPr="001D3AD0" w:rsidRDefault="00A87DF9" w:rsidP="003A28E8">
            <w:pPr>
              <w:jc w:val="both"/>
              <w:rPr>
                <w:rFonts w:ascii="Arial" w:eastAsia="Times New Roman" w:hAnsi="Arial" w:cs="Arial"/>
                <w:sz w:val="20"/>
                <w:szCs w:val="20"/>
              </w:rPr>
            </w:pPr>
            <w:r w:rsidRPr="001D3AD0">
              <w:rPr>
                <w:rFonts w:ascii="Arial" w:eastAsia="Times New Roman" w:hAnsi="Arial" w:cs="Arial"/>
                <w:sz w:val="20"/>
                <w:szCs w:val="20"/>
              </w:rPr>
              <w:t>S1) High prevalence of post COVID-19 fatigue in patients with type 2 diabetes: A case-control study.</w:t>
            </w:r>
          </w:p>
          <w:p w14:paraId="4FA8FCC1" w14:textId="77777777" w:rsidR="00FE7906" w:rsidRPr="001D3AD0" w:rsidRDefault="002E5185" w:rsidP="003A28E8">
            <w:pPr>
              <w:pStyle w:val="Body"/>
              <w:spacing w:after="0"/>
              <w:rPr>
                <w:rFonts w:ascii="Arial" w:hAnsi="Arial" w:cs="Arial"/>
                <w:sz w:val="20"/>
                <w:szCs w:val="20"/>
              </w:rPr>
            </w:pPr>
            <w:r w:rsidRPr="001D3AD0">
              <w:rPr>
                <w:rFonts w:ascii="Arial" w:eastAsia="Times New Roman" w:hAnsi="Arial" w:cs="Arial"/>
                <w:sz w:val="20"/>
                <w:szCs w:val="20"/>
              </w:rPr>
              <w:t xml:space="preserve">Mittal </w:t>
            </w:r>
            <w:r w:rsidR="00A87DF9" w:rsidRPr="001D3AD0">
              <w:rPr>
                <w:rFonts w:ascii="Arial" w:eastAsia="Times New Roman" w:hAnsi="Arial" w:cs="Arial"/>
                <w:sz w:val="20"/>
                <w:szCs w:val="20"/>
              </w:rPr>
              <w:t>et al.</w:t>
            </w:r>
          </w:p>
        </w:tc>
        <w:tc>
          <w:tcPr>
            <w:tcW w:w="3217" w:type="dxa"/>
          </w:tcPr>
          <w:p w14:paraId="20F56A88" w14:textId="77777777" w:rsidR="00FE7906" w:rsidRPr="001D3AD0" w:rsidRDefault="00A87DF9" w:rsidP="003A28E8">
            <w:pPr>
              <w:pStyle w:val="Body"/>
              <w:spacing w:after="0"/>
              <w:rPr>
                <w:rFonts w:ascii="Arial" w:hAnsi="Arial" w:cs="Arial"/>
                <w:sz w:val="20"/>
                <w:szCs w:val="20"/>
              </w:rPr>
            </w:pPr>
            <w:r w:rsidRPr="001D3AD0">
              <w:rPr>
                <w:rFonts w:ascii="Arial" w:hAnsi="Arial" w:cs="Arial"/>
                <w:sz w:val="20"/>
                <w:szCs w:val="20"/>
              </w:rPr>
              <w:t>2021/India</w:t>
            </w:r>
          </w:p>
        </w:tc>
        <w:tc>
          <w:tcPr>
            <w:tcW w:w="3216" w:type="dxa"/>
          </w:tcPr>
          <w:p w14:paraId="0204A4E6" w14:textId="77777777" w:rsidR="00FE7906" w:rsidRPr="001D3AD0" w:rsidRDefault="00A87DF9" w:rsidP="003A28E8">
            <w:pPr>
              <w:jc w:val="both"/>
              <w:rPr>
                <w:rFonts w:ascii="Arial" w:hAnsi="Arial" w:cs="Arial"/>
                <w:sz w:val="20"/>
                <w:szCs w:val="20"/>
              </w:rPr>
            </w:pPr>
            <w:r w:rsidRPr="001D3AD0">
              <w:rPr>
                <w:rFonts w:ascii="Arial" w:hAnsi="Arial" w:cs="Arial"/>
                <w:sz w:val="20"/>
                <w:szCs w:val="20"/>
                <w:lang w:val="pt-BR" w:eastAsia="pt-BR"/>
              </w:rPr>
              <w:t xml:space="preserve">Case-controlstudy (52 cases and 56 controls), aiming to assess the prevalence of post-COVID-19 fatigue in patients with T2DM and compare it </w:t>
            </w:r>
            <w:r w:rsidR="00111CA9" w:rsidRPr="001D3AD0">
              <w:rPr>
                <w:rFonts w:ascii="Arial" w:hAnsi="Arial" w:cs="Arial"/>
                <w:sz w:val="20"/>
                <w:szCs w:val="20"/>
                <w:lang w:val="pt-BR" w:eastAsia="pt-BR"/>
              </w:rPr>
              <w:t xml:space="preserve">with </w:t>
            </w:r>
            <w:r w:rsidR="00111CA9" w:rsidRPr="001D3AD0">
              <w:rPr>
                <w:rFonts w:ascii="Arial" w:hAnsi="Arial" w:cs="Arial"/>
                <w:sz w:val="20"/>
                <w:szCs w:val="20"/>
              </w:rPr>
              <w:t>ndividuals without T2DM, seeking to identify factors associated with fatigue in these patients.</w:t>
            </w:r>
          </w:p>
        </w:tc>
        <w:tc>
          <w:tcPr>
            <w:tcW w:w="3217" w:type="dxa"/>
          </w:tcPr>
          <w:p w14:paraId="0736B598"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Fatigue was assessed using the CFQ-11 instrument, being observed in 53% of patients with a history of COVID-19, compared to 37% in the control group (p = 0.018). Patients with significant fatigue (score &gt;4) had more dyspnea, weakness, weight loss, and higher levels of TSH, IL-6, and ferritin.</w:t>
            </w:r>
          </w:p>
        </w:tc>
        <w:tc>
          <w:tcPr>
            <w:tcW w:w="1559" w:type="dxa"/>
          </w:tcPr>
          <w:p w14:paraId="58E137E0" w14:textId="77777777" w:rsidR="00A87DF9" w:rsidRPr="001D3AD0" w:rsidRDefault="00204ED2" w:rsidP="003A28E8">
            <w:pPr>
              <w:pStyle w:val="Body"/>
              <w:spacing w:after="0"/>
              <w:rPr>
                <w:rFonts w:ascii="Arial" w:hAnsi="Arial" w:cs="Arial"/>
                <w:sz w:val="20"/>
                <w:szCs w:val="20"/>
              </w:rPr>
            </w:pPr>
            <w:r w:rsidRPr="001D3AD0">
              <w:rPr>
                <w:rFonts w:ascii="Arial" w:hAnsi="Arial" w:cs="Arial"/>
                <w:sz w:val="20"/>
                <w:szCs w:val="20"/>
              </w:rPr>
              <w:t>IV</w:t>
            </w:r>
          </w:p>
          <w:p w14:paraId="53296AED" w14:textId="77777777" w:rsidR="00FE7906" w:rsidRPr="001D3AD0" w:rsidRDefault="00FE7906" w:rsidP="003A28E8">
            <w:pPr>
              <w:pStyle w:val="Body"/>
              <w:spacing w:after="0"/>
              <w:rPr>
                <w:rFonts w:ascii="Arial" w:hAnsi="Arial" w:cs="Arial"/>
                <w:sz w:val="20"/>
                <w:szCs w:val="20"/>
              </w:rPr>
            </w:pPr>
          </w:p>
        </w:tc>
      </w:tr>
      <w:tr w:rsidR="00FE7906" w:rsidRPr="001D3AD0" w14:paraId="4B3F2D2E" w14:textId="77777777" w:rsidTr="0039138A">
        <w:tc>
          <w:tcPr>
            <w:tcW w:w="3216" w:type="dxa"/>
          </w:tcPr>
          <w:p w14:paraId="1D5F96FC" w14:textId="77777777" w:rsidR="00FE7906" w:rsidRPr="001D3AD0" w:rsidRDefault="002E5185" w:rsidP="003A28E8">
            <w:pPr>
              <w:pStyle w:val="Body"/>
              <w:spacing w:after="0"/>
              <w:rPr>
                <w:rFonts w:ascii="Arial"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 xml:space="preserve">2) Serum Metabolic Profile in Patients With Long-Covid (PASC) Syndrome: Clinical Implications/ </w:t>
            </w:r>
            <w:r w:rsidRPr="001D3AD0">
              <w:rPr>
                <w:rFonts w:ascii="Arial" w:eastAsia="Times New Roman" w:hAnsi="Arial" w:cs="Arial"/>
                <w:sz w:val="20"/>
                <w:szCs w:val="20"/>
              </w:rPr>
              <w:t xml:space="preserve">Pasini </w:t>
            </w:r>
            <w:r w:rsidR="003A28E8" w:rsidRPr="001D3AD0">
              <w:rPr>
                <w:rFonts w:ascii="Arial" w:eastAsia="Times New Roman" w:hAnsi="Arial" w:cs="Arial"/>
                <w:sz w:val="20"/>
                <w:szCs w:val="20"/>
              </w:rPr>
              <w:t>et al.</w:t>
            </w:r>
          </w:p>
        </w:tc>
        <w:tc>
          <w:tcPr>
            <w:tcW w:w="3217" w:type="dxa"/>
          </w:tcPr>
          <w:p w14:paraId="772FFDB6"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2021 / Italy</w:t>
            </w:r>
          </w:p>
        </w:tc>
        <w:tc>
          <w:tcPr>
            <w:tcW w:w="3216" w:type="dxa"/>
          </w:tcPr>
          <w:p w14:paraId="072529DB"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Prospective cohort with 75 patients to evaluate the serum metabolic profile of individuals with post-COVID syndrome.</w:t>
            </w:r>
          </w:p>
        </w:tc>
        <w:tc>
          <w:tcPr>
            <w:tcW w:w="3217" w:type="dxa"/>
          </w:tcPr>
          <w:p w14:paraId="37C3580D"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Persistent metabolic alterations, such as high levels of ferritin, D-dimer, and C-reactive protein, suggesting a chronic inflammatory state and increased risk for thromboembolism.</w:t>
            </w:r>
          </w:p>
        </w:tc>
        <w:tc>
          <w:tcPr>
            <w:tcW w:w="1559" w:type="dxa"/>
          </w:tcPr>
          <w:p w14:paraId="5C15CBFA" w14:textId="77777777" w:rsidR="00FE7906" w:rsidRPr="001D3AD0" w:rsidRDefault="00111CA9" w:rsidP="003A28E8">
            <w:pPr>
              <w:pStyle w:val="Body"/>
              <w:spacing w:after="0"/>
              <w:rPr>
                <w:rFonts w:ascii="Arial" w:hAnsi="Arial" w:cs="Arial"/>
                <w:sz w:val="20"/>
                <w:szCs w:val="20"/>
              </w:rPr>
            </w:pPr>
            <w:r w:rsidRPr="001D3AD0">
              <w:rPr>
                <w:rFonts w:ascii="Arial" w:hAnsi="Arial" w:cs="Arial"/>
                <w:sz w:val="20"/>
                <w:szCs w:val="20"/>
              </w:rPr>
              <w:t>IV</w:t>
            </w:r>
          </w:p>
        </w:tc>
      </w:tr>
      <w:tr w:rsidR="003A28E8" w:rsidRPr="001D3AD0" w14:paraId="7E747C79" w14:textId="77777777" w:rsidTr="0039138A">
        <w:tc>
          <w:tcPr>
            <w:tcW w:w="3216" w:type="dxa"/>
          </w:tcPr>
          <w:p w14:paraId="51B5251C" w14:textId="77777777" w:rsidR="003A28E8" w:rsidRPr="001D3AD0" w:rsidRDefault="002E5185" w:rsidP="003A28E8">
            <w:pPr>
              <w:jc w:val="both"/>
              <w:rPr>
                <w:rFonts w:ascii="Arial" w:eastAsia="Times New Roman"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3) Metabolic disorders and post-acute hospitalization in black/mixed-race patients with long COVID in Brazil: A cross-sectional analysis /</w:t>
            </w:r>
            <w:r w:rsidRPr="001D3AD0">
              <w:rPr>
                <w:rFonts w:ascii="Arial" w:eastAsia="Times New Roman" w:hAnsi="Arial" w:cs="Arial"/>
                <w:sz w:val="20"/>
                <w:szCs w:val="20"/>
              </w:rPr>
              <w:t xml:space="preserve">Barreto </w:t>
            </w:r>
            <w:r w:rsidR="003A28E8" w:rsidRPr="001D3AD0">
              <w:rPr>
                <w:rFonts w:ascii="Arial" w:eastAsia="Times New Roman" w:hAnsi="Arial" w:cs="Arial"/>
                <w:sz w:val="20"/>
                <w:szCs w:val="20"/>
              </w:rPr>
              <w:t>et al.</w:t>
            </w:r>
          </w:p>
        </w:tc>
        <w:tc>
          <w:tcPr>
            <w:tcW w:w="3217" w:type="dxa"/>
          </w:tcPr>
          <w:p w14:paraId="2D5D967D"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2022 / Brazil</w:t>
            </w:r>
          </w:p>
        </w:tc>
        <w:tc>
          <w:tcPr>
            <w:tcW w:w="3216" w:type="dxa"/>
          </w:tcPr>
          <w:p w14:paraId="7A6301CA"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Cross-sectional study with 1,164 individuals to evaluate long COVID symptomatology, complications such as hospital readmission and metabolic disorders, as well as clinical characteristics that impact quality of life.</w:t>
            </w:r>
          </w:p>
        </w:tc>
        <w:tc>
          <w:tcPr>
            <w:tcW w:w="3217" w:type="dxa"/>
          </w:tcPr>
          <w:p w14:paraId="43488E0E"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Among 209 participants, 44% presented metabolic comorbidities, with hypertension and diabetes being the most common. Symptoms included 43% reporting persistent chest pain, 36% dyspnea, 41% anxiety, and 34% depression, impacting participants’ quality of life.</w:t>
            </w:r>
          </w:p>
        </w:tc>
        <w:tc>
          <w:tcPr>
            <w:tcW w:w="1559" w:type="dxa"/>
          </w:tcPr>
          <w:p w14:paraId="517E89AC"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 xml:space="preserve">IV </w:t>
            </w:r>
          </w:p>
        </w:tc>
      </w:tr>
      <w:tr w:rsidR="003A28E8" w:rsidRPr="001D3AD0" w14:paraId="76502472" w14:textId="77777777" w:rsidTr="0039138A">
        <w:tc>
          <w:tcPr>
            <w:tcW w:w="3216" w:type="dxa"/>
          </w:tcPr>
          <w:p w14:paraId="55D82ADD" w14:textId="77777777" w:rsidR="003A28E8" w:rsidRPr="001D3AD0" w:rsidRDefault="002E5185" w:rsidP="003A28E8">
            <w:pPr>
              <w:jc w:val="both"/>
              <w:rPr>
                <w:rFonts w:ascii="Arial" w:eastAsia="Times New Roman" w:hAnsi="Arial" w:cs="Arial"/>
                <w:b/>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 xml:space="preserve">4) Clinical and pulmonary function analysis in long-COVID revealed that long-term pulmonary dysfunction is associated with vascular inflammation pathways and metabolic syndrome/ </w:t>
            </w:r>
            <w:r w:rsidRPr="001D3AD0">
              <w:rPr>
                <w:rFonts w:ascii="Arial" w:eastAsia="Times New Roman" w:hAnsi="Arial" w:cs="Arial"/>
                <w:sz w:val="20"/>
                <w:szCs w:val="20"/>
              </w:rPr>
              <w:t xml:space="preserve">Sanhueza </w:t>
            </w:r>
            <w:r w:rsidR="003A28E8" w:rsidRPr="001D3AD0">
              <w:rPr>
                <w:rFonts w:ascii="Arial" w:eastAsia="Times New Roman" w:hAnsi="Arial" w:cs="Arial"/>
                <w:sz w:val="20"/>
                <w:szCs w:val="20"/>
              </w:rPr>
              <w:t>et al.</w:t>
            </w:r>
          </w:p>
        </w:tc>
        <w:tc>
          <w:tcPr>
            <w:tcW w:w="3217" w:type="dxa"/>
          </w:tcPr>
          <w:p w14:paraId="60F13254" w14:textId="77777777" w:rsidR="003A28E8" w:rsidRPr="001D3AD0" w:rsidRDefault="003A28E8" w:rsidP="003A28E8">
            <w:pPr>
              <w:pStyle w:val="Body"/>
              <w:spacing w:after="0"/>
              <w:rPr>
                <w:rFonts w:ascii="Arial" w:hAnsi="Arial" w:cs="Arial"/>
                <w:sz w:val="20"/>
                <w:szCs w:val="20"/>
              </w:rPr>
            </w:pPr>
          </w:p>
        </w:tc>
        <w:tc>
          <w:tcPr>
            <w:tcW w:w="3216" w:type="dxa"/>
          </w:tcPr>
          <w:p w14:paraId="2024BCC0"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Observational prospective cohort (n=60), conducted to identify and characterize long-term pulmonary dysfunction in patients with long COVID and metabolic syndrome, in order to elucidate main pathways and long-term consequences.</w:t>
            </w:r>
          </w:p>
        </w:tc>
        <w:tc>
          <w:tcPr>
            <w:tcW w:w="3217" w:type="dxa"/>
          </w:tcPr>
          <w:p w14:paraId="3C69CB5F"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Long-term pulmonary dysfunction was associated with older age, development of ARDS, and the presence of hypertension and insulin resistance. For the first time, the inflammatory phenotype and metabolic consequences of L-TPD after COVID-19 were described, indicating main factors to be considered 12 months after infection, such as metabolic syndrome and insulin resistance.</w:t>
            </w:r>
          </w:p>
        </w:tc>
        <w:tc>
          <w:tcPr>
            <w:tcW w:w="1559" w:type="dxa"/>
          </w:tcPr>
          <w:p w14:paraId="41ABC923"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V</w:t>
            </w:r>
          </w:p>
        </w:tc>
      </w:tr>
      <w:tr w:rsidR="003A28E8" w:rsidRPr="001D3AD0" w14:paraId="20781815" w14:textId="77777777" w:rsidTr="0039138A">
        <w:tc>
          <w:tcPr>
            <w:tcW w:w="3216" w:type="dxa"/>
          </w:tcPr>
          <w:p w14:paraId="7B93165B" w14:textId="77777777" w:rsidR="003A28E8" w:rsidRPr="001D3AD0" w:rsidRDefault="002E5185" w:rsidP="002E5185">
            <w:pPr>
              <w:jc w:val="both"/>
              <w:rPr>
                <w:rFonts w:ascii="Arial" w:eastAsia="Times New Roman"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5) Metabolic Profile of Patients with Long</w:t>
            </w:r>
            <w:r w:rsidRPr="001D3AD0">
              <w:rPr>
                <w:rFonts w:ascii="Arial" w:eastAsia="Times New Roman" w:hAnsi="Arial" w:cs="Arial"/>
                <w:sz w:val="20"/>
                <w:szCs w:val="20"/>
              </w:rPr>
              <w:t xml:space="preserve"> COVID: A Cross-Sectional Study</w:t>
            </w:r>
            <w:r w:rsidR="003A28E8" w:rsidRPr="001D3AD0">
              <w:rPr>
                <w:rFonts w:ascii="Arial" w:eastAsia="Times New Roman" w:hAnsi="Arial" w:cs="Arial"/>
                <w:sz w:val="20"/>
                <w:szCs w:val="20"/>
              </w:rPr>
              <w:t xml:space="preserve">/ </w:t>
            </w:r>
            <w:r w:rsidRPr="001D3AD0">
              <w:rPr>
                <w:rFonts w:ascii="Arial" w:eastAsia="Times New Roman" w:hAnsi="Arial" w:cs="Arial"/>
                <w:sz w:val="20"/>
                <w:szCs w:val="20"/>
              </w:rPr>
              <w:t xml:space="preserve">Menezes </w:t>
            </w:r>
            <w:r w:rsidR="003A28E8" w:rsidRPr="001D3AD0">
              <w:rPr>
                <w:rFonts w:ascii="Arial" w:eastAsia="Times New Roman" w:hAnsi="Arial" w:cs="Arial"/>
                <w:sz w:val="20"/>
                <w:szCs w:val="20"/>
              </w:rPr>
              <w:t>et al.</w:t>
            </w:r>
          </w:p>
        </w:tc>
        <w:tc>
          <w:tcPr>
            <w:tcW w:w="3217" w:type="dxa"/>
          </w:tcPr>
          <w:p w14:paraId="54CDA575" w14:textId="77777777" w:rsidR="003A28E8" w:rsidRPr="001D3AD0" w:rsidRDefault="003A28E8" w:rsidP="003A28E8">
            <w:pPr>
              <w:pStyle w:val="Body"/>
              <w:spacing w:after="0"/>
              <w:rPr>
                <w:rFonts w:ascii="Arial" w:hAnsi="Arial" w:cs="Arial"/>
                <w:sz w:val="20"/>
                <w:szCs w:val="20"/>
              </w:rPr>
            </w:pPr>
          </w:p>
        </w:tc>
        <w:tc>
          <w:tcPr>
            <w:tcW w:w="3216" w:type="dxa"/>
          </w:tcPr>
          <w:p w14:paraId="705151D7"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 xml:space="preserve">Cross-sectional study aimed at analyzing the metabolic profile of long COVID patients in the Amazon region of Brazil. A total </w:t>
            </w:r>
            <w:r w:rsidRPr="001D3AD0">
              <w:rPr>
                <w:rFonts w:ascii="Arial" w:hAnsi="Arial" w:cs="Arial"/>
                <w:sz w:val="20"/>
                <w:szCs w:val="20"/>
              </w:rPr>
              <w:lastRenderedPageBreak/>
              <w:t>of 215 patients were classified based on COVID-19-related outcomes (hospitalization during the acute phase, prolonged disease duration, and number of persistent symptoms) and metabolic laboratory abnormalities.</w:t>
            </w:r>
          </w:p>
        </w:tc>
        <w:tc>
          <w:tcPr>
            <w:tcW w:w="3217" w:type="dxa"/>
          </w:tcPr>
          <w:p w14:paraId="7ABDAB39"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lastRenderedPageBreak/>
              <w:t xml:space="preserve">Abnormalities in the metabolic profile, such as higher BMI, triglycerides, glycated hemoglobin (HbA1c), and ferritin, </w:t>
            </w:r>
            <w:r w:rsidRPr="001D3AD0">
              <w:rPr>
                <w:rFonts w:ascii="Arial" w:hAnsi="Arial" w:cs="Arial"/>
                <w:sz w:val="20"/>
                <w:szCs w:val="20"/>
              </w:rPr>
              <w:lastRenderedPageBreak/>
              <w:t>were more prevalent in patients who had been hospitalized during the acute phase of COVID-19 and who presented persistent symptoms, suggesting cardiometabolic alterations in these patients.</w:t>
            </w:r>
          </w:p>
        </w:tc>
        <w:tc>
          <w:tcPr>
            <w:tcW w:w="1559" w:type="dxa"/>
          </w:tcPr>
          <w:p w14:paraId="595EAF4E"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lastRenderedPageBreak/>
              <w:t>IV</w:t>
            </w:r>
          </w:p>
        </w:tc>
      </w:tr>
      <w:tr w:rsidR="003A28E8" w:rsidRPr="001D3AD0" w14:paraId="42206723" w14:textId="77777777" w:rsidTr="0039138A">
        <w:tc>
          <w:tcPr>
            <w:tcW w:w="3216" w:type="dxa"/>
          </w:tcPr>
          <w:p w14:paraId="3A40A1D0" w14:textId="77777777" w:rsidR="003A28E8" w:rsidRPr="001D3AD0" w:rsidRDefault="002E5185" w:rsidP="003A28E8">
            <w:pPr>
              <w:jc w:val="both"/>
              <w:rPr>
                <w:rFonts w:ascii="Arial" w:eastAsia="Times New Roman" w:hAnsi="Arial" w:cs="Arial"/>
                <w:sz w:val="20"/>
                <w:szCs w:val="20"/>
              </w:rPr>
            </w:pPr>
            <w:r w:rsidRPr="001D3AD0">
              <w:rPr>
                <w:rFonts w:ascii="Arial" w:eastAsia="Times New Roman" w:hAnsi="Arial" w:cs="Arial"/>
                <w:sz w:val="20"/>
                <w:szCs w:val="20"/>
              </w:rPr>
              <w:lastRenderedPageBreak/>
              <w:t>S</w:t>
            </w:r>
            <w:r w:rsidR="003A28E8" w:rsidRPr="001D3AD0">
              <w:rPr>
                <w:rFonts w:ascii="Arial" w:eastAsia="Times New Roman" w:hAnsi="Arial" w:cs="Arial"/>
                <w:sz w:val="20"/>
                <w:szCs w:val="20"/>
              </w:rPr>
              <w:t xml:space="preserve">6) Insulin Resistance in Long COVID-19 Syndrome/ </w:t>
            </w:r>
            <w:r w:rsidRPr="001D3AD0">
              <w:rPr>
                <w:rFonts w:ascii="Arial" w:eastAsia="Times New Roman" w:hAnsi="Arial" w:cs="Arial"/>
                <w:sz w:val="20"/>
                <w:szCs w:val="20"/>
              </w:rPr>
              <w:t xml:space="preserve">Man </w:t>
            </w:r>
            <w:r w:rsidR="003A28E8" w:rsidRPr="001D3AD0">
              <w:rPr>
                <w:rFonts w:ascii="Arial" w:eastAsia="Times New Roman" w:hAnsi="Arial" w:cs="Arial"/>
                <w:sz w:val="20"/>
                <w:szCs w:val="20"/>
              </w:rPr>
              <w:t>et al.</w:t>
            </w:r>
          </w:p>
        </w:tc>
        <w:tc>
          <w:tcPr>
            <w:tcW w:w="3217" w:type="dxa"/>
          </w:tcPr>
          <w:p w14:paraId="5C8C8DA4" w14:textId="77777777" w:rsidR="003A28E8" w:rsidRPr="001D3AD0" w:rsidRDefault="003A28E8" w:rsidP="003A28E8">
            <w:pPr>
              <w:pStyle w:val="Body"/>
              <w:spacing w:after="0"/>
              <w:rPr>
                <w:rFonts w:ascii="Arial" w:hAnsi="Arial" w:cs="Arial"/>
                <w:sz w:val="20"/>
                <w:szCs w:val="20"/>
              </w:rPr>
            </w:pPr>
          </w:p>
        </w:tc>
        <w:tc>
          <w:tcPr>
            <w:tcW w:w="3216" w:type="dxa"/>
          </w:tcPr>
          <w:p w14:paraId="1722A7B2"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Prospective observational study in which 143 cases were selected to verify whether non-diabetic patients with long COVID developed insulin resistance over time.</w:t>
            </w:r>
          </w:p>
        </w:tc>
        <w:tc>
          <w:tcPr>
            <w:tcW w:w="3217" w:type="dxa"/>
          </w:tcPr>
          <w:p w14:paraId="27880659"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The incidence rate of diabetes was higher in obese patients than in those without obesity, with significant differences between groups at 4 months after acute COVID-19. 5% of hospitalized long COVID patients developed diabetes within one year after acute COVID-19 infectio</w:t>
            </w:r>
          </w:p>
        </w:tc>
        <w:tc>
          <w:tcPr>
            <w:tcW w:w="1559" w:type="dxa"/>
          </w:tcPr>
          <w:p w14:paraId="28683E07"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IV</w:t>
            </w:r>
          </w:p>
        </w:tc>
      </w:tr>
      <w:tr w:rsidR="003A28E8" w:rsidRPr="001D3AD0" w14:paraId="3B9CC2F3" w14:textId="77777777" w:rsidTr="0039138A">
        <w:tc>
          <w:tcPr>
            <w:tcW w:w="3216" w:type="dxa"/>
          </w:tcPr>
          <w:p w14:paraId="70218653" w14:textId="77777777" w:rsidR="003A28E8" w:rsidRPr="001D3AD0" w:rsidRDefault="002E5185" w:rsidP="002E5185">
            <w:pPr>
              <w:jc w:val="both"/>
              <w:rPr>
                <w:rFonts w:ascii="Arial" w:eastAsia="Times New Roman" w:hAnsi="Arial" w:cs="Arial"/>
                <w:b/>
                <w:sz w:val="20"/>
                <w:szCs w:val="20"/>
              </w:rPr>
            </w:pPr>
            <w:r w:rsidRPr="001D3AD0">
              <w:rPr>
                <w:rFonts w:ascii="Arial" w:eastAsia="Times New Roman" w:hAnsi="Arial" w:cs="Arial"/>
                <w:sz w:val="20"/>
                <w:szCs w:val="20"/>
              </w:rPr>
              <w:t>S7</w:t>
            </w:r>
            <w:r w:rsidR="003A28E8" w:rsidRPr="001D3AD0">
              <w:rPr>
                <w:rFonts w:ascii="Arial" w:eastAsia="Times New Roman" w:hAnsi="Arial" w:cs="Arial"/>
                <w:sz w:val="20"/>
                <w:szCs w:val="20"/>
              </w:rPr>
              <w:t xml:space="preserve">) Impact of elevated body mass index (BMI) on cognitive functioning and inflammation in persons with post-COVID-19 condition: a secondary Analysis/ </w:t>
            </w:r>
            <w:r w:rsidRPr="001D3AD0">
              <w:rPr>
                <w:rFonts w:ascii="Arial" w:eastAsia="Times New Roman" w:hAnsi="Arial" w:cs="Arial"/>
                <w:sz w:val="20"/>
                <w:szCs w:val="20"/>
              </w:rPr>
              <w:t xml:space="preserve">Le </w:t>
            </w:r>
            <w:r w:rsidR="003A28E8" w:rsidRPr="001D3AD0">
              <w:rPr>
                <w:rFonts w:ascii="Arial" w:eastAsia="Times New Roman" w:hAnsi="Arial" w:cs="Arial"/>
                <w:sz w:val="20"/>
                <w:szCs w:val="20"/>
              </w:rPr>
              <w:t>et al.</w:t>
            </w:r>
            <w:r w:rsidR="003A28E8" w:rsidRPr="001D3AD0">
              <w:rPr>
                <w:rFonts w:ascii="Arial" w:eastAsia="Times New Roman" w:hAnsi="Arial" w:cs="Arial"/>
                <w:b/>
                <w:sz w:val="20"/>
                <w:szCs w:val="20"/>
              </w:rPr>
              <w:t xml:space="preserve"> </w:t>
            </w:r>
          </w:p>
        </w:tc>
        <w:tc>
          <w:tcPr>
            <w:tcW w:w="3217" w:type="dxa"/>
          </w:tcPr>
          <w:p w14:paraId="512B0B79"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2024/Canada</w:t>
            </w:r>
          </w:p>
        </w:tc>
        <w:tc>
          <w:tcPr>
            <w:tcW w:w="3216" w:type="dxa"/>
          </w:tcPr>
          <w:p w14:paraId="7B63FB64"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Post-hoc analysis of a clinical trial (n=70), aiming to determine the effect of BMI on cognitive function in adults with long COVID, and secondarily to evaluate the mediating role of peripheral inflammatory markers in cognitive function.</w:t>
            </w:r>
          </w:p>
        </w:tc>
        <w:tc>
          <w:tcPr>
            <w:tcW w:w="3217" w:type="dxa"/>
          </w:tcPr>
          <w:p w14:paraId="45B034BF"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Higher BMI was associated with worse cognitive performance. In addition, higher BMI correlated positively with increased levels of inflammatory markers such as C-reactive protein (CRP) and erythrocyte sedimentation rate (ESR). This suggests that individuals with elevated BMI may be at greater risk of developing post-COVID-19 condition and cognitive deficits mediated by chronic systemic inflammation.</w:t>
            </w:r>
          </w:p>
        </w:tc>
        <w:tc>
          <w:tcPr>
            <w:tcW w:w="1559" w:type="dxa"/>
          </w:tcPr>
          <w:p w14:paraId="13E46253"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II</w:t>
            </w:r>
          </w:p>
        </w:tc>
      </w:tr>
      <w:tr w:rsidR="003A28E8" w:rsidRPr="001D3AD0" w14:paraId="4B9AA7EF" w14:textId="77777777" w:rsidTr="0039138A">
        <w:tc>
          <w:tcPr>
            <w:tcW w:w="3216" w:type="dxa"/>
          </w:tcPr>
          <w:p w14:paraId="07EFB1FB" w14:textId="77777777" w:rsidR="003A28E8" w:rsidRPr="001D3AD0" w:rsidRDefault="002E5185" w:rsidP="003A28E8">
            <w:pPr>
              <w:jc w:val="both"/>
              <w:rPr>
                <w:rFonts w:ascii="Arial" w:eastAsia="Times New Roman" w:hAnsi="Arial" w:cs="Arial"/>
                <w:sz w:val="20"/>
                <w:szCs w:val="20"/>
              </w:rPr>
            </w:pPr>
            <w:r w:rsidRPr="001D3AD0">
              <w:rPr>
                <w:rFonts w:ascii="Arial" w:eastAsia="Times New Roman" w:hAnsi="Arial" w:cs="Arial"/>
                <w:sz w:val="20"/>
                <w:szCs w:val="20"/>
              </w:rPr>
              <w:t>S</w:t>
            </w:r>
            <w:r w:rsidR="003A28E8" w:rsidRPr="001D3AD0">
              <w:rPr>
                <w:rFonts w:ascii="Arial" w:eastAsia="Times New Roman" w:hAnsi="Arial" w:cs="Arial"/>
                <w:sz w:val="20"/>
                <w:szCs w:val="20"/>
              </w:rPr>
              <w:t>8) Reduced HDL-cholesterol in long COVID-19: A key metabolic risk factor tied to disease severity/</w:t>
            </w:r>
            <w:r w:rsidRPr="001D3AD0">
              <w:rPr>
                <w:rFonts w:ascii="Arial" w:eastAsia="Times New Roman" w:hAnsi="Arial" w:cs="Arial"/>
                <w:sz w:val="20"/>
                <w:szCs w:val="20"/>
              </w:rPr>
              <w:t>Al</w:t>
            </w:r>
            <w:r w:rsidR="003A28E8" w:rsidRPr="001D3AD0">
              <w:rPr>
                <w:rFonts w:ascii="Arial" w:eastAsia="Times New Roman" w:hAnsi="Arial" w:cs="Arial"/>
                <w:sz w:val="20"/>
                <w:szCs w:val="20"/>
              </w:rPr>
              <w:t>-</w:t>
            </w:r>
            <w:r w:rsidRPr="001D3AD0">
              <w:rPr>
                <w:rFonts w:ascii="Arial" w:eastAsia="Times New Roman" w:hAnsi="Arial" w:cs="Arial"/>
                <w:sz w:val="20"/>
                <w:szCs w:val="20"/>
              </w:rPr>
              <w:t xml:space="preserve">Zadjali </w:t>
            </w:r>
            <w:r w:rsidR="003A28E8" w:rsidRPr="001D3AD0">
              <w:rPr>
                <w:rFonts w:ascii="Arial" w:eastAsia="Times New Roman" w:hAnsi="Arial" w:cs="Arial"/>
                <w:sz w:val="20"/>
                <w:szCs w:val="20"/>
              </w:rPr>
              <w:t>et al.</w:t>
            </w:r>
          </w:p>
        </w:tc>
        <w:tc>
          <w:tcPr>
            <w:tcW w:w="3217" w:type="dxa"/>
          </w:tcPr>
          <w:p w14:paraId="118BAB86"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2024 / Brazil</w:t>
            </w:r>
          </w:p>
        </w:tc>
        <w:tc>
          <w:tcPr>
            <w:tcW w:w="3216" w:type="dxa"/>
          </w:tcPr>
          <w:p w14:paraId="363FF624"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Observational study (n=88) that investigated the relationship between reduced HDL-cholesterol levels and the severity of long COVID.</w:t>
            </w:r>
          </w:p>
        </w:tc>
        <w:tc>
          <w:tcPr>
            <w:tcW w:w="3217" w:type="dxa"/>
          </w:tcPr>
          <w:p w14:paraId="4ED2A156"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Long COVID patients presented significantly lower HDL levels compared to individuals without the condition, and these reduced levels were correlated with greater symptom severity.</w:t>
            </w:r>
          </w:p>
        </w:tc>
        <w:tc>
          <w:tcPr>
            <w:tcW w:w="1559" w:type="dxa"/>
          </w:tcPr>
          <w:p w14:paraId="01844D6B" w14:textId="77777777" w:rsidR="003A28E8" w:rsidRPr="001D3AD0" w:rsidRDefault="003A28E8" w:rsidP="003A28E8">
            <w:pPr>
              <w:pStyle w:val="Body"/>
              <w:spacing w:after="0"/>
              <w:rPr>
                <w:rFonts w:ascii="Arial" w:hAnsi="Arial" w:cs="Arial"/>
                <w:sz w:val="20"/>
                <w:szCs w:val="20"/>
              </w:rPr>
            </w:pPr>
            <w:r w:rsidRPr="001D3AD0">
              <w:rPr>
                <w:rFonts w:ascii="Arial" w:hAnsi="Arial" w:cs="Arial"/>
                <w:sz w:val="20"/>
                <w:szCs w:val="20"/>
              </w:rPr>
              <w:t>IV</w:t>
            </w:r>
          </w:p>
        </w:tc>
      </w:tr>
    </w:tbl>
    <w:p w14:paraId="07296028" w14:textId="77777777" w:rsidR="002E1AEE" w:rsidRPr="001D3AD0" w:rsidRDefault="002E1AEE">
      <w:pPr>
        <w:rPr>
          <w:rFonts w:ascii="Arial" w:hAnsi="Arial" w:cs="Arial"/>
        </w:rPr>
        <w:sectPr w:rsidR="002E1AEE" w:rsidRPr="001D3AD0" w:rsidSect="00B132CC">
          <w:pgSz w:w="15840" w:h="12240" w:orient="landscape"/>
          <w:pgMar w:top="720" w:right="720" w:bottom="720" w:left="720" w:header="720" w:footer="720" w:gutter="0"/>
          <w:lnNumType w:countBy="1" w:restart="continuous"/>
          <w:cols w:space="720"/>
          <w:docGrid w:linePitch="360"/>
        </w:sectPr>
      </w:pPr>
      <w:r w:rsidRPr="001D3AD0">
        <w:rPr>
          <w:rFonts w:ascii="Arial" w:hAnsi="Arial" w:cs="Arial"/>
        </w:rPr>
        <w:t>Source</w:t>
      </w:r>
      <w:r w:rsidR="00D44457" w:rsidRPr="001D3AD0">
        <w:rPr>
          <w:rFonts w:ascii="Arial" w:hAnsi="Arial" w:cs="Arial"/>
          <w:lang w:val="pt-BR"/>
        </w:rPr>
        <w:t>: T</w:t>
      </w:r>
      <w:r w:rsidRPr="001D3AD0">
        <w:rPr>
          <w:rFonts w:ascii="Arial" w:hAnsi="Arial" w:cs="Arial"/>
        </w:rPr>
        <w:t>he authors, 2025</w:t>
      </w:r>
      <w:r w:rsidR="007D6635" w:rsidRPr="001D3AD0">
        <w:rPr>
          <w:rFonts w:ascii="Arial" w:hAnsi="Arial" w:cs="Arial"/>
        </w:rPr>
        <w:t>.</w:t>
      </w:r>
    </w:p>
    <w:p w14:paraId="595AA5C9" w14:textId="77777777" w:rsidR="007B25A4" w:rsidRPr="001D3AD0" w:rsidRDefault="00204ED2" w:rsidP="00B132CC">
      <w:pPr>
        <w:rPr>
          <w:rFonts w:ascii="Arial" w:hAnsi="Arial" w:cs="Arial"/>
        </w:rPr>
      </w:pPr>
      <w:r w:rsidRPr="001D3AD0">
        <w:rPr>
          <w:rFonts w:ascii="Arial" w:hAnsi="Arial" w:cs="Arial"/>
        </w:rPr>
        <w:lastRenderedPageBreak/>
        <w:br w:type="textWrapping" w:clear="all"/>
      </w:r>
      <w:r w:rsidR="007B25A4" w:rsidRPr="001D3AD0">
        <w:rPr>
          <w:rFonts w:ascii="Arial" w:hAnsi="Arial" w:cs="Arial"/>
        </w:rPr>
        <w:t>After reading the analyzed studies to clarify the discussion of this review, a table was created that grouped them according to their content similarities (Table 2).</w:t>
      </w:r>
    </w:p>
    <w:p w14:paraId="05970643" w14:textId="77777777" w:rsidR="00B11D14" w:rsidRPr="001D3AD0" w:rsidRDefault="007B25A4" w:rsidP="00B11D14">
      <w:pPr>
        <w:pStyle w:val="Body"/>
        <w:spacing w:after="0"/>
        <w:rPr>
          <w:rFonts w:ascii="Arial" w:hAnsi="Arial" w:cs="Arial"/>
          <w:b/>
        </w:rPr>
      </w:pPr>
      <w:r w:rsidRPr="001D3AD0">
        <w:rPr>
          <w:rFonts w:ascii="Arial" w:hAnsi="Arial" w:cs="Arial"/>
          <w:b/>
        </w:rPr>
        <w:t xml:space="preserve">Table 2 </w:t>
      </w:r>
      <w:r w:rsidRPr="001D3AD0">
        <w:rPr>
          <w:rFonts w:ascii="Arial" w:hAnsi="Arial" w:cs="Arial"/>
        </w:rPr>
        <w:t>- Categorization of selected articles according to content similarity</w:t>
      </w:r>
    </w:p>
    <w:p w14:paraId="0DD7DD95" w14:textId="77777777" w:rsidR="00B11D14" w:rsidRPr="001D3AD0" w:rsidRDefault="00B11D14" w:rsidP="00B11D14">
      <w:pPr>
        <w:pStyle w:val="Body"/>
        <w:spacing w:after="0"/>
        <w:rPr>
          <w:rFonts w:ascii="Arial" w:hAnsi="Arial" w:cs="Arial"/>
          <w:b/>
        </w:rPr>
      </w:pPr>
    </w:p>
    <w:tbl>
      <w:tblPr>
        <w:tblW w:w="8415" w:type="dxa"/>
        <w:jc w:val="center"/>
        <w:tblLayout w:type="fixed"/>
        <w:tblLook w:val="0400" w:firstRow="0" w:lastRow="0" w:firstColumn="0" w:lastColumn="0" w:noHBand="0" w:noVBand="1"/>
      </w:tblPr>
      <w:tblGrid>
        <w:gridCol w:w="4785"/>
        <w:gridCol w:w="3630"/>
      </w:tblGrid>
      <w:tr w:rsidR="00B11D14" w:rsidRPr="001D3AD0" w14:paraId="023F9829" w14:textId="77777777" w:rsidTr="00916FCF">
        <w:trPr>
          <w:trHeight w:val="315"/>
          <w:jc w:val="center"/>
        </w:trPr>
        <w:tc>
          <w:tcPr>
            <w:tcW w:w="4785" w:type="dxa"/>
            <w:tcBorders>
              <w:top w:val="single" w:sz="6" w:space="0" w:color="000000"/>
              <w:left w:val="nil"/>
              <w:bottom w:val="single" w:sz="6" w:space="0" w:color="000000"/>
              <w:right w:val="nil"/>
            </w:tcBorders>
            <w:tcMar>
              <w:top w:w="0" w:type="dxa"/>
              <w:left w:w="120" w:type="dxa"/>
              <w:bottom w:w="0" w:type="dxa"/>
              <w:right w:w="120" w:type="dxa"/>
            </w:tcMar>
          </w:tcPr>
          <w:p w14:paraId="2D5C5B2C" w14:textId="77777777" w:rsidR="00B11D14" w:rsidRPr="001D3AD0" w:rsidRDefault="00B11D14" w:rsidP="00916FCF">
            <w:pPr>
              <w:widowControl w:val="0"/>
              <w:jc w:val="center"/>
              <w:rPr>
                <w:rFonts w:ascii="Arial" w:hAnsi="Arial" w:cs="Arial"/>
                <w:b/>
              </w:rPr>
            </w:pPr>
            <w:r w:rsidRPr="001D3AD0">
              <w:rPr>
                <w:rFonts w:ascii="Arial" w:hAnsi="Arial" w:cs="Arial"/>
                <w:b/>
              </w:rPr>
              <w:t>Categories</w:t>
            </w:r>
          </w:p>
        </w:tc>
        <w:tc>
          <w:tcPr>
            <w:tcW w:w="3630" w:type="dxa"/>
            <w:tcBorders>
              <w:top w:val="single" w:sz="6" w:space="0" w:color="000000"/>
              <w:left w:val="nil"/>
              <w:bottom w:val="single" w:sz="6" w:space="0" w:color="000000"/>
              <w:right w:val="nil"/>
            </w:tcBorders>
            <w:tcMar>
              <w:top w:w="0" w:type="dxa"/>
              <w:left w:w="120" w:type="dxa"/>
              <w:bottom w:w="0" w:type="dxa"/>
              <w:right w:w="120" w:type="dxa"/>
            </w:tcMar>
          </w:tcPr>
          <w:p w14:paraId="4B2269BF" w14:textId="77777777" w:rsidR="00B11D14" w:rsidRPr="001D3AD0" w:rsidRDefault="00B11D14" w:rsidP="00916FCF">
            <w:pPr>
              <w:widowControl w:val="0"/>
              <w:jc w:val="center"/>
              <w:rPr>
                <w:rFonts w:ascii="Arial" w:hAnsi="Arial" w:cs="Arial"/>
                <w:b/>
              </w:rPr>
            </w:pPr>
            <w:r w:rsidRPr="001D3AD0">
              <w:rPr>
                <w:rFonts w:ascii="Arial" w:hAnsi="Arial" w:cs="Arial"/>
                <w:b/>
              </w:rPr>
              <w:t>Studies</w:t>
            </w:r>
          </w:p>
        </w:tc>
      </w:tr>
      <w:tr w:rsidR="00B11D14" w:rsidRPr="001D3AD0" w14:paraId="2BB15950" w14:textId="77777777" w:rsidTr="00916FCF">
        <w:trPr>
          <w:trHeight w:val="315"/>
          <w:jc w:val="center"/>
        </w:trPr>
        <w:tc>
          <w:tcPr>
            <w:tcW w:w="4785" w:type="dxa"/>
            <w:tcBorders>
              <w:top w:val="nil"/>
              <w:left w:val="nil"/>
              <w:bottom w:val="single" w:sz="6" w:space="0" w:color="000000"/>
              <w:right w:val="nil"/>
            </w:tcBorders>
            <w:tcMar>
              <w:top w:w="0" w:type="dxa"/>
              <w:left w:w="120" w:type="dxa"/>
              <w:bottom w:w="0" w:type="dxa"/>
              <w:right w:w="120" w:type="dxa"/>
            </w:tcMar>
          </w:tcPr>
          <w:p w14:paraId="5CBD1337" w14:textId="77777777" w:rsidR="00B11D14" w:rsidRPr="001D3AD0" w:rsidRDefault="00B11D14" w:rsidP="00916FCF">
            <w:pPr>
              <w:jc w:val="center"/>
              <w:rPr>
                <w:rFonts w:ascii="Arial" w:hAnsi="Arial" w:cs="Arial"/>
              </w:rPr>
            </w:pPr>
            <w:r w:rsidRPr="001D3AD0">
              <w:rPr>
                <w:rFonts w:ascii="Arial" w:hAnsi="Arial" w:cs="Arial"/>
              </w:rPr>
              <w:t>Metabolic and Inflammatory Impact of Long COVID</w:t>
            </w:r>
          </w:p>
        </w:tc>
        <w:tc>
          <w:tcPr>
            <w:tcW w:w="3630" w:type="dxa"/>
            <w:tcBorders>
              <w:top w:val="nil"/>
              <w:left w:val="nil"/>
              <w:bottom w:val="single" w:sz="6" w:space="0" w:color="000000"/>
              <w:right w:val="nil"/>
            </w:tcBorders>
            <w:tcMar>
              <w:top w:w="0" w:type="dxa"/>
              <w:left w:w="120" w:type="dxa"/>
              <w:bottom w:w="0" w:type="dxa"/>
              <w:right w:w="120" w:type="dxa"/>
            </w:tcMar>
          </w:tcPr>
          <w:p w14:paraId="5C971945" w14:textId="77777777" w:rsidR="00B11D14" w:rsidRPr="001D3AD0" w:rsidRDefault="0021634C" w:rsidP="00916FCF">
            <w:pPr>
              <w:jc w:val="center"/>
              <w:rPr>
                <w:rFonts w:ascii="Arial" w:hAnsi="Arial" w:cs="Arial"/>
              </w:rPr>
            </w:pPr>
            <w:r w:rsidRPr="001D3AD0">
              <w:rPr>
                <w:rFonts w:ascii="Arial" w:hAnsi="Arial" w:cs="Arial"/>
              </w:rPr>
              <w:t>S1, S2, S3, S4, S5, S6, S7, S</w:t>
            </w:r>
            <w:r w:rsidR="00B11D14" w:rsidRPr="001D3AD0">
              <w:rPr>
                <w:rFonts w:ascii="Arial" w:hAnsi="Arial" w:cs="Arial"/>
              </w:rPr>
              <w:t>8.</w:t>
            </w:r>
          </w:p>
        </w:tc>
      </w:tr>
      <w:tr w:rsidR="00B11D14" w:rsidRPr="001D3AD0" w14:paraId="03ADFDA7" w14:textId="77777777" w:rsidTr="00916FCF">
        <w:trPr>
          <w:trHeight w:val="315"/>
          <w:jc w:val="center"/>
        </w:trPr>
        <w:tc>
          <w:tcPr>
            <w:tcW w:w="4785" w:type="dxa"/>
            <w:tcBorders>
              <w:top w:val="nil"/>
              <w:left w:val="nil"/>
              <w:bottom w:val="single" w:sz="6" w:space="0" w:color="000000"/>
              <w:right w:val="nil"/>
            </w:tcBorders>
            <w:tcMar>
              <w:top w:w="0" w:type="dxa"/>
              <w:left w:w="120" w:type="dxa"/>
              <w:bottom w:w="0" w:type="dxa"/>
              <w:right w:w="120" w:type="dxa"/>
            </w:tcMar>
          </w:tcPr>
          <w:p w14:paraId="4DBC2575" w14:textId="77777777" w:rsidR="00B11D14" w:rsidRPr="001D3AD0" w:rsidRDefault="00B11D14" w:rsidP="00916FCF">
            <w:pPr>
              <w:widowControl w:val="0"/>
              <w:jc w:val="center"/>
              <w:rPr>
                <w:rFonts w:ascii="Arial" w:hAnsi="Arial" w:cs="Arial"/>
              </w:rPr>
            </w:pPr>
            <w:r w:rsidRPr="001D3AD0">
              <w:rPr>
                <w:rFonts w:ascii="Arial" w:hAnsi="Arial" w:cs="Arial"/>
              </w:rPr>
              <w:t>Obesity and Risk Factors for Long COVID</w:t>
            </w:r>
          </w:p>
        </w:tc>
        <w:tc>
          <w:tcPr>
            <w:tcW w:w="3630" w:type="dxa"/>
            <w:tcBorders>
              <w:top w:val="nil"/>
              <w:left w:val="nil"/>
              <w:bottom w:val="single" w:sz="6" w:space="0" w:color="000000"/>
              <w:right w:val="nil"/>
            </w:tcBorders>
            <w:tcMar>
              <w:top w:w="0" w:type="dxa"/>
              <w:left w:w="120" w:type="dxa"/>
              <w:bottom w:w="0" w:type="dxa"/>
              <w:right w:w="120" w:type="dxa"/>
            </w:tcMar>
          </w:tcPr>
          <w:p w14:paraId="45F5D9B6" w14:textId="77777777" w:rsidR="00B11D14" w:rsidRPr="001D3AD0" w:rsidRDefault="0021634C" w:rsidP="00916FCF">
            <w:pPr>
              <w:jc w:val="center"/>
              <w:rPr>
                <w:rFonts w:ascii="Arial" w:hAnsi="Arial" w:cs="Arial"/>
              </w:rPr>
            </w:pPr>
            <w:r w:rsidRPr="001D3AD0">
              <w:rPr>
                <w:rFonts w:ascii="Arial" w:hAnsi="Arial" w:cs="Arial"/>
              </w:rPr>
              <w:t>S3, S4, S5, S7, S8</w:t>
            </w:r>
            <w:r w:rsidR="00B11D14" w:rsidRPr="001D3AD0">
              <w:rPr>
                <w:rFonts w:ascii="Arial" w:hAnsi="Arial" w:cs="Arial"/>
              </w:rPr>
              <w:t>.</w:t>
            </w:r>
          </w:p>
        </w:tc>
      </w:tr>
      <w:tr w:rsidR="00B11D14" w:rsidRPr="001D3AD0" w14:paraId="3075C3E8" w14:textId="77777777" w:rsidTr="00916FCF">
        <w:trPr>
          <w:trHeight w:val="349"/>
          <w:jc w:val="center"/>
        </w:trPr>
        <w:tc>
          <w:tcPr>
            <w:tcW w:w="4785" w:type="dxa"/>
            <w:tcBorders>
              <w:top w:val="nil"/>
              <w:left w:val="nil"/>
              <w:bottom w:val="single" w:sz="6" w:space="0" w:color="000000"/>
              <w:right w:val="nil"/>
            </w:tcBorders>
            <w:tcMar>
              <w:top w:w="0" w:type="dxa"/>
              <w:left w:w="120" w:type="dxa"/>
              <w:bottom w:w="0" w:type="dxa"/>
              <w:right w:w="120" w:type="dxa"/>
            </w:tcMar>
          </w:tcPr>
          <w:p w14:paraId="44E89DAD" w14:textId="77777777" w:rsidR="00B11D14" w:rsidRPr="001D3AD0" w:rsidRDefault="00B11D14" w:rsidP="00916FCF">
            <w:pPr>
              <w:jc w:val="center"/>
              <w:rPr>
                <w:rFonts w:ascii="Arial" w:hAnsi="Arial" w:cs="Arial"/>
              </w:rPr>
            </w:pPr>
            <w:r w:rsidRPr="001D3AD0">
              <w:rPr>
                <w:rFonts w:ascii="Arial" w:hAnsi="Arial" w:cs="Arial"/>
              </w:rPr>
              <w:t>Quality of Life and Cognitive and Functional Consequences</w:t>
            </w:r>
          </w:p>
        </w:tc>
        <w:tc>
          <w:tcPr>
            <w:tcW w:w="3630" w:type="dxa"/>
            <w:tcBorders>
              <w:top w:val="nil"/>
              <w:left w:val="nil"/>
              <w:bottom w:val="single" w:sz="6" w:space="0" w:color="000000"/>
              <w:right w:val="nil"/>
            </w:tcBorders>
            <w:tcMar>
              <w:top w:w="0" w:type="dxa"/>
              <w:left w:w="120" w:type="dxa"/>
              <w:bottom w:w="0" w:type="dxa"/>
              <w:right w:w="120" w:type="dxa"/>
            </w:tcMar>
          </w:tcPr>
          <w:p w14:paraId="2AF5BD8E" w14:textId="77777777" w:rsidR="00B11D14" w:rsidRPr="001D3AD0" w:rsidRDefault="0021634C" w:rsidP="00916FCF">
            <w:pPr>
              <w:widowControl w:val="0"/>
              <w:pBdr>
                <w:top w:val="nil"/>
                <w:left w:val="nil"/>
                <w:bottom w:val="nil"/>
                <w:right w:val="nil"/>
                <w:between w:val="nil"/>
              </w:pBdr>
              <w:jc w:val="center"/>
              <w:rPr>
                <w:rFonts w:ascii="Arial" w:hAnsi="Arial" w:cs="Arial"/>
              </w:rPr>
            </w:pPr>
            <w:r w:rsidRPr="001D3AD0">
              <w:rPr>
                <w:rFonts w:ascii="Arial" w:hAnsi="Arial" w:cs="Arial"/>
              </w:rPr>
              <w:t>S3, S4, S7, S8.</w:t>
            </w:r>
          </w:p>
        </w:tc>
      </w:tr>
    </w:tbl>
    <w:p w14:paraId="30E97486" w14:textId="77777777" w:rsidR="00744D91" w:rsidRPr="001D3AD0" w:rsidRDefault="00B11D14" w:rsidP="0021634C">
      <w:pPr>
        <w:widowControl w:val="0"/>
        <w:ind w:left="1569"/>
        <w:rPr>
          <w:rFonts w:ascii="Arial" w:hAnsi="Arial" w:cs="Arial"/>
        </w:rPr>
      </w:pPr>
      <w:r w:rsidRPr="001D3AD0">
        <w:rPr>
          <w:rFonts w:ascii="Arial" w:hAnsi="Arial" w:cs="Arial"/>
        </w:rPr>
        <w:t xml:space="preserve">     Source: The authors, 2025.</w:t>
      </w:r>
    </w:p>
    <w:p w14:paraId="0727F8F9" w14:textId="77777777" w:rsidR="0021634C" w:rsidRPr="001D3AD0" w:rsidRDefault="0021634C" w:rsidP="0021634C">
      <w:pPr>
        <w:widowControl w:val="0"/>
        <w:ind w:left="1569"/>
        <w:rPr>
          <w:rFonts w:ascii="Arial" w:hAnsi="Arial" w:cs="Arial"/>
        </w:rPr>
      </w:pPr>
    </w:p>
    <w:p w14:paraId="23871617" w14:textId="77777777" w:rsidR="00A50A86" w:rsidRPr="001D3AD0" w:rsidRDefault="00A50A86" w:rsidP="00A50A86">
      <w:pPr>
        <w:widowControl w:val="0"/>
        <w:rPr>
          <w:rFonts w:ascii="Arial" w:hAnsi="Arial" w:cs="Arial"/>
          <w:b/>
        </w:rPr>
      </w:pPr>
      <w:r w:rsidRPr="001D3AD0">
        <w:rPr>
          <w:rFonts w:ascii="Arial" w:hAnsi="Arial" w:cs="Arial"/>
          <w:b/>
        </w:rPr>
        <w:t>Metabolic and Inflammatory Impact of Long COVID</w:t>
      </w:r>
    </w:p>
    <w:p w14:paraId="10673B96" w14:textId="77777777" w:rsidR="00A50A86" w:rsidRPr="001D3AD0" w:rsidRDefault="00A50A86" w:rsidP="00A50A86">
      <w:pPr>
        <w:widowControl w:val="0"/>
        <w:rPr>
          <w:rFonts w:ascii="Arial" w:hAnsi="Arial" w:cs="Arial"/>
          <w:b/>
        </w:rPr>
      </w:pPr>
    </w:p>
    <w:p w14:paraId="6365AB0D" w14:textId="77777777" w:rsidR="00744D91" w:rsidRPr="001D3AD0" w:rsidRDefault="00744D91" w:rsidP="00744D91">
      <w:pPr>
        <w:pStyle w:val="Body"/>
        <w:rPr>
          <w:rFonts w:ascii="Arial" w:hAnsi="Arial" w:cs="Arial"/>
        </w:rPr>
      </w:pPr>
      <w:r w:rsidRPr="001D3AD0">
        <w:rPr>
          <w:rFonts w:ascii="Arial" w:hAnsi="Arial" w:cs="Arial"/>
        </w:rPr>
        <w:t>This study, which encompasses publications on the consequences of COVID-19 from 2019 to 2024, reflects the growing knowledge about the long-term effects of SARS-CoV-2 infection. The lack of studies published in 2019 and 2020 is explained by the initial phase of the pandemic, when the prolonged impacts of the infection were still poorly understood. From 2021 onward, as the pandemic evolved, studies began to address the consequences of COVID-19, especially regarding metabolic, inflammatory, and cognitive aspects.</w:t>
      </w:r>
    </w:p>
    <w:p w14:paraId="4E600F74" w14:textId="77777777" w:rsidR="00AB61FD" w:rsidRPr="001D3AD0" w:rsidRDefault="00744D91" w:rsidP="00744D91">
      <w:pPr>
        <w:pStyle w:val="Body"/>
        <w:rPr>
          <w:rFonts w:ascii="Arial" w:hAnsi="Arial" w:cs="Arial"/>
        </w:rPr>
      </w:pPr>
      <w:r w:rsidRPr="001D3AD0">
        <w:rPr>
          <w:rFonts w:ascii="Arial" w:hAnsi="Arial" w:cs="Arial"/>
        </w:rPr>
        <w:t xml:space="preserve">By categorizing the main themes addressed in the publications, we highlight the interrelationship between different factors that contribute to the long-term effects of COVID-19. The analysis of the categories reveals the complexity and multifactorial nature of the disease, as well as the urgent need for management strategies that address the multiple health aspects of affected patients. </w:t>
      </w:r>
    </w:p>
    <w:p w14:paraId="563DA709" w14:textId="77777777" w:rsidR="00744D91" w:rsidRPr="001D3AD0" w:rsidRDefault="00744D91" w:rsidP="00744D91">
      <w:pPr>
        <w:pStyle w:val="Body"/>
        <w:rPr>
          <w:rFonts w:ascii="Arial" w:hAnsi="Arial" w:cs="Arial"/>
        </w:rPr>
      </w:pPr>
      <w:r w:rsidRPr="001D3AD0">
        <w:rPr>
          <w:rFonts w:ascii="Arial" w:hAnsi="Arial" w:cs="Arial"/>
        </w:rPr>
        <w:t>Beyond the clinical definition, it is essential to understand the multisystemic effects of long COVID. SARS-CoV-2 has the potential to affect different organs and trigger autoimmune responses, leading the immune system to attack previously compromised tissues. Prolonged inflammation contributes to the persistence of symptoms and increases the risk of conditions such as cardiovascular disease. Individuals with pre-existing comorbidities, such as diabetes and heart disease, tend to have worse clinical outcomes after infection (CDC, 2025).</w:t>
      </w:r>
    </w:p>
    <w:p w14:paraId="163DF291" w14:textId="77777777" w:rsidR="00744D91" w:rsidRPr="001D3AD0" w:rsidRDefault="00744D91" w:rsidP="00744D91">
      <w:pPr>
        <w:pStyle w:val="Body"/>
        <w:rPr>
          <w:rFonts w:ascii="Arial" w:hAnsi="Arial" w:cs="Arial"/>
        </w:rPr>
      </w:pPr>
      <w:r w:rsidRPr="001D3AD0">
        <w:rPr>
          <w:rFonts w:ascii="Arial" w:hAnsi="Arial" w:cs="Arial"/>
        </w:rPr>
        <w:t>Among the common persistent symptoms of long COVID, fatigue stands out, present in approximately 85% of cases. This multifactorial manifestation involves intense exhaustion, muscle weakness, diffuse pain, and cognitive deficits, such as memory lapses (</w:t>
      </w:r>
      <w:r w:rsidR="00FF4667" w:rsidRPr="001D3AD0">
        <w:rPr>
          <w:rFonts w:ascii="Arial" w:hAnsi="Arial" w:cs="Arial"/>
        </w:rPr>
        <w:t xml:space="preserve">Mittal </w:t>
      </w:r>
      <w:r w:rsidRPr="001D3AD0">
        <w:rPr>
          <w:rFonts w:ascii="Arial" w:hAnsi="Arial" w:cs="Arial"/>
        </w:rPr>
        <w:t xml:space="preserve">et al., 2021; </w:t>
      </w:r>
      <w:r w:rsidR="00FF4667" w:rsidRPr="001D3AD0">
        <w:rPr>
          <w:rFonts w:ascii="Arial" w:hAnsi="Arial" w:cs="Arial"/>
        </w:rPr>
        <w:t xml:space="preserve">Barreto </w:t>
      </w:r>
      <w:r w:rsidRPr="001D3AD0">
        <w:rPr>
          <w:rFonts w:ascii="Arial" w:hAnsi="Arial" w:cs="Arial"/>
        </w:rPr>
        <w:t>et al., 2022). Persistent conditions are not limited to individuals who have had severe forms of the disease. A study conducted by the CDC in India of 292 adults diagnosed by RT-PCR in outpatient settings showed that, among the 274 symptomatic individuals, 35% reported not having recovered to their usual health after at least two weeks of diagnosis (</w:t>
      </w:r>
      <w:r w:rsidR="00064A0C" w:rsidRPr="001D3AD0">
        <w:rPr>
          <w:rFonts w:ascii="Arial" w:hAnsi="Arial" w:cs="Arial"/>
        </w:rPr>
        <w:t xml:space="preserve">Mittal </w:t>
      </w:r>
      <w:r w:rsidRPr="001D3AD0">
        <w:rPr>
          <w:rFonts w:ascii="Arial" w:hAnsi="Arial" w:cs="Arial"/>
        </w:rPr>
        <w:t>et al., 2021).</w:t>
      </w:r>
    </w:p>
    <w:p w14:paraId="618F6689" w14:textId="77777777" w:rsidR="00744D91" w:rsidRPr="001D3AD0" w:rsidRDefault="00744D91" w:rsidP="00744D91">
      <w:pPr>
        <w:pStyle w:val="Body"/>
        <w:rPr>
          <w:rFonts w:ascii="Arial" w:hAnsi="Arial" w:cs="Arial"/>
        </w:rPr>
      </w:pPr>
      <w:r w:rsidRPr="001D3AD0">
        <w:rPr>
          <w:rFonts w:ascii="Arial" w:hAnsi="Arial" w:cs="Arial"/>
        </w:rPr>
        <w:t>Other factors associated with symptom persistence, such as age and comorbidities, are important. Prolonged symptoms were reported by 26% of individuals aged 18 to 34 (n = 85), 32% of those aged 35 to 49 (n = 96), and 47% of those aged 50 or older (n = 89). Being over 50 years old and having three or more comorbidities were significantly associated with non-recovery between 14 and 21 days after diagnosis (</w:t>
      </w:r>
      <w:r w:rsidR="00064A0C" w:rsidRPr="001D3AD0">
        <w:rPr>
          <w:rFonts w:ascii="Arial" w:hAnsi="Arial" w:cs="Arial"/>
        </w:rPr>
        <w:t xml:space="preserve">Mittal </w:t>
      </w:r>
      <w:r w:rsidRPr="001D3AD0">
        <w:rPr>
          <w:rFonts w:ascii="Arial" w:hAnsi="Arial" w:cs="Arial"/>
        </w:rPr>
        <w:t>et al., 2021).</w:t>
      </w:r>
    </w:p>
    <w:p w14:paraId="555D8902" w14:textId="77777777" w:rsidR="00744D91" w:rsidRPr="001D3AD0" w:rsidRDefault="00744D91" w:rsidP="00744D91">
      <w:pPr>
        <w:pStyle w:val="Body"/>
        <w:rPr>
          <w:rFonts w:ascii="Arial" w:hAnsi="Arial" w:cs="Arial"/>
        </w:rPr>
      </w:pPr>
      <w:r w:rsidRPr="001D3AD0">
        <w:rPr>
          <w:rFonts w:ascii="Arial" w:hAnsi="Arial" w:cs="Arial"/>
        </w:rPr>
        <w:t>Although not selected for this review because it did not address metabolic conditions, the study by Ida et al. (2024) contributes to the understanding of the symptoms frequently reported by individuals infected with SARS-CoV-2, including dyspnea, joint pain, and chest pain. These symptoms, often persistent, reflect the impairment of multiple systems, especially the cardiovascular, respiratory, and neurological systems. In this study, conducted with 58 patients followed for up to 15 months after diagnosis, 46% still had fatigue, 39% reported memory deficits, and 31% continued to experience dyspnea. Anxiety and arthralgia were also reported by approximately 25% of participants.</w:t>
      </w:r>
    </w:p>
    <w:p w14:paraId="005DF982" w14:textId="0E216D92" w:rsidR="00744D91" w:rsidRPr="001D3AD0" w:rsidRDefault="00744D91" w:rsidP="009954C4">
      <w:pPr>
        <w:jc w:val="both"/>
        <w:rPr>
          <w:rFonts w:ascii="Arial" w:hAnsi="Arial" w:cs="Arial"/>
        </w:rPr>
      </w:pPr>
      <w:r w:rsidRPr="001D3AD0">
        <w:rPr>
          <w:rFonts w:ascii="Arial" w:hAnsi="Arial" w:cs="Arial"/>
        </w:rPr>
        <w:t>This reinforces the hypothesis that long COVID may be related to both direct tissue invasion by the virus—mediated by interaction with the angiotensin-converting enzyme 2 (ACE-2) receptor, expressed in organs such as the lungs, kidneys, stomach, vascular endothelium, and adipose tissue—which may explain viral dissemination and the multisystemic manifestations of long COVID (</w:t>
      </w:r>
      <w:r w:rsidR="0021634C" w:rsidRPr="001D3AD0">
        <w:rPr>
          <w:rFonts w:ascii="Arial" w:hAnsi="Arial" w:cs="Arial"/>
        </w:rPr>
        <w:t xml:space="preserve">Barreto </w:t>
      </w:r>
      <w:r w:rsidRPr="001D3AD0">
        <w:rPr>
          <w:rFonts w:ascii="Arial" w:hAnsi="Arial" w:cs="Arial"/>
        </w:rPr>
        <w:t>et al., 2022</w:t>
      </w:r>
      <w:r w:rsidR="00A33DD4" w:rsidRPr="001D3AD0">
        <w:rPr>
          <w:rFonts w:ascii="Arial" w:hAnsi="Arial" w:cs="Arial"/>
        </w:rPr>
        <w:t xml:space="preserve">; </w:t>
      </w:r>
      <w:r w:rsidR="00A33DD4" w:rsidRPr="001D3AD0">
        <w:rPr>
          <w:rFonts w:ascii="Arial" w:hAnsi="Arial" w:cs="Arial"/>
          <w:highlight w:val="yellow"/>
        </w:rPr>
        <w:t>Xue et al., 2021</w:t>
      </w:r>
      <w:r w:rsidRPr="001D3AD0">
        <w:rPr>
          <w:rFonts w:ascii="Arial" w:hAnsi="Arial" w:cs="Arial"/>
        </w:rPr>
        <w:t xml:space="preserve">). </w:t>
      </w:r>
      <w:r w:rsidR="009954C4" w:rsidRPr="001D3AD0">
        <w:rPr>
          <w:rFonts w:ascii="Arial" w:hAnsi="Arial" w:cs="Arial"/>
          <w:highlight w:val="yellow"/>
        </w:rPr>
        <w:t>In the skin, erythematous, urticarial, and purpuric lesions have been reported in infected patients, although they are not considered primary signs of the disease (Genovese et al., 2021; Recalcati, 2020).</w:t>
      </w:r>
      <w:r w:rsidR="009954C4" w:rsidRPr="001D3AD0">
        <w:rPr>
          <w:rFonts w:ascii="Arial" w:hAnsi="Arial" w:cs="Arial"/>
        </w:rPr>
        <w:t xml:space="preserve"> </w:t>
      </w:r>
      <w:r w:rsidRPr="001D3AD0">
        <w:rPr>
          <w:rFonts w:ascii="Arial" w:hAnsi="Arial" w:cs="Arial"/>
        </w:rPr>
        <w:t>Immune-mediated mechanisms and the prothrombotic state induced by infection, especially in severe cases, contribute to systemic dysfunction. The combination of these factors can perpetuate inflammation and hinder full recovery (</w:t>
      </w:r>
      <w:r w:rsidR="0021634C" w:rsidRPr="001D3AD0">
        <w:rPr>
          <w:rFonts w:ascii="Arial" w:hAnsi="Arial" w:cs="Arial"/>
        </w:rPr>
        <w:t xml:space="preserve">Sanhueza </w:t>
      </w:r>
      <w:r w:rsidRPr="001D3AD0">
        <w:rPr>
          <w:rFonts w:ascii="Arial" w:hAnsi="Arial" w:cs="Arial"/>
        </w:rPr>
        <w:t>et al., 2023).</w:t>
      </w:r>
      <w:r w:rsidR="00122B10" w:rsidRPr="001D3AD0">
        <w:rPr>
          <w:rFonts w:ascii="Arial" w:hAnsi="Arial" w:cs="Arial"/>
        </w:rPr>
        <w:t xml:space="preserve"> </w:t>
      </w:r>
    </w:p>
    <w:p w14:paraId="3039934B" w14:textId="77777777" w:rsidR="00744D91" w:rsidRPr="001D3AD0" w:rsidRDefault="00744D91" w:rsidP="0021634C">
      <w:pPr>
        <w:pStyle w:val="Body"/>
        <w:spacing w:before="240"/>
        <w:rPr>
          <w:rFonts w:ascii="Arial" w:hAnsi="Arial" w:cs="Arial"/>
        </w:rPr>
      </w:pPr>
      <w:r w:rsidRPr="001D3AD0">
        <w:rPr>
          <w:rFonts w:ascii="Arial" w:hAnsi="Arial" w:cs="Arial"/>
        </w:rPr>
        <w:lastRenderedPageBreak/>
        <w:t>From a metabolic perspective, long COVID has been associated with significant changes. A study conducted in Romania found that, among 143 non-diabetic patients followed after SARS-CoV-2 infection, 30.7% developed long COVID. Of these, 75% developed diabetes within one year of the acute infection, suggesting an increased risk of metabolic dysregulation associated with the post-viral condition (</w:t>
      </w:r>
      <w:r w:rsidR="0021634C" w:rsidRPr="001D3AD0">
        <w:rPr>
          <w:rFonts w:ascii="Arial" w:hAnsi="Arial" w:cs="Arial"/>
        </w:rPr>
        <w:t xml:space="preserve">Man </w:t>
      </w:r>
      <w:r w:rsidRPr="001D3AD0">
        <w:rPr>
          <w:rFonts w:ascii="Arial" w:hAnsi="Arial" w:cs="Arial"/>
        </w:rPr>
        <w:t>et al., 2024). Other studies also demonstrate significant biochemical changes, such as elevated glycated hemoglobin (HbA1c), even in the absence of a prior diagnosis of diabetes mellitus (</w:t>
      </w:r>
      <w:r w:rsidR="0021634C" w:rsidRPr="001D3AD0">
        <w:rPr>
          <w:rFonts w:ascii="Arial" w:hAnsi="Arial" w:cs="Arial"/>
        </w:rPr>
        <w:t xml:space="preserve">Barreto </w:t>
      </w:r>
      <w:r w:rsidRPr="001D3AD0">
        <w:rPr>
          <w:rFonts w:ascii="Arial" w:hAnsi="Arial" w:cs="Arial"/>
        </w:rPr>
        <w:t xml:space="preserve">et al., 2022; </w:t>
      </w:r>
      <w:r w:rsidR="0021634C" w:rsidRPr="001D3AD0">
        <w:rPr>
          <w:rFonts w:ascii="Arial" w:hAnsi="Arial" w:cs="Arial"/>
        </w:rPr>
        <w:t xml:space="preserve">Sanhueza </w:t>
      </w:r>
      <w:r w:rsidRPr="001D3AD0">
        <w:rPr>
          <w:rFonts w:ascii="Arial" w:hAnsi="Arial" w:cs="Arial"/>
        </w:rPr>
        <w:t>et al., 2023). The exacerbated inflammatory response plays a central role in the clinical worsening of patients with type 2 diabetes infected with SARS-CoV-2. Biomarkers such as C-reactive protein (CRP) remain elevated, indicating chronic inflammation and a more severe prognosis (</w:t>
      </w:r>
      <w:r w:rsidR="009243FA" w:rsidRPr="001D3AD0">
        <w:rPr>
          <w:rFonts w:ascii="Arial" w:hAnsi="Arial" w:cs="Arial"/>
          <w:lang w:val="pt-BR"/>
        </w:rPr>
        <w:t>M</w:t>
      </w:r>
      <w:r w:rsidR="0021634C" w:rsidRPr="001D3AD0">
        <w:rPr>
          <w:rFonts w:ascii="Arial" w:hAnsi="Arial" w:cs="Arial"/>
        </w:rPr>
        <w:t xml:space="preserve">an </w:t>
      </w:r>
      <w:r w:rsidRPr="001D3AD0">
        <w:rPr>
          <w:rFonts w:ascii="Arial" w:hAnsi="Arial" w:cs="Arial"/>
        </w:rPr>
        <w:t xml:space="preserve">et al., 2024; </w:t>
      </w:r>
      <w:r w:rsidR="0021634C" w:rsidRPr="001D3AD0">
        <w:rPr>
          <w:rFonts w:ascii="Arial" w:hAnsi="Arial" w:cs="Arial"/>
        </w:rPr>
        <w:t xml:space="preserve">Mittal </w:t>
      </w:r>
      <w:r w:rsidRPr="001D3AD0">
        <w:rPr>
          <w:rFonts w:ascii="Arial" w:hAnsi="Arial" w:cs="Arial"/>
        </w:rPr>
        <w:t>et al., 2021). Pasini et al. (2021)</w:t>
      </w:r>
      <w:r w:rsidR="0021634C" w:rsidRPr="001D3AD0">
        <w:rPr>
          <w:rFonts w:ascii="Arial" w:hAnsi="Arial" w:cs="Arial"/>
        </w:rPr>
        <w:t xml:space="preserve">, </w:t>
      </w:r>
      <w:r w:rsidRPr="001D3AD0">
        <w:rPr>
          <w:rFonts w:ascii="Arial" w:hAnsi="Arial" w:cs="Arial"/>
        </w:rPr>
        <w:t xml:space="preserve">further </w:t>
      </w:r>
      <w:r w:rsidR="0021634C" w:rsidRPr="001D3AD0">
        <w:rPr>
          <w:rFonts w:ascii="Arial" w:hAnsi="Arial" w:cs="Arial"/>
        </w:rPr>
        <w:t xml:space="preserve">Demonstrated </w:t>
      </w:r>
      <w:r w:rsidRPr="001D3AD0">
        <w:rPr>
          <w:rFonts w:ascii="Arial" w:hAnsi="Arial" w:cs="Arial"/>
        </w:rPr>
        <w:t>that persistent inflammation correlates with continued elevation of HDL cholesterol and other markers of cellular damage in hospitalized patients.</w:t>
      </w:r>
      <w:r w:rsidR="0021634C" w:rsidRPr="001D3AD0">
        <w:rPr>
          <w:rFonts w:ascii="Arial" w:hAnsi="Arial" w:cs="Arial"/>
        </w:rPr>
        <w:t xml:space="preserve"> </w:t>
      </w:r>
      <w:r w:rsidRPr="001D3AD0">
        <w:rPr>
          <w:rFonts w:ascii="Arial" w:hAnsi="Arial" w:cs="Arial"/>
        </w:rPr>
        <w:t>Systemic inflammation, aggravated by the interaction between infection and glucose metabolism, can lead to insulin resistance, increased oxidative stress, and glycemic dyscompensation. In individuals with diabetes, this scenario is even worse due to immune dysfunction, a higher risk of thrombotic events, and endothelial damage (</w:t>
      </w:r>
      <w:r w:rsidR="0021634C" w:rsidRPr="001D3AD0">
        <w:rPr>
          <w:rFonts w:ascii="Arial" w:hAnsi="Arial" w:cs="Arial"/>
        </w:rPr>
        <w:t xml:space="preserve">Man </w:t>
      </w:r>
      <w:r w:rsidRPr="001D3AD0">
        <w:rPr>
          <w:rFonts w:ascii="Arial" w:hAnsi="Arial" w:cs="Arial"/>
        </w:rPr>
        <w:t>et al., 2024).</w:t>
      </w:r>
    </w:p>
    <w:p w14:paraId="2BD47E63" w14:textId="77777777" w:rsidR="00744D91" w:rsidRPr="001D3AD0" w:rsidRDefault="00744D91" w:rsidP="00744D91">
      <w:pPr>
        <w:pStyle w:val="Body"/>
        <w:rPr>
          <w:rFonts w:ascii="Arial" w:hAnsi="Arial" w:cs="Arial"/>
        </w:rPr>
      </w:pPr>
      <w:r w:rsidRPr="001D3AD0">
        <w:rPr>
          <w:rFonts w:ascii="Arial" w:hAnsi="Arial" w:cs="Arial"/>
        </w:rPr>
        <w:t>Studies indicate that altered levels of triglycerides, HbA1c, BMI, and ferritin are frequently observed in patients with prolonged manifestations of COVID-19 (</w:t>
      </w:r>
      <w:r w:rsidR="0021634C" w:rsidRPr="001D3AD0">
        <w:rPr>
          <w:rFonts w:ascii="Arial" w:hAnsi="Arial" w:cs="Arial"/>
        </w:rPr>
        <w:t xml:space="preserve">Pasini </w:t>
      </w:r>
      <w:r w:rsidRPr="001D3AD0">
        <w:rPr>
          <w:rFonts w:ascii="Arial" w:hAnsi="Arial" w:cs="Arial"/>
        </w:rPr>
        <w:t xml:space="preserve">et al., 2021; </w:t>
      </w:r>
      <w:r w:rsidR="0021634C" w:rsidRPr="001D3AD0">
        <w:rPr>
          <w:rFonts w:ascii="Arial" w:hAnsi="Arial" w:cs="Arial"/>
        </w:rPr>
        <w:t xml:space="preserve">Menezes </w:t>
      </w:r>
      <w:r w:rsidRPr="001D3AD0">
        <w:rPr>
          <w:rFonts w:ascii="Arial" w:hAnsi="Arial" w:cs="Arial"/>
        </w:rPr>
        <w:t>et al., 2023). In an analysis conducted in India, patients with mild to moderate long-term COVID-19 showed no significant changes in these markers over time. However, among those with severe symptoms, HDL-C levels remained low for up to four months after infection, with slight improvement after six months. Ferritin, HOMA-IR index, and HbA1c also showed significant alterations in these cases (</w:t>
      </w:r>
      <w:r w:rsidR="0021634C" w:rsidRPr="001D3AD0">
        <w:rPr>
          <w:rFonts w:ascii="Arial" w:hAnsi="Arial" w:cs="Arial"/>
        </w:rPr>
        <w:t>Al-Zadjali</w:t>
      </w:r>
      <w:r w:rsidRPr="001D3AD0">
        <w:rPr>
          <w:rFonts w:ascii="Arial" w:hAnsi="Arial" w:cs="Arial"/>
        </w:rPr>
        <w:t xml:space="preserve"> et al., 2024).</w:t>
      </w:r>
    </w:p>
    <w:p w14:paraId="12017189" w14:textId="77777777" w:rsidR="00744D91" w:rsidRPr="001D3AD0" w:rsidRDefault="00744D91" w:rsidP="00744D91">
      <w:pPr>
        <w:pStyle w:val="Body"/>
        <w:rPr>
          <w:rFonts w:ascii="Arial" w:hAnsi="Arial" w:cs="Arial"/>
        </w:rPr>
      </w:pPr>
      <w:r w:rsidRPr="001D3AD0">
        <w:rPr>
          <w:rFonts w:ascii="Arial" w:hAnsi="Arial" w:cs="Arial"/>
        </w:rPr>
        <w:t>Corroborating these findings, an Italian cohort demonstrated that patients hospitalized during the infection presented laboratory tests with significant abnormalities: elevated ferritin and D-dimer levels, anemia (87%), hypoalbuminemia (72%), and increased inflammatory biomarkers such as erythrocyte sedimentation rate (ESR) and CRP, with men presenting higher ESR values ​​than women (</w:t>
      </w:r>
      <w:r w:rsidR="0021634C" w:rsidRPr="001D3AD0">
        <w:rPr>
          <w:rFonts w:ascii="Arial" w:hAnsi="Arial" w:cs="Arial"/>
        </w:rPr>
        <w:t xml:space="preserve">Pasini </w:t>
      </w:r>
      <w:r w:rsidRPr="001D3AD0">
        <w:rPr>
          <w:rFonts w:ascii="Arial" w:hAnsi="Arial" w:cs="Arial"/>
        </w:rPr>
        <w:t>et al., 2021).</w:t>
      </w:r>
    </w:p>
    <w:p w14:paraId="5C6D58E1" w14:textId="77777777" w:rsidR="00122B10" w:rsidRPr="001D3AD0" w:rsidRDefault="00122B10" w:rsidP="00122B10">
      <w:pPr>
        <w:spacing w:before="240"/>
        <w:jc w:val="both"/>
        <w:rPr>
          <w:rFonts w:ascii="Arial" w:hAnsi="Arial" w:cs="Arial"/>
          <w:highlight w:val="yellow"/>
        </w:rPr>
      </w:pPr>
      <w:r w:rsidRPr="001D3AD0">
        <w:rPr>
          <w:rFonts w:ascii="Arial" w:hAnsi="Arial" w:cs="Arial"/>
          <w:highlight w:val="yellow"/>
        </w:rPr>
        <w:t>COVID-19 induces profound alterations in systemic metabolism, affecting multiple organs and systems. A study conducted by Cornillet et al. (2022), although not included in the analysis of this review, identified over 1,100 serum metabolites, with 46% to 75% of participants showing significant alterations compared to healthy individuals. These changes mainly involved lipids, amino acids, and xenobiotics, highlighting the complexity of the metabolic responses triggered by SARS-CoV-2 infection — findings that are consistent with previous results from Shen et al. (2020) and Song et al. (2020), who also reported metabolic dysfunctions associated with disease severity.</w:t>
      </w:r>
    </w:p>
    <w:p w14:paraId="69F78DD9" w14:textId="77777777" w:rsidR="00122B10" w:rsidRPr="001D3AD0" w:rsidRDefault="00122B10" w:rsidP="00122B10">
      <w:pPr>
        <w:spacing w:before="240"/>
        <w:jc w:val="both"/>
        <w:rPr>
          <w:rFonts w:ascii="Arial" w:hAnsi="Arial" w:cs="Arial"/>
          <w:highlight w:val="yellow"/>
        </w:rPr>
      </w:pPr>
      <w:r w:rsidRPr="001D3AD0">
        <w:rPr>
          <w:rFonts w:ascii="Arial" w:hAnsi="Arial" w:cs="Arial"/>
          <w:highlight w:val="yellow"/>
        </w:rPr>
        <w:t>Notably, metabolites derived from acylcarnitines — molecules that transport fatty acids into the mitochondria, enabling their degradation and energy production — were associated not only with lung and liver damage but also with neuroinflammation and lesions in the central nervous system (Cornillet et al., 2022). This finding aligns with studies by Boldrini, Canoll, and Klein (2021), and Schwabenland et al. (2021), who highlight neuroinflammatory processes in COVID-19, suggesting that the disease acts in a multisystemic manner, involving immune and neuroendocrine mechanisms.</w:t>
      </w:r>
    </w:p>
    <w:p w14:paraId="59099D11" w14:textId="77777777" w:rsidR="00122B10" w:rsidRPr="001D3AD0" w:rsidRDefault="00122B10" w:rsidP="00122B10">
      <w:pPr>
        <w:spacing w:before="240"/>
        <w:jc w:val="both"/>
        <w:rPr>
          <w:rFonts w:ascii="Arial" w:hAnsi="Arial" w:cs="Arial"/>
        </w:rPr>
      </w:pPr>
      <w:r w:rsidRPr="001D3AD0">
        <w:rPr>
          <w:rFonts w:ascii="Arial" w:hAnsi="Arial" w:cs="Arial"/>
          <w:highlight w:val="yellow"/>
        </w:rPr>
        <w:t>Other publications not included in this review’s analysis, such as Shen et al. (2020), identified metabolic and proteomic dysfunctions in the serum of SARS-CoV-2-infected patients, highlighting alterations in biochemical pathways related to the inflammatory response. Similar findings were reported by Song et al. (2020), who described profound changes in the plasma lipid profile, emphasizing the importance of fatty acids and glycerolipids in the progression of the disease.</w:t>
      </w:r>
    </w:p>
    <w:p w14:paraId="60DB69D8" w14:textId="77777777" w:rsidR="00122B10" w:rsidRPr="001D3AD0" w:rsidRDefault="00122B10" w:rsidP="00744D91">
      <w:pPr>
        <w:pStyle w:val="Body"/>
        <w:rPr>
          <w:rFonts w:ascii="Arial" w:hAnsi="Arial" w:cs="Arial"/>
        </w:rPr>
      </w:pPr>
    </w:p>
    <w:p w14:paraId="5C78670C" w14:textId="77777777" w:rsidR="00744D91" w:rsidRPr="001D3AD0" w:rsidRDefault="00744D91" w:rsidP="00744D91">
      <w:pPr>
        <w:pStyle w:val="Body"/>
        <w:rPr>
          <w:rFonts w:ascii="Arial" w:hAnsi="Arial" w:cs="Arial"/>
          <w:b/>
        </w:rPr>
      </w:pPr>
      <w:r w:rsidRPr="001D3AD0">
        <w:rPr>
          <w:rFonts w:ascii="Arial" w:hAnsi="Arial" w:cs="Arial"/>
          <w:b/>
        </w:rPr>
        <w:t>Obesity and Risk Factors for Long COVID-19</w:t>
      </w:r>
    </w:p>
    <w:p w14:paraId="12162090" w14:textId="77777777" w:rsidR="00744D91" w:rsidRPr="001D3AD0" w:rsidRDefault="00744D91" w:rsidP="00744D91">
      <w:pPr>
        <w:pStyle w:val="Body"/>
        <w:rPr>
          <w:rFonts w:ascii="Arial" w:hAnsi="Arial" w:cs="Arial"/>
        </w:rPr>
      </w:pPr>
      <w:r w:rsidRPr="001D3AD0">
        <w:rPr>
          <w:rFonts w:ascii="Arial" w:hAnsi="Arial" w:cs="Arial"/>
        </w:rPr>
        <w:t>Obesity has been shown to be one of the main risk factors for complications associated with COVID-19, including long COVID-19. Obese individuals are more likely to develop severe outcomes after SARS-CoV-2 infection (</w:t>
      </w:r>
      <w:r w:rsidR="0021634C" w:rsidRPr="001D3AD0">
        <w:rPr>
          <w:rFonts w:ascii="Arial" w:hAnsi="Arial" w:cs="Arial"/>
        </w:rPr>
        <w:t xml:space="preserve">Man </w:t>
      </w:r>
      <w:r w:rsidRPr="001D3AD0">
        <w:rPr>
          <w:rFonts w:ascii="Arial" w:hAnsi="Arial" w:cs="Arial"/>
        </w:rPr>
        <w:t>et al., 2024). Although the study by Xiang et al. (2023) did not meet the inclusion criteria because it was a review, it provides relevant theoretical support by suggesting a central role for chronic inflammation and metabolic dysfunction, which characterize obesity and contribute to an exacerbated immune response during the acute phase of infection, prolonging the recovery process and increasing the risk of persistent complications.</w:t>
      </w:r>
    </w:p>
    <w:p w14:paraId="75EBE8AF" w14:textId="77777777" w:rsidR="00744D91" w:rsidRPr="001D3AD0" w:rsidRDefault="00744D91" w:rsidP="00744D91">
      <w:pPr>
        <w:pStyle w:val="Body"/>
        <w:rPr>
          <w:rFonts w:ascii="Arial" w:hAnsi="Arial" w:cs="Arial"/>
        </w:rPr>
      </w:pPr>
      <w:r w:rsidRPr="001D3AD0">
        <w:rPr>
          <w:rFonts w:ascii="Arial" w:hAnsi="Arial" w:cs="Arial"/>
        </w:rPr>
        <w:t>During the acute phase of COVID-19, obese patients are more susceptible to vascular injury, hypoxemia, and thrombotic phenomena due to their pro-inflammatory state and heightened endothelial activation. This effect is intensified in obese individuals, as adipose tissue, which also expresses ACE-2, can act as a viral reservoir (</w:t>
      </w:r>
      <w:r w:rsidR="0021634C" w:rsidRPr="001D3AD0">
        <w:rPr>
          <w:rFonts w:ascii="Arial" w:hAnsi="Arial" w:cs="Arial"/>
        </w:rPr>
        <w:t xml:space="preserve">Xiang </w:t>
      </w:r>
      <w:r w:rsidRPr="001D3AD0">
        <w:rPr>
          <w:rFonts w:ascii="Arial" w:hAnsi="Arial" w:cs="Arial"/>
        </w:rPr>
        <w:t>et al., 2023). Corroborating this, viral genetic material was detected in cardiac and intestinal cells of patients who died from COVID-19, suggesting systemic spread of the virus (</w:t>
      </w:r>
      <w:r w:rsidR="0021634C" w:rsidRPr="001D3AD0">
        <w:rPr>
          <w:rFonts w:ascii="Arial" w:hAnsi="Arial" w:cs="Arial"/>
        </w:rPr>
        <w:t>Martínez-Colon</w:t>
      </w:r>
      <w:r w:rsidRPr="001D3AD0">
        <w:rPr>
          <w:rFonts w:ascii="Arial" w:hAnsi="Arial" w:cs="Arial"/>
        </w:rPr>
        <w:t xml:space="preserve"> et al., 2022). Epidemiological studies reinforce this association, demonstrating higher rates of hospitalization and complications in predominantly obese individuals (</w:t>
      </w:r>
      <w:r w:rsidR="0021634C" w:rsidRPr="001D3AD0">
        <w:rPr>
          <w:rFonts w:ascii="Arial" w:hAnsi="Arial" w:cs="Arial"/>
        </w:rPr>
        <w:t xml:space="preserve">Man </w:t>
      </w:r>
      <w:r w:rsidRPr="001D3AD0">
        <w:rPr>
          <w:rFonts w:ascii="Arial" w:hAnsi="Arial" w:cs="Arial"/>
        </w:rPr>
        <w:t xml:space="preserve">et al., 2024). The </w:t>
      </w:r>
      <w:r w:rsidRPr="001D3AD0">
        <w:rPr>
          <w:rFonts w:ascii="Arial" w:hAnsi="Arial" w:cs="Arial"/>
        </w:rPr>
        <w:lastRenderedPageBreak/>
        <w:t>literature also shows that obesity is also frequently associated with other conditions—insulin resistance, dyslipidemia, arterial hypertension, hepatic steatosis, and coronary artery disease—which, together, act as independent risk factors for late complications of COVID-19, including post-acute syndrome (</w:t>
      </w:r>
      <w:r w:rsidR="0021634C" w:rsidRPr="001D3AD0">
        <w:rPr>
          <w:rFonts w:ascii="Arial" w:hAnsi="Arial" w:cs="Arial"/>
        </w:rPr>
        <w:t xml:space="preserve">Xiang </w:t>
      </w:r>
      <w:r w:rsidRPr="001D3AD0">
        <w:rPr>
          <w:rFonts w:ascii="Arial" w:hAnsi="Arial" w:cs="Arial"/>
        </w:rPr>
        <w:t>et al., 2023).</w:t>
      </w:r>
    </w:p>
    <w:p w14:paraId="764A8080" w14:textId="77777777" w:rsidR="00744D91" w:rsidRPr="001D3AD0" w:rsidRDefault="00744D91" w:rsidP="00744D91">
      <w:pPr>
        <w:pStyle w:val="Body"/>
        <w:rPr>
          <w:rFonts w:ascii="Arial" w:hAnsi="Arial" w:cs="Arial"/>
        </w:rPr>
      </w:pPr>
      <w:r w:rsidRPr="001D3AD0">
        <w:rPr>
          <w:rFonts w:ascii="Arial" w:hAnsi="Arial" w:cs="Arial"/>
        </w:rPr>
        <w:t>A study showed that approximately 62% of patients with a BMI greater than 30 kg/m² had increased blood glucose levels one year after infection, even in the absence of previously diagnosed DM (</w:t>
      </w:r>
      <w:r w:rsidR="0021634C" w:rsidRPr="001D3AD0">
        <w:rPr>
          <w:rFonts w:ascii="Arial" w:hAnsi="Arial" w:cs="Arial"/>
        </w:rPr>
        <w:t xml:space="preserve">Man </w:t>
      </w:r>
      <w:r w:rsidRPr="001D3AD0">
        <w:rPr>
          <w:rFonts w:ascii="Arial" w:hAnsi="Arial" w:cs="Arial"/>
        </w:rPr>
        <w:t>et al., 2024). This suggests that obesity not only aggravates acute infection but also contributes to long-term metabolic alterations.</w:t>
      </w:r>
    </w:p>
    <w:p w14:paraId="2330A351" w14:textId="77777777" w:rsidR="00744D91" w:rsidRPr="001D3AD0" w:rsidRDefault="00744D91" w:rsidP="00744D91">
      <w:pPr>
        <w:pStyle w:val="Body"/>
        <w:rPr>
          <w:rFonts w:ascii="Arial" w:hAnsi="Arial" w:cs="Arial"/>
        </w:rPr>
      </w:pPr>
      <w:r w:rsidRPr="001D3AD0">
        <w:rPr>
          <w:rFonts w:ascii="Arial" w:hAnsi="Arial" w:cs="Arial"/>
        </w:rPr>
        <w:t>These findings are reinforced by data from a Brazilian cohort that assessed the number of persistent symptoms and their relationship with metabolic status. Patients with more than six symptoms (n = 121) had a mean BMI of 29.5 kg/m² and mean glycated hemoglobin (HbA1c) levels of 6.4%, while those with up to six symptoms (n = 94) had a mean BMI of 27.2 kg/m² and higher ferritin levels (312 ng/mL versus 280 ng/mL in the group with more symptoms) (</w:t>
      </w:r>
      <w:r w:rsidR="0021634C" w:rsidRPr="001D3AD0">
        <w:rPr>
          <w:rFonts w:ascii="Arial" w:hAnsi="Arial" w:cs="Arial"/>
        </w:rPr>
        <w:t xml:space="preserve">Menezes </w:t>
      </w:r>
      <w:r w:rsidRPr="001D3AD0">
        <w:rPr>
          <w:rFonts w:ascii="Arial" w:hAnsi="Arial" w:cs="Arial"/>
        </w:rPr>
        <w:t>et al., 2023).</w:t>
      </w:r>
    </w:p>
    <w:p w14:paraId="1BF614CC" w14:textId="77777777" w:rsidR="00744D91" w:rsidRPr="001D3AD0" w:rsidRDefault="00744D91" w:rsidP="00744D91">
      <w:pPr>
        <w:pStyle w:val="Body"/>
        <w:rPr>
          <w:rFonts w:ascii="Arial" w:hAnsi="Arial" w:cs="Arial"/>
        </w:rPr>
      </w:pPr>
      <w:r w:rsidRPr="001D3AD0">
        <w:rPr>
          <w:rFonts w:ascii="Arial" w:hAnsi="Arial" w:cs="Arial"/>
        </w:rPr>
        <w:t>In addition to obesity, conditions such as arterial hypertension and insulin resistance have also been associated with a higher risk of persistent lung dysfunction. Advanced age, in turn, emerges as an additional factor for the impairment of respiratory symptoms and reduced functional capacity after the acute phase of the disease (</w:t>
      </w:r>
      <w:r w:rsidR="004C223E" w:rsidRPr="001D3AD0">
        <w:rPr>
          <w:rFonts w:ascii="Arial" w:hAnsi="Arial" w:cs="Arial"/>
        </w:rPr>
        <w:t xml:space="preserve">Sanhueza </w:t>
      </w:r>
      <w:r w:rsidRPr="001D3AD0">
        <w:rPr>
          <w:rFonts w:ascii="Arial" w:hAnsi="Arial" w:cs="Arial"/>
        </w:rPr>
        <w:t xml:space="preserve">et al., 2023; </w:t>
      </w:r>
      <w:r w:rsidR="004C223E" w:rsidRPr="001D3AD0">
        <w:rPr>
          <w:rFonts w:ascii="Arial" w:hAnsi="Arial" w:cs="Arial"/>
        </w:rPr>
        <w:t xml:space="preserve">Man </w:t>
      </w:r>
      <w:r w:rsidRPr="001D3AD0">
        <w:rPr>
          <w:rFonts w:ascii="Arial" w:hAnsi="Arial" w:cs="Arial"/>
        </w:rPr>
        <w:t>et al., 2024).</w:t>
      </w:r>
    </w:p>
    <w:p w14:paraId="4A889CB1" w14:textId="77777777" w:rsidR="00744D91" w:rsidRPr="001D3AD0" w:rsidRDefault="00744D91" w:rsidP="00744D91">
      <w:pPr>
        <w:pStyle w:val="Body"/>
        <w:rPr>
          <w:rFonts w:ascii="Arial" w:hAnsi="Arial" w:cs="Arial"/>
        </w:rPr>
      </w:pPr>
      <w:r w:rsidRPr="001D3AD0">
        <w:rPr>
          <w:rFonts w:ascii="Arial" w:hAnsi="Arial" w:cs="Arial"/>
        </w:rPr>
        <w:t>Concurrently, sociodemographic, clinical, and biological factors have been described as determinants of long COVID. In a study of Brazilian patients, it was observed that 44% of the 209 participants had metabolic comorbidities, with hypertension being the most prevalent (50.5%), followed by diabetes (37.8%). In addition to clinical vulnerability, These individuals face significant social barriers, such as difficulty accessing health services, which can worsen post-COVID outcomes and widen inequalities in care (</w:t>
      </w:r>
      <w:r w:rsidR="004C223E" w:rsidRPr="001D3AD0">
        <w:rPr>
          <w:rFonts w:ascii="Arial" w:hAnsi="Arial" w:cs="Arial"/>
        </w:rPr>
        <w:t xml:space="preserve">Barreto </w:t>
      </w:r>
      <w:r w:rsidRPr="001D3AD0">
        <w:rPr>
          <w:rFonts w:ascii="Arial" w:hAnsi="Arial" w:cs="Arial"/>
        </w:rPr>
        <w:t>et al., 2022).</w:t>
      </w:r>
    </w:p>
    <w:p w14:paraId="75F0102F" w14:textId="77777777" w:rsidR="00744D91" w:rsidRPr="001D3AD0" w:rsidRDefault="00744D91" w:rsidP="00744D91">
      <w:pPr>
        <w:pStyle w:val="Body"/>
        <w:rPr>
          <w:rFonts w:ascii="Arial" w:hAnsi="Arial" w:cs="Arial"/>
          <w:b/>
        </w:rPr>
      </w:pPr>
      <w:r w:rsidRPr="001D3AD0">
        <w:rPr>
          <w:rFonts w:ascii="Arial" w:hAnsi="Arial" w:cs="Arial"/>
          <w:b/>
        </w:rPr>
        <w:t>Quality of Life and Cognitive and Functional Consequences</w:t>
      </w:r>
    </w:p>
    <w:p w14:paraId="15A9CBC5" w14:textId="77777777" w:rsidR="00744D91" w:rsidRPr="001D3AD0" w:rsidRDefault="00744D91" w:rsidP="00744D91">
      <w:pPr>
        <w:pStyle w:val="Body"/>
        <w:rPr>
          <w:rFonts w:ascii="Arial" w:hAnsi="Arial" w:cs="Arial"/>
        </w:rPr>
      </w:pPr>
      <w:r w:rsidRPr="001D3AD0">
        <w:rPr>
          <w:rFonts w:ascii="Arial" w:hAnsi="Arial" w:cs="Arial"/>
        </w:rPr>
        <w:t>The World Health Organization (WHO) defines quality of life as an individual's perception of their position in life, considering the cultural context and value systems in which they are inserted, as well as their own goals, expectations, standards, and concerns (WHO, 1997). This concept has been strongly impacted by long COVID, a condition that involves persistent symptoms after SARS-CoV-2 infection, affecting multiple domains of life, including the physical and psychological (</w:t>
      </w:r>
      <w:r w:rsidR="004C223E" w:rsidRPr="001D3AD0">
        <w:rPr>
          <w:rFonts w:ascii="Arial" w:hAnsi="Arial" w:cs="Arial"/>
        </w:rPr>
        <w:t xml:space="preserve">Barreto </w:t>
      </w:r>
      <w:r w:rsidRPr="001D3AD0">
        <w:rPr>
          <w:rFonts w:ascii="Arial" w:hAnsi="Arial" w:cs="Arial"/>
        </w:rPr>
        <w:t>et al., 2022). Among the symptoms most frequently associated with long COVID-19 are cognitive impairment and fatigue, conditions widely reported by affected patients, which directly impact individuals' quality of life (</w:t>
      </w:r>
      <w:r w:rsidR="004C223E" w:rsidRPr="001D3AD0">
        <w:rPr>
          <w:rFonts w:ascii="Arial" w:hAnsi="Arial" w:cs="Arial"/>
        </w:rPr>
        <w:t xml:space="preserve">Pasini </w:t>
      </w:r>
      <w:r w:rsidRPr="001D3AD0">
        <w:rPr>
          <w:rFonts w:ascii="Arial" w:hAnsi="Arial" w:cs="Arial"/>
        </w:rPr>
        <w:t xml:space="preserve">et al., 2021; </w:t>
      </w:r>
      <w:r w:rsidR="004C223E" w:rsidRPr="001D3AD0">
        <w:rPr>
          <w:rFonts w:ascii="Arial" w:hAnsi="Arial" w:cs="Arial"/>
        </w:rPr>
        <w:t xml:space="preserve">Barreto </w:t>
      </w:r>
      <w:r w:rsidRPr="001D3AD0">
        <w:rPr>
          <w:rFonts w:ascii="Arial" w:hAnsi="Arial" w:cs="Arial"/>
        </w:rPr>
        <w:t xml:space="preserve">et al., 2022; </w:t>
      </w:r>
      <w:r w:rsidR="004C223E" w:rsidRPr="001D3AD0">
        <w:rPr>
          <w:rFonts w:ascii="Arial" w:hAnsi="Arial" w:cs="Arial"/>
        </w:rPr>
        <w:t xml:space="preserve">Menezes </w:t>
      </w:r>
      <w:r w:rsidRPr="001D3AD0">
        <w:rPr>
          <w:rFonts w:ascii="Arial" w:hAnsi="Arial" w:cs="Arial"/>
        </w:rPr>
        <w:t xml:space="preserve">et al., 2023; </w:t>
      </w:r>
      <w:r w:rsidR="004C223E" w:rsidRPr="001D3AD0">
        <w:rPr>
          <w:rFonts w:ascii="Arial" w:hAnsi="Arial" w:cs="Arial"/>
        </w:rPr>
        <w:t xml:space="preserve">Le </w:t>
      </w:r>
      <w:r w:rsidRPr="001D3AD0">
        <w:rPr>
          <w:rFonts w:ascii="Arial" w:hAnsi="Arial" w:cs="Arial"/>
        </w:rPr>
        <w:t>et al. (2024).</w:t>
      </w:r>
    </w:p>
    <w:p w14:paraId="2DFAFF3D" w14:textId="77777777" w:rsidR="00744D91" w:rsidRPr="001D3AD0" w:rsidRDefault="00744D91" w:rsidP="00744D91">
      <w:pPr>
        <w:pStyle w:val="Body"/>
        <w:rPr>
          <w:rFonts w:ascii="Arial" w:hAnsi="Arial" w:cs="Arial"/>
        </w:rPr>
      </w:pPr>
      <w:r w:rsidRPr="001D3AD0">
        <w:rPr>
          <w:rFonts w:ascii="Arial" w:hAnsi="Arial" w:cs="Arial"/>
        </w:rPr>
        <w:t>A Brazilian study, where quality of life in long COVID-19 was assessed in 929 patients using the EuroQoL (EQ-5D-5L) – a questionnaire that assesses health-related quality of life in five dimensions: mobility, personal care, usual activities, pain/discomfort, and anxiety/depression – showed that 8.9% of participants reported some impact on their quality of life, with 8.4% experiencing severe disabilities, with the most affected dimensions being anxiety/depression (22.4%) and pain/discomfort (17.6%) (</w:t>
      </w:r>
      <w:r w:rsidR="004C223E" w:rsidRPr="001D3AD0">
        <w:rPr>
          <w:rFonts w:ascii="Arial" w:hAnsi="Arial" w:cs="Arial"/>
        </w:rPr>
        <w:t xml:space="preserve">Barreto </w:t>
      </w:r>
      <w:r w:rsidRPr="001D3AD0">
        <w:rPr>
          <w:rFonts w:ascii="Arial" w:hAnsi="Arial" w:cs="Arial"/>
        </w:rPr>
        <w:t>et al., 2022).</w:t>
      </w:r>
    </w:p>
    <w:p w14:paraId="111E8341" w14:textId="77777777" w:rsidR="00744D91" w:rsidRPr="001D3AD0" w:rsidRDefault="00744D91" w:rsidP="00744D91">
      <w:pPr>
        <w:pStyle w:val="Body"/>
        <w:rPr>
          <w:rFonts w:ascii="Arial" w:hAnsi="Arial" w:cs="Arial"/>
        </w:rPr>
      </w:pPr>
      <w:r w:rsidRPr="001D3AD0">
        <w:rPr>
          <w:rFonts w:ascii="Arial" w:hAnsi="Arial" w:cs="Arial"/>
        </w:rPr>
        <w:t>Furthermore, the significant reduction in quality of life in patients with long COVID is closely related to the persistence of symptoms such as chest pain, dyspnea, anxiety, and depression. One study revealed that 43% of patients experienced chest pain, 36% reported dyspnea, and psychological symptoms such as anxiety (41%) and depression (34%) also severely affected quality of life, making it difficult to perform daily activities (</w:t>
      </w:r>
      <w:r w:rsidR="004C223E" w:rsidRPr="001D3AD0">
        <w:rPr>
          <w:rFonts w:ascii="Arial" w:hAnsi="Arial" w:cs="Arial"/>
        </w:rPr>
        <w:t xml:space="preserve">Man </w:t>
      </w:r>
      <w:r w:rsidRPr="001D3AD0">
        <w:rPr>
          <w:rFonts w:ascii="Arial" w:hAnsi="Arial" w:cs="Arial"/>
        </w:rPr>
        <w:t>et al, 2024).</w:t>
      </w:r>
    </w:p>
    <w:p w14:paraId="5A9E2203" w14:textId="77777777" w:rsidR="00744D91" w:rsidRPr="001D3AD0" w:rsidRDefault="00744D91" w:rsidP="00744D91">
      <w:pPr>
        <w:pStyle w:val="Body"/>
        <w:rPr>
          <w:rFonts w:ascii="Arial" w:hAnsi="Arial" w:cs="Arial"/>
        </w:rPr>
      </w:pPr>
      <w:r w:rsidRPr="001D3AD0">
        <w:rPr>
          <w:rFonts w:ascii="Arial" w:hAnsi="Arial" w:cs="Arial"/>
        </w:rPr>
        <w:t>Additional evidence from other studies not included in our analysis shows that prolonged inflammatory processes associated with SARS-CoV-2 infection have been implicated in neuronal dysfunction, impacting memory, attention, and processing speed. Activation of the toll-like receptor after infection results in increased secretion of proinflammatory cytokines, including IL-1, IL-6, TNF-α, and IFN-γ, which may contribute to neurodegeneration and impair cognitive functions (</w:t>
      </w:r>
      <w:r w:rsidR="004C223E" w:rsidRPr="001D3AD0">
        <w:rPr>
          <w:rFonts w:ascii="Arial" w:hAnsi="Arial" w:cs="Arial"/>
        </w:rPr>
        <w:t>Khanmohammadi; Rezaei,</w:t>
      </w:r>
      <w:r w:rsidRPr="001D3AD0">
        <w:rPr>
          <w:rFonts w:ascii="Arial" w:hAnsi="Arial" w:cs="Arial"/>
        </w:rPr>
        <w:t xml:space="preserve"> 2021).</w:t>
      </w:r>
    </w:p>
    <w:p w14:paraId="7F8BBF47" w14:textId="77777777" w:rsidR="00744D91" w:rsidRPr="001D3AD0" w:rsidRDefault="00744D91" w:rsidP="00744D91">
      <w:pPr>
        <w:pStyle w:val="Body"/>
        <w:rPr>
          <w:rFonts w:ascii="Arial" w:hAnsi="Arial" w:cs="Arial"/>
        </w:rPr>
      </w:pPr>
      <w:r w:rsidRPr="001D3AD0">
        <w:rPr>
          <w:rFonts w:ascii="Arial" w:hAnsi="Arial" w:cs="Arial"/>
        </w:rPr>
        <w:t>Still regarding the cognitive impact, Le et al. (2024) in their study highlight that cognitive deficits are one of the main mediators of impaired quality of life in people with long COVID. SARS-CoV-2 infection can reach brain tissue through viremia or direct invasion of the olfactory nerve, which may explain, among other symptoms, the loss of smell (anosmia) observed in many patients, as shown in another study that did not meet the inclusion criteria for this review (</w:t>
      </w:r>
      <w:r w:rsidR="004C223E" w:rsidRPr="001D3AD0">
        <w:rPr>
          <w:rFonts w:ascii="Arial" w:hAnsi="Arial" w:cs="Arial"/>
        </w:rPr>
        <w:t>Del Rio; Collins; Malani</w:t>
      </w:r>
      <w:r w:rsidRPr="001D3AD0">
        <w:rPr>
          <w:rFonts w:ascii="Arial" w:hAnsi="Arial" w:cs="Arial"/>
        </w:rPr>
        <w:t>, 2020).</w:t>
      </w:r>
    </w:p>
    <w:p w14:paraId="2F36001A" w14:textId="77777777" w:rsidR="00744D91" w:rsidRPr="001D3AD0" w:rsidRDefault="00744D91" w:rsidP="00744D91">
      <w:pPr>
        <w:pStyle w:val="Body"/>
        <w:rPr>
          <w:rFonts w:ascii="Arial" w:hAnsi="Arial" w:cs="Arial"/>
        </w:rPr>
      </w:pPr>
      <w:r w:rsidRPr="001D3AD0">
        <w:rPr>
          <w:rFonts w:ascii="Arial" w:hAnsi="Arial" w:cs="Arial"/>
        </w:rPr>
        <w:t>High BMI has also been identified as a factor that exacerbates cognitive deficits. Studies indicate that patients with long COVID and high BMI have greater systemic inflammation, which can aggravate cognitive symptoms (</w:t>
      </w:r>
      <w:r w:rsidR="004C223E" w:rsidRPr="001D3AD0">
        <w:rPr>
          <w:rFonts w:ascii="Arial" w:hAnsi="Arial" w:cs="Arial"/>
        </w:rPr>
        <w:t xml:space="preserve">Le </w:t>
      </w:r>
      <w:r w:rsidRPr="001D3AD0">
        <w:rPr>
          <w:rFonts w:ascii="Arial" w:hAnsi="Arial" w:cs="Arial"/>
        </w:rPr>
        <w:t>et al., 2024).</w:t>
      </w:r>
    </w:p>
    <w:p w14:paraId="45AEC248" w14:textId="77777777" w:rsidR="00744D91" w:rsidRPr="001D3AD0" w:rsidRDefault="00744D91" w:rsidP="00744D91">
      <w:pPr>
        <w:pStyle w:val="Body"/>
        <w:rPr>
          <w:rFonts w:ascii="Arial" w:hAnsi="Arial" w:cs="Arial"/>
        </w:rPr>
      </w:pPr>
      <w:r w:rsidRPr="001D3AD0">
        <w:rPr>
          <w:rFonts w:ascii="Arial" w:hAnsi="Arial" w:cs="Arial"/>
        </w:rPr>
        <w:lastRenderedPageBreak/>
        <w:t>Insulin resistance, frequently observed in obese individuals, can also impair brain energy homeostasis, worsening cognitive deficits and, consequently, quality of life. Persistent hyperglycemia and metabolic dysfunction associated with insulin resistance can reduce glucose uptake by neuronal cells, compromising synaptic and mitochondrial function, and intensifying neuronal damage (</w:t>
      </w:r>
      <w:r w:rsidR="004C223E" w:rsidRPr="001D3AD0">
        <w:rPr>
          <w:rFonts w:ascii="Arial" w:hAnsi="Arial" w:cs="Arial"/>
        </w:rPr>
        <w:t xml:space="preserve">Man </w:t>
      </w:r>
      <w:r w:rsidRPr="001D3AD0">
        <w:rPr>
          <w:rFonts w:ascii="Arial" w:hAnsi="Arial" w:cs="Arial"/>
        </w:rPr>
        <w:t>et al., 2024).</w:t>
      </w:r>
    </w:p>
    <w:p w14:paraId="5C602004" w14:textId="77777777" w:rsidR="00C37DBA" w:rsidRPr="001D3AD0" w:rsidRDefault="00744D91" w:rsidP="00744D91">
      <w:pPr>
        <w:pStyle w:val="Body"/>
        <w:rPr>
          <w:rFonts w:ascii="Arial" w:hAnsi="Arial" w:cs="Arial"/>
        </w:rPr>
      </w:pPr>
      <w:r w:rsidRPr="001D3AD0">
        <w:rPr>
          <w:rFonts w:ascii="Arial" w:hAnsi="Arial" w:cs="Arial"/>
        </w:rPr>
        <w:t>Behavioral factors also negatively influence this scenario. To understand this, we drew on relevant studies not included in this review, where high-fat diets, for example, are associated with cognitive impairments, affecting memory, learning, and executive functions (</w:t>
      </w:r>
      <w:r w:rsidR="00E336A0" w:rsidRPr="001D3AD0">
        <w:rPr>
          <w:rFonts w:ascii="Arial" w:hAnsi="Arial" w:cs="Arial"/>
        </w:rPr>
        <w:t xml:space="preserve">Elias </w:t>
      </w:r>
      <w:r w:rsidRPr="001D3AD0">
        <w:rPr>
          <w:rFonts w:ascii="Arial" w:hAnsi="Arial" w:cs="Arial"/>
        </w:rPr>
        <w:t>et al., 2005). Psychological changes, such as mood swings, were observed more frequently in patients with severe COVID-19 (36.4%) compared to mild/moderate cases (27.3%) (</w:t>
      </w:r>
      <w:r w:rsidR="00E336A0" w:rsidRPr="001D3AD0">
        <w:rPr>
          <w:rFonts w:ascii="Arial" w:hAnsi="Arial" w:cs="Arial"/>
        </w:rPr>
        <w:t>Al-Zadjali</w:t>
      </w:r>
      <w:r w:rsidRPr="001D3AD0">
        <w:rPr>
          <w:rFonts w:ascii="Arial" w:hAnsi="Arial" w:cs="Arial"/>
        </w:rPr>
        <w:t xml:space="preserve"> et al., 2024). Diabetic patients, in turn, have a significantly higher prevalence of post-COVID-19 fatigue compared to individuals without diabetes, suggesting a direct impact of this condition on daily f</w:t>
      </w:r>
      <w:r w:rsidR="00E336A0" w:rsidRPr="001D3AD0">
        <w:rPr>
          <w:rFonts w:ascii="Arial" w:hAnsi="Arial" w:cs="Arial"/>
        </w:rPr>
        <w:t xml:space="preserve">unctioning and quality of life </w:t>
      </w:r>
      <w:r w:rsidRPr="001D3AD0">
        <w:rPr>
          <w:rFonts w:ascii="Arial" w:hAnsi="Arial" w:cs="Arial"/>
        </w:rPr>
        <w:t>(</w:t>
      </w:r>
      <w:r w:rsidR="00E336A0" w:rsidRPr="001D3AD0">
        <w:rPr>
          <w:rFonts w:ascii="Arial" w:hAnsi="Arial" w:cs="Arial"/>
        </w:rPr>
        <w:t xml:space="preserve">Mittal </w:t>
      </w:r>
      <w:r w:rsidRPr="001D3AD0">
        <w:rPr>
          <w:rFonts w:ascii="Arial" w:hAnsi="Arial" w:cs="Arial"/>
        </w:rPr>
        <w:t>et al., 2021).</w:t>
      </w:r>
    </w:p>
    <w:p w14:paraId="6EB92DD0" w14:textId="77777777" w:rsidR="002810CE" w:rsidRPr="001D3AD0" w:rsidRDefault="002810CE" w:rsidP="002810CE">
      <w:pPr>
        <w:spacing w:before="240"/>
        <w:jc w:val="both"/>
        <w:rPr>
          <w:rFonts w:ascii="Arial" w:hAnsi="Arial" w:cs="Arial"/>
          <w:highlight w:val="yellow"/>
        </w:rPr>
      </w:pPr>
      <w:r w:rsidRPr="001D3AD0">
        <w:rPr>
          <w:rFonts w:ascii="Arial" w:hAnsi="Arial" w:cs="Arial"/>
          <w:highlight w:val="yellow"/>
        </w:rPr>
        <w:t>These findings highlight how metabolic and behavioral factors exacerbate the burden of long COVID on cognitive and functional outcomes. In light of this impact, recent studies have also investigated potential preventive and therapeutic strategies to mitigate such consequences. Evidence suggests that COVID-19 vaccination may reduce the risk and severity of long COVID. In an international survey, Arnold et al. (2022) found that more than half of individuals with long COVID reported improvement in symptoms after vaccination, particularly with mRNA vaccines. A population-based study in the United States also showed that vaccination was associated with a lower prevalence of long COVID, with 21.6% of vaccinated individuals reporting persistent symptoms compared to 25.6% among unvaccinated participants (Shoff et al., 2023). Similarly, a prospective study indicated that vaccinated adults reported a reduction in both the number and severity of long COVID symptoms compared to unvaccinated individuals (Maier et al., 2024).</w:t>
      </w:r>
    </w:p>
    <w:p w14:paraId="511F8823" w14:textId="77777777" w:rsidR="002810CE" w:rsidRPr="001D3AD0" w:rsidRDefault="00046622" w:rsidP="002810CE">
      <w:pPr>
        <w:spacing w:before="240"/>
        <w:jc w:val="both"/>
        <w:rPr>
          <w:rFonts w:ascii="Arial" w:hAnsi="Arial" w:cs="Arial"/>
          <w:highlight w:val="yellow"/>
        </w:rPr>
      </w:pPr>
      <w:r w:rsidRPr="001D3AD0">
        <w:rPr>
          <w:rFonts w:ascii="Arial" w:hAnsi="Arial" w:cs="Arial"/>
          <w:highlight w:val="yellow"/>
        </w:rPr>
        <w:t>The</w:t>
      </w:r>
      <w:r w:rsidR="002810CE" w:rsidRPr="001D3AD0">
        <w:rPr>
          <w:rFonts w:ascii="Arial" w:hAnsi="Arial" w:cs="Arial"/>
          <w:highlight w:val="yellow"/>
        </w:rPr>
        <w:t>multidisciplinary rehabilitation study conducted in Italy revealed significant improvements in physical capacity, fatigue, dyspnea, and quality of life after a structured six-week program (</w:t>
      </w:r>
      <w:r w:rsidR="00424097" w:rsidRPr="001D3AD0">
        <w:rPr>
          <w:rFonts w:ascii="Arial" w:hAnsi="Arial" w:cs="Arial"/>
          <w:color w:val="212121"/>
          <w:highlight w:val="yellow"/>
          <w:shd w:val="clear" w:color="auto" w:fill="FFFFFF"/>
        </w:rPr>
        <w:t xml:space="preserve">Ostrowska </w:t>
      </w:r>
      <w:r w:rsidR="002810CE" w:rsidRPr="001D3AD0">
        <w:rPr>
          <w:rFonts w:ascii="Arial" w:hAnsi="Arial" w:cs="Arial"/>
          <w:highlight w:val="yellow"/>
        </w:rPr>
        <w:t>et al., 2023). Together, these findings reinforce that both preventive (vaccination) and rehabilitative approaches are crucial in addressing the multisystemic consequences of long COVID.</w:t>
      </w:r>
    </w:p>
    <w:p w14:paraId="41B67F0E" w14:textId="77777777" w:rsidR="002810CE" w:rsidRPr="001D3AD0" w:rsidRDefault="002810CE" w:rsidP="002810CE">
      <w:pPr>
        <w:spacing w:before="240"/>
        <w:jc w:val="both"/>
        <w:rPr>
          <w:rFonts w:ascii="Arial" w:hAnsi="Arial" w:cs="Arial"/>
        </w:rPr>
      </w:pPr>
      <w:r w:rsidRPr="001D3AD0">
        <w:rPr>
          <w:rFonts w:ascii="Arial" w:hAnsi="Arial" w:cs="Arial"/>
          <w:highlight w:val="yellow"/>
        </w:rPr>
        <w:t>It is worth noting that this review has methodological limitations that must be considered when interpreting the findings, imposing caution in generalizing the results and reinforcing the need for future research with more robust designs and greater control of variables. The predominance of observational studies, with cross-sectional or non-randomized cohort designs, compromises the robustness of the evidence and restricts the ability to establish causal relationships between long COVID-19 and the observed metabolic changes. Furthermore, the significant methodological heterogeneity among the studies—both in relation to the diagnostic criteria adopted to define the post-COVID-19 condition and the characteristics of the populations evaluated (age, sex, pre-existing comorbidities, and socioeconomic context)—hampered data standardization and made meta-analysis unfeasible. Another limiting factor is the short duration of follow-up periods in most of the included studies (on average, 6 to 12 months), which prevents a more accurate assessment of long-term metabolic outcomes. Added to this is the scarcity of randomized clinical trials and interventional studies, which limits the identification of effective strategies for preventing and managing metabolic dysfunctions associated with long COVID-19.</w:t>
      </w:r>
    </w:p>
    <w:p w14:paraId="11351BD9" w14:textId="77777777" w:rsidR="00AB61FD" w:rsidRPr="001D3AD0" w:rsidRDefault="00AB61FD" w:rsidP="00441B6F">
      <w:pPr>
        <w:pStyle w:val="ConcHead"/>
        <w:spacing w:after="0"/>
        <w:jc w:val="both"/>
        <w:rPr>
          <w:rFonts w:ascii="Arial" w:hAnsi="Arial" w:cs="Arial"/>
        </w:rPr>
      </w:pPr>
    </w:p>
    <w:p w14:paraId="3D7A0C8E" w14:textId="77777777" w:rsidR="00B01FCD" w:rsidRPr="001D3AD0" w:rsidRDefault="00000F8F" w:rsidP="00441B6F">
      <w:pPr>
        <w:pStyle w:val="ConcHead"/>
        <w:spacing w:after="0"/>
        <w:jc w:val="both"/>
        <w:rPr>
          <w:rFonts w:ascii="Arial" w:hAnsi="Arial" w:cs="Arial"/>
        </w:rPr>
      </w:pPr>
      <w:r w:rsidRPr="001D3AD0">
        <w:rPr>
          <w:rFonts w:ascii="Arial" w:hAnsi="Arial" w:cs="Arial"/>
        </w:rPr>
        <w:t xml:space="preserve">4. </w:t>
      </w:r>
      <w:r w:rsidR="00B01FCD" w:rsidRPr="001D3AD0">
        <w:rPr>
          <w:rFonts w:ascii="Arial" w:hAnsi="Arial" w:cs="Arial"/>
        </w:rPr>
        <w:t>Conclusion</w:t>
      </w:r>
    </w:p>
    <w:p w14:paraId="0E406A52" w14:textId="77777777" w:rsidR="00790ADA" w:rsidRPr="001D3AD0" w:rsidRDefault="00790ADA" w:rsidP="00441B6F">
      <w:pPr>
        <w:pStyle w:val="ConcHead"/>
        <w:spacing w:after="0"/>
        <w:jc w:val="both"/>
        <w:rPr>
          <w:rFonts w:ascii="Arial" w:hAnsi="Arial" w:cs="Arial"/>
        </w:rPr>
      </w:pPr>
    </w:p>
    <w:p w14:paraId="583B913F" w14:textId="77777777" w:rsidR="00744D91" w:rsidRPr="001D3AD0" w:rsidRDefault="00744D91" w:rsidP="00744D91">
      <w:pPr>
        <w:pStyle w:val="Body"/>
        <w:rPr>
          <w:rFonts w:ascii="Arial" w:hAnsi="Arial" w:cs="Arial"/>
        </w:rPr>
      </w:pPr>
      <w:r w:rsidRPr="001D3AD0">
        <w:rPr>
          <w:rFonts w:ascii="Arial" w:hAnsi="Arial" w:cs="Arial"/>
        </w:rPr>
        <w:t>The studies analyzed highlight that long COVID-19 has significant impacts on the metabolism, inflammatory response, and quality of life of affected individuals. Pre-existing conditions, such as obesity, diabetes, and hypertension, increase the risk of prolonged complications and may influence post-infection recovery. Furthermore, there is evidence that insulin resistance and systemic inflammation play a central role in the persistence of symptoms.</w:t>
      </w:r>
    </w:p>
    <w:p w14:paraId="00400657" w14:textId="77777777" w:rsidR="00744D91" w:rsidRPr="001D3AD0" w:rsidRDefault="00744D91" w:rsidP="00744D91">
      <w:pPr>
        <w:pStyle w:val="Body"/>
        <w:rPr>
          <w:rFonts w:ascii="Arial" w:hAnsi="Arial" w:cs="Arial"/>
        </w:rPr>
      </w:pPr>
      <w:r w:rsidRPr="001D3AD0">
        <w:rPr>
          <w:rFonts w:ascii="Arial" w:hAnsi="Arial" w:cs="Arial"/>
        </w:rPr>
        <w:t>The association between long COVID-19 and cognitive deficits suggests that patients with a high BMI may experience more severe impairment of mental functions, possibly due to chronic inflammation and metabolic dysfunction. These findings reinforce the importance of a multidisciplinary approach in the management of long COVID-19, considering not only the physical aspects of the disease but also the cognitive, psychological, and metabolic effects that directly impact patients' quality of life.</w:t>
      </w:r>
    </w:p>
    <w:p w14:paraId="333FF306" w14:textId="77777777" w:rsidR="00790ADA" w:rsidRPr="001D3AD0" w:rsidRDefault="00744D91" w:rsidP="00744D91">
      <w:pPr>
        <w:pStyle w:val="Body"/>
        <w:spacing w:after="0"/>
        <w:rPr>
          <w:rFonts w:ascii="Arial" w:hAnsi="Arial" w:cs="Arial"/>
        </w:rPr>
      </w:pPr>
      <w:r w:rsidRPr="001D3AD0">
        <w:rPr>
          <w:rFonts w:ascii="Arial" w:hAnsi="Arial" w:cs="Arial"/>
        </w:rPr>
        <w:t>Given the multifactorial nature of long COVID-19, it is recommended that future research include larger population samples from different regions, as well as longitudinal studies that can better elucidate the relationship between metabolic factors, inflammation, and post-COVID sequelae. Furthermore, public health policies should consider ongoing support for patients suffering from the long-term effects of the infection, promoting early interventions to reduce long-term impacts.</w:t>
      </w:r>
    </w:p>
    <w:p w14:paraId="375B0898" w14:textId="77777777" w:rsidR="00FF43DE" w:rsidRPr="001D3AD0" w:rsidRDefault="00FF43DE" w:rsidP="00744D91">
      <w:pPr>
        <w:pStyle w:val="Body"/>
        <w:spacing w:after="0"/>
        <w:rPr>
          <w:rFonts w:ascii="Arial" w:hAnsi="Arial" w:cs="Arial"/>
        </w:rPr>
      </w:pPr>
    </w:p>
    <w:p w14:paraId="3A658829" w14:textId="77777777" w:rsidR="00FF43DE" w:rsidRPr="001D3AD0" w:rsidRDefault="00FF43DE" w:rsidP="00FF43DE">
      <w:pPr>
        <w:rPr>
          <w:rFonts w:ascii="Arial" w:hAnsi="Arial" w:cs="Arial"/>
          <w:highlight w:val="yellow"/>
        </w:rPr>
      </w:pPr>
      <w:r w:rsidRPr="001D3AD0">
        <w:rPr>
          <w:rFonts w:ascii="Arial" w:hAnsi="Arial" w:cs="Arial"/>
          <w:highlight w:val="yellow"/>
        </w:rPr>
        <w:t>Disclaimer (Artificial intelligence)</w:t>
      </w:r>
    </w:p>
    <w:p w14:paraId="642557AC" w14:textId="77777777" w:rsidR="00FF43DE" w:rsidRPr="001D3AD0" w:rsidRDefault="007552FC" w:rsidP="007552FC">
      <w:pPr>
        <w:rPr>
          <w:rFonts w:ascii="Arial" w:hAnsi="Arial" w:cs="Arial"/>
        </w:rPr>
      </w:pPr>
      <w:r w:rsidRPr="001D3AD0">
        <w:rPr>
          <w:rFonts w:ascii="Arial" w:hAnsi="Arial" w:cs="Arial"/>
          <w:highlight w:val="yellow"/>
        </w:rPr>
        <w:t>The authors hereby declare that no generative AI technologies, such as Large Language Models (ChatGPT, Copilot, etc.) or text-to-image generators, were used during the writing or editing of this manuscript.</w:t>
      </w:r>
    </w:p>
    <w:p w14:paraId="69342484" w14:textId="77777777" w:rsidR="00CD5A0D" w:rsidRPr="001D3AD0" w:rsidRDefault="00CD5A0D" w:rsidP="00CD5A0D">
      <w:pPr>
        <w:pStyle w:val="ReferHead"/>
        <w:spacing w:after="0"/>
        <w:jc w:val="both"/>
        <w:rPr>
          <w:rFonts w:ascii="Arial" w:hAnsi="Arial" w:cs="Arial"/>
        </w:rPr>
      </w:pPr>
    </w:p>
    <w:p w14:paraId="1069B904" w14:textId="77777777" w:rsidR="00790ADA" w:rsidRPr="001D3AD0" w:rsidRDefault="00B01FCD" w:rsidP="00441B6F">
      <w:pPr>
        <w:pStyle w:val="ReferHead"/>
        <w:spacing w:after="0"/>
        <w:jc w:val="both"/>
        <w:rPr>
          <w:rFonts w:ascii="Arial" w:hAnsi="Arial" w:cs="Arial"/>
        </w:rPr>
      </w:pPr>
      <w:r w:rsidRPr="001D3AD0">
        <w:rPr>
          <w:rFonts w:ascii="Arial" w:hAnsi="Arial" w:cs="Arial"/>
        </w:rPr>
        <w:t>References</w:t>
      </w:r>
    </w:p>
    <w:p w14:paraId="42EB98DB" w14:textId="77777777" w:rsidR="00441B6F" w:rsidRPr="001D3AD0" w:rsidRDefault="00441B6F" w:rsidP="009916D8">
      <w:pPr>
        <w:pStyle w:val="Body"/>
        <w:spacing w:after="0"/>
        <w:jc w:val="left"/>
        <w:rPr>
          <w:rFonts w:ascii="Arial" w:hAnsi="Arial" w:cs="Arial"/>
        </w:rPr>
      </w:pPr>
    </w:p>
    <w:p w14:paraId="588C955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Nalbandian, A., Sehgal, K., Gupta, A., Madhavan, M. V., McGroder, C., Stevens, J. S., et al. (2021). Post-acute COVID-19 syndrome. </w:t>
      </w:r>
      <w:r w:rsidRPr="001D3AD0">
        <w:rPr>
          <w:rStyle w:val="nfase"/>
          <w:rFonts w:ascii="Arial" w:hAnsi="Arial" w:cs="Arial"/>
          <w:sz w:val="20"/>
          <w:szCs w:val="20"/>
        </w:rPr>
        <w:t>Nature Medicine, 27</w:t>
      </w:r>
      <w:r w:rsidRPr="001D3AD0">
        <w:rPr>
          <w:rFonts w:ascii="Arial" w:hAnsi="Arial" w:cs="Arial"/>
          <w:sz w:val="20"/>
          <w:szCs w:val="20"/>
        </w:rPr>
        <w:t xml:space="preserve">(4), 601–615. </w:t>
      </w:r>
      <w:hyperlink r:id="rId16" w:tgtFrame="_new" w:history="1">
        <w:r w:rsidRPr="001D3AD0">
          <w:rPr>
            <w:rStyle w:val="Hyperlink"/>
            <w:rFonts w:ascii="Arial" w:hAnsi="Arial" w:cs="Arial"/>
            <w:sz w:val="20"/>
            <w:szCs w:val="20"/>
          </w:rPr>
          <w:t>https://doi.org/10.1038/s41591-021-01283-z</w:t>
        </w:r>
      </w:hyperlink>
    </w:p>
    <w:p w14:paraId="244B3D1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Pasini, E., Corsetti, G., Romano, C., Scarabelli, T. M., Chen-Scarabelli, C., Saravolatz, L., et al. (2021). Serum metabolic profile in patients with long-COVID (PASC) syndrome: Clinical implications. </w:t>
      </w:r>
      <w:r w:rsidRPr="001D3AD0">
        <w:rPr>
          <w:rStyle w:val="nfase"/>
          <w:rFonts w:ascii="Arial" w:hAnsi="Arial" w:cs="Arial"/>
          <w:sz w:val="20"/>
          <w:szCs w:val="20"/>
        </w:rPr>
        <w:t>Frontiers in Medicine, 8,</w:t>
      </w:r>
      <w:r w:rsidRPr="001D3AD0">
        <w:rPr>
          <w:rFonts w:ascii="Arial" w:hAnsi="Arial" w:cs="Arial"/>
          <w:sz w:val="20"/>
          <w:szCs w:val="20"/>
        </w:rPr>
        <w:t xml:space="preserve"> 714426. </w:t>
      </w:r>
      <w:hyperlink r:id="rId17" w:tgtFrame="_new" w:history="1">
        <w:r w:rsidRPr="001D3AD0">
          <w:rPr>
            <w:rStyle w:val="Hyperlink"/>
            <w:rFonts w:ascii="Arial" w:hAnsi="Arial" w:cs="Arial"/>
            <w:sz w:val="20"/>
            <w:szCs w:val="20"/>
          </w:rPr>
          <w:t>https://doi.org/10.3389/fmed.2021.714426</w:t>
        </w:r>
      </w:hyperlink>
    </w:p>
    <w:p w14:paraId="75749F68"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Del Rio, C., Collins, L. F., &amp; Malani, P. (2020). Long-term health consequences of COVID-19. </w:t>
      </w:r>
      <w:r w:rsidRPr="001D3AD0">
        <w:rPr>
          <w:rStyle w:val="nfase"/>
          <w:rFonts w:ascii="Arial" w:hAnsi="Arial" w:cs="Arial"/>
          <w:sz w:val="20"/>
          <w:szCs w:val="20"/>
        </w:rPr>
        <w:t>JAMA, 324</w:t>
      </w:r>
      <w:r w:rsidRPr="001D3AD0">
        <w:rPr>
          <w:rFonts w:ascii="Arial" w:hAnsi="Arial" w:cs="Arial"/>
          <w:sz w:val="20"/>
          <w:szCs w:val="20"/>
        </w:rPr>
        <w:t xml:space="preserve">(17), 1723. </w:t>
      </w:r>
      <w:hyperlink r:id="rId18" w:tgtFrame="_new" w:history="1">
        <w:r w:rsidRPr="001D3AD0">
          <w:rPr>
            <w:rStyle w:val="Hyperlink"/>
            <w:rFonts w:ascii="Arial" w:hAnsi="Arial" w:cs="Arial"/>
            <w:sz w:val="20"/>
            <w:szCs w:val="20"/>
          </w:rPr>
          <w:t>https://doi.org/10.1001/jama.2020.19719</w:t>
        </w:r>
      </w:hyperlink>
    </w:p>
    <w:p w14:paraId="16144E1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World Health Organization. (2021). </w:t>
      </w:r>
      <w:r w:rsidRPr="001D3AD0">
        <w:rPr>
          <w:rStyle w:val="nfase"/>
          <w:rFonts w:ascii="Arial" w:hAnsi="Arial" w:cs="Arial"/>
          <w:sz w:val="20"/>
          <w:szCs w:val="20"/>
        </w:rPr>
        <w:t>A clinical case definition of post COVID-19 condition by a Delphi consensus.</w:t>
      </w:r>
      <w:r w:rsidRPr="001D3AD0">
        <w:rPr>
          <w:rFonts w:ascii="Arial" w:hAnsi="Arial" w:cs="Arial"/>
          <w:sz w:val="20"/>
          <w:szCs w:val="20"/>
        </w:rPr>
        <w:t xml:space="preserve"> Geneva: WHO. </w:t>
      </w:r>
      <w:hyperlink r:id="rId19" w:tgtFrame="_new" w:history="1">
        <w:r w:rsidRPr="001D3AD0">
          <w:rPr>
            <w:rStyle w:val="Hyperlink"/>
            <w:rFonts w:ascii="Arial" w:hAnsi="Arial" w:cs="Arial"/>
            <w:sz w:val="20"/>
            <w:szCs w:val="20"/>
          </w:rPr>
          <w:t>https://www.who.int/publications/i/item/WHO-2019-nCoV-Post_COVID-19_condition-Clinical_case_definition-2021.1</w:t>
        </w:r>
      </w:hyperlink>
    </w:p>
    <w:p w14:paraId="2405C01F"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Barreto, A. P. A., Barreto Filho, M. A., Duarte, L. C., Cerqueira-Silva, T., Camelier, A., Tavares, N. M., et al. (2022). Metabolic disorders and post-acute hospitalization in black/mixed-race patients with long COVID in Brazil: A cross-sectional analysis. </w:t>
      </w:r>
      <w:r w:rsidRPr="001D3AD0">
        <w:rPr>
          <w:rStyle w:val="nfase"/>
          <w:rFonts w:ascii="Arial" w:hAnsi="Arial" w:cs="Arial"/>
          <w:sz w:val="20"/>
          <w:szCs w:val="20"/>
        </w:rPr>
        <w:t>PLOS ONE, 17</w:t>
      </w:r>
      <w:r w:rsidRPr="001D3AD0">
        <w:rPr>
          <w:rFonts w:ascii="Arial" w:hAnsi="Arial" w:cs="Arial"/>
          <w:sz w:val="20"/>
          <w:szCs w:val="20"/>
        </w:rPr>
        <w:t xml:space="preserve">(10), e0276771. </w:t>
      </w:r>
      <w:hyperlink r:id="rId20" w:tgtFrame="_new" w:history="1">
        <w:r w:rsidRPr="001D3AD0">
          <w:rPr>
            <w:rStyle w:val="Hyperlink"/>
            <w:rFonts w:ascii="Arial" w:hAnsi="Arial" w:cs="Arial"/>
            <w:sz w:val="20"/>
            <w:szCs w:val="20"/>
          </w:rPr>
          <w:t>https://doi.org/10.1371/journal.pone.0276771</w:t>
        </w:r>
      </w:hyperlink>
    </w:p>
    <w:p w14:paraId="0BA83C55"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World Health Organization. (1997). </w:t>
      </w:r>
      <w:r w:rsidRPr="001D3AD0">
        <w:rPr>
          <w:rStyle w:val="nfase"/>
          <w:rFonts w:ascii="Arial" w:hAnsi="Arial" w:cs="Arial"/>
          <w:sz w:val="20"/>
          <w:szCs w:val="20"/>
        </w:rPr>
        <w:t>WHOQOL: Measuring quality of life.</w:t>
      </w:r>
      <w:r w:rsidRPr="001D3AD0">
        <w:rPr>
          <w:rFonts w:ascii="Arial" w:hAnsi="Arial" w:cs="Arial"/>
          <w:sz w:val="20"/>
          <w:szCs w:val="20"/>
        </w:rPr>
        <w:t xml:space="preserve"> Geneva: WHO. </w:t>
      </w:r>
      <w:hyperlink r:id="rId21" w:tgtFrame="_new" w:history="1">
        <w:r w:rsidRPr="001D3AD0">
          <w:rPr>
            <w:rStyle w:val="Hyperlink"/>
            <w:rFonts w:ascii="Arial" w:hAnsi="Arial" w:cs="Arial"/>
            <w:sz w:val="20"/>
            <w:szCs w:val="20"/>
          </w:rPr>
          <w:t>https://www.who.int/tools/whoqol</w:t>
        </w:r>
      </w:hyperlink>
    </w:p>
    <w:p w14:paraId="501F3EE7"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Menezes, D. C. D., Lima, P. D. L. D., Lima, I. C. D., Uesugi, J. H. E., Vasconcelos, P. F. D. C., Quaresma, J. A. S., et al. (2023). Metabolic profile of patients with long COVID: A cross-sectional study. </w:t>
      </w:r>
      <w:r w:rsidRPr="001D3AD0">
        <w:rPr>
          <w:rStyle w:val="nfase"/>
          <w:rFonts w:ascii="Arial" w:hAnsi="Arial" w:cs="Arial"/>
          <w:sz w:val="20"/>
          <w:szCs w:val="20"/>
        </w:rPr>
        <w:t>Nutrients, 15</w:t>
      </w:r>
      <w:r w:rsidRPr="001D3AD0">
        <w:rPr>
          <w:rFonts w:ascii="Arial" w:hAnsi="Arial" w:cs="Arial"/>
          <w:sz w:val="20"/>
          <w:szCs w:val="20"/>
        </w:rPr>
        <w:t xml:space="preserve">(5), 1197. </w:t>
      </w:r>
      <w:hyperlink r:id="rId22" w:tgtFrame="_new" w:history="1">
        <w:r w:rsidRPr="001D3AD0">
          <w:rPr>
            <w:rStyle w:val="Hyperlink"/>
            <w:rFonts w:ascii="Arial" w:hAnsi="Arial" w:cs="Arial"/>
            <w:sz w:val="20"/>
            <w:szCs w:val="20"/>
          </w:rPr>
          <w:t>https://doi.org/10.3390/nu15051197</w:t>
        </w:r>
      </w:hyperlink>
    </w:p>
    <w:p w14:paraId="59BCFC55"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Ida, F. S., Ferreira, H. P., Vasconcelos, A. K. M., Furtado, I. A. B., Fontenele, C. J. P. M., &amp; Pereira, A. C. (2024). Síndrome pós-COVID-19: Sintomas persistentes, impacto funcional, qualidade de vida, retorno laboral e custos indiretos – Estudo prospectivo de casos 12 meses após a infecção. </w:t>
      </w:r>
      <w:r w:rsidRPr="001D3AD0">
        <w:rPr>
          <w:rStyle w:val="nfase"/>
          <w:rFonts w:ascii="Arial" w:hAnsi="Arial" w:cs="Arial"/>
          <w:sz w:val="20"/>
          <w:szCs w:val="20"/>
        </w:rPr>
        <w:t>Cadernos de Saúde Pública, 40</w:t>
      </w:r>
      <w:r w:rsidRPr="001D3AD0">
        <w:rPr>
          <w:rFonts w:ascii="Arial" w:hAnsi="Arial" w:cs="Arial"/>
          <w:sz w:val="20"/>
          <w:szCs w:val="20"/>
        </w:rPr>
        <w:t xml:space="preserve">(2), e00022623. </w:t>
      </w:r>
      <w:hyperlink r:id="rId23" w:tgtFrame="_new" w:history="1">
        <w:r w:rsidRPr="001D3AD0">
          <w:rPr>
            <w:rStyle w:val="Hyperlink"/>
            <w:rFonts w:ascii="Arial" w:hAnsi="Arial" w:cs="Arial"/>
            <w:sz w:val="20"/>
            <w:szCs w:val="20"/>
          </w:rPr>
          <w:t>https://doi.org/10.1590/0102-311xpt026623</w:t>
        </w:r>
      </w:hyperlink>
    </w:p>
    <w:p w14:paraId="42292F9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Das, L., Khadilkar, S., Khandelwal, D., Gupta, N., Dutta, D., &amp; Kumar, G. (2021). Spectrum of endocrine dysfunction and association with disease severity in patients with COVID-19. </w:t>
      </w:r>
      <w:r w:rsidRPr="001D3AD0">
        <w:rPr>
          <w:rStyle w:val="nfase"/>
          <w:rFonts w:ascii="Arial" w:hAnsi="Arial" w:cs="Arial"/>
          <w:sz w:val="20"/>
          <w:szCs w:val="20"/>
        </w:rPr>
        <w:t>Frontiers in Endocrinology, 12,</w:t>
      </w:r>
      <w:r w:rsidRPr="001D3AD0">
        <w:rPr>
          <w:rFonts w:ascii="Arial" w:hAnsi="Arial" w:cs="Arial"/>
          <w:sz w:val="20"/>
          <w:szCs w:val="20"/>
        </w:rPr>
        <w:t xml:space="preserve"> 645787. </w:t>
      </w:r>
      <w:hyperlink r:id="rId24" w:tgtFrame="_new" w:history="1">
        <w:r w:rsidRPr="001D3AD0">
          <w:rPr>
            <w:rStyle w:val="Hyperlink"/>
            <w:rFonts w:ascii="Arial" w:hAnsi="Arial" w:cs="Arial"/>
            <w:sz w:val="20"/>
            <w:szCs w:val="20"/>
          </w:rPr>
          <w:t>https://doi.org/10.3389/fendo.2021.645787</w:t>
        </w:r>
      </w:hyperlink>
    </w:p>
    <w:p w14:paraId="411428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Iosef, C., Matusa, A. M., Han, V. K. M., &amp; Fraser, D. D. (2024). Endocrine dysregulation in COVID-19: Molecular mechanisms and insights. </w:t>
      </w:r>
      <w:r w:rsidRPr="001D3AD0">
        <w:rPr>
          <w:rStyle w:val="nfase"/>
          <w:rFonts w:ascii="Arial" w:hAnsi="Arial" w:cs="Arial"/>
          <w:sz w:val="20"/>
          <w:szCs w:val="20"/>
        </w:rPr>
        <w:t>Frontiers in Endocrinology, 15,</w:t>
      </w:r>
      <w:r w:rsidRPr="001D3AD0">
        <w:rPr>
          <w:rFonts w:ascii="Arial" w:hAnsi="Arial" w:cs="Arial"/>
          <w:sz w:val="20"/>
          <w:szCs w:val="20"/>
        </w:rPr>
        <w:t xml:space="preserve"> 1459724. </w:t>
      </w:r>
      <w:hyperlink r:id="rId25" w:tgtFrame="_new" w:history="1">
        <w:r w:rsidRPr="001D3AD0">
          <w:rPr>
            <w:rStyle w:val="Hyperlink"/>
            <w:rFonts w:ascii="Arial" w:hAnsi="Arial" w:cs="Arial"/>
            <w:sz w:val="20"/>
            <w:szCs w:val="20"/>
          </w:rPr>
          <w:t>https://doi.org/10.3389/fendo.2024.1459724</w:t>
        </w:r>
      </w:hyperlink>
    </w:p>
    <w:p w14:paraId="3D59CC8A"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Xue, X., Mi, Z., Wang, Z., Pang, Z., Liu, H., &amp; Zhang, F. (2021). High expression of ACE2 on keratinocytes reveals skin as a potential target for SARS-CoV-2. </w:t>
      </w:r>
      <w:r w:rsidRPr="001D3AD0">
        <w:rPr>
          <w:rStyle w:val="nfase"/>
          <w:rFonts w:ascii="Arial" w:hAnsi="Arial" w:cs="Arial"/>
          <w:sz w:val="20"/>
          <w:szCs w:val="20"/>
        </w:rPr>
        <w:t>Journal of Investigative Dermatology, 141,</w:t>
      </w:r>
      <w:r w:rsidRPr="001D3AD0">
        <w:rPr>
          <w:rFonts w:ascii="Arial" w:hAnsi="Arial" w:cs="Arial"/>
          <w:sz w:val="20"/>
          <w:szCs w:val="20"/>
        </w:rPr>
        <w:t xml:space="preserve"> 206–209. https://doi.org/10.1016/j.jid.2020.05.087</w:t>
      </w:r>
    </w:p>
    <w:p w14:paraId="39088C1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Genovese, G., Moltrasio, C., Berti, E., &amp; Marzano, A. V. (2021). Skin manifestations associated with COVID-19: Current knowledge and future perspectives. </w:t>
      </w:r>
      <w:r w:rsidRPr="001D3AD0">
        <w:rPr>
          <w:rStyle w:val="nfase"/>
          <w:rFonts w:ascii="Arial" w:hAnsi="Arial" w:cs="Arial"/>
          <w:sz w:val="20"/>
          <w:szCs w:val="20"/>
        </w:rPr>
        <w:t>Dermatology, 237,</w:t>
      </w:r>
      <w:r w:rsidRPr="001D3AD0">
        <w:rPr>
          <w:rFonts w:ascii="Arial" w:hAnsi="Arial" w:cs="Arial"/>
          <w:sz w:val="20"/>
          <w:szCs w:val="20"/>
        </w:rPr>
        <w:t xml:space="preserve"> 1–12. https://doi.org/10.1159/000512932</w:t>
      </w:r>
    </w:p>
    <w:p w14:paraId="17F26263"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Recalcati, S. (2020). Cutaneous manifestations in COVID-19: A first perspective. </w:t>
      </w:r>
      <w:r w:rsidRPr="001D3AD0">
        <w:rPr>
          <w:rStyle w:val="nfase"/>
          <w:rFonts w:ascii="Arial" w:hAnsi="Arial" w:cs="Arial"/>
          <w:sz w:val="20"/>
          <w:szCs w:val="20"/>
        </w:rPr>
        <w:t>Journal of the European Academy of Dermatology and Venereology, 34,</w:t>
      </w:r>
      <w:r w:rsidRPr="001D3AD0">
        <w:rPr>
          <w:rFonts w:ascii="Arial" w:hAnsi="Arial" w:cs="Arial"/>
          <w:sz w:val="20"/>
          <w:szCs w:val="20"/>
        </w:rPr>
        <w:t xml:space="preserve"> e212–e213. https://doi.org/10.1111/jdv.16387</w:t>
      </w:r>
    </w:p>
    <w:p w14:paraId="48B52D4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Sanhueza, S., Vidal, M. A., Hernandez, M. A., Henriquez-Beltran, M. E., Cabrera, C., Quiroga, R., et al. (2023). Clinical and pulmonary function analysis in long-COVID revealed that long-term pulmonary dysfunction is associated with vascular inflammation pathways and metabolic syndrome. </w:t>
      </w:r>
      <w:r w:rsidRPr="001D3AD0">
        <w:rPr>
          <w:rStyle w:val="nfase"/>
          <w:rFonts w:ascii="Arial" w:hAnsi="Arial" w:cs="Arial"/>
          <w:sz w:val="20"/>
          <w:szCs w:val="20"/>
        </w:rPr>
        <w:t>Frontiers in Medicine, 10,</w:t>
      </w:r>
      <w:r w:rsidRPr="001D3AD0">
        <w:rPr>
          <w:rFonts w:ascii="Arial" w:hAnsi="Arial" w:cs="Arial"/>
          <w:sz w:val="20"/>
          <w:szCs w:val="20"/>
        </w:rPr>
        <w:t xml:space="preserve"> 1271863. </w:t>
      </w:r>
      <w:hyperlink r:id="rId26" w:tgtFrame="_new" w:history="1">
        <w:r w:rsidRPr="001D3AD0">
          <w:rPr>
            <w:rStyle w:val="Hyperlink"/>
            <w:rFonts w:ascii="Arial" w:hAnsi="Arial" w:cs="Arial"/>
            <w:sz w:val="20"/>
            <w:szCs w:val="20"/>
          </w:rPr>
          <w:t>https://doi.org/10.3389/fmed.2023.12718634</w:t>
        </w:r>
      </w:hyperlink>
    </w:p>
    <w:p w14:paraId="699606C7"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Man, D. E., Andor, M., Buda, V., Kundnani, N. R., Duda-Seiman, D. M., Craciun, L. M., et al. (2024). Insulin resistance in long COVID-19 syndrome. </w:t>
      </w:r>
      <w:r w:rsidRPr="001D3AD0">
        <w:rPr>
          <w:rStyle w:val="nfase"/>
          <w:rFonts w:ascii="Arial" w:hAnsi="Arial" w:cs="Arial"/>
          <w:sz w:val="20"/>
          <w:szCs w:val="20"/>
        </w:rPr>
        <w:t>Journal of Personalized Medicine, 14</w:t>
      </w:r>
      <w:r w:rsidRPr="001D3AD0">
        <w:rPr>
          <w:rFonts w:ascii="Arial" w:hAnsi="Arial" w:cs="Arial"/>
          <w:sz w:val="20"/>
          <w:szCs w:val="20"/>
        </w:rPr>
        <w:t xml:space="preserve">(9), 911. </w:t>
      </w:r>
      <w:hyperlink r:id="rId27" w:tgtFrame="_new" w:history="1">
        <w:r w:rsidRPr="001D3AD0">
          <w:rPr>
            <w:rStyle w:val="Hyperlink"/>
            <w:rFonts w:ascii="Arial" w:hAnsi="Arial" w:cs="Arial"/>
            <w:sz w:val="20"/>
            <w:szCs w:val="20"/>
          </w:rPr>
          <w:t>https://doi.org/10.3390/jpm14090911</w:t>
        </w:r>
      </w:hyperlink>
    </w:p>
    <w:p w14:paraId="3B8EFD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lastRenderedPageBreak/>
        <w:t xml:space="preserve">Al-Zadjali, J., Al-Lawati, A., Riyami, N. F., Farsi, K. B., Jarradi, N. A., Boudaka, A., et al. (2024). Reduced HDL-cholesterol in long COVID-19: A key metabolic risk factor tied to disease severity. </w:t>
      </w:r>
      <w:r w:rsidRPr="001D3AD0">
        <w:rPr>
          <w:rStyle w:val="nfase"/>
          <w:rFonts w:ascii="Arial" w:hAnsi="Arial" w:cs="Arial"/>
          <w:sz w:val="20"/>
          <w:szCs w:val="20"/>
        </w:rPr>
        <w:t>Clinics, 79,</w:t>
      </w:r>
      <w:r w:rsidRPr="001D3AD0">
        <w:rPr>
          <w:rFonts w:ascii="Arial" w:hAnsi="Arial" w:cs="Arial"/>
          <w:sz w:val="20"/>
          <w:szCs w:val="20"/>
        </w:rPr>
        <w:t xml:space="preserve"> 100344. </w:t>
      </w:r>
      <w:hyperlink r:id="rId28" w:tgtFrame="_new" w:history="1">
        <w:r w:rsidRPr="001D3AD0">
          <w:rPr>
            <w:rStyle w:val="Hyperlink"/>
            <w:rFonts w:ascii="Arial" w:hAnsi="Arial" w:cs="Arial"/>
            <w:sz w:val="20"/>
            <w:szCs w:val="20"/>
          </w:rPr>
          <w:t>https://doi.org/10.1016/j.clinsp.2024.100344</w:t>
        </w:r>
      </w:hyperlink>
    </w:p>
    <w:p w14:paraId="77973F5E"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Cornillet, M., Strunz, B., Rooyackers, O., Ponzetta, A., Chen, P., Muvva, J. R., et al. (2022). COVID</w:t>
      </w:r>
      <w:r w:rsidRPr="001D3AD0">
        <w:rPr>
          <w:rFonts w:ascii="Cambria Math" w:hAnsi="Cambria Math" w:cs="Cambria Math"/>
          <w:sz w:val="20"/>
          <w:szCs w:val="20"/>
        </w:rPr>
        <w:t>‐</w:t>
      </w:r>
      <w:r w:rsidRPr="001D3AD0">
        <w:rPr>
          <w:rFonts w:ascii="Arial" w:hAnsi="Arial" w:cs="Arial"/>
          <w:sz w:val="20"/>
          <w:szCs w:val="20"/>
        </w:rPr>
        <w:t>19</w:t>
      </w:r>
      <w:r w:rsidRPr="001D3AD0">
        <w:rPr>
          <w:rFonts w:ascii="Cambria Math" w:hAnsi="Cambria Math" w:cs="Cambria Math"/>
          <w:sz w:val="20"/>
          <w:szCs w:val="20"/>
        </w:rPr>
        <w:t>‐</w:t>
      </w:r>
      <w:r w:rsidRPr="001D3AD0">
        <w:rPr>
          <w:rFonts w:ascii="Arial" w:hAnsi="Arial" w:cs="Arial"/>
          <w:sz w:val="20"/>
          <w:szCs w:val="20"/>
        </w:rPr>
        <w:t xml:space="preserve">specific metabolic imprint yields insights into multiorgan system perturbations. </w:t>
      </w:r>
      <w:r w:rsidRPr="001D3AD0">
        <w:rPr>
          <w:rStyle w:val="nfase"/>
          <w:rFonts w:ascii="Arial" w:hAnsi="Arial" w:cs="Arial"/>
          <w:sz w:val="20"/>
          <w:szCs w:val="20"/>
        </w:rPr>
        <w:t>European Journal of Immunology, 52</w:t>
      </w:r>
      <w:r w:rsidRPr="001D3AD0">
        <w:rPr>
          <w:rFonts w:ascii="Arial" w:hAnsi="Arial" w:cs="Arial"/>
          <w:sz w:val="20"/>
          <w:szCs w:val="20"/>
        </w:rPr>
        <w:t xml:space="preserve">(3), 503–510. </w:t>
      </w:r>
      <w:hyperlink r:id="rId29" w:tgtFrame="_new" w:history="1">
        <w:r w:rsidRPr="001D3AD0">
          <w:rPr>
            <w:rStyle w:val="Hyperlink"/>
            <w:rFonts w:ascii="Arial" w:hAnsi="Arial" w:cs="Arial"/>
            <w:sz w:val="20"/>
            <w:szCs w:val="20"/>
          </w:rPr>
          <w:t>https://doi.org/10.1002/eji.202149626</w:t>
        </w:r>
      </w:hyperlink>
    </w:p>
    <w:p w14:paraId="0066EA4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Boldrini, M., Canoll, P. D., &amp; Klein, R. S. (2021). How COVID-19 affects the brain. </w:t>
      </w:r>
      <w:r w:rsidRPr="001D3AD0">
        <w:rPr>
          <w:rStyle w:val="nfase"/>
          <w:rFonts w:ascii="Arial" w:hAnsi="Arial" w:cs="Arial"/>
          <w:sz w:val="20"/>
          <w:szCs w:val="20"/>
        </w:rPr>
        <w:t>JAMA Psychiatry, 78</w:t>
      </w:r>
      <w:r w:rsidRPr="001D3AD0">
        <w:rPr>
          <w:rFonts w:ascii="Arial" w:hAnsi="Arial" w:cs="Arial"/>
          <w:sz w:val="20"/>
          <w:szCs w:val="20"/>
        </w:rPr>
        <w:t>(6), 682–683. https://doi.org/10.1001/jamapsychiatry.2021.0500</w:t>
      </w:r>
    </w:p>
    <w:p w14:paraId="0736FD84"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Schwabenland, M., Salié, H., Tanevski, J., Killmer, S., Lago, M. S., Schlaak, A. E., Mayer, L., et al. (2021). Deep spatial profiling of human COVID-19 brains reveals neuroinflammation with distinct microanatomical microglia-T cell interactions. </w:t>
      </w:r>
      <w:r w:rsidRPr="001D3AD0">
        <w:rPr>
          <w:rStyle w:val="nfase"/>
          <w:rFonts w:ascii="Arial" w:hAnsi="Arial" w:cs="Arial"/>
          <w:sz w:val="20"/>
          <w:szCs w:val="20"/>
        </w:rPr>
        <w:t>Immunity, 54</w:t>
      </w:r>
      <w:r w:rsidRPr="001D3AD0">
        <w:rPr>
          <w:rFonts w:ascii="Arial" w:hAnsi="Arial" w:cs="Arial"/>
          <w:sz w:val="20"/>
          <w:szCs w:val="20"/>
        </w:rPr>
        <w:t>(7), 1594–1610.e11. https://doi.org/10.1016/j.immuni.2021.06.002</w:t>
      </w:r>
    </w:p>
    <w:p w14:paraId="63A86241"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Shen, B., Yi, X., Sun, Y., Bi, X., Du, J., Zhang, C., Quan, S., et al. (2020). Proteomic and metabolomic characterization of COVID-19 patient sera. </w:t>
      </w:r>
      <w:r w:rsidRPr="001D3AD0">
        <w:rPr>
          <w:rStyle w:val="nfase"/>
          <w:rFonts w:ascii="Arial" w:hAnsi="Arial" w:cs="Arial"/>
          <w:sz w:val="20"/>
          <w:szCs w:val="20"/>
        </w:rPr>
        <w:t>Cell, 182</w:t>
      </w:r>
      <w:r w:rsidRPr="001D3AD0">
        <w:rPr>
          <w:rFonts w:ascii="Arial" w:hAnsi="Arial" w:cs="Arial"/>
          <w:sz w:val="20"/>
          <w:szCs w:val="20"/>
        </w:rPr>
        <w:t>(1), 59–72.e15. https://doi.org/10.1016/j.cell.2020.05.032</w:t>
      </w:r>
    </w:p>
    <w:p w14:paraId="4DCE53C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Song, J.-W., Lam, S. M., Fan, X., Cao, W.-J., Wang, S.-Y., Tian, H., Chua, G. H., et al. (2020). Omics-driven systems interrogation of metabolic dysregulation in COVID-19 pathogenesis. </w:t>
      </w:r>
      <w:r w:rsidRPr="001D3AD0">
        <w:rPr>
          <w:rStyle w:val="nfase"/>
          <w:rFonts w:ascii="Arial" w:hAnsi="Arial" w:cs="Arial"/>
          <w:sz w:val="20"/>
          <w:szCs w:val="20"/>
        </w:rPr>
        <w:t>Cell Metabolism, 32</w:t>
      </w:r>
      <w:r w:rsidRPr="001D3AD0">
        <w:rPr>
          <w:rFonts w:ascii="Arial" w:hAnsi="Arial" w:cs="Arial"/>
          <w:sz w:val="20"/>
          <w:szCs w:val="20"/>
        </w:rPr>
        <w:t>(2), 188–202.e5. https://doi.org/10.1016/j.cmet.2020.06.016</w:t>
      </w:r>
    </w:p>
    <w:p w14:paraId="7F702991"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Xiang, M., Wu, X., Jing, H., Novakovic, V. A., &amp; Shi, J. (2023). The intersection of obesity and (long) COVID-19: Hypoxia, thrombotic inflammation, and vascular endothelial injury. </w:t>
      </w:r>
      <w:r w:rsidRPr="001D3AD0">
        <w:rPr>
          <w:rStyle w:val="nfase"/>
          <w:rFonts w:ascii="Arial" w:hAnsi="Arial" w:cs="Arial"/>
          <w:sz w:val="20"/>
          <w:szCs w:val="20"/>
        </w:rPr>
        <w:t>Frontiers in Cardiovascular Medicine, 10,</w:t>
      </w:r>
      <w:r w:rsidRPr="001D3AD0">
        <w:rPr>
          <w:rFonts w:ascii="Arial" w:hAnsi="Arial" w:cs="Arial"/>
          <w:sz w:val="20"/>
          <w:szCs w:val="20"/>
        </w:rPr>
        <w:t xml:space="preserve"> 1062491. </w:t>
      </w:r>
      <w:hyperlink r:id="rId30" w:tgtFrame="_new" w:history="1">
        <w:r w:rsidRPr="001D3AD0">
          <w:rPr>
            <w:rStyle w:val="Hyperlink"/>
            <w:rFonts w:ascii="Arial" w:hAnsi="Arial" w:cs="Arial"/>
            <w:sz w:val="20"/>
            <w:szCs w:val="20"/>
          </w:rPr>
          <w:t>https://doi.org/10.3389/fcvm.2023.1062491</w:t>
        </w:r>
      </w:hyperlink>
    </w:p>
    <w:p w14:paraId="0CF795B1"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Martínez-Colón, G. J., Ratnasiri, K., Chen, H., Jiang, S., Zanley, E., Rustagi, A., et al. (2022). SARS-CoV-2 infection drives an inflammatory response in human adipose tissue through infection of adipocytes and macrophages. </w:t>
      </w:r>
      <w:r w:rsidRPr="001D3AD0">
        <w:rPr>
          <w:rStyle w:val="nfase"/>
          <w:rFonts w:ascii="Arial" w:hAnsi="Arial" w:cs="Arial"/>
          <w:sz w:val="20"/>
          <w:szCs w:val="20"/>
        </w:rPr>
        <w:t>Science Translational Medicine, 14</w:t>
      </w:r>
      <w:r w:rsidRPr="001D3AD0">
        <w:rPr>
          <w:rFonts w:ascii="Arial" w:hAnsi="Arial" w:cs="Arial"/>
          <w:sz w:val="20"/>
          <w:szCs w:val="20"/>
        </w:rPr>
        <w:t xml:space="preserve">(674), eabm9151. </w:t>
      </w:r>
      <w:hyperlink r:id="rId31" w:tgtFrame="_new" w:history="1">
        <w:r w:rsidRPr="001D3AD0">
          <w:rPr>
            <w:rStyle w:val="Hyperlink"/>
            <w:rFonts w:ascii="Arial" w:hAnsi="Arial" w:cs="Arial"/>
            <w:sz w:val="20"/>
            <w:szCs w:val="20"/>
          </w:rPr>
          <w:t>https://doi.org/10.1126/scitranslmed.abm9151</w:t>
        </w:r>
      </w:hyperlink>
    </w:p>
    <w:p w14:paraId="11365E14"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Le, G. H., Kwan, A. T. H., Guo, Z., Wong, S., Badulescu, S., Gill, H., Teopiz, K. M., Meshkat, S., Ceban, F., Phan, L., Subramaniapillai, M., Di Vincenzo, J. D., Rosenblat, J. D., Mansur, R. B., d’Andrea, G., Ho, R., Rhee, T. G., &amp; McIntyre, R. S. (2024). Impact of elevated body mass index (BMI) on cognitive functioning and inflammation in persons with post-COVID-19 condition: A secondary analysis. </w:t>
      </w:r>
      <w:r w:rsidRPr="001D3AD0">
        <w:rPr>
          <w:rStyle w:val="nfase"/>
          <w:rFonts w:ascii="Arial" w:hAnsi="Arial" w:cs="Arial"/>
          <w:sz w:val="20"/>
          <w:szCs w:val="20"/>
        </w:rPr>
        <w:t>Acta Neuropsychiatrica, 36</w:t>
      </w:r>
      <w:r w:rsidRPr="001D3AD0">
        <w:rPr>
          <w:rFonts w:ascii="Arial" w:hAnsi="Arial" w:cs="Arial"/>
          <w:sz w:val="20"/>
          <w:szCs w:val="20"/>
        </w:rPr>
        <w:t xml:space="preserve">(4), 211–217. </w:t>
      </w:r>
      <w:hyperlink r:id="rId32" w:tgtFrame="_new" w:history="1">
        <w:r w:rsidRPr="001D3AD0">
          <w:rPr>
            <w:rStyle w:val="Hyperlink"/>
            <w:rFonts w:ascii="Arial" w:hAnsi="Arial" w:cs="Arial"/>
            <w:sz w:val="20"/>
            <w:szCs w:val="20"/>
          </w:rPr>
          <w:t>https://doi.org/10.1017/neu.2024.16</w:t>
        </w:r>
      </w:hyperlink>
    </w:p>
    <w:p w14:paraId="6DC3D0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Khanmohammadi, S., &amp; Rezaei, N. (2021). Role of Toll</w:t>
      </w:r>
      <w:r w:rsidRPr="001D3AD0">
        <w:rPr>
          <w:rFonts w:ascii="Cambria Math" w:hAnsi="Cambria Math" w:cs="Cambria Math"/>
          <w:sz w:val="20"/>
          <w:szCs w:val="20"/>
        </w:rPr>
        <w:t>‐</w:t>
      </w:r>
      <w:r w:rsidRPr="001D3AD0">
        <w:rPr>
          <w:rFonts w:ascii="Arial" w:hAnsi="Arial" w:cs="Arial"/>
          <w:sz w:val="20"/>
          <w:szCs w:val="20"/>
        </w:rPr>
        <w:t>like receptors in the pathogenesis of COVID</w:t>
      </w:r>
      <w:r w:rsidRPr="001D3AD0">
        <w:rPr>
          <w:rFonts w:ascii="Cambria Math" w:hAnsi="Cambria Math" w:cs="Cambria Math"/>
          <w:sz w:val="20"/>
          <w:szCs w:val="20"/>
        </w:rPr>
        <w:t>‐</w:t>
      </w:r>
      <w:r w:rsidRPr="001D3AD0">
        <w:rPr>
          <w:rFonts w:ascii="Arial" w:hAnsi="Arial" w:cs="Arial"/>
          <w:sz w:val="20"/>
          <w:szCs w:val="20"/>
        </w:rPr>
        <w:t xml:space="preserve">19. </w:t>
      </w:r>
      <w:r w:rsidRPr="001D3AD0">
        <w:rPr>
          <w:rStyle w:val="nfase"/>
          <w:rFonts w:ascii="Arial" w:hAnsi="Arial" w:cs="Arial"/>
          <w:sz w:val="20"/>
          <w:szCs w:val="20"/>
        </w:rPr>
        <w:t>Journal of Medical Virology, 93</w:t>
      </w:r>
      <w:r w:rsidRPr="001D3AD0">
        <w:rPr>
          <w:rFonts w:ascii="Arial" w:hAnsi="Arial" w:cs="Arial"/>
          <w:sz w:val="20"/>
          <w:szCs w:val="20"/>
        </w:rPr>
        <w:t xml:space="preserve">(5), 2735–2739. </w:t>
      </w:r>
      <w:hyperlink r:id="rId33" w:tgtFrame="_new" w:history="1">
        <w:r w:rsidRPr="001D3AD0">
          <w:rPr>
            <w:rStyle w:val="Hyperlink"/>
            <w:rFonts w:ascii="Arial" w:hAnsi="Arial" w:cs="Arial"/>
            <w:sz w:val="20"/>
            <w:szCs w:val="20"/>
          </w:rPr>
          <w:t>https://doi.org/10.1002/jmv.26826</w:t>
        </w:r>
      </w:hyperlink>
    </w:p>
    <w:p w14:paraId="0C19F150"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Elias, M. F., Elias, P. K., Sullivan, L. M., Wolf, P. A., &amp; D’Agostino, R. B. (2005). Obesity, diabetes and cognitive deficit: The Framingham Heart Study. </w:t>
      </w:r>
      <w:r w:rsidRPr="001D3AD0">
        <w:rPr>
          <w:rStyle w:val="nfase"/>
          <w:rFonts w:ascii="Arial" w:hAnsi="Arial" w:cs="Arial"/>
          <w:sz w:val="20"/>
          <w:szCs w:val="20"/>
        </w:rPr>
        <w:t>Neurobiology of Aging, 26</w:t>
      </w:r>
      <w:r w:rsidRPr="001D3AD0">
        <w:rPr>
          <w:rFonts w:ascii="Arial" w:hAnsi="Arial" w:cs="Arial"/>
          <w:sz w:val="20"/>
          <w:szCs w:val="20"/>
        </w:rPr>
        <w:t xml:space="preserve">(1), 11–16. </w:t>
      </w:r>
      <w:hyperlink r:id="rId34" w:tgtFrame="_new" w:history="1">
        <w:r w:rsidRPr="001D3AD0">
          <w:rPr>
            <w:rStyle w:val="Hyperlink"/>
            <w:rFonts w:ascii="Arial" w:hAnsi="Arial" w:cs="Arial"/>
            <w:sz w:val="20"/>
            <w:szCs w:val="20"/>
          </w:rPr>
          <w:t>https://doi.org/10.1016/j.neurobiolaging.2005.08.019</w:t>
        </w:r>
      </w:hyperlink>
    </w:p>
    <w:p w14:paraId="5A4B427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Melnyk, B. M., &amp; Fineout-Overholt, E. (2011). </w:t>
      </w:r>
      <w:r w:rsidRPr="001D3AD0">
        <w:rPr>
          <w:rStyle w:val="nfase"/>
          <w:rFonts w:ascii="Arial" w:hAnsi="Arial" w:cs="Arial"/>
          <w:sz w:val="20"/>
          <w:szCs w:val="20"/>
        </w:rPr>
        <w:t>Evidence-based practice in nursing &amp; healthcare: A guide to best practice</w:t>
      </w:r>
      <w:r w:rsidRPr="001D3AD0">
        <w:rPr>
          <w:rFonts w:ascii="Arial" w:hAnsi="Arial" w:cs="Arial"/>
          <w:sz w:val="20"/>
          <w:szCs w:val="20"/>
        </w:rPr>
        <w:t xml:space="preserve"> (2nd ed.). Wolters Kluwer Health.</w:t>
      </w:r>
    </w:p>
    <w:p w14:paraId="14426046"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Page, M. J., McKenzie, J. E., Bossuyt, P. M., Boutron, I., Hoffmann, T. C., Mulrow, C. D., et al. (2021). The PRISMA 2020 statement: An updated guideline for reporting systematic reviews. </w:t>
      </w:r>
      <w:r w:rsidRPr="001D3AD0">
        <w:rPr>
          <w:rStyle w:val="nfase"/>
          <w:rFonts w:ascii="Arial" w:hAnsi="Arial" w:cs="Arial"/>
          <w:sz w:val="20"/>
          <w:szCs w:val="20"/>
        </w:rPr>
        <w:t>Systematic Reviews, 10</w:t>
      </w:r>
      <w:r w:rsidRPr="001D3AD0">
        <w:rPr>
          <w:rFonts w:ascii="Arial" w:hAnsi="Arial" w:cs="Arial"/>
          <w:sz w:val="20"/>
          <w:szCs w:val="20"/>
        </w:rPr>
        <w:t xml:space="preserve">(1), 89. </w:t>
      </w:r>
      <w:hyperlink r:id="rId35" w:tgtFrame="_new" w:history="1">
        <w:r w:rsidRPr="001D3AD0">
          <w:rPr>
            <w:rStyle w:val="Hyperlink"/>
            <w:rFonts w:ascii="Arial" w:hAnsi="Arial" w:cs="Arial"/>
            <w:sz w:val="20"/>
            <w:szCs w:val="20"/>
          </w:rPr>
          <w:t>https://doi.org/10.1186/s13643-021-01626-4</w:t>
        </w:r>
      </w:hyperlink>
    </w:p>
    <w:p w14:paraId="51740D02"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Mittal, J., Ghosh, A., Bhatt, S. P., Anoop, S., Ansari, I. A., &amp; Misra, A. (2021). High prevalence of post COVID-19 fatigue in patients with type 2 diabetes: A case-control study. </w:t>
      </w:r>
      <w:r w:rsidRPr="001D3AD0">
        <w:rPr>
          <w:rStyle w:val="nfase"/>
          <w:rFonts w:ascii="Arial" w:hAnsi="Arial" w:cs="Arial"/>
          <w:sz w:val="20"/>
          <w:szCs w:val="20"/>
        </w:rPr>
        <w:t>Diabetes &amp; Metabolic Syndrome: Clinical Research &amp; Reviews, 15</w:t>
      </w:r>
      <w:r w:rsidRPr="001D3AD0">
        <w:rPr>
          <w:rFonts w:ascii="Arial" w:hAnsi="Arial" w:cs="Arial"/>
          <w:sz w:val="20"/>
          <w:szCs w:val="20"/>
        </w:rPr>
        <w:t xml:space="preserve">(6), 102302. </w:t>
      </w:r>
      <w:hyperlink r:id="rId36" w:tgtFrame="_new" w:history="1">
        <w:r w:rsidRPr="001D3AD0">
          <w:rPr>
            <w:rStyle w:val="Hyperlink"/>
            <w:rFonts w:ascii="Arial" w:hAnsi="Arial" w:cs="Arial"/>
            <w:sz w:val="20"/>
            <w:szCs w:val="20"/>
          </w:rPr>
          <w:t>https://doi.org/10.1016/j.dsx.2021.102302</w:t>
        </w:r>
      </w:hyperlink>
    </w:p>
    <w:p w14:paraId="6C23ECAD"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Arnold, D. T., Hamilton, F. W., Milne, A., Morley, A. J., Viner, J., Attwood, M., et al. (2022). The impact of COVID vaccination on symptoms of long COVID: An international survey of people with lived experience. </w:t>
      </w:r>
      <w:r w:rsidRPr="001D3AD0">
        <w:rPr>
          <w:rStyle w:val="nfase"/>
          <w:rFonts w:ascii="Arial" w:hAnsi="Arial" w:cs="Arial"/>
          <w:sz w:val="20"/>
          <w:szCs w:val="20"/>
        </w:rPr>
        <w:t>Vaccines, 10</w:t>
      </w:r>
      <w:r w:rsidRPr="001D3AD0">
        <w:rPr>
          <w:rFonts w:ascii="Arial" w:hAnsi="Arial" w:cs="Arial"/>
          <w:sz w:val="20"/>
          <w:szCs w:val="20"/>
        </w:rPr>
        <w:t xml:space="preserve">(5), 652. </w:t>
      </w:r>
      <w:hyperlink r:id="rId37" w:tgtFrame="_new" w:history="1">
        <w:r w:rsidRPr="001D3AD0">
          <w:rPr>
            <w:rStyle w:val="Hyperlink"/>
            <w:rFonts w:ascii="Arial" w:hAnsi="Arial" w:cs="Arial"/>
            <w:sz w:val="20"/>
            <w:szCs w:val="20"/>
          </w:rPr>
          <w:t>https://doi.org/10.3390/vaccines10050652</w:t>
        </w:r>
      </w:hyperlink>
    </w:p>
    <w:p w14:paraId="393B98B7"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lastRenderedPageBreak/>
        <w:t xml:space="preserve">Michelen, M., Manoharan, L., Elkheir, N., Cheng, V., Dagens, A., Hastie, C., et al. (2021). Characterising long COVID: A living systematic review. </w:t>
      </w:r>
      <w:r w:rsidRPr="001D3AD0">
        <w:rPr>
          <w:rStyle w:val="nfase"/>
          <w:rFonts w:ascii="Arial" w:hAnsi="Arial" w:cs="Arial"/>
          <w:sz w:val="20"/>
          <w:szCs w:val="20"/>
        </w:rPr>
        <w:t>BMJ Global Health, 6</w:t>
      </w:r>
      <w:r w:rsidRPr="001D3AD0">
        <w:rPr>
          <w:rFonts w:ascii="Arial" w:hAnsi="Arial" w:cs="Arial"/>
          <w:sz w:val="20"/>
          <w:szCs w:val="20"/>
        </w:rPr>
        <w:t xml:space="preserve">(9), e005427. </w:t>
      </w:r>
      <w:hyperlink r:id="rId38" w:tgtFrame="_new" w:history="1">
        <w:r w:rsidRPr="001D3AD0">
          <w:rPr>
            <w:rStyle w:val="Hyperlink"/>
            <w:rFonts w:ascii="Arial" w:hAnsi="Arial" w:cs="Arial"/>
            <w:sz w:val="20"/>
            <w:szCs w:val="20"/>
          </w:rPr>
          <w:t>https://doi.org/10.1136/bmjgh-2021-005427</w:t>
        </w:r>
      </w:hyperlink>
    </w:p>
    <w:p w14:paraId="3E5E85AA"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Shoff, C., et al. (2023). Prevalence and factors associated with long COVID symptoms among U.S. adults, 2022. </w:t>
      </w:r>
      <w:r w:rsidRPr="001D3AD0">
        <w:rPr>
          <w:rStyle w:val="nfase"/>
          <w:rFonts w:ascii="Arial" w:hAnsi="Arial" w:cs="Arial"/>
          <w:sz w:val="20"/>
          <w:szCs w:val="20"/>
        </w:rPr>
        <w:t>Vaccines, 12</w:t>
      </w:r>
      <w:r w:rsidRPr="001D3AD0">
        <w:rPr>
          <w:rFonts w:ascii="Arial" w:hAnsi="Arial" w:cs="Arial"/>
          <w:sz w:val="20"/>
          <w:szCs w:val="20"/>
        </w:rPr>
        <w:t xml:space="preserve">(1), 99. </w:t>
      </w:r>
      <w:hyperlink r:id="rId39" w:tgtFrame="_new" w:history="1">
        <w:r w:rsidRPr="001D3AD0">
          <w:rPr>
            <w:rStyle w:val="Hyperlink"/>
            <w:rFonts w:ascii="Arial" w:hAnsi="Arial" w:cs="Arial"/>
            <w:sz w:val="20"/>
            <w:szCs w:val="20"/>
          </w:rPr>
          <w:t>https://doi.org/10.3390/vaccines12010099</w:t>
        </w:r>
      </w:hyperlink>
    </w:p>
    <w:p w14:paraId="4B3A94C9"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Maier, H. E., Kowalski-Dobson, T., Eckard, A., Gherasim, C., Manthei, D., Meyers, A., Davis, D., Bakker, K., Lindsey, K., Chu, Z., Warsinske, L., Arnold, M., Buswinka, A., Stoneman, E., Valdez, R., &amp; Gordon, A. (2024). Reduction in long COVID symptoms and symptom severity in vaccinated adults compared with unvaccinated adults. </w:t>
      </w:r>
      <w:r w:rsidRPr="001D3AD0">
        <w:rPr>
          <w:rStyle w:val="nfase"/>
          <w:rFonts w:ascii="Arial" w:hAnsi="Arial" w:cs="Arial"/>
          <w:sz w:val="20"/>
          <w:szCs w:val="20"/>
        </w:rPr>
        <w:t>Open Forum Infectious Diseases, 11</w:t>
      </w:r>
      <w:r w:rsidRPr="001D3AD0">
        <w:rPr>
          <w:rFonts w:ascii="Arial" w:hAnsi="Arial" w:cs="Arial"/>
          <w:sz w:val="20"/>
          <w:szCs w:val="20"/>
        </w:rPr>
        <w:t>(2), ofae039. https://doi.org/10.1093/ofid/ofae039</w:t>
      </w:r>
    </w:p>
    <w:p w14:paraId="216ACE8B" w14:textId="77777777"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Ostrowska, M., Rzepka-Cholasińska, A., Pietrzykowski, Ł., Michalski, P., Kosobucka-Ozdoba, A., Jasiewicz, M., Kasprzak, M., Kryś, J., &amp; Kubica, A. (2023). Effects of a multidisciplinary rehabilitation program in patients with long COVID: Post-COVID-19 rehabilitation study (PCR SIRIO 8). </w:t>
      </w:r>
      <w:r w:rsidRPr="001D3AD0">
        <w:rPr>
          <w:rStyle w:val="nfase"/>
          <w:rFonts w:ascii="Arial" w:hAnsi="Arial" w:cs="Arial"/>
          <w:sz w:val="20"/>
          <w:szCs w:val="20"/>
        </w:rPr>
        <w:t>Journal of Clinical Medicine, 12</w:t>
      </w:r>
      <w:r w:rsidRPr="001D3AD0">
        <w:rPr>
          <w:rFonts w:ascii="Arial" w:hAnsi="Arial" w:cs="Arial"/>
          <w:sz w:val="20"/>
          <w:szCs w:val="20"/>
        </w:rPr>
        <w:t>(2), 420. https://doi.org/10.3390/jcm12020420</w:t>
      </w:r>
    </w:p>
    <w:p w14:paraId="6FFDCAAE" w14:textId="11AAC375" w:rsidR="00256B61" w:rsidRPr="001D3AD0" w:rsidRDefault="00256B61" w:rsidP="00256B61">
      <w:pPr>
        <w:pStyle w:val="NormalWeb"/>
        <w:jc w:val="both"/>
        <w:rPr>
          <w:rFonts w:ascii="Arial" w:hAnsi="Arial" w:cs="Arial"/>
          <w:sz w:val="20"/>
          <w:szCs w:val="20"/>
        </w:rPr>
      </w:pPr>
      <w:r w:rsidRPr="001D3AD0">
        <w:rPr>
          <w:rFonts w:ascii="Arial" w:hAnsi="Arial" w:cs="Arial"/>
          <w:sz w:val="20"/>
          <w:szCs w:val="20"/>
        </w:rPr>
        <w:t xml:space="preserve">Centers for Disease Control and Prevention. (2025). </w:t>
      </w:r>
      <w:r w:rsidRPr="001D3AD0">
        <w:rPr>
          <w:rStyle w:val="nfase"/>
          <w:rFonts w:ascii="Arial" w:hAnsi="Arial" w:cs="Arial"/>
          <w:sz w:val="20"/>
          <w:szCs w:val="20"/>
        </w:rPr>
        <w:t>Long COVID: Signs &amp; symptoms.</w:t>
      </w:r>
      <w:r w:rsidRPr="001D3AD0">
        <w:rPr>
          <w:rFonts w:ascii="Arial" w:hAnsi="Arial" w:cs="Arial"/>
          <w:sz w:val="20"/>
          <w:szCs w:val="20"/>
        </w:rPr>
        <w:t xml:space="preserve"> Atlanta: CDC. </w:t>
      </w:r>
      <w:hyperlink r:id="rId40" w:history="1">
        <w:r w:rsidR="001D3AD0" w:rsidRPr="001D3AD0">
          <w:rPr>
            <w:rStyle w:val="Hyperlink"/>
            <w:rFonts w:ascii="Arial" w:hAnsi="Arial" w:cs="Arial"/>
            <w:sz w:val="20"/>
            <w:szCs w:val="20"/>
          </w:rPr>
          <w:t>https://www.cdc.gov/long-covid/signs-symptoms/index.html</w:t>
        </w:r>
      </w:hyperlink>
    </w:p>
    <w:sectPr w:rsidR="00256B61" w:rsidRPr="001D3AD0" w:rsidSect="00B132CC">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15981" w14:textId="77777777" w:rsidR="00FE19DA" w:rsidRDefault="00FE19DA" w:rsidP="00C37E61">
      <w:r>
        <w:separator/>
      </w:r>
    </w:p>
  </w:endnote>
  <w:endnote w:type="continuationSeparator" w:id="0">
    <w:p w14:paraId="56EB45F5" w14:textId="77777777" w:rsidR="00FE19DA" w:rsidRDefault="00FE19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60D36" w14:textId="77777777" w:rsidR="00AB61FD" w:rsidRDefault="00AB61F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E3A2E" w14:textId="77777777" w:rsidR="00AB61FD" w:rsidRPr="00C37E61" w:rsidRDefault="00AB61FD" w:rsidP="00C37E6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AD6F" w14:textId="77777777" w:rsidR="00AB61FD" w:rsidRDefault="00AB61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E1A94" w14:textId="77777777" w:rsidR="00FE19DA" w:rsidRDefault="00FE19DA" w:rsidP="00C37E61">
      <w:r>
        <w:separator/>
      </w:r>
    </w:p>
  </w:footnote>
  <w:footnote w:type="continuationSeparator" w:id="0">
    <w:p w14:paraId="46A8AF35" w14:textId="77777777" w:rsidR="00FE19DA" w:rsidRDefault="00FE19D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1C1E" w14:textId="77777777" w:rsidR="00AB61FD" w:rsidRDefault="00AB61FD">
    <w:pPr>
      <w:pStyle w:val="Cabealho"/>
    </w:pPr>
    <w:r>
      <w:rPr>
        <w:noProof/>
        <w:lang w:val="en-US"/>
      </w:rPr>
      <w:pict w14:anchorId="3633E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F6415" w14:textId="77777777" w:rsidR="00AB61FD" w:rsidRDefault="00AB61FD">
    <w:pPr>
      <w:pStyle w:val="Cabealho"/>
    </w:pPr>
    <w:r>
      <w:rPr>
        <w:noProof/>
        <w:lang w:val="en-US"/>
      </w:rPr>
      <w:pict w14:anchorId="016D1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10896" w14:textId="77777777" w:rsidR="00AB61FD" w:rsidRDefault="00AB61FD">
    <w:pPr>
      <w:pStyle w:val="Cabealho"/>
    </w:pPr>
    <w:r>
      <w:rPr>
        <w:noProof/>
        <w:lang w:val="en-US"/>
      </w:rPr>
      <w:pict w14:anchorId="508F4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234"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589042F"/>
    <w:multiLevelType w:val="multilevel"/>
    <w:tmpl w:val="550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951021"/>
    <w:multiLevelType w:val="hybridMultilevel"/>
    <w:tmpl w:val="0284C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46622"/>
    <w:rsid w:val="00047913"/>
    <w:rsid w:val="00064A0C"/>
    <w:rsid w:val="000A47FA"/>
    <w:rsid w:val="000A65D3"/>
    <w:rsid w:val="000B1E33"/>
    <w:rsid w:val="000D689F"/>
    <w:rsid w:val="000E7B7B"/>
    <w:rsid w:val="000E7D62"/>
    <w:rsid w:val="00103357"/>
    <w:rsid w:val="00111CA9"/>
    <w:rsid w:val="00122B10"/>
    <w:rsid w:val="00123C9F"/>
    <w:rsid w:val="00126190"/>
    <w:rsid w:val="00130F17"/>
    <w:rsid w:val="001320BF"/>
    <w:rsid w:val="00147876"/>
    <w:rsid w:val="0015700C"/>
    <w:rsid w:val="00163BC4"/>
    <w:rsid w:val="00191062"/>
    <w:rsid w:val="00192B72"/>
    <w:rsid w:val="001A29D8"/>
    <w:rsid w:val="001A5CAA"/>
    <w:rsid w:val="001B0427"/>
    <w:rsid w:val="001B1384"/>
    <w:rsid w:val="001D3A51"/>
    <w:rsid w:val="001D3AD0"/>
    <w:rsid w:val="001E10D2"/>
    <w:rsid w:val="001E25B4"/>
    <w:rsid w:val="001E44FE"/>
    <w:rsid w:val="00200595"/>
    <w:rsid w:val="00204835"/>
    <w:rsid w:val="00204ED2"/>
    <w:rsid w:val="0021634C"/>
    <w:rsid w:val="00231920"/>
    <w:rsid w:val="0023195C"/>
    <w:rsid w:val="0024282C"/>
    <w:rsid w:val="002460DC"/>
    <w:rsid w:val="00250985"/>
    <w:rsid w:val="002556F6"/>
    <w:rsid w:val="00256B61"/>
    <w:rsid w:val="002810CE"/>
    <w:rsid w:val="00283105"/>
    <w:rsid w:val="00284C4C"/>
    <w:rsid w:val="00287E68"/>
    <w:rsid w:val="00296529"/>
    <w:rsid w:val="002B0B67"/>
    <w:rsid w:val="002B27FB"/>
    <w:rsid w:val="002B685A"/>
    <w:rsid w:val="002C57D2"/>
    <w:rsid w:val="002E0D56"/>
    <w:rsid w:val="002E1AEE"/>
    <w:rsid w:val="002E5185"/>
    <w:rsid w:val="00315186"/>
    <w:rsid w:val="0033343E"/>
    <w:rsid w:val="00335650"/>
    <w:rsid w:val="003512C2"/>
    <w:rsid w:val="00351D3D"/>
    <w:rsid w:val="00371FB6"/>
    <w:rsid w:val="003763C1"/>
    <w:rsid w:val="00376BBE"/>
    <w:rsid w:val="0039138A"/>
    <w:rsid w:val="0039224F"/>
    <w:rsid w:val="003A28E8"/>
    <w:rsid w:val="003A43A4"/>
    <w:rsid w:val="003A7E18"/>
    <w:rsid w:val="003C4C86"/>
    <w:rsid w:val="003C6258"/>
    <w:rsid w:val="003E2904"/>
    <w:rsid w:val="003F4FF8"/>
    <w:rsid w:val="00401927"/>
    <w:rsid w:val="0041027F"/>
    <w:rsid w:val="00412475"/>
    <w:rsid w:val="00423789"/>
    <w:rsid w:val="00424097"/>
    <w:rsid w:val="00440F43"/>
    <w:rsid w:val="00441B6F"/>
    <w:rsid w:val="00446221"/>
    <w:rsid w:val="00450E62"/>
    <w:rsid w:val="004539DB"/>
    <w:rsid w:val="00471A80"/>
    <w:rsid w:val="004C223E"/>
    <w:rsid w:val="004D305E"/>
    <w:rsid w:val="004D4277"/>
    <w:rsid w:val="004E041F"/>
    <w:rsid w:val="00502516"/>
    <w:rsid w:val="00505F06"/>
    <w:rsid w:val="00506828"/>
    <w:rsid w:val="0053056E"/>
    <w:rsid w:val="00554FDA"/>
    <w:rsid w:val="00567B1C"/>
    <w:rsid w:val="005A3965"/>
    <w:rsid w:val="005A6D5D"/>
    <w:rsid w:val="005A7079"/>
    <w:rsid w:val="005C5445"/>
    <w:rsid w:val="005C784C"/>
    <w:rsid w:val="005D17F6"/>
    <w:rsid w:val="005E5539"/>
    <w:rsid w:val="0060035F"/>
    <w:rsid w:val="00602BF5"/>
    <w:rsid w:val="00617FDD"/>
    <w:rsid w:val="00633614"/>
    <w:rsid w:val="00633F68"/>
    <w:rsid w:val="00636AC4"/>
    <w:rsid w:val="00636EB2"/>
    <w:rsid w:val="006375B8"/>
    <w:rsid w:val="0064382E"/>
    <w:rsid w:val="00643F35"/>
    <w:rsid w:val="0066510A"/>
    <w:rsid w:val="00673F9F"/>
    <w:rsid w:val="00686953"/>
    <w:rsid w:val="00687DEA"/>
    <w:rsid w:val="00687E67"/>
    <w:rsid w:val="006967F7"/>
    <w:rsid w:val="006A250C"/>
    <w:rsid w:val="006B21D3"/>
    <w:rsid w:val="006B57D0"/>
    <w:rsid w:val="006C2E96"/>
    <w:rsid w:val="006D30FF"/>
    <w:rsid w:val="006D468B"/>
    <w:rsid w:val="006D6940"/>
    <w:rsid w:val="006F11EC"/>
    <w:rsid w:val="0070082C"/>
    <w:rsid w:val="00733A14"/>
    <w:rsid w:val="007369E6"/>
    <w:rsid w:val="00744D91"/>
    <w:rsid w:val="00746E59"/>
    <w:rsid w:val="00754C9A"/>
    <w:rsid w:val="007552FC"/>
    <w:rsid w:val="0075599A"/>
    <w:rsid w:val="00761D52"/>
    <w:rsid w:val="0077749E"/>
    <w:rsid w:val="00790ADA"/>
    <w:rsid w:val="007A634A"/>
    <w:rsid w:val="007B25A4"/>
    <w:rsid w:val="007D2288"/>
    <w:rsid w:val="007D6635"/>
    <w:rsid w:val="007E088F"/>
    <w:rsid w:val="007F7B32"/>
    <w:rsid w:val="00804BC2"/>
    <w:rsid w:val="0081431A"/>
    <w:rsid w:val="0083216F"/>
    <w:rsid w:val="008443F2"/>
    <w:rsid w:val="00860000"/>
    <w:rsid w:val="00863BD3"/>
    <w:rsid w:val="008641ED"/>
    <w:rsid w:val="00866D66"/>
    <w:rsid w:val="008671C6"/>
    <w:rsid w:val="00874636"/>
    <w:rsid w:val="00875803"/>
    <w:rsid w:val="008B459E"/>
    <w:rsid w:val="008D10E2"/>
    <w:rsid w:val="008E13AE"/>
    <w:rsid w:val="008E1506"/>
    <w:rsid w:val="008E710C"/>
    <w:rsid w:val="008F69D6"/>
    <w:rsid w:val="00902823"/>
    <w:rsid w:val="00915CA6"/>
    <w:rsid w:val="00916FCF"/>
    <w:rsid w:val="009243FA"/>
    <w:rsid w:val="00927834"/>
    <w:rsid w:val="0093112F"/>
    <w:rsid w:val="009500A6"/>
    <w:rsid w:val="0095452C"/>
    <w:rsid w:val="00956538"/>
    <w:rsid w:val="00957C18"/>
    <w:rsid w:val="009659BA"/>
    <w:rsid w:val="00983040"/>
    <w:rsid w:val="009916D8"/>
    <w:rsid w:val="009954C4"/>
    <w:rsid w:val="009B3FB9"/>
    <w:rsid w:val="009C2465"/>
    <w:rsid w:val="009D35A0"/>
    <w:rsid w:val="009D7EB7"/>
    <w:rsid w:val="009E048A"/>
    <w:rsid w:val="009E08E9"/>
    <w:rsid w:val="009E3DB9"/>
    <w:rsid w:val="009E6E35"/>
    <w:rsid w:val="009F0EDA"/>
    <w:rsid w:val="00A03B96"/>
    <w:rsid w:val="00A044EC"/>
    <w:rsid w:val="00A05B19"/>
    <w:rsid w:val="00A1134E"/>
    <w:rsid w:val="00A24E7E"/>
    <w:rsid w:val="00A258C3"/>
    <w:rsid w:val="00A33DD4"/>
    <w:rsid w:val="00A347C0"/>
    <w:rsid w:val="00A50A86"/>
    <w:rsid w:val="00A51431"/>
    <w:rsid w:val="00A539AD"/>
    <w:rsid w:val="00A8047A"/>
    <w:rsid w:val="00A87DF9"/>
    <w:rsid w:val="00A94063"/>
    <w:rsid w:val="00AA6219"/>
    <w:rsid w:val="00AA74E0"/>
    <w:rsid w:val="00AB61FD"/>
    <w:rsid w:val="00AB703F"/>
    <w:rsid w:val="00AB7FB4"/>
    <w:rsid w:val="00AC65D1"/>
    <w:rsid w:val="00AC6BB8"/>
    <w:rsid w:val="00AE008F"/>
    <w:rsid w:val="00AE07A1"/>
    <w:rsid w:val="00B01FCD"/>
    <w:rsid w:val="00B11D14"/>
    <w:rsid w:val="00B132CC"/>
    <w:rsid w:val="00B1776C"/>
    <w:rsid w:val="00B52583"/>
    <w:rsid w:val="00B52896"/>
    <w:rsid w:val="00B922F7"/>
    <w:rsid w:val="00B927B9"/>
    <w:rsid w:val="00B95236"/>
    <w:rsid w:val="00B96BD9"/>
    <w:rsid w:val="00BA12B1"/>
    <w:rsid w:val="00BA1B01"/>
    <w:rsid w:val="00BA2641"/>
    <w:rsid w:val="00BB37AA"/>
    <w:rsid w:val="00BC53A0"/>
    <w:rsid w:val="00BD3229"/>
    <w:rsid w:val="00BE62AD"/>
    <w:rsid w:val="00BF121F"/>
    <w:rsid w:val="00BF1F80"/>
    <w:rsid w:val="00BF328E"/>
    <w:rsid w:val="00C065BF"/>
    <w:rsid w:val="00C12C0D"/>
    <w:rsid w:val="00C166EF"/>
    <w:rsid w:val="00C17EB0"/>
    <w:rsid w:val="00C27F5F"/>
    <w:rsid w:val="00C30A0F"/>
    <w:rsid w:val="00C37DBA"/>
    <w:rsid w:val="00C37E61"/>
    <w:rsid w:val="00C60F9B"/>
    <w:rsid w:val="00C70F1B"/>
    <w:rsid w:val="00C71A47"/>
    <w:rsid w:val="00C7464C"/>
    <w:rsid w:val="00C85588"/>
    <w:rsid w:val="00CA7206"/>
    <w:rsid w:val="00CB391D"/>
    <w:rsid w:val="00CD1669"/>
    <w:rsid w:val="00CD5A0D"/>
    <w:rsid w:val="00CD6755"/>
    <w:rsid w:val="00CD6856"/>
    <w:rsid w:val="00CE0089"/>
    <w:rsid w:val="00CE793C"/>
    <w:rsid w:val="00CF193C"/>
    <w:rsid w:val="00D00149"/>
    <w:rsid w:val="00D173F1"/>
    <w:rsid w:val="00D22981"/>
    <w:rsid w:val="00D348C1"/>
    <w:rsid w:val="00D44457"/>
    <w:rsid w:val="00D74CB0"/>
    <w:rsid w:val="00D8295D"/>
    <w:rsid w:val="00DC2A65"/>
    <w:rsid w:val="00DE15F0"/>
    <w:rsid w:val="00DE5663"/>
    <w:rsid w:val="00DE78AA"/>
    <w:rsid w:val="00DF1F3D"/>
    <w:rsid w:val="00E053D0"/>
    <w:rsid w:val="00E15994"/>
    <w:rsid w:val="00E174F0"/>
    <w:rsid w:val="00E3114E"/>
    <w:rsid w:val="00E31A70"/>
    <w:rsid w:val="00E31EE7"/>
    <w:rsid w:val="00E336A0"/>
    <w:rsid w:val="00E35B02"/>
    <w:rsid w:val="00E472A2"/>
    <w:rsid w:val="00E5347C"/>
    <w:rsid w:val="00E66496"/>
    <w:rsid w:val="00E66B35"/>
    <w:rsid w:val="00E66E10"/>
    <w:rsid w:val="00E6733C"/>
    <w:rsid w:val="00E769F6"/>
    <w:rsid w:val="00E8034B"/>
    <w:rsid w:val="00E8407C"/>
    <w:rsid w:val="00E84F3C"/>
    <w:rsid w:val="00EA012C"/>
    <w:rsid w:val="00EA204D"/>
    <w:rsid w:val="00EB7631"/>
    <w:rsid w:val="00EC1533"/>
    <w:rsid w:val="00EC2DB4"/>
    <w:rsid w:val="00EC6A55"/>
    <w:rsid w:val="00ED0288"/>
    <w:rsid w:val="00ED2FF8"/>
    <w:rsid w:val="00EE52CB"/>
    <w:rsid w:val="00EF581D"/>
    <w:rsid w:val="00EF7FD8"/>
    <w:rsid w:val="00F06F59"/>
    <w:rsid w:val="00F17988"/>
    <w:rsid w:val="00F469F0"/>
    <w:rsid w:val="00F53273"/>
    <w:rsid w:val="00F755E4"/>
    <w:rsid w:val="00F77D02"/>
    <w:rsid w:val="00FB273D"/>
    <w:rsid w:val="00FB3A86"/>
    <w:rsid w:val="00FC2FDD"/>
    <w:rsid w:val="00FD36C8"/>
    <w:rsid w:val="00FE19DA"/>
    <w:rsid w:val="00FE7906"/>
    <w:rsid w:val="00FF43DE"/>
    <w:rsid w:val="00FF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A3A48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lang w:val="en-AE"/>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semiHidden/>
    <w:unhideWhenUsed/>
    <w:qFormat/>
    <w:rsid w:val="00DF1F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semiHidden/>
    <w:unhideWhenUsed/>
    <w:qFormat/>
    <w:rsid w:val="00A87D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uiPriority w:val="99"/>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customStyle="1" w:styleId="UnresolvedMention1">
    <w:name w:val="Unresolved Mention1"/>
    <w:basedOn w:val="Fontepargpadro"/>
    <w:uiPriority w:val="99"/>
    <w:semiHidden/>
    <w:unhideWhenUsed/>
    <w:rsid w:val="00287E68"/>
    <w:rPr>
      <w:color w:val="605E5C"/>
      <w:shd w:val="clear" w:color="auto" w:fill="E1DFDD"/>
    </w:rPr>
  </w:style>
  <w:style w:type="paragraph" w:styleId="NormalWeb">
    <w:name w:val="Normal (Web)"/>
    <w:basedOn w:val="Normal"/>
    <w:uiPriority w:val="99"/>
    <w:unhideWhenUsed/>
    <w:rsid w:val="00E5347C"/>
    <w:pPr>
      <w:spacing w:before="100" w:beforeAutospacing="1" w:after="100" w:afterAutospacing="1"/>
    </w:pPr>
    <w:rPr>
      <w:rFonts w:ascii="Times New Roman" w:hAnsi="Times New Roman"/>
      <w:sz w:val="24"/>
      <w:szCs w:val="24"/>
      <w:lang w:val="pt-BR" w:eastAsia="pt-BR"/>
    </w:rPr>
  </w:style>
  <w:style w:type="character" w:styleId="Forte">
    <w:name w:val="Strong"/>
    <w:basedOn w:val="Fontepargpadro"/>
    <w:uiPriority w:val="22"/>
    <w:qFormat/>
    <w:rsid w:val="00E5347C"/>
    <w:rPr>
      <w:b/>
      <w:bCs/>
    </w:rPr>
  </w:style>
  <w:style w:type="character" w:customStyle="1" w:styleId="Ttulo4Char">
    <w:name w:val="Título 4 Char"/>
    <w:basedOn w:val="Fontepargpadro"/>
    <w:link w:val="Ttulo4"/>
    <w:uiPriority w:val="9"/>
    <w:rsid w:val="00A87DF9"/>
    <w:rPr>
      <w:rFonts w:asciiTheme="majorHAnsi" w:eastAsiaTheme="majorEastAsia" w:hAnsiTheme="majorHAnsi" w:cstheme="majorBidi"/>
      <w:i/>
      <w:iCs/>
      <w:color w:val="365F91" w:themeColor="accent1" w:themeShade="BF"/>
    </w:rPr>
  </w:style>
  <w:style w:type="paragraph" w:styleId="Assuntodocomentrio">
    <w:name w:val="annotation subject"/>
    <w:basedOn w:val="Textodecomentrio"/>
    <w:next w:val="Textodecomentrio"/>
    <w:link w:val="AssuntodocomentrioChar"/>
    <w:semiHidden/>
    <w:unhideWhenUsed/>
    <w:rsid w:val="005A3965"/>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5A3965"/>
    <w:rPr>
      <w:rFonts w:ascii="Helvetica" w:hAnsi="Helvetica"/>
      <w:b/>
      <w:bCs/>
      <w:lang w:val="nb-NO" w:eastAsia="nb-NO"/>
    </w:rPr>
  </w:style>
  <w:style w:type="paragraph" w:styleId="Corpodetexto">
    <w:name w:val="Body Text"/>
    <w:basedOn w:val="Normal"/>
    <w:link w:val="CorpodetextoChar"/>
    <w:semiHidden/>
    <w:unhideWhenUsed/>
    <w:rsid w:val="00643F35"/>
    <w:pPr>
      <w:spacing w:after="120"/>
    </w:pPr>
  </w:style>
  <w:style w:type="character" w:customStyle="1" w:styleId="CorpodetextoChar">
    <w:name w:val="Corpo de texto Char"/>
    <w:basedOn w:val="Fontepargpadro"/>
    <w:link w:val="Corpodetexto"/>
    <w:semiHidden/>
    <w:rsid w:val="00643F35"/>
    <w:rPr>
      <w:rFonts w:ascii="Helvetica" w:hAnsi="Helvetica"/>
    </w:rPr>
  </w:style>
  <w:style w:type="character" w:customStyle="1" w:styleId="Ttulo3Char">
    <w:name w:val="Título 3 Char"/>
    <w:basedOn w:val="Fontepargpadro"/>
    <w:link w:val="Ttulo3"/>
    <w:semiHidden/>
    <w:rsid w:val="00DF1F3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7975695">
      <w:bodyDiv w:val="1"/>
      <w:marLeft w:val="0"/>
      <w:marRight w:val="0"/>
      <w:marTop w:val="0"/>
      <w:marBottom w:val="0"/>
      <w:divBdr>
        <w:top w:val="none" w:sz="0" w:space="0" w:color="auto"/>
        <w:left w:val="none" w:sz="0" w:space="0" w:color="auto"/>
        <w:bottom w:val="none" w:sz="0" w:space="0" w:color="auto"/>
        <w:right w:val="none" w:sz="0" w:space="0" w:color="auto"/>
      </w:divBdr>
    </w:div>
    <w:div w:id="123238672">
      <w:bodyDiv w:val="1"/>
      <w:marLeft w:val="0"/>
      <w:marRight w:val="0"/>
      <w:marTop w:val="0"/>
      <w:marBottom w:val="0"/>
      <w:divBdr>
        <w:top w:val="none" w:sz="0" w:space="0" w:color="auto"/>
        <w:left w:val="none" w:sz="0" w:space="0" w:color="auto"/>
        <w:bottom w:val="none" w:sz="0" w:space="0" w:color="auto"/>
        <w:right w:val="none" w:sz="0" w:space="0" w:color="auto"/>
      </w:divBdr>
      <w:divsChild>
        <w:div w:id="679895507">
          <w:marLeft w:val="480"/>
          <w:marRight w:val="0"/>
          <w:marTop w:val="0"/>
          <w:marBottom w:val="0"/>
          <w:divBdr>
            <w:top w:val="none" w:sz="0" w:space="0" w:color="auto"/>
            <w:left w:val="none" w:sz="0" w:space="0" w:color="auto"/>
            <w:bottom w:val="none" w:sz="0" w:space="0" w:color="auto"/>
            <w:right w:val="none" w:sz="0" w:space="0" w:color="auto"/>
          </w:divBdr>
          <w:divsChild>
            <w:div w:id="20618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6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839699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8651276">
      <w:bodyDiv w:val="1"/>
      <w:marLeft w:val="0"/>
      <w:marRight w:val="0"/>
      <w:marTop w:val="0"/>
      <w:marBottom w:val="0"/>
      <w:divBdr>
        <w:top w:val="none" w:sz="0" w:space="0" w:color="auto"/>
        <w:left w:val="none" w:sz="0" w:space="0" w:color="auto"/>
        <w:bottom w:val="none" w:sz="0" w:space="0" w:color="auto"/>
        <w:right w:val="none" w:sz="0" w:space="0" w:color="auto"/>
      </w:divBdr>
    </w:div>
    <w:div w:id="356583771">
      <w:bodyDiv w:val="1"/>
      <w:marLeft w:val="0"/>
      <w:marRight w:val="0"/>
      <w:marTop w:val="0"/>
      <w:marBottom w:val="0"/>
      <w:divBdr>
        <w:top w:val="none" w:sz="0" w:space="0" w:color="auto"/>
        <w:left w:val="none" w:sz="0" w:space="0" w:color="auto"/>
        <w:bottom w:val="none" w:sz="0" w:space="0" w:color="auto"/>
        <w:right w:val="none" w:sz="0" w:space="0" w:color="auto"/>
      </w:divBdr>
      <w:divsChild>
        <w:div w:id="1160123581">
          <w:marLeft w:val="480"/>
          <w:marRight w:val="0"/>
          <w:marTop w:val="0"/>
          <w:marBottom w:val="0"/>
          <w:divBdr>
            <w:top w:val="none" w:sz="0" w:space="0" w:color="auto"/>
            <w:left w:val="none" w:sz="0" w:space="0" w:color="auto"/>
            <w:bottom w:val="none" w:sz="0" w:space="0" w:color="auto"/>
            <w:right w:val="none" w:sz="0" w:space="0" w:color="auto"/>
          </w:divBdr>
          <w:divsChild>
            <w:div w:id="8903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7024">
      <w:bodyDiv w:val="1"/>
      <w:marLeft w:val="0"/>
      <w:marRight w:val="0"/>
      <w:marTop w:val="0"/>
      <w:marBottom w:val="0"/>
      <w:divBdr>
        <w:top w:val="none" w:sz="0" w:space="0" w:color="auto"/>
        <w:left w:val="none" w:sz="0" w:space="0" w:color="auto"/>
        <w:bottom w:val="none" w:sz="0" w:space="0" w:color="auto"/>
        <w:right w:val="none" w:sz="0" w:space="0" w:color="auto"/>
      </w:divBdr>
    </w:div>
    <w:div w:id="455561855">
      <w:bodyDiv w:val="1"/>
      <w:marLeft w:val="0"/>
      <w:marRight w:val="0"/>
      <w:marTop w:val="0"/>
      <w:marBottom w:val="0"/>
      <w:divBdr>
        <w:top w:val="none" w:sz="0" w:space="0" w:color="auto"/>
        <w:left w:val="none" w:sz="0" w:space="0" w:color="auto"/>
        <w:bottom w:val="none" w:sz="0" w:space="0" w:color="auto"/>
        <w:right w:val="none" w:sz="0" w:space="0" w:color="auto"/>
      </w:divBdr>
    </w:div>
    <w:div w:id="485517296">
      <w:bodyDiv w:val="1"/>
      <w:marLeft w:val="0"/>
      <w:marRight w:val="0"/>
      <w:marTop w:val="0"/>
      <w:marBottom w:val="0"/>
      <w:divBdr>
        <w:top w:val="none" w:sz="0" w:space="0" w:color="auto"/>
        <w:left w:val="none" w:sz="0" w:space="0" w:color="auto"/>
        <w:bottom w:val="none" w:sz="0" w:space="0" w:color="auto"/>
        <w:right w:val="none" w:sz="0" w:space="0" w:color="auto"/>
      </w:divBdr>
      <w:divsChild>
        <w:div w:id="1941253491">
          <w:marLeft w:val="480"/>
          <w:marRight w:val="0"/>
          <w:marTop w:val="0"/>
          <w:marBottom w:val="0"/>
          <w:divBdr>
            <w:top w:val="none" w:sz="0" w:space="0" w:color="auto"/>
            <w:left w:val="none" w:sz="0" w:space="0" w:color="auto"/>
            <w:bottom w:val="none" w:sz="0" w:space="0" w:color="auto"/>
            <w:right w:val="none" w:sz="0" w:space="0" w:color="auto"/>
          </w:divBdr>
          <w:divsChild>
            <w:div w:id="1700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398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8988772">
      <w:bodyDiv w:val="1"/>
      <w:marLeft w:val="0"/>
      <w:marRight w:val="0"/>
      <w:marTop w:val="0"/>
      <w:marBottom w:val="0"/>
      <w:divBdr>
        <w:top w:val="none" w:sz="0" w:space="0" w:color="auto"/>
        <w:left w:val="none" w:sz="0" w:space="0" w:color="auto"/>
        <w:bottom w:val="none" w:sz="0" w:space="0" w:color="auto"/>
        <w:right w:val="none" w:sz="0" w:space="0" w:color="auto"/>
      </w:divBdr>
      <w:divsChild>
        <w:div w:id="986982647">
          <w:marLeft w:val="480"/>
          <w:marRight w:val="0"/>
          <w:marTop w:val="0"/>
          <w:marBottom w:val="0"/>
          <w:divBdr>
            <w:top w:val="none" w:sz="0" w:space="0" w:color="auto"/>
            <w:left w:val="none" w:sz="0" w:space="0" w:color="auto"/>
            <w:bottom w:val="none" w:sz="0" w:space="0" w:color="auto"/>
            <w:right w:val="none" w:sz="0" w:space="0" w:color="auto"/>
          </w:divBdr>
          <w:divsChild>
            <w:div w:id="11828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2582">
      <w:bodyDiv w:val="1"/>
      <w:marLeft w:val="0"/>
      <w:marRight w:val="0"/>
      <w:marTop w:val="0"/>
      <w:marBottom w:val="0"/>
      <w:divBdr>
        <w:top w:val="none" w:sz="0" w:space="0" w:color="auto"/>
        <w:left w:val="none" w:sz="0" w:space="0" w:color="auto"/>
        <w:bottom w:val="none" w:sz="0" w:space="0" w:color="auto"/>
        <w:right w:val="none" w:sz="0" w:space="0" w:color="auto"/>
      </w:divBdr>
      <w:divsChild>
        <w:div w:id="354695847">
          <w:marLeft w:val="480"/>
          <w:marRight w:val="0"/>
          <w:marTop w:val="0"/>
          <w:marBottom w:val="0"/>
          <w:divBdr>
            <w:top w:val="none" w:sz="0" w:space="0" w:color="auto"/>
            <w:left w:val="none" w:sz="0" w:space="0" w:color="auto"/>
            <w:bottom w:val="none" w:sz="0" w:space="0" w:color="auto"/>
            <w:right w:val="none" w:sz="0" w:space="0" w:color="auto"/>
          </w:divBdr>
          <w:divsChild>
            <w:div w:id="279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90788">
      <w:bodyDiv w:val="1"/>
      <w:marLeft w:val="0"/>
      <w:marRight w:val="0"/>
      <w:marTop w:val="0"/>
      <w:marBottom w:val="0"/>
      <w:divBdr>
        <w:top w:val="none" w:sz="0" w:space="0" w:color="auto"/>
        <w:left w:val="none" w:sz="0" w:space="0" w:color="auto"/>
        <w:bottom w:val="none" w:sz="0" w:space="0" w:color="auto"/>
        <w:right w:val="none" w:sz="0" w:space="0" w:color="auto"/>
      </w:divBdr>
    </w:div>
    <w:div w:id="909197340">
      <w:bodyDiv w:val="1"/>
      <w:marLeft w:val="0"/>
      <w:marRight w:val="0"/>
      <w:marTop w:val="0"/>
      <w:marBottom w:val="0"/>
      <w:divBdr>
        <w:top w:val="none" w:sz="0" w:space="0" w:color="auto"/>
        <w:left w:val="none" w:sz="0" w:space="0" w:color="auto"/>
        <w:bottom w:val="none" w:sz="0" w:space="0" w:color="auto"/>
        <w:right w:val="none" w:sz="0" w:space="0" w:color="auto"/>
      </w:divBdr>
      <w:divsChild>
        <w:div w:id="2034843157">
          <w:marLeft w:val="480"/>
          <w:marRight w:val="0"/>
          <w:marTop w:val="0"/>
          <w:marBottom w:val="0"/>
          <w:divBdr>
            <w:top w:val="none" w:sz="0" w:space="0" w:color="auto"/>
            <w:left w:val="none" w:sz="0" w:space="0" w:color="auto"/>
            <w:bottom w:val="none" w:sz="0" w:space="0" w:color="auto"/>
            <w:right w:val="none" w:sz="0" w:space="0" w:color="auto"/>
          </w:divBdr>
          <w:divsChild>
            <w:div w:id="20094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9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371412">
      <w:bodyDiv w:val="1"/>
      <w:marLeft w:val="0"/>
      <w:marRight w:val="0"/>
      <w:marTop w:val="0"/>
      <w:marBottom w:val="0"/>
      <w:divBdr>
        <w:top w:val="none" w:sz="0" w:space="0" w:color="auto"/>
        <w:left w:val="none" w:sz="0" w:space="0" w:color="auto"/>
        <w:bottom w:val="none" w:sz="0" w:space="0" w:color="auto"/>
        <w:right w:val="none" w:sz="0" w:space="0" w:color="auto"/>
      </w:divBdr>
    </w:div>
    <w:div w:id="1121919418">
      <w:bodyDiv w:val="1"/>
      <w:marLeft w:val="0"/>
      <w:marRight w:val="0"/>
      <w:marTop w:val="0"/>
      <w:marBottom w:val="0"/>
      <w:divBdr>
        <w:top w:val="none" w:sz="0" w:space="0" w:color="auto"/>
        <w:left w:val="none" w:sz="0" w:space="0" w:color="auto"/>
        <w:bottom w:val="none" w:sz="0" w:space="0" w:color="auto"/>
        <w:right w:val="none" w:sz="0" w:space="0" w:color="auto"/>
      </w:divBdr>
    </w:div>
    <w:div w:id="1146163393">
      <w:bodyDiv w:val="1"/>
      <w:marLeft w:val="0"/>
      <w:marRight w:val="0"/>
      <w:marTop w:val="0"/>
      <w:marBottom w:val="0"/>
      <w:divBdr>
        <w:top w:val="none" w:sz="0" w:space="0" w:color="auto"/>
        <w:left w:val="none" w:sz="0" w:space="0" w:color="auto"/>
        <w:bottom w:val="none" w:sz="0" w:space="0" w:color="auto"/>
        <w:right w:val="none" w:sz="0" w:space="0" w:color="auto"/>
      </w:divBdr>
      <w:divsChild>
        <w:div w:id="363866734">
          <w:marLeft w:val="480"/>
          <w:marRight w:val="0"/>
          <w:marTop w:val="0"/>
          <w:marBottom w:val="0"/>
          <w:divBdr>
            <w:top w:val="none" w:sz="0" w:space="0" w:color="auto"/>
            <w:left w:val="none" w:sz="0" w:space="0" w:color="auto"/>
            <w:bottom w:val="none" w:sz="0" w:space="0" w:color="auto"/>
            <w:right w:val="none" w:sz="0" w:space="0" w:color="auto"/>
          </w:divBdr>
          <w:divsChild>
            <w:div w:id="589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6670">
      <w:bodyDiv w:val="1"/>
      <w:marLeft w:val="0"/>
      <w:marRight w:val="0"/>
      <w:marTop w:val="0"/>
      <w:marBottom w:val="0"/>
      <w:divBdr>
        <w:top w:val="none" w:sz="0" w:space="0" w:color="auto"/>
        <w:left w:val="none" w:sz="0" w:space="0" w:color="auto"/>
        <w:bottom w:val="none" w:sz="0" w:space="0" w:color="auto"/>
        <w:right w:val="none" w:sz="0" w:space="0" w:color="auto"/>
      </w:divBdr>
      <w:divsChild>
        <w:div w:id="1981376358">
          <w:marLeft w:val="480"/>
          <w:marRight w:val="0"/>
          <w:marTop w:val="0"/>
          <w:marBottom w:val="0"/>
          <w:divBdr>
            <w:top w:val="none" w:sz="0" w:space="0" w:color="auto"/>
            <w:left w:val="none" w:sz="0" w:space="0" w:color="auto"/>
            <w:bottom w:val="none" w:sz="0" w:space="0" w:color="auto"/>
            <w:right w:val="none" w:sz="0" w:space="0" w:color="auto"/>
          </w:divBdr>
          <w:divsChild>
            <w:div w:id="7554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3848">
      <w:bodyDiv w:val="1"/>
      <w:marLeft w:val="0"/>
      <w:marRight w:val="0"/>
      <w:marTop w:val="0"/>
      <w:marBottom w:val="0"/>
      <w:divBdr>
        <w:top w:val="none" w:sz="0" w:space="0" w:color="auto"/>
        <w:left w:val="none" w:sz="0" w:space="0" w:color="auto"/>
        <w:bottom w:val="none" w:sz="0" w:space="0" w:color="auto"/>
        <w:right w:val="none" w:sz="0" w:space="0" w:color="auto"/>
      </w:divBdr>
      <w:divsChild>
        <w:div w:id="1312061147">
          <w:marLeft w:val="480"/>
          <w:marRight w:val="0"/>
          <w:marTop w:val="0"/>
          <w:marBottom w:val="0"/>
          <w:divBdr>
            <w:top w:val="none" w:sz="0" w:space="0" w:color="auto"/>
            <w:left w:val="none" w:sz="0" w:space="0" w:color="auto"/>
            <w:bottom w:val="none" w:sz="0" w:space="0" w:color="auto"/>
            <w:right w:val="none" w:sz="0" w:space="0" w:color="auto"/>
          </w:divBdr>
          <w:divsChild>
            <w:div w:id="18616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1573">
      <w:bodyDiv w:val="1"/>
      <w:marLeft w:val="0"/>
      <w:marRight w:val="0"/>
      <w:marTop w:val="0"/>
      <w:marBottom w:val="0"/>
      <w:divBdr>
        <w:top w:val="none" w:sz="0" w:space="0" w:color="auto"/>
        <w:left w:val="none" w:sz="0" w:space="0" w:color="auto"/>
        <w:bottom w:val="none" w:sz="0" w:space="0" w:color="auto"/>
        <w:right w:val="none" w:sz="0" w:space="0" w:color="auto"/>
      </w:divBdr>
    </w:div>
    <w:div w:id="1366753551">
      <w:bodyDiv w:val="1"/>
      <w:marLeft w:val="0"/>
      <w:marRight w:val="0"/>
      <w:marTop w:val="0"/>
      <w:marBottom w:val="0"/>
      <w:divBdr>
        <w:top w:val="none" w:sz="0" w:space="0" w:color="auto"/>
        <w:left w:val="none" w:sz="0" w:space="0" w:color="auto"/>
        <w:bottom w:val="none" w:sz="0" w:space="0" w:color="auto"/>
        <w:right w:val="none" w:sz="0" w:space="0" w:color="auto"/>
      </w:divBdr>
    </w:div>
    <w:div w:id="1430851457">
      <w:bodyDiv w:val="1"/>
      <w:marLeft w:val="0"/>
      <w:marRight w:val="0"/>
      <w:marTop w:val="0"/>
      <w:marBottom w:val="0"/>
      <w:divBdr>
        <w:top w:val="none" w:sz="0" w:space="0" w:color="auto"/>
        <w:left w:val="none" w:sz="0" w:space="0" w:color="auto"/>
        <w:bottom w:val="none" w:sz="0" w:space="0" w:color="auto"/>
        <w:right w:val="none" w:sz="0" w:space="0" w:color="auto"/>
      </w:divBdr>
    </w:div>
    <w:div w:id="1443646554">
      <w:bodyDiv w:val="1"/>
      <w:marLeft w:val="0"/>
      <w:marRight w:val="0"/>
      <w:marTop w:val="0"/>
      <w:marBottom w:val="0"/>
      <w:divBdr>
        <w:top w:val="none" w:sz="0" w:space="0" w:color="auto"/>
        <w:left w:val="none" w:sz="0" w:space="0" w:color="auto"/>
        <w:bottom w:val="none" w:sz="0" w:space="0" w:color="auto"/>
        <w:right w:val="none" w:sz="0" w:space="0" w:color="auto"/>
      </w:divBdr>
    </w:div>
    <w:div w:id="1585643758">
      <w:bodyDiv w:val="1"/>
      <w:marLeft w:val="0"/>
      <w:marRight w:val="0"/>
      <w:marTop w:val="0"/>
      <w:marBottom w:val="0"/>
      <w:divBdr>
        <w:top w:val="none" w:sz="0" w:space="0" w:color="auto"/>
        <w:left w:val="none" w:sz="0" w:space="0" w:color="auto"/>
        <w:bottom w:val="none" w:sz="0" w:space="0" w:color="auto"/>
        <w:right w:val="none" w:sz="0" w:space="0" w:color="auto"/>
      </w:divBdr>
    </w:div>
    <w:div w:id="1586647064">
      <w:bodyDiv w:val="1"/>
      <w:marLeft w:val="0"/>
      <w:marRight w:val="0"/>
      <w:marTop w:val="0"/>
      <w:marBottom w:val="0"/>
      <w:divBdr>
        <w:top w:val="none" w:sz="0" w:space="0" w:color="auto"/>
        <w:left w:val="none" w:sz="0" w:space="0" w:color="auto"/>
        <w:bottom w:val="none" w:sz="0" w:space="0" w:color="auto"/>
        <w:right w:val="none" w:sz="0" w:space="0" w:color="auto"/>
      </w:divBdr>
      <w:divsChild>
        <w:div w:id="1985621314">
          <w:marLeft w:val="480"/>
          <w:marRight w:val="0"/>
          <w:marTop w:val="0"/>
          <w:marBottom w:val="0"/>
          <w:divBdr>
            <w:top w:val="none" w:sz="0" w:space="0" w:color="auto"/>
            <w:left w:val="none" w:sz="0" w:space="0" w:color="auto"/>
            <w:bottom w:val="none" w:sz="0" w:space="0" w:color="auto"/>
            <w:right w:val="none" w:sz="0" w:space="0" w:color="auto"/>
          </w:divBdr>
          <w:divsChild>
            <w:div w:id="16451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320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1532399">
      <w:bodyDiv w:val="1"/>
      <w:marLeft w:val="0"/>
      <w:marRight w:val="0"/>
      <w:marTop w:val="0"/>
      <w:marBottom w:val="0"/>
      <w:divBdr>
        <w:top w:val="none" w:sz="0" w:space="0" w:color="auto"/>
        <w:left w:val="none" w:sz="0" w:space="0" w:color="auto"/>
        <w:bottom w:val="none" w:sz="0" w:space="0" w:color="auto"/>
        <w:right w:val="none" w:sz="0" w:space="0" w:color="auto"/>
      </w:divBdr>
    </w:div>
    <w:div w:id="185652840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8336102">
      <w:bodyDiv w:val="1"/>
      <w:marLeft w:val="0"/>
      <w:marRight w:val="0"/>
      <w:marTop w:val="0"/>
      <w:marBottom w:val="0"/>
      <w:divBdr>
        <w:top w:val="none" w:sz="0" w:space="0" w:color="auto"/>
        <w:left w:val="none" w:sz="0" w:space="0" w:color="auto"/>
        <w:bottom w:val="none" w:sz="0" w:space="0" w:color="auto"/>
        <w:right w:val="none" w:sz="0" w:space="0" w:color="auto"/>
      </w:divBdr>
      <w:divsChild>
        <w:div w:id="1208494002">
          <w:marLeft w:val="480"/>
          <w:marRight w:val="0"/>
          <w:marTop w:val="0"/>
          <w:marBottom w:val="0"/>
          <w:divBdr>
            <w:top w:val="none" w:sz="0" w:space="0" w:color="auto"/>
            <w:left w:val="none" w:sz="0" w:space="0" w:color="auto"/>
            <w:bottom w:val="none" w:sz="0" w:space="0" w:color="auto"/>
            <w:right w:val="none" w:sz="0" w:space="0" w:color="auto"/>
          </w:divBdr>
          <w:divsChild>
            <w:div w:id="18939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01/jama.2020.19719" TargetMode="External"/><Relationship Id="rId26" Type="http://schemas.openxmlformats.org/officeDocument/2006/relationships/hyperlink" Target="https://doi.org/10.3389/fmed.2023.12718634" TargetMode="External"/><Relationship Id="rId39" Type="http://schemas.openxmlformats.org/officeDocument/2006/relationships/hyperlink" Target="https://doi.org/10.3390/vaccines12010099" TargetMode="External"/><Relationship Id="rId21" Type="http://schemas.openxmlformats.org/officeDocument/2006/relationships/hyperlink" Target="https://www.who.int/tools/whoqol" TargetMode="External"/><Relationship Id="rId34" Type="http://schemas.openxmlformats.org/officeDocument/2006/relationships/hyperlink" Target="https://doi.org/10.1016/j.neurobiolaging.2005.08.01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1-021-01283-z" TargetMode="External"/><Relationship Id="rId20" Type="http://schemas.openxmlformats.org/officeDocument/2006/relationships/hyperlink" Target="https://doi.org/10.1371/journal.pone.0276771" TargetMode="External"/><Relationship Id="rId29" Type="http://schemas.openxmlformats.org/officeDocument/2006/relationships/hyperlink" Target="https://doi.org/10.1002/eji.20214962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89/fendo.2021.645787" TargetMode="External"/><Relationship Id="rId32" Type="http://schemas.openxmlformats.org/officeDocument/2006/relationships/hyperlink" Target="https://doi.org/10.1017/neu.2024.16" TargetMode="External"/><Relationship Id="rId37" Type="http://schemas.openxmlformats.org/officeDocument/2006/relationships/hyperlink" Target="https://doi.org/10.3390/vaccines10050652" TargetMode="External"/><Relationship Id="rId40" Type="http://schemas.openxmlformats.org/officeDocument/2006/relationships/hyperlink" Target="https://www.cdc.gov/long-covid/signs-symptoms/index.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590/0102-311xpt026623" TargetMode="External"/><Relationship Id="rId28" Type="http://schemas.openxmlformats.org/officeDocument/2006/relationships/hyperlink" Target="https://doi.org/10.1016/j.clinsp.2024.100344" TargetMode="External"/><Relationship Id="rId36" Type="http://schemas.openxmlformats.org/officeDocument/2006/relationships/hyperlink" Target="https://doi.org/10.1016/j.dsx.2021.102302" TargetMode="External"/><Relationship Id="rId10" Type="http://schemas.openxmlformats.org/officeDocument/2006/relationships/header" Target="header1.xml"/><Relationship Id="rId19" Type="http://schemas.openxmlformats.org/officeDocument/2006/relationships/hyperlink" Target="https://www.who.int/publications/i/item/WHO-2019-nCoV-Post_COVID-19_condition-Clinical_case_definition-2021.1" TargetMode="External"/><Relationship Id="rId31" Type="http://schemas.openxmlformats.org/officeDocument/2006/relationships/hyperlink" Target="https://doi.org/10.1126/scitranslmed.abm915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3390/nu15051197" TargetMode="External"/><Relationship Id="rId27" Type="http://schemas.openxmlformats.org/officeDocument/2006/relationships/hyperlink" Target="https://doi.org/10.3390/jpm14090911" TargetMode="External"/><Relationship Id="rId30" Type="http://schemas.openxmlformats.org/officeDocument/2006/relationships/hyperlink" Target="https://doi.org/10.3389/fcvm.2023.1062491" TargetMode="External"/><Relationship Id="rId35" Type="http://schemas.openxmlformats.org/officeDocument/2006/relationships/hyperlink" Target="https://doi.org/10.1186/s13643-021-01626-4" TargetMode="External"/><Relationship Id="rId8" Type="http://schemas.openxmlformats.org/officeDocument/2006/relationships/hyperlink" Target="https://rayyan.ai/"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3389/fmed.2021.714426" TargetMode="External"/><Relationship Id="rId25" Type="http://schemas.openxmlformats.org/officeDocument/2006/relationships/hyperlink" Target="https://doi.org/10.3389/fendo.2024.1459724" TargetMode="External"/><Relationship Id="rId33" Type="http://schemas.openxmlformats.org/officeDocument/2006/relationships/hyperlink" Target="https://doi.org/10.1002/jmv.26826" TargetMode="External"/><Relationship Id="rId38" Type="http://schemas.openxmlformats.org/officeDocument/2006/relationships/hyperlink" Target="https://doi.org/10.1136/bmjgh-2021-005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C5BB-CF43-4DA9-BC98-0B11C916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9142</TotalTime>
  <Pages>13</Pages>
  <Words>7767</Words>
  <Characters>41948</Characters>
  <Application>Microsoft Office Word</Application>
  <DocSecurity>0</DocSecurity>
  <Lines>349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49616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Conta da Microsoft</cp:lastModifiedBy>
  <cp:revision>60</cp:revision>
  <cp:lastPrinted>1999-07-06T11:00:00Z</cp:lastPrinted>
  <dcterms:created xsi:type="dcterms:W3CDTF">2014-10-25T14:34:00Z</dcterms:created>
  <dcterms:modified xsi:type="dcterms:W3CDTF">2025-09-30T22:32:00Z</dcterms:modified>
</cp:coreProperties>
</file>