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8A84B" w14:textId="77777777" w:rsidR="00DC584E" w:rsidRPr="00DC584E" w:rsidRDefault="00DC584E" w:rsidP="00DC584E">
      <w:pPr>
        <w:pStyle w:val="Title"/>
        <w:jc w:val="both"/>
        <w:rPr>
          <w:rFonts w:ascii="Arial" w:hAnsi="Arial" w:cs="Arial"/>
          <w:bCs/>
          <w:i/>
          <w:iCs/>
          <w:u w:val="single"/>
        </w:rPr>
      </w:pPr>
      <w:r w:rsidRPr="00DC584E">
        <w:rPr>
          <w:rFonts w:ascii="Arial" w:hAnsi="Arial" w:cs="Arial"/>
          <w:bCs/>
          <w:i/>
          <w:iCs/>
          <w:u w:val="single"/>
        </w:rPr>
        <w:t xml:space="preserve">Case report </w:t>
      </w:r>
    </w:p>
    <w:p w14:paraId="0D8AE865" w14:textId="685A5BF0" w:rsidR="00754C9A" w:rsidRDefault="00A813EC" w:rsidP="00A813EC">
      <w:pPr>
        <w:pStyle w:val="Title"/>
        <w:spacing w:after="0"/>
        <w:rPr>
          <w:rFonts w:ascii="Arial" w:hAnsi="Arial" w:cs="Arial"/>
        </w:rPr>
      </w:pPr>
      <w:r w:rsidRPr="00A813EC">
        <w:rPr>
          <w:rFonts w:ascii="Arial" w:hAnsi="Arial" w:cs="Arial"/>
          <w:highlight w:val="yellow"/>
        </w:rPr>
        <w:t xml:space="preserve">Preliminary Clinical Observations on 35 </w:t>
      </w:r>
      <w:proofErr w:type="spellStart"/>
      <w:r w:rsidRPr="00A813EC">
        <w:rPr>
          <w:rFonts w:ascii="Arial" w:hAnsi="Arial" w:cs="Arial"/>
          <w:highlight w:val="yellow"/>
        </w:rPr>
        <w:t>kDa</w:t>
      </w:r>
      <w:proofErr w:type="spellEnd"/>
      <w:r w:rsidRPr="00A813EC">
        <w:rPr>
          <w:rFonts w:ascii="Arial" w:hAnsi="Arial" w:cs="Arial"/>
          <w:highlight w:val="yellow"/>
        </w:rPr>
        <w:t xml:space="preserve"> Low-Molecular-Weight Hyaluronan (HA35) in Influenza Prevention and Symptom Control: A Case Series</w:t>
      </w:r>
    </w:p>
    <w:p w14:paraId="5BB9BB66" w14:textId="77777777" w:rsidR="00A258C3" w:rsidRPr="00790ADA" w:rsidRDefault="00A258C3" w:rsidP="00441B6F">
      <w:pPr>
        <w:pStyle w:val="Author"/>
        <w:spacing w:line="240" w:lineRule="auto"/>
        <w:jc w:val="both"/>
        <w:rPr>
          <w:rFonts w:ascii="Arial" w:hAnsi="Arial" w:cs="Arial"/>
          <w:sz w:val="36"/>
        </w:rPr>
      </w:pPr>
    </w:p>
    <w:p w14:paraId="1AF85E67" w14:textId="77777777" w:rsidR="00DC584E" w:rsidRPr="00FB3A86" w:rsidRDefault="00DC584E" w:rsidP="00AE3C69">
      <w:pPr>
        <w:pStyle w:val="Affiliation"/>
        <w:spacing w:after="0" w:line="240" w:lineRule="auto"/>
        <w:rPr>
          <w:rFonts w:ascii="Arial" w:hAnsi="Arial" w:cs="Arial"/>
          <w:lang w:eastAsia="zh-CN"/>
        </w:rPr>
      </w:pPr>
    </w:p>
    <w:p w14:paraId="6F00DDD0" w14:textId="77777777" w:rsidR="00B01FCD" w:rsidRPr="00FB3A86" w:rsidRDefault="002E21D1" w:rsidP="00441B6F">
      <w:pPr>
        <w:pStyle w:val="Copyright"/>
        <w:spacing w:after="0" w:line="240" w:lineRule="auto"/>
        <w:jc w:val="both"/>
        <w:rPr>
          <w:rFonts w:ascii="Arial" w:hAnsi="Arial" w:cs="Arial"/>
        </w:rPr>
        <w:sectPr w:rsidR="00B01FCD" w:rsidRPr="00FB3A86" w:rsidSect="00E82B7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90909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72EEC5C" w14:textId="5F278758" w:rsidR="00790ADA" w:rsidRPr="00FB3A86" w:rsidRDefault="00B01FCD" w:rsidP="009E733A">
      <w:pPr>
        <w:pStyle w:val="AbstHead"/>
        <w:spacing w:afterLines="50" w:after="120"/>
        <w:jc w:val="both"/>
        <w:rPr>
          <w:rFonts w:ascii="Arial" w:hAnsi="Arial" w:cs="Arial"/>
          <w:lang w:eastAsia="zh-CN"/>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D9555F0" w14:textId="77777777" w:rsidTr="001E44FE">
        <w:tc>
          <w:tcPr>
            <w:tcW w:w="9576" w:type="dxa"/>
            <w:shd w:val="clear" w:color="auto" w:fill="F2F2F2"/>
          </w:tcPr>
          <w:p w14:paraId="7E423918" w14:textId="40E64F51" w:rsidR="00505F06" w:rsidRPr="001566E5" w:rsidRDefault="00F339C7" w:rsidP="00441B6F">
            <w:pPr>
              <w:pStyle w:val="Body"/>
              <w:spacing w:after="0"/>
              <w:rPr>
                <w:rFonts w:ascii="Arial" w:hAnsi="Arial" w:cs="Arial"/>
                <w:szCs w:val="22"/>
                <w:lang w:eastAsia="zh-CN"/>
              </w:rPr>
            </w:pPr>
            <w:r w:rsidRPr="00F339C7">
              <w:rPr>
                <w:rFonts w:ascii="Arial" w:eastAsia="Calibri" w:hAnsi="Arial" w:cs="Arial"/>
                <w:szCs w:val="22"/>
              </w:rPr>
              <w:t xml:space="preserve">Influenza is caused by influenza viruses, which infect host respiratory epithelial cells by binding the viral envelope hemagglutinin to sialic acid receptors on the cell surface. Hemagglutinin can induce red blood cell agglutination in vitro, a hallmark of viral infectivity. Our previous studies demonstrated that </w:t>
            </w:r>
            <w:r w:rsidR="00B3220D" w:rsidRPr="00B3220D">
              <w:rPr>
                <w:rFonts w:ascii="Arial" w:hAnsi="Arial" w:cs="Arial" w:hint="eastAsia"/>
                <w:szCs w:val="22"/>
                <w:highlight w:val="yellow"/>
                <w:lang w:eastAsia="zh-CN"/>
              </w:rPr>
              <w:t>the</w:t>
            </w:r>
            <w:r w:rsidR="00B3220D">
              <w:rPr>
                <w:rFonts w:ascii="Arial" w:hAnsi="Arial" w:cs="Arial" w:hint="eastAsia"/>
                <w:szCs w:val="22"/>
                <w:lang w:eastAsia="zh-CN"/>
              </w:rPr>
              <w:t xml:space="preserve"> </w:t>
            </w:r>
            <w:r w:rsidRPr="00F339C7">
              <w:rPr>
                <w:rFonts w:ascii="Arial" w:eastAsia="Calibri" w:hAnsi="Arial" w:cs="Arial"/>
                <w:szCs w:val="22"/>
              </w:rPr>
              <w:t xml:space="preserve">35 </w:t>
            </w:r>
            <w:proofErr w:type="spellStart"/>
            <w:r w:rsidRPr="00F339C7">
              <w:rPr>
                <w:rFonts w:ascii="Arial" w:eastAsia="Calibri" w:hAnsi="Arial" w:cs="Arial"/>
                <w:szCs w:val="22"/>
              </w:rPr>
              <w:t>kDa</w:t>
            </w:r>
            <w:proofErr w:type="spellEnd"/>
            <w:r w:rsidRPr="00F339C7">
              <w:rPr>
                <w:rFonts w:ascii="Arial" w:eastAsia="Calibri" w:hAnsi="Arial" w:cs="Arial"/>
                <w:szCs w:val="22"/>
              </w:rPr>
              <w:t xml:space="preserve"> low-molecular-weight hyaluronan (HA35) can also induce agglutination of human and multiple animal erythrocytes in vitro, suggesting that HA35 may interfere with the binding between viral hemagglutinin and host cells. This retrospective case series analyzed the incidence of influenza over nine years among three volunteers who had long-term exposure to HA35 without influenza vaccination. In addition, one case of severe influenza occurring </w:t>
            </w:r>
            <w:r w:rsidR="00B3220D" w:rsidRPr="00B3220D">
              <w:rPr>
                <w:rFonts w:ascii="Arial" w:hAnsi="Arial" w:cs="Arial" w:hint="eastAsia"/>
                <w:szCs w:val="22"/>
                <w:highlight w:val="yellow"/>
                <w:lang w:eastAsia="zh-CN"/>
              </w:rPr>
              <w:t>in</w:t>
            </w:r>
            <w:r w:rsidR="00B3220D">
              <w:rPr>
                <w:rFonts w:ascii="Arial" w:hAnsi="Arial" w:cs="Arial" w:hint="eastAsia"/>
                <w:szCs w:val="22"/>
                <w:lang w:eastAsia="zh-CN"/>
              </w:rPr>
              <w:t xml:space="preserve"> </w:t>
            </w:r>
            <w:r w:rsidRPr="00F339C7">
              <w:rPr>
                <w:rFonts w:ascii="Arial" w:eastAsia="Calibri" w:hAnsi="Arial" w:cs="Arial"/>
                <w:szCs w:val="22"/>
              </w:rPr>
              <w:t xml:space="preserve">a high-altitude region was evaluated for clinical improvement following short-term, high-dose HA35 administration. Together, these observations were used to assess the potential anti-influenza effect of HA35. During a nine-year follow-up period, none of the three volunteers who received long-term HA35 injections and oral supplementation developed influenza. During the COVID-19 pandemic, all three participants were infected with the coronavirus and developed typical symptoms, suggesting that HA35 had no preventive effect against non-hemagglutinin-dependent viruses. In the high-altitude case, the patient’s fever and systemic symptoms markedly improved following short-term high-dose oral HA35 treatment, with no severe complications observed. These observations suggest that HA35 may have potential preventive and therapeutic effects against influenza. Although limited by the small sample size, this case series provides preliminary clinical evidence supporting further investigation of HA35 </w:t>
            </w:r>
            <w:r w:rsidRPr="00B3220D">
              <w:rPr>
                <w:rFonts w:ascii="Arial" w:eastAsia="Calibri" w:hAnsi="Arial" w:cs="Arial"/>
                <w:szCs w:val="22"/>
                <w:highlight w:val="yellow"/>
              </w:rPr>
              <w:t>n</w:t>
            </w:r>
            <w:r w:rsidR="00B3220D" w:rsidRPr="00B3220D">
              <w:rPr>
                <w:rFonts w:ascii="Arial" w:hAnsi="Arial" w:cs="Arial" w:hint="eastAsia"/>
                <w:szCs w:val="22"/>
                <w:highlight w:val="yellow"/>
                <w:lang w:eastAsia="zh-CN"/>
              </w:rPr>
              <w:t>a</w:t>
            </w:r>
            <w:r w:rsidRPr="00B3220D">
              <w:rPr>
                <w:rFonts w:ascii="Arial" w:eastAsia="Calibri" w:hAnsi="Arial" w:cs="Arial"/>
                <w:szCs w:val="22"/>
                <w:highlight w:val="yellow"/>
              </w:rPr>
              <w:t>sal</w:t>
            </w:r>
            <w:r w:rsidRPr="00F339C7">
              <w:rPr>
                <w:rFonts w:ascii="Arial" w:eastAsia="Calibri" w:hAnsi="Arial" w:cs="Arial"/>
                <w:szCs w:val="22"/>
              </w:rPr>
              <w:t xml:space="preserve"> formulations and devices in influenza prevention and control.</w:t>
            </w:r>
          </w:p>
        </w:tc>
      </w:tr>
    </w:tbl>
    <w:p w14:paraId="750EBAB7" w14:textId="77777777" w:rsidR="00636EB2" w:rsidRDefault="00636EB2" w:rsidP="00441B6F">
      <w:pPr>
        <w:pStyle w:val="Body"/>
        <w:spacing w:after="0"/>
        <w:rPr>
          <w:rFonts w:ascii="Arial" w:hAnsi="Arial" w:cs="Arial"/>
          <w:i/>
        </w:rPr>
      </w:pPr>
    </w:p>
    <w:p w14:paraId="511DF936" w14:textId="7C7C92D8" w:rsidR="00A24E7E" w:rsidRDefault="00A24E7E" w:rsidP="00441B6F">
      <w:pPr>
        <w:pStyle w:val="Body"/>
        <w:spacing w:after="0"/>
        <w:rPr>
          <w:rFonts w:ascii="Arial" w:hAnsi="Arial" w:cs="Arial"/>
          <w:i/>
        </w:rPr>
      </w:pPr>
      <w:r>
        <w:rPr>
          <w:rFonts w:ascii="Arial" w:hAnsi="Arial" w:cs="Arial"/>
          <w:i/>
        </w:rPr>
        <w:t>Keywords:</w:t>
      </w:r>
      <w:r w:rsidR="00C656BB" w:rsidRPr="00C656BB">
        <w:t xml:space="preserve"> </w:t>
      </w:r>
      <w:r w:rsidR="00F339C7" w:rsidRPr="00F339C7">
        <w:rPr>
          <w:rFonts w:ascii="Arial" w:hAnsi="Arial" w:cs="Arial"/>
          <w:iCs/>
        </w:rPr>
        <w:t>Hyaluronic acid (HA35); Influenza prevention; Hemagglutinin interference; Antiviral activity; High-altitude influenza</w:t>
      </w:r>
      <w:r w:rsidR="003E0646" w:rsidRPr="00C656BB">
        <w:rPr>
          <w:rFonts w:ascii="Arial" w:hAnsi="Arial" w:cs="Arial"/>
          <w:iCs/>
        </w:rPr>
        <w:t>.</w:t>
      </w:r>
    </w:p>
    <w:p w14:paraId="6F33DB95" w14:textId="77777777" w:rsidR="0024282C" w:rsidRDefault="0024282C" w:rsidP="00441B6F">
      <w:pPr>
        <w:pStyle w:val="Body"/>
        <w:spacing w:after="0"/>
        <w:rPr>
          <w:rFonts w:ascii="Arial" w:hAnsi="Arial" w:cs="Arial"/>
          <w:i/>
          <w:sz w:val="18"/>
        </w:rPr>
      </w:pPr>
    </w:p>
    <w:p w14:paraId="337BD1E0" w14:textId="77777777" w:rsidR="00505F06" w:rsidRPr="00A24E7E" w:rsidRDefault="00505F06" w:rsidP="00441B6F">
      <w:pPr>
        <w:pStyle w:val="Body"/>
        <w:spacing w:after="0"/>
        <w:rPr>
          <w:rFonts w:ascii="Arial" w:hAnsi="Arial" w:cs="Arial"/>
          <w:i/>
        </w:rPr>
      </w:pPr>
    </w:p>
    <w:p w14:paraId="204A2AD5" w14:textId="466D62EF" w:rsidR="00790ADA" w:rsidRPr="00FB3A86" w:rsidRDefault="00902823" w:rsidP="009E733A">
      <w:pPr>
        <w:pStyle w:val="AbstHead"/>
        <w:spacing w:afterLines="50" w:after="120"/>
        <w:jc w:val="both"/>
        <w:rPr>
          <w:rFonts w:ascii="Arial" w:hAnsi="Arial" w:cs="Arial"/>
          <w:lang w:eastAsia="zh-CN"/>
        </w:rPr>
      </w:pPr>
      <w:r>
        <w:rPr>
          <w:rFonts w:ascii="Arial" w:hAnsi="Arial" w:cs="Arial"/>
        </w:rPr>
        <w:t xml:space="preserve">1. </w:t>
      </w:r>
      <w:r w:rsidR="00B01FCD" w:rsidRPr="00FB3A86">
        <w:rPr>
          <w:rFonts w:ascii="Arial" w:hAnsi="Arial" w:cs="Arial"/>
        </w:rPr>
        <w:t>INTRODUCTION</w:t>
      </w:r>
    </w:p>
    <w:p w14:paraId="4CC48630" w14:textId="49DAC137" w:rsidR="00F07495" w:rsidRDefault="00B752EF" w:rsidP="003D2DC8">
      <w:pPr>
        <w:ind w:firstLineChars="200" w:firstLine="400"/>
        <w:jc w:val="both"/>
      </w:pPr>
      <w:r w:rsidRPr="00B752EF">
        <w:t xml:space="preserve">Autumn and winter are peak seasons for influenza (flu). Compared with the common cold, influenza is characterized by higher infectivity and more severe clinical manifestations (Table 1). In addition to typical respiratory symptoms such as high fever, cough, and nasal congestion, volunteers often experience systemic symptoms including fatigue and myalgia; in severe cases, influenza can even be life-threatening. The main pathogen of influenza is the influenza virus, whose surface contains two key glycoproteins: hemagglutinin and neuraminidase. In humans, the known hemagglutinin subtypes include H1, H2, and H3 (1). Because different hemagglutinin subtypes can all cause influenza epidemics, there is an urgent need to develop broad-spectrum hemagglutinin blockers for the prevention and treatment of various influenza types, including highly pathogenic avian influenza. </w:t>
      </w:r>
      <w:r w:rsidRPr="00B752EF">
        <w:lastRenderedPageBreak/>
        <w:t>Hemagglutinin plays a critical role in the infection process of the influenza virus (https://en.wikipedia.org/wiki/Hemagglutinin). The virus attaches to and enters host respiratory epithelial cells by binding its hemagglutinin to sialic acid receptors on the cell surface (2). Specifically, hemagglutinin on the viral envelope can induce epithelial cells to internalize the virus via endocytosis, allowing viral replication inside the cell. Hemagglutinin also exhibits erythrocyte agglutination activity, which leads to the aggregation of red blood cells—an initial step of viral infection that is closely related to its pathogenicity (3,4)</w:t>
      </w:r>
      <w:r w:rsidR="00F07495" w:rsidRPr="00F1236F">
        <w:t>.</w:t>
      </w:r>
    </w:p>
    <w:p w14:paraId="6F11CDBE"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1. Major Differences Between Influenza and the Common Cold</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47"/>
        <w:gridCol w:w="3879"/>
        <w:gridCol w:w="2180"/>
      </w:tblGrid>
      <w:tr w:rsidR="00B752EF" w:rsidRPr="008D07DF" w14:paraId="2590CA3D" w14:textId="77777777" w:rsidTr="00731D29">
        <w:trPr>
          <w:tblHeader/>
          <w:tblCellSpacing w:w="15" w:type="dxa"/>
          <w:jc w:val="center"/>
        </w:trPr>
        <w:tc>
          <w:tcPr>
            <w:tcW w:w="2202" w:type="dxa"/>
            <w:tcBorders>
              <w:top w:val="nil"/>
              <w:bottom w:val="single" w:sz="4" w:space="0" w:color="auto"/>
            </w:tcBorders>
            <w:vAlign w:val="center"/>
          </w:tcPr>
          <w:p w14:paraId="190EDA7A"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Characteristic</w:t>
            </w:r>
          </w:p>
        </w:tc>
        <w:tc>
          <w:tcPr>
            <w:tcW w:w="3849" w:type="dxa"/>
            <w:tcBorders>
              <w:top w:val="nil"/>
              <w:bottom w:val="single" w:sz="4" w:space="0" w:color="auto"/>
            </w:tcBorders>
            <w:vAlign w:val="center"/>
          </w:tcPr>
          <w:p w14:paraId="69E035E3"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Influenza</w:t>
            </w:r>
          </w:p>
        </w:tc>
        <w:tc>
          <w:tcPr>
            <w:tcW w:w="2135" w:type="dxa"/>
            <w:tcBorders>
              <w:top w:val="nil"/>
              <w:bottom w:val="single" w:sz="4" w:space="0" w:color="auto"/>
            </w:tcBorders>
            <w:vAlign w:val="center"/>
          </w:tcPr>
          <w:p w14:paraId="59802ED0" w14:textId="77777777" w:rsidR="00B752EF" w:rsidRPr="008D07DF" w:rsidRDefault="00B752EF" w:rsidP="00731D29">
            <w:pPr>
              <w:spacing w:line="240" w:lineRule="atLeast"/>
              <w:rPr>
                <w:rFonts w:ascii="Calibri" w:hAnsi="Calibri" w:cs="Calibri"/>
                <w:b/>
                <w:bCs/>
                <w:color w:val="000000" w:themeColor="text1"/>
                <w:szCs w:val="21"/>
              </w:rPr>
            </w:pPr>
            <w:r w:rsidRPr="008D07DF">
              <w:rPr>
                <w:rFonts w:ascii="Calibri" w:hAnsi="Calibri" w:cs="Calibri"/>
                <w:b/>
                <w:bCs/>
                <w:color w:val="000000" w:themeColor="text1"/>
                <w:szCs w:val="21"/>
              </w:rPr>
              <w:t>Common Cold</w:t>
            </w:r>
          </w:p>
        </w:tc>
      </w:tr>
      <w:tr w:rsidR="00B752EF" w:rsidRPr="008D07DF" w14:paraId="6FAA51D9" w14:textId="77777777" w:rsidTr="00731D29">
        <w:trPr>
          <w:trHeight w:val="32"/>
          <w:tblCellSpacing w:w="15" w:type="dxa"/>
          <w:jc w:val="center"/>
        </w:trPr>
        <w:tc>
          <w:tcPr>
            <w:tcW w:w="2202" w:type="dxa"/>
            <w:vAlign w:val="center"/>
          </w:tcPr>
          <w:p w14:paraId="3EAB567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Pathogen</w:t>
            </w:r>
          </w:p>
        </w:tc>
        <w:tc>
          <w:tcPr>
            <w:tcW w:w="3849" w:type="dxa"/>
            <w:vAlign w:val="center"/>
          </w:tcPr>
          <w:p w14:paraId="4E21A21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Influenza virus</w:t>
            </w:r>
          </w:p>
        </w:tc>
        <w:tc>
          <w:tcPr>
            <w:tcW w:w="2135" w:type="dxa"/>
            <w:vAlign w:val="center"/>
          </w:tcPr>
          <w:p w14:paraId="7B5464C2"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Rhinovirus, coronavirus, bacteria, etc.</w:t>
            </w:r>
          </w:p>
        </w:tc>
      </w:tr>
      <w:tr w:rsidR="00B752EF" w:rsidRPr="008D07DF" w14:paraId="156DDE24" w14:textId="77777777" w:rsidTr="00731D29">
        <w:trPr>
          <w:tblCellSpacing w:w="15" w:type="dxa"/>
          <w:jc w:val="center"/>
        </w:trPr>
        <w:tc>
          <w:tcPr>
            <w:tcW w:w="2202" w:type="dxa"/>
            <w:vAlign w:val="center"/>
          </w:tcPr>
          <w:p w14:paraId="7412D6E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Etiological testing for influenza virus</w:t>
            </w:r>
          </w:p>
        </w:tc>
        <w:tc>
          <w:tcPr>
            <w:tcW w:w="3849" w:type="dxa"/>
            <w:vAlign w:val="center"/>
          </w:tcPr>
          <w:p w14:paraId="11CB83D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Positive</w:t>
            </w:r>
          </w:p>
        </w:tc>
        <w:tc>
          <w:tcPr>
            <w:tcW w:w="2135" w:type="dxa"/>
            <w:vAlign w:val="center"/>
          </w:tcPr>
          <w:p w14:paraId="478D5E77"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Negative</w:t>
            </w:r>
          </w:p>
        </w:tc>
      </w:tr>
      <w:tr w:rsidR="00B752EF" w:rsidRPr="008D07DF" w14:paraId="4CFF4C0B" w14:textId="77777777" w:rsidTr="00731D29">
        <w:trPr>
          <w:tblCellSpacing w:w="15" w:type="dxa"/>
          <w:jc w:val="center"/>
        </w:trPr>
        <w:tc>
          <w:tcPr>
            <w:tcW w:w="2202" w:type="dxa"/>
            <w:vAlign w:val="center"/>
          </w:tcPr>
          <w:p w14:paraId="32EFB590"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Infectivity</w:t>
            </w:r>
          </w:p>
        </w:tc>
        <w:tc>
          <w:tcPr>
            <w:tcW w:w="3849" w:type="dxa"/>
            <w:vAlign w:val="center"/>
          </w:tcPr>
          <w:p w14:paraId="31152EC7"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Strong</w:t>
            </w:r>
          </w:p>
        </w:tc>
        <w:tc>
          <w:tcPr>
            <w:tcW w:w="2135" w:type="dxa"/>
            <w:vAlign w:val="center"/>
          </w:tcPr>
          <w:p w14:paraId="14B05D7D"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Weak</w:t>
            </w:r>
          </w:p>
        </w:tc>
      </w:tr>
      <w:tr w:rsidR="00B752EF" w:rsidRPr="008D07DF" w14:paraId="59155206" w14:textId="77777777" w:rsidTr="00731D29">
        <w:trPr>
          <w:tblCellSpacing w:w="15" w:type="dxa"/>
          <w:jc w:val="center"/>
        </w:trPr>
        <w:tc>
          <w:tcPr>
            <w:tcW w:w="2202" w:type="dxa"/>
            <w:vAlign w:val="center"/>
          </w:tcPr>
          <w:p w14:paraId="79150E5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Seasonality</w:t>
            </w:r>
          </w:p>
        </w:tc>
        <w:tc>
          <w:tcPr>
            <w:tcW w:w="3849" w:type="dxa"/>
            <w:vAlign w:val="center"/>
          </w:tcPr>
          <w:p w14:paraId="37D449B2"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Pronounced (in northern China, mostly from November to March)</w:t>
            </w:r>
          </w:p>
        </w:tc>
        <w:tc>
          <w:tcPr>
            <w:tcW w:w="2135" w:type="dxa"/>
            <w:vAlign w:val="center"/>
          </w:tcPr>
          <w:p w14:paraId="661BF1B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Not obvious</w:t>
            </w:r>
          </w:p>
        </w:tc>
      </w:tr>
      <w:tr w:rsidR="00B752EF" w:rsidRPr="008D07DF" w14:paraId="47096F9D" w14:textId="77777777" w:rsidTr="00731D29">
        <w:trPr>
          <w:tblCellSpacing w:w="15" w:type="dxa"/>
          <w:jc w:val="center"/>
        </w:trPr>
        <w:tc>
          <w:tcPr>
            <w:tcW w:w="2202" w:type="dxa"/>
            <w:vAlign w:val="center"/>
          </w:tcPr>
          <w:p w14:paraId="21F887C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Fever</w:t>
            </w:r>
          </w:p>
        </w:tc>
        <w:tc>
          <w:tcPr>
            <w:tcW w:w="3849" w:type="dxa"/>
            <w:vAlign w:val="center"/>
          </w:tcPr>
          <w:p w14:paraId="567D775E"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Often high (39–40 °C), may be accompanied by chills</w:t>
            </w:r>
          </w:p>
        </w:tc>
        <w:tc>
          <w:tcPr>
            <w:tcW w:w="2135" w:type="dxa"/>
            <w:vAlign w:val="center"/>
          </w:tcPr>
          <w:p w14:paraId="26593315"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None or mild to moderate, no chills</w:t>
            </w:r>
          </w:p>
        </w:tc>
      </w:tr>
      <w:tr w:rsidR="00B752EF" w:rsidRPr="008D07DF" w14:paraId="5994C732" w14:textId="77777777" w:rsidTr="00731D29">
        <w:trPr>
          <w:tblCellSpacing w:w="15" w:type="dxa"/>
          <w:jc w:val="center"/>
        </w:trPr>
        <w:tc>
          <w:tcPr>
            <w:tcW w:w="2202" w:type="dxa"/>
            <w:vAlign w:val="center"/>
          </w:tcPr>
          <w:p w14:paraId="500BC2B6"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Duration of fever</w:t>
            </w:r>
          </w:p>
        </w:tc>
        <w:tc>
          <w:tcPr>
            <w:tcW w:w="3849" w:type="dxa"/>
            <w:vAlign w:val="center"/>
          </w:tcPr>
          <w:p w14:paraId="6E399070"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3–5 days</w:t>
            </w:r>
          </w:p>
        </w:tc>
        <w:tc>
          <w:tcPr>
            <w:tcW w:w="2135" w:type="dxa"/>
            <w:vAlign w:val="center"/>
          </w:tcPr>
          <w:p w14:paraId="31670E1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1–2 days</w:t>
            </w:r>
          </w:p>
        </w:tc>
      </w:tr>
      <w:tr w:rsidR="00B752EF" w:rsidRPr="008D07DF" w14:paraId="6C28A4EC" w14:textId="77777777" w:rsidTr="00731D29">
        <w:trPr>
          <w:tblCellSpacing w:w="15" w:type="dxa"/>
          <w:jc w:val="center"/>
        </w:trPr>
        <w:tc>
          <w:tcPr>
            <w:tcW w:w="2202" w:type="dxa"/>
            <w:vAlign w:val="center"/>
          </w:tcPr>
          <w:p w14:paraId="3BAABB81"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Systemic symptoms</w:t>
            </w:r>
          </w:p>
        </w:tc>
        <w:tc>
          <w:tcPr>
            <w:tcW w:w="3849" w:type="dxa"/>
            <w:vAlign w:val="center"/>
          </w:tcPr>
          <w:p w14:paraId="1FE824BF"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More severe (headache, muscle soreness, fatigue)</w:t>
            </w:r>
          </w:p>
        </w:tc>
        <w:tc>
          <w:tcPr>
            <w:tcW w:w="2135" w:type="dxa"/>
            <w:vAlign w:val="center"/>
          </w:tcPr>
          <w:p w14:paraId="27D687E8"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Mild or absent</w:t>
            </w:r>
          </w:p>
        </w:tc>
      </w:tr>
      <w:tr w:rsidR="00B752EF" w:rsidRPr="008D07DF" w14:paraId="4E527112" w14:textId="77777777" w:rsidTr="00731D29">
        <w:trPr>
          <w:tblCellSpacing w:w="15" w:type="dxa"/>
          <w:jc w:val="center"/>
        </w:trPr>
        <w:tc>
          <w:tcPr>
            <w:tcW w:w="2202" w:type="dxa"/>
            <w:vAlign w:val="center"/>
          </w:tcPr>
          <w:p w14:paraId="6E4BE32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Course of illness</w:t>
            </w:r>
          </w:p>
        </w:tc>
        <w:tc>
          <w:tcPr>
            <w:tcW w:w="3849" w:type="dxa"/>
            <w:vAlign w:val="center"/>
          </w:tcPr>
          <w:p w14:paraId="70570F7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5–10 days</w:t>
            </w:r>
          </w:p>
        </w:tc>
        <w:tc>
          <w:tcPr>
            <w:tcW w:w="2135" w:type="dxa"/>
            <w:vAlign w:val="center"/>
          </w:tcPr>
          <w:p w14:paraId="56F9F5AA"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5–7 days</w:t>
            </w:r>
          </w:p>
        </w:tc>
      </w:tr>
      <w:tr w:rsidR="00B752EF" w:rsidRPr="008D07DF" w14:paraId="3FF49ED4" w14:textId="77777777" w:rsidTr="00731D29">
        <w:trPr>
          <w:tblCellSpacing w:w="15" w:type="dxa"/>
          <w:jc w:val="center"/>
        </w:trPr>
        <w:tc>
          <w:tcPr>
            <w:tcW w:w="2202" w:type="dxa"/>
            <w:vAlign w:val="center"/>
          </w:tcPr>
          <w:p w14:paraId="4BC8921C"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b/>
                <w:bCs/>
                <w:color w:val="000000" w:themeColor="text1"/>
                <w:szCs w:val="21"/>
              </w:rPr>
              <w:t>Complications</w:t>
            </w:r>
          </w:p>
        </w:tc>
        <w:tc>
          <w:tcPr>
            <w:tcW w:w="3849" w:type="dxa"/>
            <w:vAlign w:val="center"/>
          </w:tcPr>
          <w:p w14:paraId="689A1C74"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May include pneumonia, otitis media, myocarditis, meningitis, or encephalitis</w:t>
            </w:r>
          </w:p>
        </w:tc>
        <w:tc>
          <w:tcPr>
            <w:tcW w:w="2135" w:type="dxa"/>
            <w:vAlign w:val="center"/>
          </w:tcPr>
          <w:p w14:paraId="7B4277A3" w14:textId="77777777" w:rsidR="00B752EF" w:rsidRPr="008D07DF" w:rsidRDefault="00B752EF" w:rsidP="00731D29">
            <w:pPr>
              <w:spacing w:line="240" w:lineRule="atLeast"/>
              <w:rPr>
                <w:rFonts w:ascii="Calibri" w:hAnsi="Calibri" w:cs="Calibri"/>
                <w:color w:val="000000" w:themeColor="text1"/>
                <w:szCs w:val="21"/>
              </w:rPr>
            </w:pPr>
            <w:r w:rsidRPr="008D07DF">
              <w:rPr>
                <w:rFonts w:ascii="Calibri" w:hAnsi="Calibri" w:cs="Calibri"/>
                <w:color w:val="000000" w:themeColor="text1"/>
                <w:szCs w:val="21"/>
              </w:rPr>
              <w:t>Rare</w:t>
            </w:r>
          </w:p>
        </w:tc>
      </w:tr>
    </w:tbl>
    <w:p w14:paraId="3DB3ED5F" w14:textId="5AF62218" w:rsidR="00790ADA" w:rsidRDefault="00426808" w:rsidP="00C74819">
      <w:pPr>
        <w:pStyle w:val="Body"/>
        <w:spacing w:beforeLines="50" w:before="120" w:after="0"/>
        <w:ind w:firstLineChars="200" w:firstLine="400"/>
        <w:rPr>
          <w:rFonts w:ascii="Arial" w:hAnsi="Arial" w:cs="Arial"/>
        </w:rPr>
      </w:pPr>
      <w:r w:rsidRPr="00426808">
        <w:rPr>
          <w:rFonts w:ascii="Arial" w:hAnsi="Arial" w:cs="Arial"/>
          <w:highlight w:val="yellow"/>
        </w:rPr>
        <w:t xml:space="preserve">Interestingly, we found that 35 </w:t>
      </w:r>
      <w:proofErr w:type="spellStart"/>
      <w:r w:rsidRPr="00426808">
        <w:rPr>
          <w:rFonts w:ascii="Arial" w:hAnsi="Arial" w:cs="Arial"/>
          <w:highlight w:val="yellow"/>
        </w:rPr>
        <w:t>kDa</w:t>
      </w:r>
      <w:proofErr w:type="spellEnd"/>
      <w:r w:rsidRPr="00426808">
        <w:rPr>
          <w:rFonts w:ascii="Arial" w:hAnsi="Arial" w:cs="Arial"/>
          <w:highlight w:val="yellow"/>
        </w:rPr>
        <w:t xml:space="preserve"> low-molecular-weight hyaluronan (HA35), a bioactive fragment of hyaluronic acid with an average molecular weight of 35 kilodaltons, exhibits hemagglutinin-like erythrocyte agglutination activity in vitro and can bind to erythrocytes from multiple animal species as well as humans (5,6; Granted Patent #CN111334468)</w:t>
      </w:r>
      <w:r w:rsidR="00B752EF" w:rsidRPr="00426808">
        <w:rPr>
          <w:rFonts w:ascii="Arial" w:hAnsi="Arial" w:cs="Arial"/>
          <w:highlight w:val="yellow"/>
        </w:rPr>
        <w:t>.</w:t>
      </w:r>
      <w:r w:rsidR="00B752EF" w:rsidRPr="00B752EF">
        <w:rPr>
          <w:rFonts w:ascii="Arial" w:hAnsi="Arial" w:cs="Arial"/>
        </w:rPr>
        <w:t xml:space="preserve"> The minimum concentrations of HA35 required to induce erythrocyte agglutination are shown in Table 2. These findings suggest that HA35 may interfere with or block the interaction between influenza virus hemagglutinin and sialic acid receptors on erythrocyte surfaces, representing a potential prophylactic and therapeutic approach against influenza (7,8). Therefore, this study retrospectively analyzed the clinical manifestations and influenza incidence over a nine-year period in three volunteers who had used HA35 long-term without receiving influenza vaccination. Additionally, we report a case of a patient with severe influenza at high altitude who received short-term high-dose oral HA35 therapy, aiming to provide relevant clinical insights.</w:t>
      </w:r>
    </w:p>
    <w:p w14:paraId="4C0EBF11"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2. Minimum Concentrations of HA35 Required to Induce Erythrocyte Agglutination</w:t>
      </w:r>
    </w:p>
    <w:tbl>
      <w:tblPr>
        <w:tblW w:w="5812"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387"/>
        <w:gridCol w:w="4425"/>
      </w:tblGrid>
      <w:tr w:rsidR="00B752EF" w:rsidRPr="008D07DF" w14:paraId="4564A1BE" w14:textId="77777777" w:rsidTr="00731D29">
        <w:trPr>
          <w:tblHeader/>
          <w:tblCellSpacing w:w="15" w:type="dxa"/>
          <w:jc w:val="center"/>
        </w:trPr>
        <w:tc>
          <w:tcPr>
            <w:tcW w:w="1342" w:type="dxa"/>
            <w:tcBorders>
              <w:top w:val="nil"/>
              <w:bottom w:val="single" w:sz="4" w:space="0" w:color="auto"/>
            </w:tcBorders>
            <w:vAlign w:val="center"/>
          </w:tcPr>
          <w:p w14:paraId="6CC4DE71"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Animal Species</w:t>
            </w:r>
          </w:p>
        </w:tc>
        <w:tc>
          <w:tcPr>
            <w:tcW w:w="4380" w:type="dxa"/>
            <w:tcBorders>
              <w:top w:val="nil"/>
              <w:bottom w:val="single" w:sz="4" w:space="0" w:color="auto"/>
            </w:tcBorders>
            <w:vAlign w:val="center"/>
          </w:tcPr>
          <w:p w14:paraId="57968B2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Minimum Concentration of HA35 Inducing Erythrocyte Agglutination</w:t>
            </w:r>
          </w:p>
        </w:tc>
      </w:tr>
      <w:tr w:rsidR="00B752EF" w:rsidRPr="008D07DF" w14:paraId="1A1FBCF4" w14:textId="77777777" w:rsidTr="00731D29">
        <w:trPr>
          <w:tblCellSpacing w:w="15" w:type="dxa"/>
          <w:jc w:val="center"/>
        </w:trPr>
        <w:tc>
          <w:tcPr>
            <w:tcW w:w="1342" w:type="dxa"/>
            <w:vAlign w:val="center"/>
          </w:tcPr>
          <w:p w14:paraId="409DE2A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Human</w:t>
            </w:r>
          </w:p>
        </w:tc>
        <w:tc>
          <w:tcPr>
            <w:tcW w:w="4380" w:type="dxa"/>
            <w:vAlign w:val="center"/>
          </w:tcPr>
          <w:p w14:paraId="040DA28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75954A1E" w14:textId="77777777" w:rsidTr="00731D29">
        <w:trPr>
          <w:tblCellSpacing w:w="15" w:type="dxa"/>
          <w:jc w:val="center"/>
        </w:trPr>
        <w:tc>
          <w:tcPr>
            <w:tcW w:w="1342" w:type="dxa"/>
            <w:vAlign w:val="center"/>
          </w:tcPr>
          <w:p w14:paraId="4EA095C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Monkey</w:t>
            </w:r>
          </w:p>
        </w:tc>
        <w:tc>
          <w:tcPr>
            <w:tcW w:w="4380" w:type="dxa"/>
            <w:vAlign w:val="center"/>
          </w:tcPr>
          <w:p w14:paraId="01A016B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451F1D4" w14:textId="77777777" w:rsidTr="00731D29">
        <w:trPr>
          <w:tblCellSpacing w:w="15" w:type="dxa"/>
          <w:jc w:val="center"/>
        </w:trPr>
        <w:tc>
          <w:tcPr>
            <w:tcW w:w="1342" w:type="dxa"/>
            <w:vAlign w:val="center"/>
          </w:tcPr>
          <w:p w14:paraId="7B494B9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Mouse</w:t>
            </w:r>
          </w:p>
        </w:tc>
        <w:tc>
          <w:tcPr>
            <w:tcW w:w="4380" w:type="dxa"/>
            <w:vAlign w:val="center"/>
          </w:tcPr>
          <w:p w14:paraId="45E604C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52AECF07" w14:textId="77777777" w:rsidTr="00731D29">
        <w:trPr>
          <w:tblCellSpacing w:w="15" w:type="dxa"/>
          <w:jc w:val="center"/>
        </w:trPr>
        <w:tc>
          <w:tcPr>
            <w:tcW w:w="1342" w:type="dxa"/>
            <w:vAlign w:val="center"/>
          </w:tcPr>
          <w:p w14:paraId="76B719F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Chicken</w:t>
            </w:r>
          </w:p>
        </w:tc>
        <w:tc>
          <w:tcPr>
            <w:tcW w:w="4380" w:type="dxa"/>
            <w:vAlign w:val="center"/>
          </w:tcPr>
          <w:p w14:paraId="696B412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1ED23C51" w14:textId="77777777" w:rsidTr="00731D29">
        <w:trPr>
          <w:tblCellSpacing w:w="15" w:type="dxa"/>
          <w:jc w:val="center"/>
        </w:trPr>
        <w:tc>
          <w:tcPr>
            <w:tcW w:w="1342" w:type="dxa"/>
            <w:vAlign w:val="center"/>
          </w:tcPr>
          <w:p w14:paraId="17492E4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Mink</w:t>
            </w:r>
          </w:p>
        </w:tc>
        <w:tc>
          <w:tcPr>
            <w:tcW w:w="4380" w:type="dxa"/>
            <w:vAlign w:val="center"/>
          </w:tcPr>
          <w:p w14:paraId="6D81923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4BB57A2" w14:textId="77777777" w:rsidTr="00731D29">
        <w:trPr>
          <w:tblCellSpacing w:w="15" w:type="dxa"/>
          <w:jc w:val="center"/>
        </w:trPr>
        <w:tc>
          <w:tcPr>
            <w:tcW w:w="1342" w:type="dxa"/>
            <w:vAlign w:val="center"/>
          </w:tcPr>
          <w:p w14:paraId="0260B31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lastRenderedPageBreak/>
              <w:t>Pig</w:t>
            </w:r>
          </w:p>
        </w:tc>
        <w:tc>
          <w:tcPr>
            <w:tcW w:w="4380" w:type="dxa"/>
            <w:vAlign w:val="center"/>
          </w:tcPr>
          <w:p w14:paraId="52C32DA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3D2FD916" w14:textId="77777777" w:rsidTr="00731D29">
        <w:trPr>
          <w:tblCellSpacing w:w="15" w:type="dxa"/>
          <w:jc w:val="center"/>
        </w:trPr>
        <w:tc>
          <w:tcPr>
            <w:tcW w:w="1342" w:type="dxa"/>
            <w:vAlign w:val="center"/>
          </w:tcPr>
          <w:p w14:paraId="421DA4E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Dog</w:t>
            </w:r>
          </w:p>
        </w:tc>
        <w:tc>
          <w:tcPr>
            <w:tcW w:w="4380" w:type="dxa"/>
            <w:vAlign w:val="center"/>
          </w:tcPr>
          <w:p w14:paraId="064C6E4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72974062" w14:textId="77777777" w:rsidTr="00731D29">
        <w:trPr>
          <w:tblCellSpacing w:w="15" w:type="dxa"/>
          <w:jc w:val="center"/>
        </w:trPr>
        <w:tc>
          <w:tcPr>
            <w:tcW w:w="1342" w:type="dxa"/>
            <w:vAlign w:val="center"/>
          </w:tcPr>
          <w:p w14:paraId="6FA7F06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Cat</w:t>
            </w:r>
          </w:p>
        </w:tc>
        <w:tc>
          <w:tcPr>
            <w:tcW w:w="4380" w:type="dxa"/>
            <w:vAlign w:val="center"/>
          </w:tcPr>
          <w:p w14:paraId="18BF010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5DA55425" w14:textId="77777777" w:rsidTr="00731D29">
        <w:trPr>
          <w:tblCellSpacing w:w="15" w:type="dxa"/>
          <w:jc w:val="center"/>
        </w:trPr>
        <w:tc>
          <w:tcPr>
            <w:tcW w:w="1342" w:type="dxa"/>
            <w:vAlign w:val="center"/>
          </w:tcPr>
          <w:p w14:paraId="2F8DDD7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Horse</w:t>
            </w:r>
          </w:p>
        </w:tc>
        <w:tc>
          <w:tcPr>
            <w:tcW w:w="4380" w:type="dxa"/>
            <w:vAlign w:val="center"/>
          </w:tcPr>
          <w:p w14:paraId="7075435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0.75 mg/mL</w:t>
            </w:r>
          </w:p>
        </w:tc>
      </w:tr>
      <w:tr w:rsidR="00B752EF" w:rsidRPr="008D07DF" w14:paraId="0BD2B929" w14:textId="77777777" w:rsidTr="00731D29">
        <w:trPr>
          <w:tblCellSpacing w:w="15" w:type="dxa"/>
          <w:jc w:val="center"/>
        </w:trPr>
        <w:tc>
          <w:tcPr>
            <w:tcW w:w="1342" w:type="dxa"/>
            <w:vAlign w:val="center"/>
          </w:tcPr>
          <w:p w14:paraId="2A99ECE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Alpaca</w:t>
            </w:r>
          </w:p>
        </w:tc>
        <w:tc>
          <w:tcPr>
            <w:tcW w:w="4380" w:type="dxa"/>
            <w:vAlign w:val="center"/>
          </w:tcPr>
          <w:p w14:paraId="6E213A9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1.5 mg/mL</w:t>
            </w:r>
          </w:p>
        </w:tc>
      </w:tr>
      <w:tr w:rsidR="00B752EF" w:rsidRPr="008D07DF" w14:paraId="2D8CC210" w14:textId="77777777" w:rsidTr="00731D29">
        <w:trPr>
          <w:tblCellSpacing w:w="15" w:type="dxa"/>
          <w:jc w:val="center"/>
        </w:trPr>
        <w:tc>
          <w:tcPr>
            <w:tcW w:w="1342" w:type="dxa"/>
            <w:vAlign w:val="center"/>
          </w:tcPr>
          <w:p w14:paraId="2E1613D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Sheep</w:t>
            </w:r>
          </w:p>
        </w:tc>
        <w:tc>
          <w:tcPr>
            <w:tcW w:w="4380" w:type="dxa"/>
            <w:vAlign w:val="center"/>
          </w:tcPr>
          <w:p w14:paraId="2002FC1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w:t>
            </w:r>
          </w:p>
        </w:tc>
      </w:tr>
      <w:tr w:rsidR="00B752EF" w:rsidRPr="008D07DF" w14:paraId="418493E8" w14:textId="77777777" w:rsidTr="00731D29">
        <w:trPr>
          <w:tblCellSpacing w:w="15" w:type="dxa"/>
          <w:jc w:val="center"/>
        </w:trPr>
        <w:tc>
          <w:tcPr>
            <w:tcW w:w="1342" w:type="dxa"/>
            <w:vAlign w:val="center"/>
          </w:tcPr>
          <w:p w14:paraId="0BFDA7E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Cattle</w:t>
            </w:r>
          </w:p>
        </w:tc>
        <w:tc>
          <w:tcPr>
            <w:tcW w:w="4380" w:type="dxa"/>
            <w:vAlign w:val="center"/>
          </w:tcPr>
          <w:p w14:paraId="1D1ECBF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w:t>
            </w:r>
          </w:p>
        </w:tc>
      </w:tr>
    </w:tbl>
    <w:p w14:paraId="162B13CF" w14:textId="77777777" w:rsidR="00B752EF" w:rsidRPr="008D07DF" w:rsidRDefault="00B752EF" w:rsidP="00B752EF">
      <w:pPr>
        <w:rPr>
          <w:rFonts w:ascii="Calibri" w:hAnsi="Calibri" w:cs="Calibri"/>
          <w:color w:val="000000" w:themeColor="text1"/>
        </w:rPr>
      </w:pPr>
      <w:r w:rsidRPr="008D07DF">
        <w:rPr>
          <w:rFonts w:ascii="Calibri" w:hAnsi="Calibri" w:cs="Calibri"/>
          <w:i/>
          <w:iCs/>
          <w:color w:val="000000" w:themeColor="text1"/>
        </w:rPr>
        <w:t>Note: “–” indicates that HA35 did not induce erythrocyte agglutination in that species, suggesting possible species-specific differences in HA35’s preventive effects against influenza.</w:t>
      </w:r>
    </w:p>
    <w:p w14:paraId="49E56B5E" w14:textId="77777777" w:rsidR="00B752EF" w:rsidRPr="00FB3A86" w:rsidRDefault="00B752EF" w:rsidP="00441B6F">
      <w:pPr>
        <w:pStyle w:val="Body"/>
        <w:spacing w:after="0"/>
        <w:rPr>
          <w:rFonts w:ascii="Arial" w:hAnsi="Arial" w:cs="Arial"/>
        </w:rPr>
      </w:pPr>
    </w:p>
    <w:p w14:paraId="13E3A7D6" w14:textId="5B610C58" w:rsidR="00790ADA" w:rsidRPr="00FB3A86" w:rsidRDefault="00902823" w:rsidP="00C74819">
      <w:pPr>
        <w:pStyle w:val="AbstHead"/>
        <w:spacing w:afterLines="50" w:after="120"/>
        <w:jc w:val="both"/>
        <w:rPr>
          <w:rFonts w:ascii="Arial" w:hAnsi="Arial" w:cs="Arial"/>
          <w:lang w:eastAsia="zh-CN"/>
        </w:rPr>
      </w:pPr>
      <w:r>
        <w:rPr>
          <w:rFonts w:ascii="Arial" w:hAnsi="Arial" w:cs="Arial"/>
        </w:rPr>
        <w:t xml:space="preserve">2. </w:t>
      </w:r>
      <w:r w:rsidR="003D2DC8" w:rsidRPr="003D2DC8">
        <w:rPr>
          <w:rFonts w:ascii="Arial" w:hAnsi="Arial" w:cs="Arial"/>
          <w:bCs/>
        </w:rPr>
        <w:t>Case Presentation</w:t>
      </w:r>
    </w:p>
    <w:p w14:paraId="3571BF33" w14:textId="73BD4B4B" w:rsidR="003E0646" w:rsidRDefault="003E0646" w:rsidP="00C74819">
      <w:pPr>
        <w:pStyle w:val="Body"/>
        <w:spacing w:afterLines="50" w:after="120"/>
        <w:rPr>
          <w:rFonts w:ascii="Arial" w:hAnsi="Arial" w:cs="Arial"/>
        </w:rPr>
      </w:pPr>
      <w:r w:rsidRPr="00C30A0F">
        <w:rPr>
          <w:rFonts w:ascii="Arial" w:hAnsi="Arial" w:cs="Arial"/>
          <w:b/>
          <w:caps/>
          <w:sz w:val="22"/>
        </w:rPr>
        <w:t xml:space="preserve">2.1 </w:t>
      </w:r>
      <w:r w:rsidR="003D2DC8" w:rsidRPr="003D2DC8">
        <w:rPr>
          <w:rFonts w:ascii="Arial" w:hAnsi="Arial" w:cs="Arial"/>
          <w:b/>
          <w:bCs/>
          <w:sz w:val="22"/>
        </w:rPr>
        <w:t>Clinical Information</w:t>
      </w:r>
    </w:p>
    <w:p w14:paraId="43396135" w14:textId="1784A08B" w:rsidR="00790ADA" w:rsidRDefault="00B752EF" w:rsidP="009516DB">
      <w:pPr>
        <w:pStyle w:val="Body"/>
        <w:spacing w:after="0"/>
        <w:ind w:firstLineChars="200" w:firstLine="400"/>
        <w:rPr>
          <w:rFonts w:ascii="Arial" w:hAnsi="Arial" w:cs="Arial"/>
        </w:rPr>
      </w:pPr>
      <w:r w:rsidRPr="00B752EF">
        <w:rPr>
          <w:rFonts w:ascii="Arial" w:hAnsi="Arial" w:cs="Arial"/>
        </w:rPr>
        <w:t>This study was a retrospective case series analyzing the clinical effects of long-term use of HA35 on the prevention and treatment of influenza</w:t>
      </w:r>
      <w:r w:rsidR="00A03B96" w:rsidRPr="002E0D56">
        <w:rPr>
          <w:rFonts w:ascii="Arial" w:hAnsi="Arial" w:cs="Arial"/>
        </w:rPr>
        <w:t>.</w:t>
      </w:r>
    </w:p>
    <w:p w14:paraId="0D683B0B" w14:textId="120A71DE" w:rsidR="00B752EF" w:rsidRPr="00C74819" w:rsidRDefault="00B752EF" w:rsidP="001566E5">
      <w:pPr>
        <w:pStyle w:val="Body"/>
        <w:spacing w:beforeLines="50" w:before="120" w:afterLines="50" w:after="120"/>
        <w:rPr>
          <w:rFonts w:ascii="Arial" w:hAnsi="Arial" w:cs="Arial"/>
          <w:b/>
          <w:caps/>
          <w:sz w:val="22"/>
          <w:lang w:eastAsia="zh-CN"/>
        </w:rPr>
      </w:pPr>
      <w:r w:rsidRPr="00C74819">
        <w:rPr>
          <w:rFonts w:ascii="Arial" w:hAnsi="Arial" w:cs="Arial" w:hint="eastAsia"/>
          <w:b/>
          <w:caps/>
          <w:sz w:val="22"/>
        </w:rPr>
        <w:t xml:space="preserve">2.1.1 </w:t>
      </w:r>
      <w:r w:rsidRPr="00C74819">
        <w:rPr>
          <w:rFonts w:ascii="Arial" w:hAnsi="Arial" w:cs="Arial"/>
          <w:b/>
          <w:caps/>
          <w:sz w:val="22"/>
        </w:rPr>
        <w:t>Long-Term Preventive Cases</w:t>
      </w:r>
    </w:p>
    <w:p w14:paraId="18B32FB6" w14:textId="77777777" w:rsidR="00C74819" w:rsidRDefault="00B752EF" w:rsidP="00C74819">
      <w:pPr>
        <w:pStyle w:val="Body"/>
        <w:rPr>
          <w:rFonts w:ascii="Arial" w:hAnsi="Arial" w:cs="Arial"/>
          <w:lang w:eastAsia="zh-CN"/>
        </w:rPr>
      </w:pPr>
      <w:r w:rsidRPr="00B752EF">
        <w:rPr>
          <w:rFonts w:ascii="Arial" w:hAnsi="Arial" w:cs="Arial"/>
        </w:rPr>
        <w:t>The study included three volunteers who had been using HA35 continuously from 2015 to 2024 for non-influenza-related purposes such as pain relief, cosmetic enhancement, and anti-aging therapy. Their demographic and clinical characteristics were as follows: Patient 1 — female, 71 years old, with a history of hypertension, had been using HA35 for nine years to manage neck pain, ocular conditions, and meningioma, with a history of related surgeries; Patient 2 — female, 41 years old, generally healthy, had been using HA35 for nine years for facial contouring and cosmetic purposes, with no surgical history; Patient 3 — male, 65 years old, with hypertension and hyperglycemia, had been using HA35 for nine years for anti-aging, facial aesthetics, and back pain management, with no surgical history. All three volunteers had been long-term residents of Qingdao and Hangzhou, China, and none had received influenza vaccination during the nine-year observation period.</w:t>
      </w:r>
    </w:p>
    <w:p w14:paraId="08DAEFE1" w14:textId="42ECFD03" w:rsidR="00505F06" w:rsidRDefault="00B752EF" w:rsidP="00C74819">
      <w:pPr>
        <w:pStyle w:val="Body"/>
        <w:ind w:firstLineChars="200" w:firstLine="400"/>
        <w:rPr>
          <w:rFonts w:ascii="Arial" w:hAnsi="Arial" w:cs="Arial"/>
        </w:rPr>
      </w:pPr>
      <w:r w:rsidRPr="00B752EF">
        <w:rPr>
          <w:rFonts w:ascii="Arial" w:hAnsi="Arial" w:cs="Arial"/>
        </w:rPr>
        <w:t xml:space="preserve">Information regarding HA35 administration and influenza incidence during the usage period was collected through detailed inquiry and record review. From 2015 to 2019, during the autumn and winter influenza seasons each year, the three volunteers received weekly deep subcutaneous abdominal injections of 100 mg HA35. The HA35 was freshly prepared by mixing hyaluronidase (10 mg/mL, China Food and Drug Administration Registration No. H20174089, Shanghai </w:t>
      </w:r>
      <w:proofErr w:type="spellStart"/>
      <w:r w:rsidRPr="00B752EF">
        <w:rPr>
          <w:rFonts w:ascii="Arial" w:hAnsi="Arial" w:cs="Arial"/>
        </w:rPr>
        <w:t>Haohai</w:t>
      </w:r>
      <w:proofErr w:type="spellEnd"/>
      <w:r w:rsidRPr="00B752EF">
        <w:rPr>
          <w:rFonts w:ascii="Arial" w:hAnsi="Arial" w:cs="Arial"/>
        </w:rPr>
        <w:t xml:space="preserve"> Biotechnology Co., Ltd.) with high-molecular-weight hyaluronan (1500 units per vial, China Food and Drug Administration Registration No. H31022111, SPH No. 1 Biochemical &amp; Pharmaceutical Co., Ltd.). From 2019 to 2023, the formulation was switched to commercially available HA35 (B-HA injection, Registration No. L20200708MP07707; Ministry of Health, Mongolia), with the same dosage and injection method. Beginning in 2024, the volunteers switched to high-dose oral administration of HA35 oral solution (Food Production License No. SC10637028502320), taken 5 g per dose every three days.</w:t>
      </w:r>
    </w:p>
    <w:p w14:paraId="18C3AF79" w14:textId="3D585E39" w:rsidR="00B752EF" w:rsidRPr="00C74819" w:rsidRDefault="00B752EF" w:rsidP="00C74819">
      <w:pPr>
        <w:pStyle w:val="Body"/>
        <w:spacing w:afterLines="50" w:after="120"/>
        <w:rPr>
          <w:rFonts w:ascii="Arial" w:hAnsi="Arial" w:cs="Arial"/>
          <w:b/>
          <w:caps/>
          <w:sz w:val="22"/>
        </w:rPr>
      </w:pPr>
      <w:r w:rsidRPr="00C74819">
        <w:rPr>
          <w:rFonts w:ascii="Arial" w:hAnsi="Arial" w:cs="Arial" w:hint="eastAsia"/>
          <w:b/>
          <w:caps/>
          <w:sz w:val="22"/>
        </w:rPr>
        <w:t xml:space="preserve">2.1.2 </w:t>
      </w:r>
      <w:r w:rsidRPr="00C74819">
        <w:rPr>
          <w:rFonts w:ascii="Arial" w:hAnsi="Arial" w:cs="Arial"/>
          <w:b/>
          <w:caps/>
          <w:sz w:val="22"/>
        </w:rPr>
        <w:t>High-Altitude Influenza Case</w:t>
      </w:r>
    </w:p>
    <w:p w14:paraId="68AF0C12" w14:textId="61C0DA17" w:rsidR="00B752EF" w:rsidRPr="00B752EF" w:rsidRDefault="00B752EF" w:rsidP="003E0646">
      <w:pPr>
        <w:pStyle w:val="Body"/>
        <w:spacing w:after="0"/>
        <w:rPr>
          <w:rFonts w:ascii="Arial" w:hAnsi="Arial" w:cs="Arial"/>
        </w:rPr>
      </w:pPr>
      <w:r w:rsidRPr="00B752EF">
        <w:rPr>
          <w:rFonts w:ascii="Arial" w:hAnsi="Arial" w:cs="Arial"/>
        </w:rPr>
        <w:t xml:space="preserve">Additionally, this study reports one case of a patient with severe influenza who received short-term high-dose oral HA35 treatment at high altitude (4,000–5,000 meters). The patient was a 30-year-old healthy male who had been working long-term in a high-altitude region. </w:t>
      </w:r>
      <w:r w:rsidRPr="00B752EF">
        <w:rPr>
          <w:rFonts w:ascii="Arial" w:hAnsi="Arial" w:cs="Arial"/>
        </w:rPr>
        <w:lastRenderedPageBreak/>
        <w:t>He had no history of hypertension, hyperglycemia, chronic disease, psychiatric disorder, or prior surgery. At the end of 2024, he contracted influenza during a local outbreak. The early symptoms included headache, myalgia, and fatigue, consistent with the prodromal phase of influenza. The patient did not take any antiviral or symptomatic medications, but received oral HA35 (10 g per dose, once daily for three consecutive days; Food Production License No. SC10637028502320). During HA35 treatment, the patient was instructed to perform self-assessment of influenza-related symptoms using a 0–10 Numeric Pain Rating Scale (NPRS) (9) and to record body temperature and any complications in real time.</w:t>
      </w:r>
    </w:p>
    <w:p w14:paraId="0CD41E06" w14:textId="77777777" w:rsidR="00F07495" w:rsidRDefault="00F07495" w:rsidP="003E0646">
      <w:pPr>
        <w:pStyle w:val="Body"/>
        <w:spacing w:after="0"/>
        <w:rPr>
          <w:rFonts w:ascii="Arial" w:hAnsi="Arial" w:cs="Arial"/>
          <w:b/>
          <w:caps/>
          <w:sz w:val="22"/>
        </w:rPr>
      </w:pPr>
    </w:p>
    <w:p w14:paraId="64776A34" w14:textId="162FFD2D" w:rsidR="003E0646" w:rsidRPr="00C74819" w:rsidRDefault="003E0646" w:rsidP="00C74819">
      <w:pPr>
        <w:pStyle w:val="Body"/>
        <w:spacing w:afterLines="50" w:after="120"/>
        <w:rPr>
          <w:rFonts w:ascii="Arial" w:hAnsi="Arial" w:cs="Arial"/>
          <w:b/>
          <w:caps/>
          <w:sz w:val="22"/>
        </w:rPr>
      </w:pPr>
      <w:r w:rsidRPr="00C30A0F">
        <w:rPr>
          <w:rFonts w:ascii="Arial" w:hAnsi="Arial" w:cs="Arial"/>
          <w:b/>
          <w:caps/>
          <w:sz w:val="22"/>
        </w:rPr>
        <w:t>2.</w:t>
      </w:r>
      <w:r>
        <w:rPr>
          <w:rFonts w:ascii="Arial" w:hAnsi="Arial" w:cs="Arial" w:hint="eastAsia"/>
          <w:b/>
          <w:caps/>
          <w:sz w:val="22"/>
        </w:rPr>
        <w:t>3</w:t>
      </w:r>
      <w:r w:rsidRPr="00C30A0F">
        <w:rPr>
          <w:rFonts w:ascii="Arial" w:hAnsi="Arial" w:cs="Arial"/>
          <w:b/>
          <w:caps/>
          <w:sz w:val="22"/>
        </w:rPr>
        <w:t xml:space="preserve"> </w:t>
      </w:r>
      <w:r w:rsidR="003D2DC8" w:rsidRPr="00C74819">
        <w:rPr>
          <w:rFonts w:ascii="Arial" w:hAnsi="Arial" w:cs="Arial"/>
          <w:b/>
          <w:caps/>
          <w:sz w:val="22"/>
        </w:rPr>
        <w:t>Outcome Evaluation</w:t>
      </w:r>
    </w:p>
    <w:p w14:paraId="60883F56" w14:textId="77777777" w:rsidR="00B752EF" w:rsidRPr="00C74819" w:rsidRDefault="00B752EF" w:rsidP="00C74819">
      <w:pPr>
        <w:pStyle w:val="Body"/>
        <w:spacing w:afterLines="50" w:after="120"/>
        <w:rPr>
          <w:rFonts w:ascii="Arial" w:hAnsi="Arial" w:cs="Arial"/>
          <w:b/>
          <w:caps/>
          <w:sz w:val="22"/>
        </w:rPr>
      </w:pPr>
      <w:r w:rsidRPr="00C74819">
        <w:rPr>
          <w:rFonts w:ascii="Arial" w:hAnsi="Arial" w:cs="Arial" w:hint="eastAsia"/>
          <w:b/>
          <w:caps/>
          <w:sz w:val="22"/>
        </w:rPr>
        <w:t xml:space="preserve">2.3.1 </w:t>
      </w:r>
      <w:r w:rsidRPr="00C74819">
        <w:rPr>
          <w:rFonts w:ascii="Arial" w:hAnsi="Arial" w:cs="Arial"/>
          <w:b/>
          <w:caps/>
          <w:sz w:val="22"/>
        </w:rPr>
        <w:t>Long-Term Preventive Outcomes in HA35 Users</w:t>
      </w:r>
    </w:p>
    <w:p w14:paraId="3F37E9B9" w14:textId="11F7FB54" w:rsidR="00B752EF" w:rsidRDefault="00B752EF" w:rsidP="003E0646">
      <w:pPr>
        <w:pStyle w:val="Body"/>
        <w:spacing w:after="0"/>
        <w:rPr>
          <w:rFonts w:ascii="Arial" w:hAnsi="Arial" w:cs="Arial"/>
          <w:lang w:eastAsia="zh-CN"/>
        </w:rPr>
      </w:pPr>
      <w:r w:rsidRPr="00B752EF">
        <w:rPr>
          <w:rFonts w:ascii="Arial" w:hAnsi="Arial" w:cs="Arial"/>
          <w:lang w:eastAsia="zh-CN"/>
        </w:rPr>
        <w:t>The predominant influenza virus subtypes circulating between 2016 and 2024 are summarized in Table 3. None of the three long-term HA35 users developed infection with any major influenza subtype during the nine-year follow-up period. However, following the relaxation of COVID-19 restrictions in China in 2023, all three volunteers reported infection with COVID-19, presenting with typical symptoms such as fever, sore throat, and myalgia. These findings suggest that HA35 did not exhibit a preventive effect against non-hemagglutinin-dependent viruses such as COVID-19.</w:t>
      </w:r>
    </w:p>
    <w:p w14:paraId="5080995A"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Table 3. Incidence of Influenza and COVID-19 Infection Among Three HA35 Users (2016–2024)</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1"/>
        <w:gridCol w:w="1436"/>
        <w:gridCol w:w="2118"/>
        <w:gridCol w:w="2118"/>
        <w:gridCol w:w="2133"/>
      </w:tblGrid>
      <w:tr w:rsidR="00B752EF" w:rsidRPr="008D07DF" w14:paraId="39E79924" w14:textId="77777777" w:rsidTr="00731D29">
        <w:trPr>
          <w:tblHeader/>
          <w:tblCellSpacing w:w="15" w:type="dxa"/>
          <w:jc w:val="center"/>
        </w:trPr>
        <w:tc>
          <w:tcPr>
            <w:tcW w:w="456" w:type="dxa"/>
            <w:tcBorders>
              <w:top w:val="nil"/>
              <w:bottom w:val="single" w:sz="4" w:space="0" w:color="auto"/>
            </w:tcBorders>
            <w:vAlign w:val="center"/>
          </w:tcPr>
          <w:p w14:paraId="7087E816"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Year</w:t>
            </w:r>
          </w:p>
        </w:tc>
        <w:tc>
          <w:tcPr>
            <w:tcW w:w="1406" w:type="dxa"/>
            <w:tcBorders>
              <w:top w:val="nil"/>
              <w:bottom w:val="single" w:sz="4" w:space="0" w:color="auto"/>
            </w:tcBorders>
            <w:vAlign w:val="center"/>
          </w:tcPr>
          <w:p w14:paraId="28DF7E64"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Major Influenza Type</w:t>
            </w:r>
          </w:p>
        </w:tc>
        <w:tc>
          <w:tcPr>
            <w:tcW w:w="2088" w:type="dxa"/>
            <w:tcBorders>
              <w:top w:val="nil"/>
              <w:bottom w:val="single" w:sz="4" w:space="0" w:color="auto"/>
            </w:tcBorders>
            <w:vAlign w:val="center"/>
          </w:tcPr>
          <w:p w14:paraId="21009979"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 xml:space="preserve">Male Patient (65 </w:t>
            </w:r>
            <w:proofErr w:type="spellStart"/>
            <w:r w:rsidRPr="008D07DF">
              <w:rPr>
                <w:rFonts w:ascii="Calibri" w:hAnsi="Calibri" w:cs="Calibri"/>
                <w:b/>
                <w:bCs/>
                <w:color w:val="000000" w:themeColor="text1"/>
              </w:rPr>
              <w:t>yrs</w:t>
            </w:r>
            <w:proofErr w:type="spellEnd"/>
            <w:r w:rsidRPr="008D07DF">
              <w:rPr>
                <w:rFonts w:ascii="Calibri" w:hAnsi="Calibri" w:cs="Calibri"/>
                <w:b/>
                <w:bCs/>
                <w:color w:val="000000" w:themeColor="text1"/>
              </w:rPr>
              <w:t>)</w:t>
            </w:r>
          </w:p>
        </w:tc>
        <w:tc>
          <w:tcPr>
            <w:tcW w:w="2088" w:type="dxa"/>
            <w:tcBorders>
              <w:top w:val="nil"/>
              <w:bottom w:val="single" w:sz="4" w:space="0" w:color="auto"/>
            </w:tcBorders>
            <w:vAlign w:val="center"/>
          </w:tcPr>
          <w:p w14:paraId="2F0C73F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 xml:space="preserve">Female Patient (71 </w:t>
            </w:r>
            <w:proofErr w:type="spellStart"/>
            <w:r w:rsidRPr="008D07DF">
              <w:rPr>
                <w:rFonts w:ascii="Calibri" w:hAnsi="Calibri" w:cs="Calibri"/>
                <w:b/>
                <w:bCs/>
                <w:color w:val="000000" w:themeColor="text1"/>
              </w:rPr>
              <w:t>yrs</w:t>
            </w:r>
            <w:proofErr w:type="spellEnd"/>
            <w:r w:rsidRPr="008D07DF">
              <w:rPr>
                <w:rFonts w:ascii="Calibri" w:hAnsi="Calibri" w:cs="Calibri"/>
                <w:b/>
                <w:bCs/>
                <w:color w:val="000000" w:themeColor="text1"/>
              </w:rPr>
              <w:t>)</w:t>
            </w:r>
          </w:p>
        </w:tc>
        <w:tc>
          <w:tcPr>
            <w:tcW w:w="2088" w:type="dxa"/>
            <w:tcBorders>
              <w:top w:val="nil"/>
              <w:bottom w:val="single" w:sz="4" w:space="0" w:color="auto"/>
            </w:tcBorders>
            <w:vAlign w:val="center"/>
          </w:tcPr>
          <w:p w14:paraId="0BC90593" w14:textId="77777777" w:rsidR="00B752EF" w:rsidRPr="008D07DF" w:rsidRDefault="00B752EF" w:rsidP="00731D29">
            <w:pPr>
              <w:jc w:val="center"/>
              <w:rPr>
                <w:rFonts w:ascii="Calibri" w:hAnsi="Calibri" w:cs="Calibri"/>
                <w:b/>
                <w:bCs/>
                <w:color w:val="000000" w:themeColor="text1"/>
              </w:rPr>
            </w:pPr>
            <w:r w:rsidRPr="008D07DF">
              <w:rPr>
                <w:rFonts w:ascii="Calibri" w:hAnsi="Calibri" w:cs="Calibri"/>
                <w:b/>
                <w:bCs/>
                <w:color w:val="000000" w:themeColor="text1"/>
              </w:rPr>
              <w:t xml:space="preserve">Female Patient (41 </w:t>
            </w:r>
            <w:proofErr w:type="spellStart"/>
            <w:r w:rsidRPr="008D07DF">
              <w:rPr>
                <w:rFonts w:ascii="Calibri" w:hAnsi="Calibri" w:cs="Calibri"/>
                <w:b/>
                <w:bCs/>
                <w:color w:val="000000" w:themeColor="text1"/>
              </w:rPr>
              <w:t>yrs</w:t>
            </w:r>
            <w:proofErr w:type="spellEnd"/>
            <w:r w:rsidRPr="008D07DF">
              <w:rPr>
                <w:rFonts w:ascii="Calibri" w:hAnsi="Calibri" w:cs="Calibri"/>
                <w:b/>
                <w:bCs/>
                <w:color w:val="000000" w:themeColor="text1"/>
              </w:rPr>
              <w:t>)</w:t>
            </w:r>
          </w:p>
        </w:tc>
      </w:tr>
      <w:tr w:rsidR="00B752EF" w:rsidRPr="008D07DF" w14:paraId="06545C90" w14:textId="77777777" w:rsidTr="00731D29">
        <w:trPr>
          <w:tblCellSpacing w:w="15" w:type="dxa"/>
          <w:jc w:val="center"/>
        </w:trPr>
        <w:tc>
          <w:tcPr>
            <w:tcW w:w="456" w:type="dxa"/>
            <w:vAlign w:val="center"/>
          </w:tcPr>
          <w:p w14:paraId="04EAD18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2015</w:t>
            </w:r>
          </w:p>
        </w:tc>
        <w:tc>
          <w:tcPr>
            <w:tcW w:w="1406" w:type="dxa"/>
            <w:vAlign w:val="center"/>
          </w:tcPr>
          <w:p w14:paraId="3F74B42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7B3132E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2979F0B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613F2B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43E1750E" w14:textId="77777777" w:rsidTr="00731D29">
        <w:trPr>
          <w:tblCellSpacing w:w="15" w:type="dxa"/>
          <w:jc w:val="center"/>
        </w:trPr>
        <w:tc>
          <w:tcPr>
            <w:tcW w:w="456" w:type="dxa"/>
            <w:vAlign w:val="center"/>
          </w:tcPr>
          <w:p w14:paraId="6D6FA54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2016</w:t>
            </w:r>
          </w:p>
        </w:tc>
        <w:tc>
          <w:tcPr>
            <w:tcW w:w="1406" w:type="dxa"/>
            <w:vAlign w:val="center"/>
          </w:tcPr>
          <w:p w14:paraId="6F23772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3E9E99B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657AC74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323C06E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56A3F3CB" w14:textId="77777777" w:rsidTr="00731D29">
        <w:trPr>
          <w:tblCellSpacing w:w="15" w:type="dxa"/>
          <w:jc w:val="center"/>
        </w:trPr>
        <w:tc>
          <w:tcPr>
            <w:tcW w:w="456" w:type="dxa"/>
            <w:vAlign w:val="center"/>
          </w:tcPr>
          <w:p w14:paraId="3B54693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2017</w:t>
            </w:r>
          </w:p>
        </w:tc>
        <w:tc>
          <w:tcPr>
            <w:tcW w:w="1406" w:type="dxa"/>
            <w:vAlign w:val="center"/>
          </w:tcPr>
          <w:p w14:paraId="30550F4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4A37649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A1ADA3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0333006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BF37585" w14:textId="77777777" w:rsidTr="00731D29">
        <w:trPr>
          <w:tblCellSpacing w:w="15" w:type="dxa"/>
          <w:jc w:val="center"/>
        </w:trPr>
        <w:tc>
          <w:tcPr>
            <w:tcW w:w="456" w:type="dxa"/>
            <w:vAlign w:val="center"/>
          </w:tcPr>
          <w:p w14:paraId="6ACC944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2018</w:t>
            </w:r>
          </w:p>
        </w:tc>
        <w:tc>
          <w:tcPr>
            <w:tcW w:w="1406" w:type="dxa"/>
            <w:vAlign w:val="center"/>
          </w:tcPr>
          <w:p w14:paraId="456251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7EABFAE"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33C86B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2ADE446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38B61B98" w14:textId="77777777" w:rsidTr="00731D29">
        <w:trPr>
          <w:tblCellSpacing w:w="15" w:type="dxa"/>
          <w:jc w:val="center"/>
        </w:trPr>
        <w:tc>
          <w:tcPr>
            <w:tcW w:w="456" w:type="dxa"/>
            <w:vAlign w:val="center"/>
          </w:tcPr>
          <w:p w14:paraId="35F02F1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2019</w:t>
            </w:r>
          </w:p>
        </w:tc>
        <w:tc>
          <w:tcPr>
            <w:tcW w:w="1406" w:type="dxa"/>
            <w:vAlign w:val="center"/>
          </w:tcPr>
          <w:p w14:paraId="5A4B023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0AA0935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D40E2D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D4A5BF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CAF53B9" w14:textId="77777777" w:rsidTr="00731D29">
        <w:trPr>
          <w:tblCellSpacing w:w="15" w:type="dxa"/>
          <w:jc w:val="center"/>
        </w:trPr>
        <w:tc>
          <w:tcPr>
            <w:tcW w:w="456" w:type="dxa"/>
            <w:vAlign w:val="center"/>
          </w:tcPr>
          <w:p w14:paraId="3D4D776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2020</w:t>
            </w:r>
          </w:p>
        </w:tc>
        <w:tc>
          <w:tcPr>
            <w:tcW w:w="1406" w:type="dxa"/>
            <w:vAlign w:val="center"/>
          </w:tcPr>
          <w:p w14:paraId="5FEA747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408224F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5BCFD7C3"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F95461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23851D60" w14:textId="77777777" w:rsidTr="00731D29">
        <w:trPr>
          <w:tblCellSpacing w:w="15" w:type="dxa"/>
          <w:jc w:val="center"/>
        </w:trPr>
        <w:tc>
          <w:tcPr>
            <w:tcW w:w="456" w:type="dxa"/>
            <w:vAlign w:val="center"/>
          </w:tcPr>
          <w:p w14:paraId="5D2BB8D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2021</w:t>
            </w:r>
          </w:p>
        </w:tc>
        <w:tc>
          <w:tcPr>
            <w:tcW w:w="1406" w:type="dxa"/>
            <w:vAlign w:val="center"/>
          </w:tcPr>
          <w:p w14:paraId="715F321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C11DE0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04803AA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6577089"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33E658BB" w14:textId="77777777" w:rsidTr="00731D29">
        <w:trPr>
          <w:tblCellSpacing w:w="15" w:type="dxa"/>
          <w:jc w:val="center"/>
        </w:trPr>
        <w:tc>
          <w:tcPr>
            <w:tcW w:w="456" w:type="dxa"/>
            <w:vAlign w:val="center"/>
          </w:tcPr>
          <w:p w14:paraId="44C4AB0A"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2022</w:t>
            </w:r>
          </w:p>
        </w:tc>
        <w:tc>
          <w:tcPr>
            <w:tcW w:w="1406" w:type="dxa"/>
            <w:vAlign w:val="center"/>
          </w:tcPr>
          <w:p w14:paraId="47E27D31"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56E9A37B"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5C3187FD"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733ADAB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r w:rsidR="00B752EF" w:rsidRPr="008D07DF" w14:paraId="7C6F668D" w14:textId="77777777" w:rsidTr="00731D29">
        <w:trPr>
          <w:tblCellSpacing w:w="15" w:type="dxa"/>
          <w:jc w:val="center"/>
        </w:trPr>
        <w:tc>
          <w:tcPr>
            <w:tcW w:w="456" w:type="dxa"/>
            <w:vAlign w:val="center"/>
          </w:tcPr>
          <w:p w14:paraId="26E6D04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2023</w:t>
            </w:r>
          </w:p>
        </w:tc>
        <w:tc>
          <w:tcPr>
            <w:tcW w:w="1406" w:type="dxa"/>
            <w:vAlign w:val="center"/>
          </w:tcPr>
          <w:p w14:paraId="7FD12588"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(H3N2)</w:t>
            </w:r>
          </w:p>
        </w:tc>
        <w:tc>
          <w:tcPr>
            <w:tcW w:w="2088" w:type="dxa"/>
            <w:vAlign w:val="center"/>
          </w:tcPr>
          <w:p w14:paraId="1599C845"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c>
          <w:tcPr>
            <w:tcW w:w="2088" w:type="dxa"/>
            <w:vAlign w:val="center"/>
          </w:tcPr>
          <w:p w14:paraId="47A4CE44"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c>
          <w:tcPr>
            <w:tcW w:w="2088" w:type="dxa"/>
            <w:vAlign w:val="center"/>
          </w:tcPr>
          <w:p w14:paraId="1889E052"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 but COVID-19 positive</w:t>
            </w:r>
          </w:p>
        </w:tc>
      </w:tr>
      <w:tr w:rsidR="00B752EF" w:rsidRPr="008D07DF" w14:paraId="1E2005A6" w14:textId="77777777" w:rsidTr="00731D29">
        <w:trPr>
          <w:tblCellSpacing w:w="15" w:type="dxa"/>
          <w:jc w:val="center"/>
        </w:trPr>
        <w:tc>
          <w:tcPr>
            <w:tcW w:w="456" w:type="dxa"/>
            <w:vAlign w:val="center"/>
          </w:tcPr>
          <w:p w14:paraId="58BE3B56"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2024</w:t>
            </w:r>
          </w:p>
        </w:tc>
        <w:tc>
          <w:tcPr>
            <w:tcW w:w="1406" w:type="dxa"/>
            <w:vAlign w:val="center"/>
          </w:tcPr>
          <w:p w14:paraId="14F745DC"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A (H1N1)</w:t>
            </w:r>
          </w:p>
        </w:tc>
        <w:tc>
          <w:tcPr>
            <w:tcW w:w="2088" w:type="dxa"/>
            <w:vAlign w:val="center"/>
          </w:tcPr>
          <w:p w14:paraId="6D3FC6CF"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42BAF4C0"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c>
          <w:tcPr>
            <w:tcW w:w="2088" w:type="dxa"/>
            <w:vAlign w:val="center"/>
          </w:tcPr>
          <w:p w14:paraId="194C45D7" w14:textId="77777777" w:rsidR="00B752EF" w:rsidRPr="008D07DF" w:rsidRDefault="00B752EF" w:rsidP="00731D29">
            <w:pPr>
              <w:jc w:val="center"/>
              <w:rPr>
                <w:rFonts w:ascii="Calibri" w:hAnsi="Calibri" w:cs="Calibri"/>
                <w:color w:val="000000" w:themeColor="text1"/>
              </w:rPr>
            </w:pPr>
            <w:r w:rsidRPr="008D07DF">
              <w:rPr>
                <w:rFonts w:ascii="Calibri" w:hAnsi="Calibri" w:cs="Calibri"/>
                <w:color w:val="000000" w:themeColor="text1"/>
              </w:rPr>
              <w:t>No influenza</w:t>
            </w:r>
          </w:p>
        </w:tc>
      </w:tr>
    </w:tbl>
    <w:p w14:paraId="393B6F09" w14:textId="1704E0A2" w:rsidR="00B752EF" w:rsidRPr="00C74819" w:rsidRDefault="00C74819" w:rsidP="001566E5">
      <w:pPr>
        <w:pStyle w:val="Body"/>
        <w:spacing w:beforeLines="50" w:before="120" w:afterLines="50" w:after="120"/>
        <w:rPr>
          <w:rFonts w:ascii="Arial" w:hAnsi="Arial" w:cs="Arial"/>
          <w:b/>
          <w:caps/>
          <w:sz w:val="22"/>
        </w:rPr>
      </w:pPr>
      <w:r w:rsidRPr="00C74819">
        <w:rPr>
          <w:rFonts w:ascii="Arial" w:hAnsi="Arial" w:cs="Arial" w:hint="eastAsia"/>
          <w:b/>
          <w:caps/>
          <w:sz w:val="22"/>
        </w:rPr>
        <w:t xml:space="preserve">2.3.2 </w:t>
      </w:r>
      <w:r w:rsidR="00B752EF" w:rsidRPr="00C74819">
        <w:rPr>
          <w:rFonts w:ascii="Arial" w:hAnsi="Arial" w:cs="Arial"/>
          <w:b/>
          <w:caps/>
          <w:sz w:val="22"/>
        </w:rPr>
        <w:t>Therapeutic Outcome in a High-Altitude Influenza Case</w:t>
      </w:r>
    </w:p>
    <w:p w14:paraId="7BAE637F" w14:textId="52817797" w:rsidR="00B752EF" w:rsidRPr="00B752EF" w:rsidRDefault="00B752EF" w:rsidP="00C74819">
      <w:pPr>
        <w:pStyle w:val="Body"/>
        <w:spacing w:after="0"/>
        <w:ind w:firstLineChars="200" w:firstLine="400"/>
        <w:rPr>
          <w:rFonts w:ascii="Arial" w:hAnsi="Arial" w:cs="Arial"/>
          <w:lang w:eastAsia="zh-CN"/>
        </w:rPr>
      </w:pPr>
      <w:r w:rsidRPr="00B752EF">
        <w:rPr>
          <w:rFonts w:ascii="Arial" w:hAnsi="Arial" w:cs="Arial"/>
          <w:lang w:eastAsia="zh-CN"/>
        </w:rPr>
        <w:t>Following high-dose oral HA35 treatment, the influenza symptoms in the high-altitude patient improved markedly (Table 4), including normalization of body temperature and relief of headache, myalgia, and fatigue. As shown in Table 4, the patient initially presented with a high fever of 40 °C and symptom scores of 7–8 for headache, muscle pain, and fatigue. After three days of treatment, body temperature returned to normal, symptom scores decreased to 0, and no complications such as pneumonia or otitis media were observed.</w:t>
      </w:r>
    </w:p>
    <w:p w14:paraId="22C6054E" w14:textId="77777777" w:rsidR="00B752EF" w:rsidRPr="008D07DF" w:rsidRDefault="00B752EF" w:rsidP="00C74819">
      <w:pPr>
        <w:spacing w:beforeLines="50" w:before="120"/>
        <w:jc w:val="center"/>
        <w:rPr>
          <w:rFonts w:ascii="Calibri" w:hAnsi="Calibri" w:cs="Calibri"/>
          <w:color w:val="000000" w:themeColor="text1"/>
        </w:rPr>
      </w:pPr>
      <w:r w:rsidRPr="008D07DF">
        <w:rPr>
          <w:rFonts w:ascii="Calibri" w:hAnsi="Calibri" w:cs="Calibri"/>
          <w:b/>
          <w:bCs/>
          <w:color w:val="000000" w:themeColor="text1"/>
        </w:rPr>
        <w:t xml:space="preserve">Table 4. Therapeutic Effects of HA35 in a Patient </w:t>
      </w:r>
      <w:proofErr w:type="gramStart"/>
      <w:r w:rsidRPr="008D07DF">
        <w:rPr>
          <w:rFonts w:ascii="Calibri" w:hAnsi="Calibri" w:cs="Calibri"/>
          <w:b/>
          <w:bCs/>
          <w:color w:val="000000" w:themeColor="text1"/>
        </w:rPr>
        <w:t>With</w:t>
      </w:r>
      <w:proofErr w:type="gramEnd"/>
      <w:r w:rsidRPr="008D07DF">
        <w:rPr>
          <w:rFonts w:ascii="Calibri" w:hAnsi="Calibri" w:cs="Calibri"/>
          <w:b/>
          <w:bCs/>
          <w:color w:val="000000" w:themeColor="text1"/>
        </w:rPr>
        <w:t xml:space="preserve"> Severe Influenza at High Altitude</w:t>
      </w:r>
    </w:p>
    <w:tbl>
      <w:tblPr>
        <w:tblW w:w="8306" w:type="dxa"/>
        <w:jc w:val="center"/>
        <w:tblCellSpacing w:w="15"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9"/>
        <w:gridCol w:w="1226"/>
        <w:gridCol w:w="1392"/>
        <w:gridCol w:w="1392"/>
        <w:gridCol w:w="1407"/>
      </w:tblGrid>
      <w:tr w:rsidR="00B752EF" w:rsidRPr="008D07DF" w14:paraId="416A0A0B" w14:textId="77777777" w:rsidTr="00731D29">
        <w:trPr>
          <w:tblHeader/>
          <w:tblCellSpacing w:w="15" w:type="dxa"/>
          <w:jc w:val="center"/>
        </w:trPr>
        <w:tc>
          <w:tcPr>
            <w:tcW w:w="2844" w:type="dxa"/>
            <w:tcBorders>
              <w:top w:val="nil"/>
              <w:bottom w:val="single" w:sz="4" w:space="0" w:color="auto"/>
            </w:tcBorders>
            <w:vAlign w:val="center"/>
          </w:tcPr>
          <w:p w14:paraId="21C65076"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Symptom</w:t>
            </w:r>
          </w:p>
        </w:tc>
        <w:tc>
          <w:tcPr>
            <w:tcW w:w="1196" w:type="dxa"/>
            <w:tcBorders>
              <w:top w:val="nil"/>
              <w:bottom w:val="single" w:sz="4" w:space="0" w:color="auto"/>
            </w:tcBorders>
            <w:vAlign w:val="center"/>
          </w:tcPr>
          <w:p w14:paraId="50099183"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Before Treatment</w:t>
            </w:r>
          </w:p>
        </w:tc>
        <w:tc>
          <w:tcPr>
            <w:tcW w:w="1362" w:type="dxa"/>
            <w:tcBorders>
              <w:top w:val="nil"/>
              <w:bottom w:val="single" w:sz="4" w:space="0" w:color="auto"/>
            </w:tcBorders>
            <w:vAlign w:val="center"/>
          </w:tcPr>
          <w:p w14:paraId="1A2035D8"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1 After Treatment</w:t>
            </w:r>
          </w:p>
        </w:tc>
        <w:tc>
          <w:tcPr>
            <w:tcW w:w="1362" w:type="dxa"/>
            <w:tcBorders>
              <w:top w:val="nil"/>
              <w:bottom w:val="single" w:sz="4" w:space="0" w:color="auto"/>
            </w:tcBorders>
            <w:vAlign w:val="center"/>
          </w:tcPr>
          <w:p w14:paraId="60BE5E7B"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2 After Treatment</w:t>
            </w:r>
          </w:p>
        </w:tc>
        <w:tc>
          <w:tcPr>
            <w:tcW w:w="1362" w:type="dxa"/>
            <w:tcBorders>
              <w:top w:val="nil"/>
              <w:bottom w:val="single" w:sz="4" w:space="0" w:color="auto"/>
            </w:tcBorders>
            <w:vAlign w:val="center"/>
          </w:tcPr>
          <w:p w14:paraId="023B8BAC" w14:textId="77777777" w:rsidR="00B752EF" w:rsidRPr="008D07DF" w:rsidRDefault="00B752EF" w:rsidP="00731D29">
            <w:pPr>
              <w:rPr>
                <w:rFonts w:ascii="Calibri" w:hAnsi="Calibri" w:cs="Calibri"/>
                <w:b/>
                <w:bCs/>
                <w:color w:val="000000" w:themeColor="text1"/>
              </w:rPr>
            </w:pPr>
            <w:r w:rsidRPr="008D07DF">
              <w:rPr>
                <w:rFonts w:ascii="Calibri" w:hAnsi="Calibri" w:cs="Calibri"/>
                <w:b/>
                <w:bCs/>
                <w:color w:val="000000" w:themeColor="text1"/>
              </w:rPr>
              <w:t>Day 3 After Treatment</w:t>
            </w:r>
          </w:p>
        </w:tc>
      </w:tr>
      <w:tr w:rsidR="00B752EF" w:rsidRPr="008D07DF" w14:paraId="1A9FA1D8" w14:textId="77777777" w:rsidTr="00731D29">
        <w:trPr>
          <w:tblCellSpacing w:w="15" w:type="dxa"/>
          <w:jc w:val="center"/>
        </w:trPr>
        <w:tc>
          <w:tcPr>
            <w:tcW w:w="2844" w:type="dxa"/>
            <w:vAlign w:val="center"/>
          </w:tcPr>
          <w:p w14:paraId="1C10298F"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High fever (39–40°C), possibly with chills; duration 3–5 days</w:t>
            </w:r>
          </w:p>
        </w:tc>
        <w:tc>
          <w:tcPr>
            <w:tcW w:w="1196" w:type="dxa"/>
            <w:vAlign w:val="center"/>
          </w:tcPr>
          <w:p w14:paraId="33170A1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40°C</w:t>
            </w:r>
          </w:p>
        </w:tc>
        <w:tc>
          <w:tcPr>
            <w:tcW w:w="1362" w:type="dxa"/>
            <w:vAlign w:val="center"/>
          </w:tcPr>
          <w:p w14:paraId="15EB2EEF"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38°C</w:t>
            </w:r>
          </w:p>
        </w:tc>
        <w:tc>
          <w:tcPr>
            <w:tcW w:w="1362" w:type="dxa"/>
            <w:vAlign w:val="center"/>
          </w:tcPr>
          <w:p w14:paraId="7A74561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37°C</w:t>
            </w:r>
          </w:p>
        </w:tc>
        <w:tc>
          <w:tcPr>
            <w:tcW w:w="1362" w:type="dxa"/>
            <w:vAlign w:val="center"/>
          </w:tcPr>
          <w:p w14:paraId="5C17DDA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37°C</w:t>
            </w:r>
          </w:p>
        </w:tc>
      </w:tr>
      <w:tr w:rsidR="00B752EF" w:rsidRPr="008D07DF" w14:paraId="671B7E33" w14:textId="77777777" w:rsidTr="00731D29">
        <w:trPr>
          <w:tblCellSpacing w:w="15" w:type="dxa"/>
          <w:jc w:val="center"/>
        </w:trPr>
        <w:tc>
          <w:tcPr>
            <w:tcW w:w="2844" w:type="dxa"/>
            <w:vAlign w:val="center"/>
          </w:tcPr>
          <w:p w14:paraId="7910A233"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lastRenderedPageBreak/>
              <w:t>Headache (NPRS 0–10)</w:t>
            </w:r>
          </w:p>
        </w:tc>
        <w:tc>
          <w:tcPr>
            <w:tcW w:w="1196" w:type="dxa"/>
            <w:vAlign w:val="center"/>
          </w:tcPr>
          <w:p w14:paraId="0E2B6A5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7</w:t>
            </w:r>
          </w:p>
        </w:tc>
        <w:tc>
          <w:tcPr>
            <w:tcW w:w="1362" w:type="dxa"/>
            <w:vAlign w:val="center"/>
          </w:tcPr>
          <w:p w14:paraId="329BC0DC"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1C427A5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3D5AFFFE"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5F1B0157" w14:textId="77777777" w:rsidTr="00731D29">
        <w:trPr>
          <w:tblCellSpacing w:w="15" w:type="dxa"/>
          <w:jc w:val="center"/>
        </w:trPr>
        <w:tc>
          <w:tcPr>
            <w:tcW w:w="2844" w:type="dxa"/>
            <w:vAlign w:val="center"/>
          </w:tcPr>
          <w:p w14:paraId="24C55CF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Muscle pain (NPRS 0–10)</w:t>
            </w:r>
          </w:p>
        </w:tc>
        <w:tc>
          <w:tcPr>
            <w:tcW w:w="1196" w:type="dxa"/>
            <w:vAlign w:val="center"/>
          </w:tcPr>
          <w:p w14:paraId="428B7167"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8</w:t>
            </w:r>
          </w:p>
        </w:tc>
        <w:tc>
          <w:tcPr>
            <w:tcW w:w="1362" w:type="dxa"/>
            <w:vAlign w:val="center"/>
          </w:tcPr>
          <w:p w14:paraId="7A8A4CD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26B1C3F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0CB6E27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1908FF01" w14:textId="77777777" w:rsidTr="00731D29">
        <w:trPr>
          <w:tblCellSpacing w:w="15" w:type="dxa"/>
          <w:jc w:val="center"/>
        </w:trPr>
        <w:tc>
          <w:tcPr>
            <w:tcW w:w="2844" w:type="dxa"/>
            <w:vAlign w:val="center"/>
          </w:tcPr>
          <w:p w14:paraId="2A0F4817"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Fatigue (NPRS 0–10)</w:t>
            </w:r>
          </w:p>
        </w:tc>
        <w:tc>
          <w:tcPr>
            <w:tcW w:w="1196" w:type="dxa"/>
            <w:vAlign w:val="center"/>
          </w:tcPr>
          <w:p w14:paraId="274D59E6"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8</w:t>
            </w:r>
          </w:p>
        </w:tc>
        <w:tc>
          <w:tcPr>
            <w:tcW w:w="1362" w:type="dxa"/>
            <w:vAlign w:val="center"/>
          </w:tcPr>
          <w:p w14:paraId="5D7E813A"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4</w:t>
            </w:r>
          </w:p>
        </w:tc>
        <w:tc>
          <w:tcPr>
            <w:tcW w:w="1362" w:type="dxa"/>
            <w:vAlign w:val="center"/>
          </w:tcPr>
          <w:p w14:paraId="59308282"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2</w:t>
            </w:r>
          </w:p>
        </w:tc>
        <w:tc>
          <w:tcPr>
            <w:tcW w:w="1362" w:type="dxa"/>
            <w:vAlign w:val="center"/>
          </w:tcPr>
          <w:p w14:paraId="350B996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0</w:t>
            </w:r>
          </w:p>
        </w:tc>
      </w:tr>
      <w:tr w:rsidR="00B752EF" w:rsidRPr="008D07DF" w14:paraId="7CFC602F" w14:textId="77777777" w:rsidTr="00731D29">
        <w:trPr>
          <w:tblCellSpacing w:w="15" w:type="dxa"/>
          <w:jc w:val="center"/>
        </w:trPr>
        <w:tc>
          <w:tcPr>
            <w:tcW w:w="2844" w:type="dxa"/>
            <w:vAlign w:val="center"/>
          </w:tcPr>
          <w:p w14:paraId="092B8323"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Complications (e.g., pneumonia, otitis media)</w:t>
            </w:r>
          </w:p>
        </w:tc>
        <w:tc>
          <w:tcPr>
            <w:tcW w:w="1196" w:type="dxa"/>
            <w:vAlign w:val="center"/>
          </w:tcPr>
          <w:p w14:paraId="65528AE9"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2AA80B80"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0BCDF4D6"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c>
          <w:tcPr>
            <w:tcW w:w="1362" w:type="dxa"/>
            <w:vAlign w:val="center"/>
          </w:tcPr>
          <w:p w14:paraId="77366638" w14:textId="77777777" w:rsidR="00B752EF" w:rsidRPr="008D07DF" w:rsidRDefault="00B752EF" w:rsidP="00731D29">
            <w:pPr>
              <w:rPr>
                <w:rFonts w:ascii="Calibri" w:hAnsi="Calibri" w:cs="Calibri"/>
                <w:color w:val="000000" w:themeColor="text1"/>
              </w:rPr>
            </w:pPr>
            <w:r w:rsidRPr="008D07DF">
              <w:rPr>
                <w:rFonts w:ascii="Calibri" w:hAnsi="Calibri" w:cs="Calibri"/>
                <w:color w:val="000000" w:themeColor="text1"/>
              </w:rPr>
              <w:t>None</w:t>
            </w:r>
          </w:p>
        </w:tc>
      </w:tr>
    </w:tbl>
    <w:p w14:paraId="2D2344FD" w14:textId="7E4A4C7A" w:rsidR="00231920" w:rsidRDefault="00231920" w:rsidP="003E0646">
      <w:pPr>
        <w:pStyle w:val="Body"/>
        <w:spacing w:after="0"/>
        <w:rPr>
          <w:rFonts w:ascii="Arial" w:hAnsi="Arial" w:cs="Arial"/>
          <w:lang w:eastAsia="zh-CN"/>
        </w:rPr>
      </w:pPr>
    </w:p>
    <w:p w14:paraId="37418A04" w14:textId="7DD8DED3" w:rsidR="00790ADA" w:rsidRPr="00FB3A86" w:rsidRDefault="003D2DC8" w:rsidP="00C74819">
      <w:pPr>
        <w:pStyle w:val="ConcHead"/>
        <w:spacing w:afterLines="50" w:after="120"/>
        <w:jc w:val="both"/>
        <w:rPr>
          <w:rFonts w:ascii="Arial" w:hAnsi="Arial" w:cs="Arial"/>
        </w:rPr>
      </w:pPr>
      <w:r>
        <w:rPr>
          <w:rFonts w:ascii="Arial" w:hAnsi="Arial" w:cs="Arial" w:hint="eastAsia"/>
          <w:lang w:eastAsia="zh-CN"/>
        </w:rPr>
        <w:t>3</w:t>
      </w:r>
      <w:r w:rsidR="00E1383D">
        <w:rPr>
          <w:rFonts w:ascii="Arial" w:hAnsi="Arial" w:cs="Arial" w:hint="eastAsia"/>
        </w:rPr>
        <w:t>. DISCUSSION</w:t>
      </w:r>
    </w:p>
    <w:p w14:paraId="5554DF10" w14:textId="77777777" w:rsidR="00B752EF" w:rsidRPr="00B752EF" w:rsidRDefault="00B752EF" w:rsidP="00B752EF">
      <w:pPr>
        <w:pStyle w:val="Body"/>
        <w:rPr>
          <w:rFonts w:ascii="Arial" w:hAnsi="Arial" w:cs="Arial"/>
        </w:rPr>
      </w:pPr>
      <w:r w:rsidRPr="00B752EF">
        <w:rPr>
          <w:rFonts w:ascii="Arial" w:hAnsi="Arial" w:cs="Arial"/>
        </w:rPr>
        <w:t>Previous studies have shown that the naked mole rat, an animal with exceptionally high endogenous levels of hyaluronan, has an average lifespan of approximately 32 years, rarely develops cancer, exhibits remarkable pain resistance, and seldom experiences inflammatory diseases (10,11). These observations suggest that hyaluronan may play an important role in cellular protection and the regulation of inflammation (12). Furthermore, studies have reported that HA35 can, under specific conditions, promote lymphocyte trafficking and enhance immune responses, thereby potentially strengthening the host’s resistance to viral infections (13-16). Additional evidence indicates that intracellular hyaluronan also participates in the body’s defense mechanisms against influenza virus infection (17). Beyond these findings, experimental data have demonstrated that HA35 can induce erythrocyte agglutination in vitro in both humans and various animal species (5,6) (Patent No. CN111334468). Since influenza virus initiates infection by using its envelope hemagglutinin (HA) to bind sialic acid receptors on the surface of host epithelial cells (3,4), the hemagglutinating activity of HA35 observed in vitro suggests that it may share similar or competing binding sites with viral hemagglutinin. Based on this, it has been proposed that HA35 may interfere with or block the binding of influenza virus hemagglutinin to host cell receptors, thereby affecting viral infection (18-20).</w:t>
      </w:r>
    </w:p>
    <w:p w14:paraId="33FE3BE9" w14:textId="77777777" w:rsidR="00B752EF" w:rsidRPr="00B752EF" w:rsidRDefault="00B752EF" w:rsidP="00C74819">
      <w:pPr>
        <w:pStyle w:val="Body"/>
        <w:ind w:firstLineChars="200" w:firstLine="400"/>
        <w:rPr>
          <w:rFonts w:ascii="Arial" w:hAnsi="Arial" w:cs="Arial"/>
        </w:rPr>
      </w:pPr>
      <w:r w:rsidRPr="00B752EF">
        <w:rPr>
          <w:rFonts w:ascii="Arial" w:hAnsi="Arial" w:cs="Arial"/>
        </w:rPr>
        <w:t>Based on the above mechanistic findings, the results of this retrospective case series showed that three volunteers who received long-term HA35 treatment—both by injection and oral administration—did not develop any subtype of influenza during the nine-year follow-up period, as summarized in Table 3. Although a causal relationship cannot be established, the findings suggest a potential association between long-term HA35 use and reduced influenza incidence. In contrast, after the nationwide reopening in China in 2023, all three participants contracted the coronavirus infection and exhibited typical COVID-19 symptoms, indicating that HA35 did not provide preventive protection against non–hemagglutinin-dependent viruses such as the coronavirus. Furthermore, in a high-altitude patient with severe influenza, high-dose oral HA35 treatment resulted in rapid improvement of fever and systemic symptoms without any serious complications (Table 4), offering preliminary clinical evidence for the therapeutic potential of HA35 and its possible future development as a nasal formulation or delivery device for influenza management.</w:t>
      </w:r>
    </w:p>
    <w:p w14:paraId="10101948" w14:textId="67890313" w:rsidR="00E1383D" w:rsidRDefault="00B752EF" w:rsidP="00C74819">
      <w:pPr>
        <w:pStyle w:val="Body"/>
        <w:ind w:firstLineChars="200" w:firstLine="400"/>
        <w:rPr>
          <w:rFonts w:ascii="Arial" w:hAnsi="Arial" w:cs="Arial"/>
          <w:lang w:eastAsia="zh-CN"/>
        </w:rPr>
      </w:pPr>
      <w:r w:rsidRPr="00B752EF">
        <w:rPr>
          <w:rFonts w:ascii="Arial" w:hAnsi="Arial" w:cs="Arial"/>
        </w:rPr>
        <w:t>Overall, the observations in this case series are consistent with prior experimental findings, suggesting that HA35—beyond its established applications in dermatology and pain relief (19)—may possess a novel antiviral mechanism against influenza. However, due to the small sample size, lack of control group, and absence of randomization or blinding, these findings should be interpreted with caution. Future prospective, large-sample clinical studies are warranted to validate these preliminary observations.</w:t>
      </w:r>
    </w:p>
    <w:p w14:paraId="280E1F4F" w14:textId="2FB92EC9" w:rsidR="00790ADA" w:rsidRPr="00FB3A86" w:rsidRDefault="00E1383D" w:rsidP="00C74819">
      <w:pPr>
        <w:pStyle w:val="ConcHead"/>
        <w:spacing w:afterLines="50" w:after="120"/>
        <w:jc w:val="both"/>
        <w:rPr>
          <w:rFonts w:ascii="Arial" w:hAnsi="Arial" w:cs="Arial"/>
          <w:lang w:eastAsia="zh-CN"/>
        </w:rPr>
      </w:pPr>
      <w:r>
        <w:rPr>
          <w:rFonts w:ascii="Arial" w:hAnsi="Arial" w:cs="Arial" w:hint="eastAsia"/>
          <w:lang w:eastAsia="zh-CN"/>
        </w:rPr>
        <w:lastRenderedPageBreak/>
        <w:t>5</w:t>
      </w:r>
      <w:r w:rsidR="00000F8F">
        <w:rPr>
          <w:rFonts w:ascii="Arial" w:hAnsi="Arial" w:cs="Arial"/>
        </w:rPr>
        <w:t xml:space="preserve">. </w:t>
      </w:r>
      <w:r w:rsidR="00B01FCD" w:rsidRPr="00FB3A86">
        <w:rPr>
          <w:rFonts w:ascii="Arial" w:hAnsi="Arial" w:cs="Arial"/>
        </w:rPr>
        <w:t>Conclusion</w:t>
      </w:r>
    </w:p>
    <w:p w14:paraId="40D3EAC6" w14:textId="663CF1E9" w:rsidR="00B01FCD" w:rsidRDefault="00B752EF" w:rsidP="003D2DC8">
      <w:pPr>
        <w:pStyle w:val="Body"/>
        <w:spacing w:after="0"/>
        <w:rPr>
          <w:rFonts w:ascii="Arial" w:hAnsi="Arial" w:cs="Arial"/>
        </w:rPr>
      </w:pPr>
      <w:r w:rsidRPr="00B752EF">
        <w:rPr>
          <w:rFonts w:ascii="Arial" w:hAnsi="Arial" w:cs="Arial"/>
        </w:rPr>
        <w:t xml:space="preserve">This case series showed that volunteers who received long-term injectable or oral HA35 did not develop influenza over a nine-year period, while a patient with severe high-altitude influenza experienced marked symptom improvement following high-dose HA35 treatment. These findings suggest that HA35 </w:t>
      </w:r>
      <w:proofErr w:type="spellStart"/>
      <w:r w:rsidRPr="00B752EF">
        <w:rPr>
          <w:rFonts w:ascii="Arial" w:hAnsi="Arial" w:cs="Arial"/>
        </w:rPr>
        <w:t>nosal</w:t>
      </w:r>
      <w:proofErr w:type="spellEnd"/>
      <w:r w:rsidRPr="00B752EF">
        <w:rPr>
          <w:rFonts w:ascii="Arial" w:hAnsi="Arial" w:cs="Arial"/>
        </w:rPr>
        <w:t xml:space="preserve"> formulations and devices may have potential preventive and therapeutic effects against influenza</w:t>
      </w:r>
      <w:r w:rsidR="00E1383D" w:rsidRPr="00E1383D">
        <w:rPr>
          <w:rFonts w:ascii="Arial" w:hAnsi="Arial" w:cs="Arial"/>
        </w:rPr>
        <w:t>.</w:t>
      </w:r>
    </w:p>
    <w:p w14:paraId="1CE275F0" w14:textId="77777777" w:rsidR="00790ADA" w:rsidRPr="00FB3A86" w:rsidRDefault="00790ADA" w:rsidP="00441B6F">
      <w:pPr>
        <w:pStyle w:val="Body"/>
        <w:spacing w:after="0"/>
        <w:rPr>
          <w:rFonts w:ascii="Arial" w:hAnsi="Arial" w:cs="Arial"/>
        </w:rPr>
      </w:pPr>
    </w:p>
    <w:p w14:paraId="5DE16877" w14:textId="77777777" w:rsidR="00371FB6" w:rsidRDefault="00371FB6" w:rsidP="00441B6F">
      <w:pPr>
        <w:pStyle w:val="ReferHead"/>
        <w:spacing w:after="0"/>
        <w:jc w:val="both"/>
        <w:rPr>
          <w:rFonts w:ascii="Arial" w:hAnsi="Arial" w:cs="Arial"/>
          <w:b w:val="0"/>
          <w:caps w:val="0"/>
          <w:sz w:val="20"/>
        </w:rPr>
      </w:pPr>
    </w:p>
    <w:p w14:paraId="54F2023F" w14:textId="1598F9B3" w:rsidR="002B685A" w:rsidRPr="00C74819" w:rsidRDefault="00213059" w:rsidP="00C74819">
      <w:pPr>
        <w:pStyle w:val="AcknHead"/>
        <w:spacing w:afterLines="50" w:after="120"/>
        <w:jc w:val="both"/>
        <w:rPr>
          <w:rFonts w:ascii="Arial" w:hAnsi="Arial" w:cs="Arial"/>
        </w:rPr>
      </w:pPr>
      <w:r w:rsidRPr="00C74819">
        <w:rPr>
          <w:rFonts w:ascii="Arial" w:hAnsi="Arial" w:cs="Arial"/>
        </w:rPr>
        <w:t>Ethic</w:t>
      </w:r>
      <w:r w:rsidR="00B625C0">
        <w:rPr>
          <w:rFonts w:ascii="Arial" w:hAnsi="Arial" w:cs="Arial"/>
        </w:rPr>
        <w:t xml:space="preserve">al Approval and </w:t>
      </w:r>
      <w:r w:rsidR="00B625C0" w:rsidRPr="00B625C0">
        <w:rPr>
          <w:rFonts w:ascii="Arial" w:hAnsi="Arial" w:cs="Arial"/>
        </w:rPr>
        <w:t>Consent</w:t>
      </w:r>
      <w:bookmarkStart w:id="0" w:name="_GoBack"/>
      <w:bookmarkEnd w:id="0"/>
    </w:p>
    <w:p w14:paraId="025350A4" w14:textId="0C97EAD0" w:rsidR="001A29D8" w:rsidRDefault="004607D8" w:rsidP="00213059">
      <w:pPr>
        <w:pStyle w:val="ReferHead"/>
        <w:jc w:val="both"/>
        <w:rPr>
          <w:rFonts w:ascii="Arial" w:hAnsi="Arial" w:cs="Arial"/>
          <w:b w:val="0"/>
          <w:caps w:val="0"/>
          <w:sz w:val="20"/>
          <w:lang w:eastAsia="zh-CN"/>
        </w:rPr>
      </w:pPr>
      <w:r w:rsidRPr="004607D8">
        <w:rPr>
          <w:rFonts w:ascii="Arial" w:hAnsi="Arial" w:cs="Arial"/>
          <w:b w:val="0"/>
          <w:caps w:val="0"/>
          <w:sz w:val="20"/>
          <w:lang w:eastAsia="zh-CN"/>
        </w:rPr>
        <w:t>As per international standards or university standards written ethical approval has been collected and preserved by the author(s).</w:t>
      </w:r>
      <w:r>
        <w:rPr>
          <w:rFonts w:ascii="Arial" w:hAnsi="Arial" w:cs="Arial"/>
          <w:b w:val="0"/>
          <w:caps w:val="0"/>
          <w:sz w:val="20"/>
          <w:lang w:eastAsia="zh-CN"/>
        </w:rPr>
        <w:t xml:space="preserve"> </w:t>
      </w:r>
      <w:r w:rsidR="00213059" w:rsidRPr="00213059">
        <w:rPr>
          <w:rFonts w:ascii="Arial" w:hAnsi="Arial" w:cs="Arial"/>
          <w:b w:val="0"/>
          <w:caps w:val="0"/>
          <w:sz w:val="20"/>
          <w:lang w:eastAsia="zh-CN"/>
        </w:rPr>
        <w:t>Written informed consent was obtained from the patient for the publication of any potentially identifiable images or data included in this article.</w:t>
      </w:r>
      <w:r>
        <w:rPr>
          <w:rFonts w:ascii="Arial" w:hAnsi="Arial" w:cs="Arial"/>
          <w:b w:val="0"/>
          <w:caps w:val="0"/>
          <w:sz w:val="20"/>
          <w:lang w:eastAsia="zh-CN"/>
        </w:rPr>
        <w:t xml:space="preserve"> </w:t>
      </w:r>
    </w:p>
    <w:p w14:paraId="57B73924" w14:textId="77777777" w:rsidR="00DC584E" w:rsidRPr="003A29C6" w:rsidRDefault="00DC584E" w:rsidP="00DC584E">
      <w:pPr>
        <w:jc w:val="both"/>
        <w:outlineLvl w:val="0"/>
        <w:rPr>
          <w:rFonts w:ascii="Arial" w:hAnsi="Arial" w:cs="Arial"/>
        </w:rPr>
      </w:pPr>
      <w:r w:rsidRPr="003A29C6">
        <w:rPr>
          <w:rFonts w:ascii="Arial" w:hAnsi="Arial" w:cs="Arial"/>
          <w:b/>
          <w:bCs/>
        </w:rPr>
        <w:t>COMPETING INTERESTS DISCLAIMER:</w:t>
      </w:r>
    </w:p>
    <w:p w14:paraId="2B17FA4A" w14:textId="77777777" w:rsidR="00DC584E" w:rsidRDefault="00DC584E" w:rsidP="00DC584E">
      <w:r w:rsidRPr="00A10EDE">
        <w:t>Authors have declared that they have no known competing financial interests OR non-financial interests OR personal relationships that could have appeared to influence the work reported in this paper.</w:t>
      </w:r>
    </w:p>
    <w:p w14:paraId="37BEC6B2" w14:textId="4781A53B" w:rsidR="00DC584E" w:rsidRDefault="00DC584E" w:rsidP="00213059">
      <w:pPr>
        <w:pStyle w:val="ReferHead"/>
        <w:jc w:val="both"/>
        <w:rPr>
          <w:rFonts w:ascii="Arial" w:hAnsi="Arial" w:cs="Arial"/>
          <w:b w:val="0"/>
          <w:caps w:val="0"/>
          <w:sz w:val="20"/>
          <w:lang w:eastAsia="zh-CN"/>
        </w:rPr>
      </w:pPr>
    </w:p>
    <w:p w14:paraId="53ACA93D" w14:textId="21E57D14" w:rsidR="00742937" w:rsidRDefault="00742937" w:rsidP="00213059">
      <w:pPr>
        <w:pStyle w:val="ReferHead"/>
        <w:jc w:val="both"/>
        <w:rPr>
          <w:rFonts w:ascii="Arial" w:hAnsi="Arial" w:cs="Arial"/>
          <w:b w:val="0"/>
          <w:caps w:val="0"/>
          <w:sz w:val="20"/>
          <w:lang w:eastAsia="zh-CN"/>
        </w:rPr>
      </w:pPr>
    </w:p>
    <w:p w14:paraId="11BE39D4" w14:textId="77777777" w:rsidR="00742937" w:rsidRPr="00270720" w:rsidRDefault="00742937" w:rsidP="00742937">
      <w:pPr>
        <w:rPr>
          <w:highlight w:val="yellow"/>
        </w:rPr>
      </w:pPr>
      <w:r w:rsidRPr="00270720">
        <w:rPr>
          <w:highlight w:val="yellow"/>
        </w:rPr>
        <w:t>Disclaimer (Artificial intelligence)</w:t>
      </w:r>
    </w:p>
    <w:p w14:paraId="56B5F956" w14:textId="77777777" w:rsidR="00742937" w:rsidRPr="00270720" w:rsidRDefault="00742937" w:rsidP="00742937">
      <w:pPr>
        <w:rPr>
          <w:highlight w:val="yellow"/>
        </w:rPr>
      </w:pPr>
    </w:p>
    <w:p w14:paraId="1E2B3947" w14:textId="0C4A3D78" w:rsidR="00742937" w:rsidRPr="00F66F68" w:rsidRDefault="00F66F68" w:rsidP="00742937">
      <w:pPr>
        <w:rPr>
          <w:highlight w:val="yellow"/>
        </w:rPr>
      </w:pPr>
      <w:r w:rsidRPr="00F66F68">
        <w:rPr>
          <w:highlight w:val="yellow"/>
        </w:rPr>
        <w:t>Authors hereby declare that NO generative AI technologies such as Large Language Models (</w:t>
      </w:r>
      <w:proofErr w:type="spellStart"/>
      <w:r w:rsidRPr="00F66F68">
        <w:rPr>
          <w:highlight w:val="yellow"/>
        </w:rPr>
        <w:t>ChatGPT</w:t>
      </w:r>
      <w:proofErr w:type="spellEnd"/>
      <w:r w:rsidRPr="00F66F68">
        <w:rPr>
          <w:highlight w:val="yellow"/>
        </w:rPr>
        <w:t>, COPILOT, etc.) and text-to-image generators have been used during the writing or editing of this manuscript.</w:t>
      </w:r>
    </w:p>
    <w:p w14:paraId="7B4114E2" w14:textId="77777777" w:rsidR="00742937" w:rsidRPr="00270720" w:rsidRDefault="00742937" w:rsidP="00742937">
      <w:pPr>
        <w:rPr>
          <w:highlight w:val="yellow"/>
        </w:rPr>
      </w:pPr>
    </w:p>
    <w:p w14:paraId="7BFC1BAA" w14:textId="77777777" w:rsidR="00742937" w:rsidRPr="003B6E71" w:rsidRDefault="00742937" w:rsidP="00213059">
      <w:pPr>
        <w:pStyle w:val="ReferHead"/>
        <w:jc w:val="both"/>
        <w:rPr>
          <w:rFonts w:ascii="Arial" w:hAnsi="Arial" w:cs="Arial"/>
          <w:b w:val="0"/>
          <w:caps w:val="0"/>
          <w:sz w:val="20"/>
          <w:lang w:eastAsia="zh-CN"/>
        </w:rPr>
      </w:pPr>
    </w:p>
    <w:p w14:paraId="13B7BDE7" w14:textId="77777777" w:rsidR="00860000" w:rsidRDefault="00860000" w:rsidP="00441B6F">
      <w:pPr>
        <w:pStyle w:val="ReferHead"/>
        <w:spacing w:after="0"/>
        <w:jc w:val="both"/>
        <w:rPr>
          <w:rFonts w:ascii="Arial" w:hAnsi="Arial" w:cs="Arial"/>
          <w:lang w:eastAsia="zh-CN"/>
        </w:rPr>
      </w:pPr>
    </w:p>
    <w:p w14:paraId="56BFA6AC" w14:textId="1A71F7EC" w:rsidR="00284C4C" w:rsidRPr="007C7790" w:rsidRDefault="00B01FCD" w:rsidP="00C74819">
      <w:pPr>
        <w:pStyle w:val="AcknHead"/>
        <w:spacing w:afterLines="50" w:after="120"/>
        <w:jc w:val="both"/>
        <w:rPr>
          <w:rFonts w:ascii="Arial" w:hAnsi="Arial" w:cs="Arial"/>
        </w:rPr>
      </w:pPr>
      <w:r w:rsidRPr="00FB3A86">
        <w:rPr>
          <w:rFonts w:ascii="Arial" w:hAnsi="Arial" w:cs="Arial"/>
        </w:rPr>
        <w:t>References</w:t>
      </w:r>
    </w:p>
    <w:p w14:paraId="33714010" w14:textId="76B0B967" w:rsidR="00B752EF" w:rsidRPr="00B32BDC" w:rsidRDefault="00B32BDC" w:rsidP="00B752EF">
      <w:pPr>
        <w:pStyle w:val="Body"/>
        <w:numPr>
          <w:ilvl w:val="0"/>
          <w:numId w:val="34"/>
        </w:numPr>
        <w:rPr>
          <w:bCs/>
          <w:iCs/>
          <w:highlight w:val="yellow"/>
          <w:lang w:eastAsia="zh-CN"/>
        </w:rPr>
      </w:pPr>
      <w:r w:rsidRPr="00B32BDC">
        <w:rPr>
          <w:bCs/>
          <w:iCs/>
          <w:highlight w:val="yellow"/>
          <w:lang w:eastAsia="zh-CN"/>
        </w:rPr>
        <w:t>Wu</w:t>
      </w:r>
      <w:r w:rsidRPr="00B32BDC">
        <w:rPr>
          <w:rFonts w:hint="eastAsia"/>
          <w:bCs/>
          <w:iCs/>
          <w:highlight w:val="yellow"/>
          <w:lang w:eastAsia="zh-CN"/>
        </w:rPr>
        <w:t>,</w:t>
      </w:r>
      <w:r w:rsidRPr="00B32BDC">
        <w:rPr>
          <w:bCs/>
          <w:iCs/>
          <w:highlight w:val="yellow"/>
          <w:lang w:eastAsia="zh-CN"/>
        </w:rPr>
        <w:t xml:space="preserve"> N</w:t>
      </w:r>
      <w:r w:rsidRPr="00B32BDC">
        <w:rPr>
          <w:rFonts w:hint="eastAsia"/>
          <w:bCs/>
          <w:iCs/>
          <w:highlight w:val="yellow"/>
          <w:lang w:eastAsia="zh-CN"/>
        </w:rPr>
        <w:t>.</w:t>
      </w:r>
      <w:r w:rsidRPr="00B32BDC">
        <w:rPr>
          <w:bCs/>
          <w:iCs/>
          <w:highlight w:val="yellow"/>
          <w:lang w:eastAsia="zh-CN"/>
        </w:rPr>
        <w:t>C</w:t>
      </w:r>
      <w:r w:rsidRPr="00B32BDC">
        <w:rPr>
          <w:rFonts w:hint="eastAsia"/>
          <w:bCs/>
          <w:iCs/>
          <w:highlight w:val="yellow"/>
          <w:lang w:eastAsia="zh-CN"/>
        </w:rPr>
        <w:t>.</w:t>
      </w:r>
      <w:r w:rsidRPr="00B32BDC">
        <w:rPr>
          <w:bCs/>
          <w:iCs/>
          <w:highlight w:val="yellow"/>
          <w:lang w:eastAsia="zh-CN"/>
        </w:rPr>
        <w:t>, Wilson</w:t>
      </w:r>
      <w:r w:rsidRPr="00B32BDC">
        <w:rPr>
          <w:rFonts w:hint="eastAsia"/>
          <w:bCs/>
          <w:iCs/>
          <w:highlight w:val="yellow"/>
          <w:lang w:eastAsia="zh-CN"/>
        </w:rPr>
        <w:t>,</w:t>
      </w:r>
      <w:r w:rsidRPr="00B32BDC">
        <w:rPr>
          <w:bCs/>
          <w:iCs/>
          <w:highlight w:val="yellow"/>
          <w:lang w:eastAsia="zh-CN"/>
        </w:rPr>
        <w:t xml:space="preserve"> I</w:t>
      </w:r>
      <w:r w:rsidRPr="00B32BDC">
        <w:rPr>
          <w:rFonts w:hint="eastAsia"/>
          <w:bCs/>
          <w:iCs/>
          <w:highlight w:val="yellow"/>
          <w:lang w:eastAsia="zh-CN"/>
        </w:rPr>
        <w:t>.</w:t>
      </w:r>
      <w:r w:rsidRPr="00B32BDC">
        <w:rPr>
          <w:bCs/>
          <w:iCs/>
          <w:highlight w:val="yellow"/>
          <w:lang w:eastAsia="zh-CN"/>
        </w:rPr>
        <w:t xml:space="preserve">A. </w:t>
      </w:r>
      <w:r w:rsidRPr="00B32BDC">
        <w:rPr>
          <w:rFonts w:hint="eastAsia"/>
          <w:bCs/>
          <w:iCs/>
          <w:highlight w:val="yellow"/>
          <w:lang w:eastAsia="zh-CN"/>
        </w:rPr>
        <w:t xml:space="preserve">(2020). </w:t>
      </w:r>
      <w:r w:rsidRPr="00B32BDC">
        <w:rPr>
          <w:bCs/>
          <w:iCs/>
          <w:highlight w:val="yellow"/>
          <w:lang w:eastAsia="zh-CN"/>
        </w:rPr>
        <w:t xml:space="preserve">Influenza Hemagglutinin Structures and Antibody Recognition. Cold Spring </w:t>
      </w:r>
      <w:proofErr w:type="spellStart"/>
      <w:r w:rsidRPr="00B32BDC">
        <w:rPr>
          <w:bCs/>
          <w:iCs/>
          <w:highlight w:val="yellow"/>
          <w:lang w:eastAsia="zh-CN"/>
        </w:rPr>
        <w:t>Harb</w:t>
      </w:r>
      <w:proofErr w:type="spellEnd"/>
      <w:r w:rsidRPr="00B32BDC">
        <w:rPr>
          <w:bCs/>
          <w:iCs/>
          <w:highlight w:val="yellow"/>
          <w:lang w:eastAsia="zh-CN"/>
        </w:rPr>
        <w:t xml:space="preserve"> </w:t>
      </w:r>
      <w:proofErr w:type="spellStart"/>
      <w:r w:rsidRPr="00B32BDC">
        <w:rPr>
          <w:bCs/>
          <w:iCs/>
          <w:highlight w:val="yellow"/>
          <w:lang w:eastAsia="zh-CN"/>
        </w:rPr>
        <w:t>Perspect</w:t>
      </w:r>
      <w:proofErr w:type="spellEnd"/>
      <w:r w:rsidRPr="00B32BDC">
        <w:rPr>
          <w:bCs/>
          <w:iCs/>
          <w:highlight w:val="yellow"/>
          <w:lang w:eastAsia="zh-CN"/>
        </w:rPr>
        <w:t xml:space="preserve"> Med. 10(8</w:t>
      </w:r>
      <w:proofErr w:type="gramStart"/>
      <w:r w:rsidRPr="00B32BDC">
        <w:rPr>
          <w:bCs/>
          <w:iCs/>
          <w:highlight w:val="yellow"/>
          <w:lang w:eastAsia="zh-CN"/>
        </w:rPr>
        <w:t>):a</w:t>
      </w:r>
      <w:proofErr w:type="gramEnd"/>
      <w:r w:rsidRPr="00B32BDC">
        <w:rPr>
          <w:bCs/>
          <w:iCs/>
          <w:highlight w:val="yellow"/>
          <w:lang w:eastAsia="zh-CN"/>
        </w:rPr>
        <w:t xml:space="preserve">038778. </w:t>
      </w:r>
    </w:p>
    <w:p w14:paraId="1AB36641"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Skehel</w:t>
      </w:r>
      <w:proofErr w:type="spellEnd"/>
      <w:r w:rsidRPr="00B752EF">
        <w:rPr>
          <w:bCs/>
          <w:iCs/>
          <w:lang w:eastAsia="zh-CN"/>
        </w:rPr>
        <w:t>, J. J., &amp; Wiley, D. C. (2000). Receptor binding and membrane fusion in virus entry: The influenza hemagglutinin. Annual Review of Biochemistry, 69(1), 531–569.</w:t>
      </w:r>
    </w:p>
    <w:p w14:paraId="6F66872E"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Bangaru</w:t>
      </w:r>
      <w:proofErr w:type="spellEnd"/>
      <w:r w:rsidRPr="00B752EF">
        <w:rPr>
          <w:bCs/>
          <w:iCs/>
          <w:lang w:eastAsia="zh-CN"/>
        </w:rPr>
        <w:t xml:space="preserve">, S., Lang, S., </w:t>
      </w:r>
      <w:proofErr w:type="spellStart"/>
      <w:r w:rsidRPr="00B752EF">
        <w:rPr>
          <w:bCs/>
          <w:iCs/>
          <w:lang w:eastAsia="zh-CN"/>
        </w:rPr>
        <w:t>Schotsaert</w:t>
      </w:r>
      <w:proofErr w:type="spellEnd"/>
      <w:r w:rsidRPr="00B752EF">
        <w:rPr>
          <w:bCs/>
          <w:iCs/>
          <w:lang w:eastAsia="zh-CN"/>
        </w:rPr>
        <w:t xml:space="preserve">, M., </w:t>
      </w:r>
      <w:proofErr w:type="spellStart"/>
      <w:r w:rsidRPr="00B752EF">
        <w:rPr>
          <w:bCs/>
          <w:iCs/>
          <w:lang w:eastAsia="zh-CN"/>
        </w:rPr>
        <w:t>Vanderven</w:t>
      </w:r>
      <w:proofErr w:type="spellEnd"/>
      <w:r w:rsidRPr="00B752EF">
        <w:rPr>
          <w:bCs/>
          <w:iCs/>
          <w:lang w:eastAsia="zh-CN"/>
        </w:rPr>
        <w:t xml:space="preserve">, H. A., Zhu, X., </w:t>
      </w:r>
      <w:proofErr w:type="spellStart"/>
      <w:r w:rsidRPr="00B752EF">
        <w:rPr>
          <w:bCs/>
          <w:iCs/>
          <w:lang w:eastAsia="zh-CN"/>
        </w:rPr>
        <w:t>Kose</w:t>
      </w:r>
      <w:proofErr w:type="spellEnd"/>
      <w:r w:rsidRPr="00B752EF">
        <w:rPr>
          <w:bCs/>
          <w:iCs/>
          <w:lang w:eastAsia="zh-CN"/>
        </w:rPr>
        <w:t xml:space="preserve">, N., </w:t>
      </w:r>
      <w:proofErr w:type="spellStart"/>
      <w:r w:rsidRPr="00B752EF">
        <w:rPr>
          <w:bCs/>
          <w:iCs/>
          <w:lang w:eastAsia="zh-CN"/>
        </w:rPr>
        <w:t>Bombardi</w:t>
      </w:r>
      <w:proofErr w:type="spellEnd"/>
      <w:r w:rsidRPr="00B752EF">
        <w:rPr>
          <w:bCs/>
          <w:iCs/>
          <w:lang w:eastAsia="zh-CN"/>
        </w:rPr>
        <w:t xml:space="preserve">, R., Finn, J. A., Kent, S. J., </w:t>
      </w:r>
      <w:proofErr w:type="spellStart"/>
      <w:r w:rsidRPr="00B752EF">
        <w:rPr>
          <w:bCs/>
          <w:iCs/>
          <w:lang w:eastAsia="zh-CN"/>
        </w:rPr>
        <w:t>Gilchuk</w:t>
      </w:r>
      <w:proofErr w:type="spellEnd"/>
      <w:r w:rsidRPr="00B752EF">
        <w:rPr>
          <w:bCs/>
          <w:iCs/>
          <w:lang w:eastAsia="zh-CN"/>
        </w:rPr>
        <w:t xml:space="preserve">, P., &amp; </w:t>
      </w:r>
      <w:proofErr w:type="spellStart"/>
      <w:r w:rsidRPr="00B752EF">
        <w:rPr>
          <w:bCs/>
          <w:iCs/>
          <w:lang w:eastAsia="zh-CN"/>
        </w:rPr>
        <w:t>Gilchuk</w:t>
      </w:r>
      <w:proofErr w:type="spellEnd"/>
      <w:r w:rsidRPr="00B752EF">
        <w:rPr>
          <w:bCs/>
          <w:iCs/>
          <w:lang w:eastAsia="zh-CN"/>
        </w:rPr>
        <w:t>, I. (2019). A site of vulnerability on the influenza virus hemagglutinin head domain trimer interface. Cell, 177(5), 1136–1152.e18.</w:t>
      </w:r>
    </w:p>
    <w:p w14:paraId="4B5CD90F"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Trombetta</w:t>
      </w:r>
      <w:proofErr w:type="spellEnd"/>
      <w:r w:rsidRPr="00B752EF">
        <w:rPr>
          <w:bCs/>
          <w:iCs/>
          <w:lang w:eastAsia="zh-CN"/>
        </w:rPr>
        <w:t xml:space="preserve">, C. M., </w:t>
      </w:r>
      <w:proofErr w:type="spellStart"/>
      <w:r w:rsidRPr="00B752EF">
        <w:rPr>
          <w:bCs/>
          <w:iCs/>
          <w:lang w:eastAsia="zh-CN"/>
        </w:rPr>
        <w:t>Ulivieri</w:t>
      </w:r>
      <w:proofErr w:type="spellEnd"/>
      <w:r w:rsidRPr="00B752EF">
        <w:rPr>
          <w:bCs/>
          <w:iCs/>
          <w:lang w:eastAsia="zh-CN"/>
        </w:rPr>
        <w:t xml:space="preserve">, C., Cox, R. J., Remarque, E. J., </w:t>
      </w:r>
      <w:proofErr w:type="spellStart"/>
      <w:r w:rsidRPr="00B752EF">
        <w:rPr>
          <w:bCs/>
          <w:iCs/>
          <w:lang w:eastAsia="zh-CN"/>
        </w:rPr>
        <w:t>Centi</w:t>
      </w:r>
      <w:proofErr w:type="spellEnd"/>
      <w:r w:rsidRPr="00B752EF">
        <w:rPr>
          <w:bCs/>
          <w:iCs/>
          <w:lang w:eastAsia="zh-CN"/>
        </w:rPr>
        <w:t xml:space="preserve">, C., Perini, D., </w:t>
      </w:r>
      <w:proofErr w:type="spellStart"/>
      <w:r w:rsidRPr="00B752EF">
        <w:rPr>
          <w:bCs/>
          <w:iCs/>
          <w:lang w:eastAsia="zh-CN"/>
        </w:rPr>
        <w:t>Piccini</w:t>
      </w:r>
      <w:proofErr w:type="spellEnd"/>
      <w:r w:rsidRPr="00B752EF">
        <w:rPr>
          <w:bCs/>
          <w:iCs/>
          <w:lang w:eastAsia="zh-CN"/>
        </w:rPr>
        <w:t xml:space="preserve">, G., Rossi, S., </w:t>
      </w:r>
      <w:proofErr w:type="spellStart"/>
      <w:r w:rsidRPr="00B752EF">
        <w:rPr>
          <w:bCs/>
          <w:iCs/>
          <w:lang w:eastAsia="zh-CN"/>
        </w:rPr>
        <w:t>Marchi</w:t>
      </w:r>
      <w:proofErr w:type="spellEnd"/>
      <w:r w:rsidRPr="00B752EF">
        <w:rPr>
          <w:bCs/>
          <w:iCs/>
          <w:lang w:eastAsia="zh-CN"/>
        </w:rPr>
        <w:t xml:space="preserve">, S., &amp; </w:t>
      </w:r>
      <w:proofErr w:type="spellStart"/>
      <w:r w:rsidRPr="00B752EF">
        <w:rPr>
          <w:bCs/>
          <w:iCs/>
          <w:lang w:eastAsia="zh-CN"/>
        </w:rPr>
        <w:t>Montomoli</w:t>
      </w:r>
      <w:proofErr w:type="spellEnd"/>
      <w:r w:rsidRPr="00B752EF">
        <w:rPr>
          <w:bCs/>
          <w:iCs/>
          <w:lang w:eastAsia="zh-CN"/>
        </w:rPr>
        <w:t>, E. (2018). Impact of erythrocyte species on assays for influenza serology. Journal of Preventive Medicine and Hygiene, 59(1), E1–E7.</w:t>
      </w:r>
    </w:p>
    <w:p w14:paraId="43FFFD46" w14:textId="7E4B23F4" w:rsidR="00B752EF" w:rsidRPr="00C93E41" w:rsidRDefault="00C93E41" w:rsidP="00B752EF">
      <w:pPr>
        <w:pStyle w:val="Body"/>
        <w:numPr>
          <w:ilvl w:val="0"/>
          <w:numId w:val="34"/>
        </w:numPr>
        <w:rPr>
          <w:bCs/>
          <w:iCs/>
          <w:highlight w:val="yellow"/>
          <w:lang w:eastAsia="zh-CN"/>
        </w:rPr>
      </w:pPr>
      <w:r w:rsidRPr="00C93E41">
        <w:rPr>
          <w:bCs/>
          <w:iCs/>
          <w:highlight w:val="yellow"/>
          <w:lang w:eastAsia="zh-CN"/>
        </w:rPr>
        <w:t xml:space="preserve">Ma X, Wang </w:t>
      </w:r>
      <w:proofErr w:type="spellStart"/>
      <w:proofErr w:type="gramStart"/>
      <w:r w:rsidRPr="00C93E41">
        <w:rPr>
          <w:bCs/>
          <w:iCs/>
          <w:highlight w:val="yellow"/>
          <w:lang w:eastAsia="zh-CN"/>
        </w:rPr>
        <w:t>X,Jia</w:t>
      </w:r>
      <w:proofErr w:type="spellEnd"/>
      <w:proofErr w:type="gramEnd"/>
      <w:r w:rsidRPr="00C93E41">
        <w:rPr>
          <w:bCs/>
          <w:iCs/>
          <w:highlight w:val="yellow"/>
          <w:lang w:eastAsia="zh-CN"/>
        </w:rPr>
        <w:t xml:space="preserve"> X, Hui JH, </w:t>
      </w:r>
      <w:proofErr w:type="spellStart"/>
      <w:r w:rsidRPr="00C93E41">
        <w:rPr>
          <w:bCs/>
          <w:iCs/>
          <w:highlight w:val="yellow"/>
          <w:lang w:eastAsia="zh-CN"/>
        </w:rPr>
        <w:t>Shofaro</w:t>
      </w:r>
      <w:proofErr w:type="spellEnd"/>
      <w:r w:rsidRPr="00C93E41">
        <w:rPr>
          <w:bCs/>
          <w:iCs/>
          <w:highlight w:val="yellow"/>
          <w:lang w:eastAsia="zh-CN"/>
        </w:rPr>
        <w:t xml:space="preserve"> JH, Tao R and Hui MM</w:t>
      </w:r>
      <w:r>
        <w:rPr>
          <w:rFonts w:hint="eastAsia"/>
          <w:bCs/>
          <w:iCs/>
          <w:highlight w:val="yellow"/>
          <w:lang w:eastAsia="zh-CN"/>
        </w:rPr>
        <w:t>.</w:t>
      </w:r>
      <w:r w:rsidRPr="00C93E41">
        <w:rPr>
          <w:bCs/>
          <w:iCs/>
          <w:highlight w:val="yellow"/>
          <w:lang w:eastAsia="zh-CN"/>
        </w:rPr>
        <w:t xml:space="preserve"> (2025)</w:t>
      </w:r>
      <w:r>
        <w:rPr>
          <w:rFonts w:hint="eastAsia"/>
          <w:bCs/>
          <w:iCs/>
          <w:highlight w:val="yellow"/>
          <w:lang w:eastAsia="zh-CN"/>
        </w:rPr>
        <w:t>.</w:t>
      </w:r>
      <w:r w:rsidRPr="00C93E41">
        <w:rPr>
          <w:bCs/>
          <w:iCs/>
          <w:highlight w:val="yellow"/>
          <w:lang w:eastAsia="zh-CN"/>
        </w:rPr>
        <w:t xml:space="preserve"> Size-dependent aggregation of erythrocytes by low molecular weight hyaluronic acids of different sizes: bioactivity and quality control potential. Front. Physiol. 16:1527354. </w:t>
      </w:r>
    </w:p>
    <w:p w14:paraId="4EA444B0" w14:textId="77777777" w:rsidR="00B752EF" w:rsidRPr="00B752EF" w:rsidRDefault="00B752EF" w:rsidP="00B752EF">
      <w:pPr>
        <w:pStyle w:val="Body"/>
        <w:numPr>
          <w:ilvl w:val="0"/>
          <w:numId w:val="34"/>
        </w:numPr>
        <w:rPr>
          <w:bCs/>
          <w:iCs/>
          <w:lang w:eastAsia="zh-CN"/>
        </w:rPr>
      </w:pPr>
      <w:r w:rsidRPr="00B752EF">
        <w:rPr>
          <w:bCs/>
          <w:iCs/>
          <w:lang w:eastAsia="zh-CN"/>
        </w:rPr>
        <w:lastRenderedPageBreak/>
        <w:t xml:space="preserve">Jia, X., Shi, M., Wang, Q., Hui, J. H., Silveira, R. L., </w:t>
      </w:r>
      <w:proofErr w:type="spellStart"/>
      <w:r w:rsidRPr="00B752EF">
        <w:rPr>
          <w:bCs/>
          <w:iCs/>
          <w:lang w:eastAsia="zh-CN"/>
        </w:rPr>
        <w:t>Erkhembayat</w:t>
      </w:r>
      <w:proofErr w:type="spellEnd"/>
      <w:r w:rsidRPr="00B752EF">
        <w:rPr>
          <w:bCs/>
          <w:iCs/>
          <w:lang w:eastAsia="zh-CN"/>
        </w:rPr>
        <w:t xml:space="preserve">, R., Hui, M., Gao, C., &amp; </w:t>
      </w:r>
      <w:proofErr w:type="spellStart"/>
      <w:r w:rsidRPr="00B752EF">
        <w:rPr>
          <w:bCs/>
          <w:iCs/>
          <w:lang w:eastAsia="zh-CN"/>
        </w:rPr>
        <w:t>Gantumur</w:t>
      </w:r>
      <w:proofErr w:type="spellEnd"/>
      <w:r w:rsidRPr="00B752EF">
        <w:rPr>
          <w:bCs/>
          <w:iCs/>
          <w:lang w:eastAsia="zh-CN"/>
        </w:rPr>
        <w:t>, M. A. (2023). Anti-inflammatory effects of the 35kDa hyaluronic acid fragment (B-HA/HA35). Journal of Inflammation Research, 16, 209–224.</w:t>
      </w:r>
    </w:p>
    <w:p w14:paraId="0EEC011D"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Leymarie</w:t>
      </w:r>
      <w:proofErr w:type="spellEnd"/>
      <w:r w:rsidRPr="00B752EF">
        <w:rPr>
          <w:bCs/>
          <w:iCs/>
          <w:lang w:eastAsia="zh-CN"/>
        </w:rPr>
        <w:t xml:space="preserve">, O., Meyer, L., </w:t>
      </w:r>
      <w:proofErr w:type="spellStart"/>
      <w:r w:rsidRPr="00B752EF">
        <w:rPr>
          <w:bCs/>
          <w:iCs/>
          <w:lang w:eastAsia="zh-CN"/>
        </w:rPr>
        <w:t>Hervé</w:t>
      </w:r>
      <w:proofErr w:type="spellEnd"/>
      <w:r w:rsidRPr="00B752EF">
        <w:rPr>
          <w:bCs/>
          <w:iCs/>
          <w:lang w:eastAsia="zh-CN"/>
        </w:rPr>
        <w:t xml:space="preserve">, P. L., Da Costa, B., Delmas, B., Chevalier, C., &amp; Le </w:t>
      </w:r>
      <w:proofErr w:type="spellStart"/>
      <w:r w:rsidRPr="00B752EF">
        <w:rPr>
          <w:bCs/>
          <w:iCs/>
          <w:lang w:eastAsia="zh-CN"/>
        </w:rPr>
        <w:t>Goffic</w:t>
      </w:r>
      <w:proofErr w:type="spellEnd"/>
      <w:r w:rsidRPr="00B752EF">
        <w:rPr>
          <w:bCs/>
          <w:iCs/>
          <w:lang w:eastAsia="zh-CN"/>
        </w:rPr>
        <w:t>, R. (2017). Host response comparison of H1N1- and H5N1-infected mice identifies two potential death mechanisms. International Journal of Molecular Sciences, 18(8), 1631.</w:t>
      </w:r>
    </w:p>
    <w:p w14:paraId="0EF35B9A" w14:textId="0223BB44" w:rsidR="00B752EF" w:rsidRPr="00FC7CC6" w:rsidRDefault="00D94B34" w:rsidP="00B752EF">
      <w:pPr>
        <w:pStyle w:val="Body"/>
        <w:numPr>
          <w:ilvl w:val="0"/>
          <w:numId w:val="34"/>
        </w:numPr>
        <w:rPr>
          <w:bCs/>
          <w:iCs/>
          <w:highlight w:val="yellow"/>
          <w:lang w:eastAsia="zh-CN"/>
        </w:rPr>
      </w:pPr>
      <w:r w:rsidRPr="00FC7CC6">
        <w:rPr>
          <w:bCs/>
          <w:iCs/>
          <w:highlight w:val="yellow"/>
          <w:lang w:eastAsia="zh-CN"/>
        </w:rPr>
        <w:t xml:space="preserve">Lin Y, Li Y, Cui X, Zhu N, Li X. </w:t>
      </w:r>
      <w:r w:rsidR="007E6D4C" w:rsidRPr="00FC7CC6">
        <w:rPr>
          <w:rFonts w:hint="eastAsia"/>
          <w:bCs/>
          <w:iCs/>
          <w:highlight w:val="yellow"/>
          <w:lang w:eastAsia="zh-CN"/>
        </w:rPr>
        <w:t xml:space="preserve">(2024). </w:t>
      </w:r>
      <w:r w:rsidRPr="00FC7CC6">
        <w:rPr>
          <w:bCs/>
          <w:iCs/>
          <w:highlight w:val="yellow"/>
          <w:lang w:eastAsia="zh-CN"/>
        </w:rPr>
        <w:t xml:space="preserve">Hyaluronic Acid is Associated with Severity and Prognosis in Patients with Community-Acquired Pneumonia. J </w:t>
      </w:r>
      <w:proofErr w:type="spellStart"/>
      <w:r w:rsidRPr="00FC7CC6">
        <w:rPr>
          <w:bCs/>
          <w:iCs/>
          <w:highlight w:val="yellow"/>
          <w:lang w:eastAsia="zh-CN"/>
        </w:rPr>
        <w:t>Inflamm</w:t>
      </w:r>
      <w:proofErr w:type="spellEnd"/>
      <w:r w:rsidRPr="00FC7CC6">
        <w:rPr>
          <w:bCs/>
          <w:iCs/>
          <w:highlight w:val="yellow"/>
          <w:lang w:eastAsia="zh-CN"/>
        </w:rPr>
        <w:t xml:space="preserve"> Res. 2024</w:t>
      </w:r>
      <w:r w:rsidRPr="00FC7CC6">
        <w:rPr>
          <w:rFonts w:hint="eastAsia"/>
          <w:bCs/>
          <w:iCs/>
          <w:highlight w:val="yellow"/>
          <w:lang w:eastAsia="zh-CN"/>
        </w:rPr>
        <w:t>,</w:t>
      </w:r>
      <w:r w:rsidRPr="00FC7CC6">
        <w:rPr>
          <w:bCs/>
          <w:iCs/>
          <w:highlight w:val="yellow"/>
          <w:lang w:eastAsia="zh-CN"/>
        </w:rPr>
        <w:t xml:space="preserve">17:11829-11843. </w:t>
      </w:r>
    </w:p>
    <w:p w14:paraId="290DE0EA" w14:textId="1F087BEB" w:rsidR="00B752EF" w:rsidRPr="00FC7CC6" w:rsidRDefault="007E6D4C" w:rsidP="00B752EF">
      <w:pPr>
        <w:pStyle w:val="Body"/>
        <w:numPr>
          <w:ilvl w:val="0"/>
          <w:numId w:val="34"/>
        </w:numPr>
        <w:rPr>
          <w:bCs/>
          <w:iCs/>
          <w:highlight w:val="yellow"/>
          <w:lang w:eastAsia="zh-CN"/>
        </w:rPr>
      </w:pPr>
      <w:r w:rsidRPr="00FC7CC6">
        <w:rPr>
          <w:bCs/>
          <w:iCs/>
          <w:highlight w:val="yellow"/>
          <w:lang w:eastAsia="zh-CN"/>
        </w:rPr>
        <w:t xml:space="preserve">Nugent SM, Lovejoy TI, Shull S, </w:t>
      </w:r>
      <w:proofErr w:type="spellStart"/>
      <w:r w:rsidRPr="00FC7CC6">
        <w:rPr>
          <w:bCs/>
          <w:iCs/>
          <w:highlight w:val="yellow"/>
          <w:lang w:eastAsia="zh-CN"/>
        </w:rPr>
        <w:t>Dobscha</w:t>
      </w:r>
      <w:proofErr w:type="spellEnd"/>
      <w:r w:rsidRPr="00FC7CC6">
        <w:rPr>
          <w:bCs/>
          <w:iCs/>
          <w:highlight w:val="yellow"/>
          <w:lang w:eastAsia="zh-CN"/>
        </w:rPr>
        <w:t xml:space="preserve"> SK, </w:t>
      </w:r>
      <w:proofErr w:type="spellStart"/>
      <w:r w:rsidRPr="00FC7CC6">
        <w:rPr>
          <w:bCs/>
          <w:iCs/>
          <w:highlight w:val="yellow"/>
          <w:lang w:eastAsia="zh-CN"/>
        </w:rPr>
        <w:t>Morasco</w:t>
      </w:r>
      <w:proofErr w:type="spellEnd"/>
      <w:r w:rsidRPr="00FC7CC6">
        <w:rPr>
          <w:bCs/>
          <w:iCs/>
          <w:highlight w:val="yellow"/>
          <w:lang w:eastAsia="zh-CN"/>
        </w:rPr>
        <w:t xml:space="preserve"> BJ. </w:t>
      </w:r>
      <w:r w:rsidRPr="00FC7CC6">
        <w:rPr>
          <w:rFonts w:hint="eastAsia"/>
          <w:bCs/>
          <w:iCs/>
          <w:highlight w:val="yellow"/>
          <w:lang w:eastAsia="zh-CN"/>
        </w:rPr>
        <w:t xml:space="preserve">(2021). </w:t>
      </w:r>
      <w:r w:rsidRPr="00FC7CC6">
        <w:rPr>
          <w:bCs/>
          <w:iCs/>
          <w:highlight w:val="yellow"/>
          <w:lang w:eastAsia="zh-CN"/>
        </w:rPr>
        <w:t>Associations of Pain Numeric Rating Scale Scores Collected during Usual Care with Research Administered Patient Reported Pain Outcomes. Pain Med. 22(10):2235-2241.</w:t>
      </w:r>
    </w:p>
    <w:p w14:paraId="147A2CCE" w14:textId="77777777" w:rsidR="00B752EF" w:rsidRPr="00B752EF" w:rsidRDefault="00B752EF" w:rsidP="00B752EF">
      <w:pPr>
        <w:pStyle w:val="Body"/>
        <w:numPr>
          <w:ilvl w:val="0"/>
          <w:numId w:val="34"/>
        </w:numPr>
        <w:rPr>
          <w:bCs/>
          <w:iCs/>
          <w:lang w:eastAsia="zh-CN"/>
        </w:rPr>
      </w:pPr>
      <w:r w:rsidRPr="00B752EF">
        <w:rPr>
          <w:bCs/>
          <w:iCs/>
          <w:lang w:eastAsia="zh-CN"/>
        </w:rPr>
        <w:t xml:space="preserve">Tian, X., </w:t>
      </w:r>
      <w:proofErr w:type="spellStart"/>
      <w:r w:rsidRPr="00B752EF">
        <w:rPr>
          <w:bCs/>
          <w:iCs/>
          <w:lang w:eastAsia="zh-CN"/>
        </w:rPr>
        <w:t>Azpurua</w:t>
      </w:r>
      <w:proofErr w:type="spellEnd"/>
      <w:r w:rsidRPr="00B752EF">
        <w:rPr>
          <w:bCs/>
          <w:iCs/>
          <w:lang w:eastAsia="zh-CN"/>
        </w:rPr>
        <w:t xml:space="preserve">, J., Hine, C., Vaidya, A., </w:t>
      </w:r>
      <w:proofErr w:type="spellStart"/>
      <w:r w:rsidRPr="00B752EF">
        <w:rPr>
          <w:bCs/>
          <w:iCs/>
          <w:lang w:eastAsia="zh-CN"/>
        </w:rPr>
        <w:t>Myakishev</w:t>
      </w:r>
      <w:proofErr w:type="spellEnd"/>
      <w:r w:rsidRPr="00B752EF">
        <w:rPr>
          <w:bCs/>
          <w:iCs/>
          <w:lang w:eastAsia="zh-CN"/>
        </w:rPr>
        <w:t xml:space="preserve">-Rempel, M., </w:t>
      </w:r>
      <w:proofErr w:type="spellStart"/>
      <w:r w:rsidRPr="00B752EF">
        <w:rPr>
          <w:bCs/>
          <w:iCs/>
          <w:lang w:eastAsia="zh-CN"/>
        </w:rPr>
        <w:t>Ablaeva</w:t>
      </w:r>
      <w:proofErr w:type="spellEnd"/>
      <w:r w:rsidRPr="00B752EF">
        <w:rPr>
          <w:bCs/>
          <w:iCs/>
          <w:lang w:eastAsia="zh-CN"/>
        </w:rPr>
        <w:t xml:space="preserve">, J., Mao, Z., </w:t>
      </w:r>
      <w:proofErr w:type="spellStart"/>
      <w:r w:rsidRPr="00B752EF">
        <w:rPr>
          <w:bCs/>
          <w:iCs/>
          <w:lang w:eastAsia="zh-CN"/>
        </w:rPr>
        <w:t>Nevo</w:t>
      </w:r>
      <w:proofErr w:type="spellEnd"/>
      <w:r w:rsidRPr="00B752EF">
        <w:rPr>
          <w:bCs/>
          <w:iCs/>
          <w:lang w:eastAsia="zh-CN"/>
        </w:rPr>
        <w:t xml:space="preserve">, E., </w:t>
      </w:r>
      <w:proofErr w:type="spellStart"/>
      <w:r w:rsidRPr="00B752EF">
        <w:rPr>
          <w:bCs/>
          <w:iCs/>
          <w:lang w:eastAsia="zh-CN"/>
        </w:rPr>
        <w:t>Gorbunova</w:t>
      </w:r>
      <w:proofErr w:type="spellEnd"/>
      <w:r w:rsidRPr="00B752EF">
        <w:rPr>
          <w:bCs/>
          <w:iCs/>
          <w:lang w:eastAsia="zh-CN"/>
        </w:rPr>
        <w:t xml:space="preserve">, V., &amp; </w:t>
      </w:r>
      <w:proofErr w:type="spellStart"/>
      <w:r w:rsidRPr="00B752EF">
        <w:rPr>
          <w:bCs/>
          <w:iCs/>
          <w:lang w:eastAsia="zh-CN"/>
        </w:rPr>
        <w:t>Seluanov</w:t>
      </w:r>
      <w:proofErr w:type="spellEnd"/>
      <w:r w:rsidRPr="00B752EF">
        <w:rPr>
          <w:bCs/>
          <w:iCs/>
          <w:lang w:eastAsia="zh-CN"/>
        </w:rPr>
        <w:t>, A. (2013). High-molecular-mass hyaluronan mediates the cancer resistance of the naked mole rat. Nature, 499(7458), 346–349.</w:t>
      </w:r>
    </w:p>
    <w:p w14:paraId="2E158C5D" w14:textId="77777777" w:rsidR="00B752EF" w:rsidRPr="00B752EF" w:rsidRDefault="00B752EF" w:rsidP="00B752EF">
      <w:pPr>
        <w:pStyle w:val="Body"/>
        <w:numPr>
          <w:ilvl w:val="0"/>
          <w:numId w:val="34"/>
        </w:numPr>
        <w:rPr>
          <w:bCs/>
          <w:iCs/>
          <w:lang w:eastAsia="zh-CN"/>
        </w:rPr>
      </w:pPr>
      <w:r w:rsidRPr="00B752EF">
        <w:rPr>
          <w:bCs/>
          <w:iCs/>
          <w:lang w:eastAsia="zh-CN"/>
        </w:rPr>
        <w:t xml:space="preserve">Zhang, Z., Tian, X., Lu, J. Y., </w:t>
      </w:r>
      <w:proofErr w:type="spellStart"/>
      <w:r w:rsidRPr="00B752EF">
        <w:rPr>
          <w:bCs/>
          <w:iCs/>
          <w:lang w:eastAsia="zh-CN"/>
        </w:rPr>
        <w:t>Boit</w:t>
      </w:r>
      <w:proofErr w:type="spellEnd"/>
      <w:r w:rsidRPr="00B752EF">
        <w:rPr>
          <w:bCs/>
          <w:iCs/>
          <w:lang w:eastAsia="zh-CN"/>
        </w:rPr>
        <w:t xml:space="preserve">, K., </w:t>
      </w:r>
      <w:proofErr w:type="spellStart"/>
      <w:r w:rsidRPr="00B752EF">
        <w:rPr>
          <w:bCs/>
          <w:iCs/>
          <w:lang w:eastAsia="zh-CN"/>
        </w:rPr>
        <w:t>Ablaeva</w:t>
      </w:r>
      <w:proofErr w:type="spellEnd"/>
      <w:r w:rsidRPr="00B752EF">
        <w:rPr>
          <w:bCs/>
          <w:iCs/>
          <w:lang w:eastAsia="zh-CN"/>
        </w:rPr>
        <w:t xml:space="preserve">, J., </w:t>
      </w:r>
      <w:proofErr w:type="spellStart"/>
      <w:r w:rsidRPr="00B752EF">
        <w:rPr>
          <w:bCs/>
          <w:iCs/>
          <w:lang w:eastAsia="zh-CN"/>
        </w:rPr>
        <w:t>Zakusilo</w:t>
      </w:r>
      <w:proofErr w:type="spellEnd"/>
      <w:r w:rsidRPr="00B752EF">
        <w:rPr>
          <w:bCs/>
          <w:iCs/>
          <w:lang w:eastAsia="zh-CN"/>
        </w:rPr>
        <w:t xml:space="preserve">, F. T., </w:t>
      </w:r>
      <w:proofErr w:type="spellStart"/>
      <w:r w:rsidRPr="00B752EF">
        <w:rPr>
          <w:bCs/>
          <w:iCs/>
          <w:lang w:eastAsia="zh-CN"/>
        </w:rPr>
        <w:t>Emmrich</w:t>
      </w:r>
      <w:proofErr w:type="spellEnd"/>
      <w:r w:rsidRPr="00B752EF">
        <w:rPr>
          <w:bCs/>
          <w:iCs/>
          <w:lang w:eastAsia="zh-CN"/>
        </w:rPr>
        <w:t xml:space="preserve">, S., </w:t>
      </w:r>
      <w:proofErr w:type="spellStart"/>
      <w:r w:rsidRPr="00B752EF">
        <w:rPr>
          <w:bCs/>
          <w:iCs/>
          <w:lang w:eastAsia="zh-CN"/>
        </w:rPr>
        <w:t>Firsanov</w:t>
      </w:r>
      <w:proofErr w:type="spellEnd"/>
      <w:r w:rsidRPr="00B752EF">
        <w:rPr>
          <w:bCs/>
          <w:iCs/>
          <w:lang w:eastAsia="zh-CN"/>
        </w:rPr>
        <w:t xml:space="preserve">, D., </w:t>
      </w:r>
      <w:proofErr w:type="spellStart"/>
      <w:r w:rsidRPr="00B752EF">
        <w:rPr>
          <w:bCs/>
          <w:iCs/>
          <w:lang w:eastAsia="zh-CN"/>
        </w:rPr>
        <w:t>Rydkina</w:t>
      </w:r>
      <w:proofErr w:type="spellEnd"/>
      <w:r w:rsidRPr="00B752EF">
        <w:rPr>
          <w:bCs/>
          <w:iCs/>
          <w:lang w:eastAsia="zh-CN"/>
        </w:rPr>
        <w:t xml:space="preserve">, E., </w:t>
      </w:r>
      <w:proofErr w:type="spellStart"/>
      <w:r w:rsidRPr="00B752EF">
        <w:rPr>
          <w:bCs/>
          <w:iCs/>
          <w:lang w:eastAsia="zh-CN"/>
        </w:rPr>
        <w:t>Biashad</w:t>
      </w:r>
      <w:proofErr w:type="spellEnd"/>
      <w:r w:rsidRPr="00B752EF">
        <w:rPr>
          <w:bCs/>
          <w:iCs/>
          <w:lang w:eastAsia="zh-CN"/>
        </w:rPr>
        <w:t xml:space="preserve">, S. A., Lu, Q., </w:t>
      </w:r>
      <w:proofErr w:type="spellStart"/>
      <w:r w:rsidRPr="00B752EF">
        <w:rPr>
          <w:bCs/>
          <w:iCs/>
          <w:lang w:eastAsia="zh-CN"/>
        </w:rPr>
        <w:t>Tyshkovskiy</w:t>
      </w:r>
      <w:proofErr w:type="spellEnd"/>
      <w:r w:rsidRPr="00B752EF">
        <w:rPr>
          <w:bCs/>
          <w:iCs/>
          <w:lang w:eastAsia="zh-CN"/>
        </w:rPr>
        <w:t xml:space="preserve">, A., </w:t>
      </w:r>
      <w:proofErr w:type="spellStart"/>
      <w:r w:rsidRPr="00B752EF">
        <w:rPr>
          <w:bCs/>
          <w:iCs/>
          <w:lang w:eastAsia="zh-CN"/>
        </w:rPr>
        <w:t>Gladyshev</w:t>
      </w:r>
      <w:proofErr w:type="spellEnd"/>
      <w:r w:rsidRPr="00B752EF">
        <w:rPr>
          <w:bCs/>
          <w:iCs/>
          <w:lang w:eastAsia="zh-CN"/>
        </w:rPr>
        <w:t xml:space="preserve">, V. N., Horvath, S., </w:t>
      </w:r>
      <w:proofErr w:type="spellStart"/>
      <w:r w:rsidRPr="00B752EF">
        <w:rPr>
          <w:bCs/>
          <w:iCs/>
          <w:lang w:eastAsia="zh-CN"/>
        </w:rPr>
        <w:t>Seluanov</w:t>
      </w:r>
      <w:proofErr w:type="spellEnd"/>
      <w:r w:rsidRPr="00B752EF">
        <w:rPr>
          <w:bCs/>
          <w:iCs/>
          <w:lang w:eastAsia="zh-CN"/>
        </w:rPr>
        <w:t xml:space="preserve">, A., &amp; </w:t>
      </w:r>
      <w:proofErr w:type="spellStart"/>
      <w:r w:rsidRPr="00B752EF">
        <w:rPr>
          <w:bCs/>
          <w:iCs/>
          <w:lang w:eastAsia="zh-CN"/>
        </w:rPr>
        <w:t>Gorbunova</w:t>
      </w:r>
      <w:proofErr w:type="spellEnd"/>
      <w:r w:rsidRPr="00B752EF">
        <w:rPr>
          <w:bCs/>
          <w:iCs/>
          <w:lang w:eastAsia="zh-CN"/>
        </w:rPr>
        <w:t xml:space="preserve">, V. (2023). Increased hyaluronan by naked mole-rat Has2 improves </w:t>
      </w:r>
      <w:proofErr w:type="spellStart"/>
      <w:r w:rsidRPr="00B752EF">
        <w:rPr>
          <w:bCs/>
          <w:iCs/>
          <w:lang w:eastAsia="zh-CN"/>
        </w:rPr>
        <w:t>healthspan</w:t>
      </w:r>
      <w:proofErr w:type="spellEnd"/>
      <w:r w:rsidRPr="00B752EF">
        <w:rPr>
          <w:bCs/>
          <w:iCs/>
          <w:lang w:eastAsia="zh-CN"/>
        </w:rPr>
        <w:t xml:space="preserve"> in mice. Nature, 621(7977), 196–205.</w:t>
      </w:r>
    </w:p>
    <w:p w14:paraId="0BB6A81A"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Takasugi</w:t>
      </w:r>
      <w:proofErr w:type="spellEnd"/>
      <w:r w:rsidRPr="00B752EF">
        <w:rPr>
          <w:bCs/>
          <w:iCs/>
          <w:lang w:eastAsia="zh-CN"/>
        </w:rPr>
        <w:t xml:space="preserve">, M., </w:t>
      </w:r>
      <w:proofErr w:type="spellStart"/>
      <w:r w:rsidRPr="00B752EF">
        <w:rPr>
          <w:bCs/>
          <w:iCs/>
          <w:lang w:eastAsia="zh-CN"/>
        </w:rPr>
        <w:t>Firsanov</w:t>
      </w:r>
      <w:proofErr w:type="spellEnd"/>
      <w:r w:rsidRPr="00B752EF">
        <w:rPr>
          <w:bCs/>
          <w:iCs/>
          <w:lang w:eastAsia="zh-CN"/>
        </w:rPr>
        <w:t xml:space="preserve">, D., </w:t>
      </w:r>
      <w:proofErr w:type="spellStart"/>
      <w:r w:rsidRPr="00B752EF">
        <w:rPr>
          <w:bCs/>
          <w:iCs/>
          <w:lang w:eastAsia="zh-CN"/>
        </w:rPr>
        <w:t>Tombline</w:t>
      </w:r>
      <w:proofErr w:type="spellEnd"/>
      <w:r w:rsidRPr="00B752EF">
        <w:rPr>
          <w:bCs/>
          <w:iCs/>
          <w:lang w:eastAsia="zh-CN"/>
        </w:rPr>
        <w:t xml:space="preserve">, G., Demarest, T. G., </w:t>
      </w:r>
      <w:proofErr w:type="spellStart"/>
      <w:r w:rsidRPr="00B752EF">
        <w:rPr>
          <w:bCs/>
          <w:iCs/>
          <w:lang w:eastAsia="zh-CN"/>
        </w:rPr>
        <w:t>Gorbunova</w:t>
      </w:r>
      <w:proofErr w:type="spellEnd"/>
      <w:r w:rsidRPr="00B752EF">
        <w:rPr>
          <w:bCs/>
          <w:iCs/>
          <w:lang w:eastAsia="zh-CN"/>
        </w:rPr>
        <w:t xml:space="preserve">, V., &amp; </w:t>
      </w:r>
      <w:proofErr w:type="spellStart"/>
      <w:r w:rsidRPr="00B752EF">
        <w:rPr>
          <w:bCs/>
          <w:iCs/>
          <w:lang w:eastAsia="zh-CN"/>
        </w:rPr>
        <w:t>Seluanov</w:t>
      </w:r>
      <w:proofErr w:type="spellEnd"/>
      <w:r w:rsidRPr="00B752EF">
        <w:rPr>
          <w:bCs/>
          <w:iCs/>
          <w:lang w:eastAsia="zh-CN"/>
        </w:rPr>
        <w:t>, A. (2020). Naked mole-rat very-high-molecular-mass hyaluronan exhibits superior cytoprotective properties. Nature Communications, 11(1), 2376.</w:t>
      </w:r>
    </w:p>
    <w:p w14:paraId="795B9887" w14:textId="77777777" w:rsidR="00B752EF" w:rsidRPr="00B752EF" w:rsidRDefault="00B752EF" w:rsidP="00B752EF">
      <w:pPr>
        <w:pStyle w:val="Body"/>
        <w:numPr>
          <w:ilvl w:val="0"/>
          <w:numId w:val="34"/>
        </w:numPr>
        <w:rPr>
          <w:bCs/>
          <w:iCs/>
          <w:lang w:eastAsia="zh-CN"/>
        </w:rPr>
      </w:pPr>
      <w:r w:rsidRPr="00B752EF">
        <w:rPr>
          <w:bCs/>
          <w:iCs/>
          <w:lang w:eastAsia="zh-CN"/>
        </w:rPr>
        <w:t>Johnson, L. A., &amp; Jackson, D. G. (2021). Hyaluronan and its receptors: Key mediators of immune cell entry and trafficking in the lymphatic system. Cells, 10(8), 2061.</w:t>
      </w:r>
    </w:p>
    <w:p w14:paraId="49F75DE4" w14:textId="77777777" w:rsidR="00B752EF" w:rsidRPr="00B752EF" w:rsidRDefault="00B752EF" w:rsidP="00B752EF">
      <w:pPr>
        <w:pStyle w:val="Body"/>
        <w:numPr>
          <w:ilvl w:val="0"/>
          <w:numId w:val="34"/>
        </w:numPr>
        <w:rPr>
          <w:bCs/>
          <w:iCs/>
          <w:lang w:eastAsia="zh-CN"/>
        </w:rPr>
      </w:pPr>
      <w:r w:rsidRPr="00B752EF">
        <w:rPr>
          <w:bCs/>
          <w:iCs/>
          <w:lang w:eastAsia="zh-CN"/>
        </w:rPr>
        <w:t>Jackson, D. G. (2019). Leucocyte trafficking via the lymphatic vasculature—Mechanisms and consequences. Frontiers in Immunology, 10, 471.</w:t>
      </w:r>
    </w:p>
    <w:p w14:paraId="31D9CE91" w14:textId="5A253FC7" w:rsidR="00B752EF" w:rsidRPr="0043183C" w:rsidRDefault="00C93E41" w:rsidP="00C93E41">
      <w:pPr>
        <w:pStyle w:val="Body"/>
        <w:numPr>
          <w:ilvl w:val="0"/>
          <w:numId w:val="34"/>
        </w:numPr>
        <w:rPr>
          <w:bCs/>
          <w:iCs/>
          <w:highlight w:val="yellow"/>
          <w:lang w:eastAsia="zh-CN"/>
        </w:rPr>
      </w:pPr>
      <w:proofErr w:type="spellStart"/>
      <w:r w:rsidRPr="0043183C">
        <w:rPr>
          <w:bCs/>
          <w:iCs/>
          <w:highlight w:val="yellow"/>
          <w:lang w:eastAsia="zh-CN"/>
        </w:rPr>
        <w:t>Khandmaa</w:t>
      </w:r>
      <w:proofErr w:type="spellEnd"/>
      <w:r w:rsidRPr="0043183C">
        <w:rPr>
          <w:rFonts w:hint="eastAsia"/>
          <w:bCs/>
          <w:iCs/>
          <w:highlight w:val="yellow"/>
          <w:lang w:eastAsia="zh-CN"/>
        </w:rPr>
        <w:t xml:space="preserve"> </w:t>
      </w:r>
      <w:r w:rsidRPr="0043183C">
        <w:rPr>
          <w:bCs/>
          <w:iCs/>
          <w:highlight w:val="yellow"/>
          <w:lang w:eastAsia="zh-CN"/>
        </w:rPr>
        <w:t xml:space="preserve">D, </w:t>
      </w:r>
      <w:proofErr w:type="spellStart"/>
      <w:r w:rsidRPr="0043183C">
        <w:rPr>
          <w:bCs/>
          <w:iCs/>
          <w:highlight w:val="yellow"/>
          <w:lang w:eastAsia="zh-CN"/>
        </w:rPr>
        <w:t>Shofaro</w:t>
      </w:r>
      <w:proofErr w:type="spellEnd"/>
      <w:r w:rsidRPr="0043183C">
        <w:rPr>
          <w:bCs/>
          <w:iCs/>
          <w:highlight w:val="yellow"/>
          <w:lang w:eastAsia="zh-CN"/>
        </w:rPr>
        <w:t xml:space="preserve"> J, Hui</w:t>
      </w:r>
      <w:r w:rsidRPr="0043183C">
        <w:rPr>
          <w:rFonts w:hint="eastAsia"/>
          <w:bCs/>
          <w:iCs/>
          <w:highlight w:val="yellow"/>
          <w:lang w:eastAsia="zh-CN"/>
        </w:rPr>
        <w:t xml:space="preserve"> J</w:t>
      </w:r>
      <w:r w:rsidRPr="0043183C">
        <w:rPr>
          <w:bCs/>
          <w:iCs/>
          <w:highlight w:val="yellow"/>
          <w:lang w:eastAsia="zh-CN"/>
        </w:rPr>
        <w:t>, Jia</w:t>
      </w:r>
      <w:r w:rsidRPr="0043183C">
        <w:rPr>
          <w:rFonts w:hint="eastAsia"/>
          <w:bCs/>
          <w:iCs/>
          <w:highlight w:val="yellow"/>
          <w:lang w:eastAsia="zh-CN"/>
        </w:rPr>
        <w:t xml:space="preserve"> </w:t>
      </w:r>
      <w:r w:rsidRPr="0043183C">
        <w:rPr>
          <w:bCs/>
          <w:iCs/>
          <w:highlight w:val="yellow"/>
          <w:lang w:eastAsia="zh-CN"/>
        </w:rPr>
        <w:t>X,</w:t>
      </w:r>
      <w:r w:rsidRPr="0043183C">
        <w:rPr>
          <w:rFonts w:hint="eastAsia"/>
          <w:bCs/>
          <w:iCs/>
          <w:highlight w:val="yellow"/>
          <w:lang w:eastAsia="zh-CN"/>
        </w:rPr>
        <w:t xml:space="preserve"> </w:t>
      </w:r>
      <w:r w:rsidRPr="0043183C">
        <w:rPr>
          <w:bCs/>
          <w:iCs/>
          <w:highlight w:val="yellow"/>
          <w:lang w:eastAsia="zh-CN"/>
        </w:rPr>
        <w:t>Hui</w:t>
      </w:r>
      <w:r w:rsidRPr="0043183C">
        <w:rPr>
          <w:rFonts w:hint="eastAsia"/>
          <w:bCs/>
          <w:iCs/>
          <w:highlight w:val="yellow"/>
          <w:lang w:eastAsia="zh-CN"/>
        </w:rPr>
        <w:t xml:space="preserve"> </w:t>
      </w:r>
      <w:r w:rsidRPr="0043183C">
        <w:rPr>
          <w:bCs/>
          <w:iCs/>
          <w:highlight w:val="yellow"/>
          <w:lang w:eastAsia="zh-CN"/>
        </w:rPr>
        <w:t xml:space="preserve">M. </w:t>
      </w:r>
      <w:r w:rsidRPr="0043183C">
        <w:rPr>
          <w:rFonts w:hint="eastAsia"/>
          <w:bCs/>
          <w:iCs/>
          <w:highlight w:val="yellow"/>
          <w:lang w:eastAsia="zh-CN"/>
        </w:rPr>
        <w:t>(</w:t>
      </w:r>
      <w:r w:rsidRPr="0043183C">
        <w:rPr>
          <w:bCs/>
          <w:iCs/>
          <w:highlight w:val="yellow"/>
          <w:lang w:eastAsia="zh-CN"/>
        </w:rPr>
        <w:t>2025</w:t>
      </w:r>
      <w:proofErr w:type="gramStart"/>
      <w:r w:rsidRPr="0043183C">
        <w:rPr>
          <w:rFonts w:hint="eastAsia"/>
          <w:bCs/>
          <w:iCs/>
          <w:highlight w:val="yellow"/>
          <w:lang w:eastAsia="zh-CN"/>
        </w:rPr>
        <w:t>)</w:t>
      </w:r>
      <w:r w:rsidRPr="0043183C">
        <w:rPr>
          <w:bCs/>
          <w:iCs/>
          <w:highlight w:val="yellow"/>
          <w:lang w:eastAsia="zh-CN"/>
        </w:rPr>
        <w:t>.Rapid</w:t>
      </w:r>
      <w:proofErr w:type="gramEnd"/>
      <w:r w:rsidRPr="0043183C">
        <w:rPr>
          <w:bCs/>
          <w:iCs/>
          <w:highlight w:val="yellow"/>
          <w:lang w:eastAsia="zh-CN"/>
        </w:rPr>
        <w:t xml:space="preserve"> Lymphatic Absorption of Orally Administered Low-Molecular-Weight Hyaluronic Acid: A Pathway to the Bloodstream via Mesenteric Nodes. Journal of Pharmaceutical Research International 37 (5):133-47</w:t>
      </w:r>
      <w:r w:rsidR="00B752EF" w:rsidRPr="0043183C">
        <w:rPr>
          <w:bCs/>
          <w:iCs/>
          <w:highlight w:val="yellow"/>
          <w:lang w:eastAsia="zh-CN"/>
        </w:rPr>
        <w:t>.</w:t>
      </w:r>
    </w:p>
    <w:p w14:paraId="0BD6693F"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t>Gantumur</w:t>
      </w:r>
      <w:proofErr w:type="spellEnd"/>
      <w:r w:rsidRPr="00B752EF">
        <w:rPr>
          <w:bCs/>
          <w:iCs/>
          <w:lang w:eastAsia="zh-CN"/>
        </w:rPr>
        <w:t xml:space="preserve">, M. A., Jia, X., Hui, J. H., Barber, C., Wan, L., </w:t>
      </w:r>
      <w:proofErr w:type="spellStart"/>
      <w:r w:rsidRPr="00B752EF">
        <w:rPr>
          <w:bCs/>
          <w:iCs/>
          <w:lang w:eastAsia="zh-CN"/>
        </w:rPr>
        <w:t>Furenlid</w:t>
      </w:r>
      <w:proofErr w:type="spellEnd"/>
      <w:r w:rsidRPr="00B752EF">
        <w:rPr>
          <w:bCs/>
          <w:iCs/>
          <w:lang w:eastAsia="zh-CN"/>
        </w:rPr>
        <w:t xml:space="preserve">, L. R., Martin, D. R., Hui, M., &amp; Liu, Z. (2024). Characterization, bioactivity, and biodistribution of 35 </w:t>
      </w:r>
      <w:proofErr w:type="spellStart"/>
      <w:r w:rsidRPr="00B752EF">
        <w:rPr>
          <w:bCs/>
          <w:iCs/>
          <w:lang w:eastAsia="zh-CN"/>
        </w:rPr>
        <w:t>kDa</w:t>
      </w:r>
      <w:proofErr w:type="spellEnd"/>
      <w:r w:rsidRPr="00B752EF">
        <w:rPr>
          <w:bCs/>
          <w:iCs/>
          <w:lang w:eastAsia="zh-CN"/>
        </w:rPr>
        <w:t xml:space="preserve"> hyaluronan fragment. Life, 14(1), 97.</w:t>
      </w:r>
    </w:p>
    <w:p w14:paraId="3B903DD3" w14:textId="77777777" w:rsidR="00B752EF" w:rsidRPr="00B752EF" w:rsidRDefault="00B752EF" w:rsidP="00B752EF">
      <w:pPr>
        <w:pStyle w:val="Body"/>
        <w:numPr>
          <w:ilvl w:val="0"/>
          <w:numId w:val="34"/>
        </w:numPr>
        <w:rPr>
          <w:bCs/>
          <w:iCs/>
          <w:lang w:eastAsia="zh-CN"/>
        </w:rPr>
      </w:pPr>
      <w:r w:rsidRPr="00B752EF">
        <w:rPr>
          <w:bCs/>
          <w:iCs/>
          <w:lang w:eastAsia="zh-CN"/>
        </w:rPr>
        <w:t xml:space="preserve">Skandalis, S. S., </w:t>
      </w:r>
      <w:proofErr w:type="spellStart"/>
      <w:r w:rsidRPr="00B752EF">
        <w:rPr>
          <w:bCs/>
          <w:iCs/>
          <w:lang w:eastAsia="zh-CN"/>
        </w:rPr>
        <w:t>Karalis</w:t>
      </w:r>
      <w:proofErr w:type="spellEnd"/>
      <w:r w:rsidRPr="00B752EF">
        <w:rPr>
          <w:bCs/>
          <w:iCs/>
          <w:lang w:eastAsia="zh-CN"/>
        </w:rPr>
        <w:t xml:space="preserve">, T., &amp; </w:t>
      </w:r>
      <w:proofErr w:type="spellStart"/>
      <w:r w:rsidRPr="00B752EF">
        <w:rPr>
          <w:bCs/>
          <w:iCs/>
          <w:lang w:eastAsia="zh-CN"/>
        </w:rPr>
        <w:t>Heldin</w:t>
      </w:r>
      <w:proofErr w:type="spellEnd"/>
      <w:r w:rsidRPr="00B752EF">
        <w:rPr>
          <w:bCs/>
          <w:iCs/>
          <w:lang w:eastAsia="zh-CN"/>
        </w:rPr>
        <w:t>, P. (2020). Intracellular hyaluronan: Importance for cellular functions. Seminars in Cancer Biology, 62, 20–30.</w:t>
      </w:r>
    </w:p>
    <w:p w14:paraId="27A09A60" w14:textId="77777777" w:rsidR="00B752EF" w:rsidRPr="00B752EF" w:rsidRDefault="00B752EF" w:rsidP="00B752EF">
      <w:pPr>
        <w:pStyle w:val="Body"/>
        <w:numPr>
          <w:ilvl w:val="0"/>
          <w:numId w:val="34"/>
        </w:numPr>
        <w:rPr>
          <w:bCs/>
          <w:iCs/>
          <w:lang w:eastAsia="zh-CN"/>
        </w:rPr>
      </w:pPr>
      <w:r w:rsidRPr="00B752EF">
        <w:rPr>
          <w:bCs/>
          <w:iCs/>
          <w:lang w:eastAsia="zh-CN"/>
        </w:rPr>
        <w:t xml:space="preserve">Hendin, H. E., Lavoie, P. O., </w:t>
      </w:r>
      <w:proofErr w:type="spellStart"/>
      <w:r w:rsidRPr="00B752EF">
        <w:rPr>
          <w:bCs/>
          <w:iCs/>
          <w:lang w:eastAsia="zh-CN"/>
        </w:rPr>
        <w:t>Gravett</w:t>
      </w:r>
      <w:proofErr w:type="spellEnd"/>
      <w:r w:rsidRPr="00B752EF">
        <w:rPr>
          <w:bCs/>
          <w:iCs/>
          <w:lang w:eastAsia="zh-CN"/>
        </w:rPr>
        <w:t xml:space="preserve">, J. M., Gervais, C., Aman, A., Chahal, P. S., Tran, A., Couture, M., Wu, C., </w:t>
      </w:r>
      <w:proofErr w:type="spellStart"/>
      <w:r w:rsidRPr="00B752EF">
        <w:rPr>
          <w:bCs/>
          <w:iCs/>
          <w:lang w:eastAsia="zh-CN"/>
        </w:rPr>
        <w:t>Striegel</w:t>
      </w:r>
      <w:proofErr w:type="spellEnd"/>
      <w:r w:rsidRPr="00B752EF">
        <w:rPr>
          <w:bCs/>
          <w:iCs/>
          <w:lang w:eastAsia="zh-CN"/>
        </w:rPr>
        <w:t xml:space="preserve">, L., </w:t>
      </w:r>
      <w:proofErr w:type="spellStart"/>
      <w:r w:rsidRPr="00B752EF">
        <w:rPr>
          <w:bCs/>
          <w:iCs/>
          <w:lang w:eastAsia="zh-CN"/>
        </w:rPr>
        <w:t>Gotea</w:t>
      </w:r>
      <w:proofErr w:type="spellEnd"/>
      <w:r w:rsidRPr="00B752EF">
        <w:rPr>
          <w:bCs/>
          <w:iCs/>
          <w:lang w:eastAsia="zh-CN"/>
        </w:rPr>
        <w:t xml:space="preserve">, V., Kim, J., </w:t>
      </w:r>
      <w:proofErr w:type="spellStart"/>
      <w:r w:rsidRPr="00B752EF">
        <w:rPr>
          <w:bCs/>
          <w:iCs/>
          <w:lang w:eastAsia="zh-CN"/>
        </w:rPr>
        <w:t>Mezger</w:t>
      </w:r>
      <w:proofErr w:type="spellEnd"/>
      <w:r w:rsidRPr="00B752EF">
        <w:rPr>
          <w:bCs/>
          <w:iCs/>
          <w:lang w:eastAsia="zh-CN"/>
        </w:rPr>
        <w:t xml:space="preserve">, A., </w:t>
      </w:r>
      <w:proofErr w:type="spellStart"/>
      <w:r w:rsidRPr="00B752EF">
        <w:rPr>
          <w:bCs/>
          <w:iCs/>
          <w:lang w:eastAsia="zh-CN"/>
        </w:rPr>
        <w:t>Stellacci</w:t>
      </w:r>
      <w:proofErr w:type="spellEnd"/>
      <w:r w:rsidRPr="00B752EF">
        <w:rPr>
          <w:bCs/>
          <w:iCs/>
          <w:lang w:eastAsia="zh-CN"/>
        </w:rPr>
        <w:t xml:space="preserve">, F., Durocher, Y., &amp; Wang, L. (2022). Elimination of receptor binding by influenza hemagglutinin improves vaccine-induced immunity. </w:t>
      </w:r>
      <w:proofErr w:type="spellStart"/>
      <w:r w:rsidRPr="00B752EF">
        <w:rPr>
          <w:bCs/>
          <w:iCs/>
          <w:lang w:eastAsia="zh-CN"/>
        </w:rPr>
        <w:t>npj</w:t>
      </w:r>
      <w:proofErr w:type="spellEnd"/>
      <w:r w:rsidRPr="00B752EF">
        <w:rPr>
          <w:bCs/>
          <w:iCs/>
          <w:lang w:eastAsia="zh-CN"/>
        </w:rPr>
        <w:t xml:space="preserve"> Vaccines, 7(1), 42.</w:t>
      </w:r>
    </w:p>
    <w:p w14:paraId="574F1CBB" w14:textId="77777777" w:rsidR="00B752EF" w:rsidRPr="00B752EF" w:rsidRDefault="00B752EF" w:rsidP="00B752EF">
      <w:pPr>
        <w:pStyle w:val="Body"/>
        <w:numPr>
          <w:ilvl w:val="0"/>
          <w:numId w:val="34"/>
        </w:numPr>
        <w:rPr>
          <w:bCs/>
          <w:iCs/>
          <w:lang w:eastAsia="zh-CN"/>
        </w:rPr>
      </w:pPr>
      <w:proofErr w:type="spellStart"/>
      <w:r w:rsidRPr="00B752EF">
        <w:rPr>
          <w:bCs/>
          <w:iCs/>
          <w:lang w:eastAsia="zh-CN"/>
        </w:rPr>
        <w:lastRenderedPageBreak/>
        <w:t>Heida</w:t>
      </w:r>
      <w:proofErr w:type="spellEnd"/>
      <w:r w:rsidRPr="00B752EF">
        <w:rPr>
          <w:bCs/>
          <w:iCs/>
          <w:lang w:eastAsia="zh-CN"/>
        </w:rPr>
        <w:t xml:space="preserve">, R., </w:t>
      </w:r>
      <w:proofErr w:type="spellStart"/>
      <w:r w:rsidRPr="00B752EF">
        <w:rPr>
          <w:bCs/>
          <w:iCs/>
          <w:lang w:eastAsia="zh-CN"/>
        </w:rPr>
        <w:t>Bhide</w:t>
      </w:r>
      <w:proofErr w:type="spellEnd"/>
      <w:r w:rsidRPr="00B752EF">
        <w:rPr>
          <w:bCs/>
          <w:iCs/>
          <w:lang w:eastAsia="zh-CN"/>
        </w:rPr>
        <w:t xml:space="preserve">, Y. C., </w:t>
      </w:r>
      <w:proofErr w:type="spellStart"/>
      <w:r w:rsidRPr="00B752EF">
        <w:rPr>
          <w:bCs/>
          <w:iCs/>
          <w:lang w:eastAsia="zh-CN"/>
        </w:rPr>
        <w:t>Gasbarri</w:t>
      </w:r>
      <w:proofErr w:type="spellEnd"/>
      <w:r w:rsidRPr="00B752EF">
        <w:rPr>
          <w:bCs/>
          <w:iCs/>
          <w:lang w:eastAsia="zh-CN"/>
        </w:rPr>
        <w:t xml:space="preserve">, M., </w:t>
      </w:r>
      <w:proofErr w:type="spellStart"/>
      <w:r w:rsidRPr="00B752EF">
        <w:rPr>
          <w:bCs/>
          <w:iCs/>
          <w:lang w:eastAsia="zh-CN"/>
        </w:rPr>
        <w:t>Kocabiyik</w:t>
      </w:r>
      <w:proofErr w:type="spellEnd"/>
      <w:r w:rsidRPr="00B752EF">
        <w:rPr>
          <w:bCs/>
          <w:iCs/>
          <w:lang w:eastAsia="zh-CN"/>
        </w:rPr>
        <w:t xml:space="preserve">, Ö., </w:t>
      </w:r>
      <w:proofErr w:type="spellStart"/>
      <w:r w:rsidRPr="00B752EF">
        <w:rPr>
          <w:bCs/>
          <w:iCs/>
          <w:lang w:eastAsia="zh-CN"/>
        </w:rPr>
        <w:t>Stellacci</w:t>
      </w:r>
      <w:proofErr w:type="spellEnd"/>
      <w:r w:rsidRPr="00B752EF">
        <w:rPr>
          <w:bCs/>
          <w:iCs/>
          <w:lang w:eastAsia="zh-CN"/>
        </w:rPr>
        <w:t xml:space="preserve">, F., </w:t>
      </w:r>
      <w:proofErr w:type="spellStart"/>
      <w:r w:rsidRPr="00B752EF">
        <w:rPr>
          <w:bCs/>
          <w:iCs/>
          <w:lang w:eastAsia="zh-CN"/>
        </w:rPr>
        <w:t>Huckriede</w:t>
      </w:r>
      <w:proofErr w:type="spellEnd"/>
      <w:r w:rsidRPr="00B752EF">
        <w:rPr>
          <w:bCs/>
          <w:iCs/>
          <w:lang w:eastAsia="zh-CN"/>
        </w:rPr>
        <w:t xml:space="preserve">, A. L. W., Hinrichs, W. L. J., &amp; </w:t>
      </w:r>
      <w:proofErr w:type="spellStart"/>
      <w:r w:rsidRPr="00B752EF">
        <w:rPr>
          <w:bCs/>
          <w:iCs/>
          <w:lang w:eastAsia="zh-CN"/>
        </w:rPr>
        <w:t>Frijlink</w:t>
      </w:r>
      <w:proofErr w:type="spellEnd"/>
      <w:r w:rsidRPr="00B752EF">
        <w:rPr>
          <w:bCs/>
          <w:iCs/>
          <w:lang w:eastAsia="zh-CN"/>
        </w:rPr>
        <w:t>, H. W. (2021). Advances in the development of entry inhibitors for sialic-acid-targeting viruses. Drug Discovery Today, 26(1), 122–137.</w:t>
      </w:r>
    </w:p>
    <w:p w14:paraId="1DB9ECE3" w14:textId="756AB7F0" w:rsidR="007C7790" w:rsidRPr="00B752EF" w:rsidRDefault="00B752EF" w:rsidP="00B752EF">
      <w:pPr>
        <w:pStyle w:val="Body"/>
        <w:numPr>
          <w:ilvl w:val="0"/>
          <w:numId w:val="34"/>
        </w:numPr>
        <w:rPr>
          <w:bCs/>
          <w:iCs/>
          <w:lang w:eastAsia="zh-CN"/>
        </w:rPr>
        <w:sectPr w:rsidR="007C7790" w:rsidRPr="00B752EF" w:rsidSect="00E82B7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roofErr w:type="spellStart"/>
      <w:r w:rsidRPr="00B752EF">
        <w:rPr>
          <w:bCs/>
          <w:iCs/>
          <w:lang w:eastAsia="zh-CN"/>
        </w:rPr>
        <w:t>Gaisina</w:t>
      </w:r>
      <w:proofErr w:type="spellEnd"/>
      <w:r w:rsidRPr="00B752EF">
        <w:rPr>
          <w:bCs/>
          <w:iCs/>
          <w:lang w:eastAsia="zh-CN"/>
        </w:rPr>
        <w:t xml:space="preserve">, I., </w:t>
      </w:r>
      <w:proofErr w:type="spellStart"/>
      <w:r w:rsidRPr="00B752EF">
        <w:rPr>
          <w:bCs/>
          <w:iCs/>
          <w:lang w:eastAsia="zh-CN"/>
        </w:rPr>
        <w:t>Bhide</w:t>
      </w:r>
      <w:proofErr w:type="spellEnd"/>
      <w:r w:rsidRPr="00B752EF">
        <w:rPr>
          <w:bCs/>
          <w:iCs/>
          <w:lang w:eastAsia="zh-CN"/>
        </w:rPr>
        <w:t xml:space="preserve">, Y., </w:t>
      </w:r>
      <w:proofErr w:type="spellStart"/>
      <w:r w:rsidRPr="00B752EF">
        <w:rPr>
          <w:bCs/>
          <w:iCs/>
          <w:lang w:eastAsia="zh-CN"/>
        </w:rPr>
        <w:t>Stellacci</w:t>
      </w:r>
      <w:proofErr w:type="spellEnd"/>
      <w:r w:rsidRPr="00B752EF">
        <w:rPr>
          <w:bCs/>
          <w:iCs/>
          <w:lang w:eastAsia="zh-CN"/>
        </w:rPr>
        <w:t xml:space="preserve">, F., </w:t>
      </w:r>
      <w:proofErr w:type="spellStart"/>
      <w:r w:rsidRPr="00B752EF">
        <w:rPr>
          <w:bCs/>
          <w:iCs/>
          <w:lang w:eastAsia="zh-CN"/>
        </w:rPr>
        <w:t>Huckriede</w:t>
      </w:r>
      <w:proofErr w:type="spellEnd"/>
      <w:r w:rsidRPr="00B752EF">
        <w:rPr>
          <w:bCs/>
          <w:iCs/>
          <w:lang w:eastAsia="zh-CN"/>
        </w:rPr>
        <w:t xml:space="preserve">, A. L. W., </w:t>
      </w:r>
      <w:proofErr w:type="spellStart"/>
      <w:r w:rsidRPr="00B752EF">
        <w:rPr>
          <w:bCs/>
          <w:iCs/>
          <w:lang w:eastAsia="zh-CN"/>
        </w:rPr>
        <w:t>Frijlink</w:t>
      </w:r>
      <w:proofErr w:type="spellEnd"/>
      <w:r w:rsidRPr="00B752EF">
        <w:rPr>
          <w:bCs/>
          <w:iCs/>
          <w:lang w:eastAsia="zh-CN"/>
        </w:rPr>
        <w:t xml:space="preserve">, H. W., &amp; Hinrichs, W. L. J. (2024). An orally active entry inhibitor of influenza A viruses protects mice and synergizes with oseltamivir and </w:t>
      </w:r>
      <w:proofErr w:type="spellStart"/>
      <w:r w:rsidRPr="00B752EF">
        <w:rPr>
          <w:bCs/>
          <w:iCs/>
          <w:lang w:eastAsia="zh-CN"/>
        </w:rPr>
        <w:t>baloxavir</w:t>
      </w:r>
      <w:proofErr w:type="spellEnd"/>
      <w:r w:rsidRPr="00B752EF">
        <w:rPr>
          <w:bCs/>
          <w:iCs/>
          <w:lang w:eastAsia="zh-CN"/>
        </w:rPr>
        <w:t xml:space="preserve"> </w:t>
      </w:r>
      <w:proofErr w:type="spellStart"/>
      <w:r w:rsidRPr="00B752EF">
        <w:rPr>
          <w:bCs/>
          <w:iCs/>
          <w:lang w:eastAsia="zh-CN"/>
        </w:rPr>
        <w:t>marboxil</w:t>
      </w:r>
      <w:proofErr w:type="spellEnd"/>
      <w:r w:rsidRPr="00B752EF">
        <w:rPr>
          <w:bCs/>
          <w:iCs/>
          <w:lang w:eastAsia="zh-CN"/>
        </w:rPr>
        <w:t>. Science Advances, 10, eadk9004</w:t>
      </w:r>
      <w:r w:rsidR="00F74234" w:rsidRPr="00B752EF">
        <w:rPr>
          <w:bCs/>
          <w:iCs/>
          <w:lang w:eastAsia="zh-CN"/>
        </w:rPr>
        <w:t>.</w:t>
      </w:r>
    </w:p>
    <w:p w14:paraId="00C17FA2" w14:textId="77777777" w:rsidR="00B01FCD" w:rsidRPr="00FB3A86" w:rsidRDefault="00B01FCD" w:rsidP="007C7790">
      <w:pPr>
        <w:pStyle w:val="Appendix"/>
        <w:spacing w:after="0"/>
        <w:jc w:val="both"/>
        <w:rPr>
          <w:rFonts w:ascii="Arial" w:hAnsi="Arial" w:cs="Arial"/>
          <w:b w:val="0"/>
          <w:lang w:eastAsia="zh-CN"/>
        </w:rPr>
      </w:pPr>
    </w:p>
    <w:sectPr w:rsidR="00B01FCD" w:rsidRPr="00FB3A86" w:rsidSect="00E82B7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988CC" w14:textId="77777777" w:rsidR="002E21D1" w:rsidRDefault="002E21D1" w:rsidP="00C37E61">
      <w:r>
        <w:separator/>
      </w:r>
    </w:p>
  </w:endnote>
  <w:endnote w:type="continuationSeparator" w:id="0">
    <w:p w14:paraId="10B3B042" w14:textId="77777777" w:rsidR="002E21D1" w:rsidRDefault="002E21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8F8DA"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B1E2F" w14:textId="269EB786" w:rsidR="00C37E61" w:rsidRPr="00A3191B" w:rsidRDefault="00C37E61" w:rsidP="00A31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E0E70" w14:textId="51024770" w:rsidR="00754C9A" w:rsidRPr="00A3191B" w:rsidRDefault="00754C9A" w:rsidP="00A31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23F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144CA" w14:textId="77777777" w:rsidR="002E21D1" w:rsidRDefault="002E21D1" w:rsidP="00C37E61">
      <w:r>
        <w:separator/>
      </w:r>
    </w:p>
  </w:footnote>
  <w:footnote w:type="continuationSeparator" w:id="0">
    <w:p w14:paraId="0487E630" w14:textId="77777777" w:rsidR="002E21D1" w:rsidRDefault="002E21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334F" w14:textId="47E7E183" w:rsidR="00BF121F" w:rsidRDefault="002E21D1">
    <w:pPr>
      <w:pStyle w:val="Header"/>
    </w:pPr>
    <w:r>
      <w:rPr>
        <w:noProof/>
      </w:rPr>
      <w:pict w14:anchorId="5C8DD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1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C03C" w14:textId="00DB0E96" w:rsidR="00BF121F" w:rsidRDefault="002E21D1">
    <w:pPr>
      <w:pStyle w:val="Header"/>
    </w:pPr>
    <w:r>
      <w:rPr>
        <w:noProof/>
      </w:rPr>
      <w:pict w14:anchorId="3C902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CA50" w14:textId="7F4CB140" w:rsidR="00296529" w:rsidRPr="00296529" w:rsidRDefault="002E21D1" w:rsidP="00296529">
    <w:pPr>
      <w:ind w:left="2160"/>
      <w:jc w:val="center"/>
      <w:rPr>
        <w:rFonts w:ascii="Times New Roman" w:eastAsia="Calibri" w:hAnsi="Times New Roman"/>
        <w:i/>
        <w:sz w:val="18"/>
        <w:szCs w:val="22"/>
      </w:rPr>
    </w:pPr>
    <w:r>
      <w:rPr>
        <w:noProof/>
      </w:rPr>
      <w:pict w14:anchorId="37E8F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1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317426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5BD7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5A4D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75699D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598C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277F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8AB8" w14:textId="7C91EAF7" w:rsidR="00E82B72" w:rsidRDefault="002E21D1">
    <w:pPr>
      <w:pStyle w:val="Header"/>
    </w:pPr>
    <w:r>
      <w:rPr>
        <w:noProof/>
      </w:rPr>
      <w:pict w14:anchorId="2BD3E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EBD1" w14:textId="063CF4B4" w:rsidR="00E82B72" w:rsidRDefault="002E21D1">
    <w:pPr>
      <w:pStyle w:val="Header"/>
    </w:pPr>
    <w:r>
      <w:rPr>
        <w:noProof/>
      </w:rPr>
      <w:pict w14:anchorId="0FECB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872E6" w14:textId="6AA482BE" w:rsidR="00E82B72" w:rsidRDefault="002E21D1">
    <w:pPr>
      <w:pStyle w:val="Header"/>
    </w:pPr>
    <w:r>
      <w:rPr>
        <w:noProof/>
      </w:rPr>
      <w:pict w14:anchorId="36F18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0922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936E69"/>
    <w:multiLevelType w:val="multilevel"/>
    <w:tmpl w:val="F9D02AF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E59E5"/>
    <w:multiLevelType w:val="hybridMultilevel"/>
    <w:tmpl w:val="8F3C7716"/>
    <w:lvl w:ilvl="0" w:tplc="52CE071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F91295"/>
    <w:multiLevelType w:val="hybridMultilevel"/>
    <w:tmpl w:val="A6FEF9E2"/>
    <w:lvl w:ilvl="0" w:tplc="060C39E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4D75926"/>
    <w:multiLevelType w:val="multilevel"/>
    <w:tmpl w:val="821E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19"/>
  </w:num>
  <w:num w:numId="14">
    <w:abstractNumId w:val="8"/>
  </w:num>
  <w:num w:numId="15">
    <w:abstractNumId w:val="25"/>
  </w:num>
  <w:num w:numId="16">
    <w:abstractNumId w:val="5"/>
  </w:num>
  <w:num w:numId="17">
    <w:abstractNumId w:val="26"/>
  </w:num>
  <w:num w:numId="18">
    <w:abstractNumId w:val="14"/>
  </w:num>
  <w:num w:numId="19">
    <w:abstractNumId w:val="32"/>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21"/>
  </w:num>
  <w:num w:numId="32">
    <w:abstractNumId w:val="15"/>
  </w:num>
  <w:num w:numId="33">
    <w:abstractNumId w:val="18"/>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O0tDQyNTczNzY3sTBX0lEKTi0uzszPAykwrAUAaXTbfiwAAAA="/>
  </w:docVars>
  <w:rsids>
    <w:rsidRoot w:val="00AA6219"/>
    <w:rsid w:val="00000F8F"/>
    <w:rsid w:val="00030174"/>
    <w:rsid w:val="0004579C"/>
    <w:rsid w:val="000826F4"/>
    <w:rsid w:val="000A47FA"/>
    <w:rsid w:val="000A65D3"/>
    <w:rsid w:val="000B1E33"/>
    <w:rsid w:val="000D689F"/>
    <w:rsid w:val="000E7B7B"/>
    <w:rsid w:val="000E7D62"/>
    <w:rsid w:val="00103357"/>
    <w:rsid w:val="00105758"/>
    <w:rsid w:val="001128FC"/>
    <w:rsid w:val="00116541"/>
    <w:rsid w:val="00120B5E"/>
    <w:rsid w:val="00123C9F"/>
    <w:rsid w:val="00126190"/>
    <w:rsid w:val="0013027C"/>
    <w:rsid w:val="00130F17"/>
    <w:rsid w:val="001320BF"/>
    <w:rsid w:val="001414D1"/>
    <w:rsid w:val="001566E5"/>
    <w:rsid w:val="00163BC4"/>
    <w:rsid w:val="00187EC9"/>
    <w:rsid w:val="00191062"/>
    <w:rsid w:val="00192B72"/>
    <w:rsid w:val="001A29D8"/>
    <w:rsid w:val="001A44F7"/>
    <w:rsid w:val="001A5CAA"/>
    <w:rsid w:val="001B0427"/>
    <w:rsid w:val="001C4C14"/>
    <w:rsid w:val="001C61E3"/>
    <w:rsid w:val="001D3A51"/>
    <w:rsid w:val="001E10D2"/>
    <w:rsid w:val="001E25B4"/>
    <w:rsid w:val="001E44FE"/>
    <w:rsid w:val="00200595"/>
    <w:rsid w:val="00204835"/>
    <w:rsid w:val="002053E3"/>
    <w:rsid w:val="00213059"/>
    <w:rsid w:val="00231920"/>
    <w:rsid w:val="0023195C"/>
    <w:rsid w:val="0024282C"/>
    <w:rsid w:val="002460DC"/>
    <w:rsid w:val="00250985"/>
    <w:rsid w:val="002515E2"/>
    <w:rsid w:val="002556F6"/>
    <w:rsid w:val="00266380"/>
    <w:rsid w:val="00283105"/>
    <w:rsid w:val="00284C4C"/>
    <w:rsid w:val="00287E68"/>
    <w:rsid w:val="00296529"/>
    <w:rsid w:val="002A60C2"/>
    <w:rsid w:val="002B27FB"/>
    <w:rsid w:val="002B685A"/>
    <w:rsid w:val="002C57D2"/>
    <w:rsid w:val="002E0D56"/>
    <w:rsid w:val="002E21D1"/>
    <w:rsid w:val="002F5E6F"/>
    <w:rsid w:val="002F7B3F"/>
    <w:rsid w:val="00315186"/>
    <w:rsid w:val="0033343E"/>
    <w:rsid w:val="003512C2"/>
    <w:rsid w:val="003532A2"/>
    <w:rsid w:val="0036239F"/>
    <w:rsid w:val="0036683F"/>
    <w:rsid w:val="00371FB6"/>
    <w:rsid w:val="003763C1"/>
    <w:rsid w:val="00376BBE"/>
    <w:rsid w:val="0039224F"/>
    <w:rsid w:val="003A43A4"/>
    <w:rsid w:val="003A7E18"/>
    <w:rsid w:val="003B6E71"/>
    <w:rsid w:val="003C4C86"/>
    <w:rsid w:val="003C6258"/>
    <w:rsid w:val="003C729D"/>
    <w:rsid w:val="003D2B81"/>
    <w:rsid w:val="003D2DC8"/>
    <w:rsid w:val="003D58B3"/>
    <w:rsid w:val="003E0646"/>
    <w:rsid w:val="003E2904"/>
    <w:rsid w:val="003F0508"/>
    <w:rsid w:val="00401927"/>
    <w:rsid w:val="0040704B"/>
    <w:rsid w:val="0041027F"/>
    <w:rsid w:val="00412475"/>
    <w:rsid w:val="00423789"/>
    <w:rsid w:val="00426808"/>
    <w:rsid w:val="0043183C"/>
    <w:rsid w:val="00440F43"/>
    <w:rsid w:val="00441B6F"/>
    <w:rsid w:val="00443530"/>
    <w:rsid w:val="00446221"/>
    <w:rsid w:val="00450E62"/>
    <w:rsid w:val="004539DB"/>
    <w:rsid w:val="004607D8"/>
    <w:rsid w:val="00471A80"/>
    <w:rsid w:val="00476DD0"/>
    <w:rsid w:val="004C2F83"/>
    <w:rsid w:val="004D305E"/>
    <w:rsid w:val="004D4277"/>
    <w:rsid w:val="004E16BE"/>
    <w:rsid w:val="00502516"/>
    <w:rsid w:val="00505F06"/>
    <w:rsid w:val="00506828"/>
    <w:rsid w:val="00520A87"/>
    <w:rsid w:val="0053056E"/>
    <w:rsid w:val="00554FDA"/>
    <w:rsid w:val="00563B3B"/>
    <w:rsid w:val="00595F5A"/>
    <w:rsid w:val="005C784C"/>
    <w:rsid w:val="005D17F6"/>
    <w:rsid w:val="005D63B8"/>
    <w:rsid w:val="005E5539"/>
    <w:rsid w:val="00602BF5"/>
    <w:rsid w:val="006113D4"/>
    <w:rsid w:val="00617FDD"/>
    <w:rsid w:val="006238BD"/>
    <w:rsid w:val="00633614"/>
    <w:rsid w:val="00633F68"/>
    <w:rsid w:val="00636EB2"/>
    <w:rsid w:val="006375B8"/>
    <w:rsid w:val="00646B1F"/>
    <w:rsid w:val="0066510A"/>
    <w:rsid w:val="00673F9F"/>
    <w:rsid w:val="00686953"/>
    <w:rsid w:val="00687C73"/>
    <w:rsid w:val="00687DEA"/>
    <w:rsid w:val="00687E67"/>
    <w:rsid w:val="00691EA4"/>
    <w:rsid w:val="006967F7"/>
    <w:rsid w:val="006A22F4"/>
    <w:rsid w:val="006A250C"/>
    <w:rsid w:val="006B21D3"/>
    <w:rsid w:val="006B29A8"/>
    <w:rsid w:val="006B4C9B"/>
    <w:rsid w:val="006B57D0"/>
    <w:rsid w:val="006D30FF"/>
    <w:rsid w:val="006D4BCB"/>
    <w:rsid w:val="006D6940"/>
    <w:rsid w:val="006D7E4C"/>
    <w:rsid w:val="006E7E51"/>
    <w:rsid w:val="006F11EC"/>
    <w:rsid w:val="0070082C"/>
    <w:rsid w:val="007110B1"/>
    <w:rsid w:val="007369E6"/>
    <w:rsid w:val="00742937"/>
    <w:rsid w:val="00746E59"/>
    <w:rsid w:val="00754C9A"/>
    <w:rsid w:val="0075599A"/>
    <w:rsid w:val="00761D52"/>
    <w:rsid w:val="0077749E"/>
    <w:rsid w:val="00790ADA"/>
    <w:rsid w:val="00792314"/>
    <w:rsid w:val="007B4F78"/>
    <w:rsid w:val="007C7780"/>
    <w:rsid w:val="007C7790"/>
    <w:rsid w:val="007D2288"/>
    <w:rsid w:val="007E088F"/>
    <w:rsid w:val="007E6D4C"/>
    <w:rsid w:val="007F7B32"/>
    <w:rsid w:val="00804BC2"/>
    <w:rsid w:val="008124A9"/>
    <w:rsid w:val="0081431A"/>
    <w:rsid w:val="00826012"/>
    <w:rsid w:val="0083216F"/>
    <w:rsid w:val="00860000"/>
    <w:rsid w:val="00863BD3"/>
    <w:rsid w:val="008641ED"/>
    <w:rsid w:val="00866D66"/>
    <w:rsid w:val="008671C6"/>
    <w:rsid w:val="00875803"/>
    <w:rsid w:val="0088176A"/>
    <w:rsid w:val="008B459E"/>
    <w:rsid w:val="008B58C5"/>
    <w:rsid w:val="008D1AC7"/>
    <w:rsid w:val="008E13AE"/>
    <w:rsid w:val="008E1506"/>
    <w:rsid w:val="008E710C"/>
    <w:rsid w:val="008F69D6"/>
    <w:rsid w:val="00902823"/>
    <w:rsid w:val="00915CA6"/>
    <w:rsid w:val="00927834"/>
    <w:rsid w:val="00931679"/>
    <w:rsid w:val="009500A6"/>
    <w:rsid w:val="009516DB"/>
    <w:rsid w:val="00957C18"/>
    <w:rsid w:val="009659BA"/>
    <w:rsid w:val="00983040"/>
    <w:rsid w:val="009B2CDC"/>
    <w:rsid w:val="009B3FB9"/>
    <w:rsid w:val="009C2465"/>
    <w:rsid w:val="009D35A0"/>
    <w:rsid w:val="009D52EE"/>
    <w:rsid w:val="009D7EB7"/>
    <w:rsid w:val="009E048A"/>
    <w:rsid w:val="009E08E9"/>
    <w:rsid w:val="009E1ED2"/>
    <w:rsid w:val="009E3DB9"/>
    <w:rsid w:val="009E6E35"/>
    <w:rsid w:val="009E733A"/>
    <w:rsid w:val="009F0EDA"/>
    <w:rsid w:val="00A03B96"/>
    <w:rsid w:val="00A05B19"/>
    <w:rsid w:val="00A1134E"/>
    <w:rsid w:val="00A24E7E"/>
    <w:rsid w:val="00A258C3"/>
    <w:rsid w:val="00A3191B"/>
    <w:rsid w:val="00A347C0"/>
    <w:rsid w:val="00A37A27"/>
    <w:rsid w:val="00A45DCD"/>
    <w:rsid w:val="00A51431"/>
    <w:rsid w:val="00A539AD"/>
    <w:rsid w:val="00A6047D"/>
    <w:rsid w:val="00A66D0E"/>
    <w:rsid w:val="00A80FEB"/>
    <w:rsid w:val="00A813EC"/>
    <w:rsid w:val="00A94063"/>
    <w:rsid w:val="00AA2FB6"/>
    <w:rsid w:val="00AA6219"/>
    <w:rsid w:val="00AA74E0"/>
    <w:rsid w:val="00AB703F"/>
    <w:rsid w:val="00AC32F9"/>
    <w:rsid w:val="00AC6BB8"/>
    <w:rsid w:val="00AE008F"/>
    <w:rsid w:val="00AE3C69"/>
    <w:rsid w:val="00B01FCD"/>
    <w:rsid w:val="00B12A77"/>
    <w:rsid w:val="00B1776C"/>
    <w:rsid w:val="00B3220D"/>
    <w:rsid w:val="00B32BDC"/>
    <w:rsid w:val="00B355B7"/>
    <w:rsid w:val="00B52583"/>
    <w:rsid w:val="00B52896"/>
    <w:rsid w:val="00B61FF8"/>
    <w:rsid w:val="00B625C0"/>
    <w:rsid w:val="00B752EF"/>
    <w:rsid w:val="00B910AE"/>
    <w:rsid w:val="00B95236"/>
    <w:rsid w:val="00B96BD9"/>
    <w:rsid w:val="00BA1B01"/>
    <w:rsid w:val="00BA2641"/>
    <w:rsid w:val="00BB37AA"/>
    <w:rsid w:val="00BC53A0"/>
    <w:rsid w:val="00BE62AD"/>
    <w:rsid w:val="00BF121F"/>
    <w:rsid w:val="00BF1F80"/>
    <w:rsid w:val="00BF4034"/>
    <w:rsid w:val="00C166EF"/>
    <w:rsid w:val="00C17EB0"/>
    <w:rsid w:val="00C27F5F"/>
    <w:rsid w:val="00C30A0F"/>
    <w:rsid w:val="00C350F0"/>
    <w:rsid w:val="00C37E61"/>
    <w:rsid w:val="00C62C4E"/>
    <w:rsid w:val="00C656BB"/>
    <w:rsid w:val="00C70F1B"/>
    <w:rsid w:val="00C71A47"/>
    <w:rsid w:val="00C7464C"/>
    <w:rsid w:val="00C74819"/>
    <w:rsid w:val="00C85588"/>
    <w:rsid w:val="00C93E41"/>
    <w:rsid w:val="00CB29A9"/>
    <w:rsid w:val="00CD6755"/>
    <w:rsid w:val="00CD6856"/>
    <w:rsid w:val="00CE0089"/>
    <w:rsid w:val="00CE793C"/>
    <w:rsid w:val="00CF193C"/>
    <w:rsid w:val="00D161C9"/>
    <w:rsid w:val="00D173F1"/>
    <w:rsid w:val="00D503D7"/>
    <w:rsid w:val="00D53757"/>
    <w:rsid w:val="00D63D2D"/>
    <w:rsid w:val="00D74CB0"/>
    <w:rsid w:val="00D8295D"/>
    <w:rsid w:val="00D94B34"/>
    <w:rsid w:val="00DA12B5"/>
    <w:rsid w:val="00DC2A65"/>
    <w:rsid w:val="00DC584E"/>
    <w:rsid w:val="00DE0BC2"/>
    <w:rsid w:val="00DE15F0"/>
    <w:rsid w:val="00DE5663"/>
    <w:rsid w:val="00DE78AA"/>
    <w:rsid w:val="00DF2A89"/>
    <w:rsid w:val="00E053D0"/>
    <w:rsid w:val="00E1352D"/>
    <w:rsid w:val="00E1383D"/>
    <w:rsid w:val="00E15994"/>
    <w:rsid w:val="00E2271E"/>
    <w:rsid w:val="00E3114E"/>
    <w:rsid w:val="00E31A70"/>
    <w:rsid w:val="00E35B02"/>
    <w:rsid w:val="00E36940"/>
    <w:rsid w:val="00E56F30"/>
    <w:rsid w:val="00E66496"/>
    <w:rsid w:val="00E66B35"/>
    <w:rsid w:val="00E66E10"/>
    <w:rsid w:val="00E73722"/>
    <w:rsid w:val="00E769F6"/>
    <w:rsid w:val="00E82B72"/>
    <w:rsid w:val="00E8407C"/>
    <w:rsid w:val="00E84F3C"/>
    <w:rsid w:val="00E87270"/>
    <w:rsid w:val="00E95F5F"/>
    <w:rsid w:val="00EA012C"/>
    <w:rsid w:val="00EC6A55"/>
    <w:rsid w:val="00ED0288"/>
    <w:rsid w:val="00EE52CB"/>
    <w:rsid w:val="00EF1882"/>
    <w:rsid w:val="00EF22AF"/>
    <w:rsid w:val="00EF581D"/>
    <w:rsid w:val="00EF7FD8"/>
    <w:rsid w:val="00F06F59"/>
    <w:rsid w:val="00F07495"/>
    <w:rsid w:val="00F16B52"/>
    <w:rsid w:val="00F17988"/>
    <w:rsid w:val="00F2656A"/>
    <w:rsid w:val="00F339C7"/>
    <w:rsid w:val="00F469F0"/>
    <w:rsid w:val="00F53273"/>
    <w:rsid w:val="00F66F68"/>
    <w:rsid w:val="00F73FE7"/>
    <w:rsid w:val="00F74234"/>
    <w:rsid w:val="00F755E4"/>
    <w:rsid w:val="00F77D02"/>
    <w:rsid w:val="00FA59FD"/>
    <w:rsid w:val="00FB14C6"/>
    <w:rsid w:val="00FB3A86"/>
    <w:rsid w:val="00FC7CC6"/>
    <w:rsid w:val="00FD36C8"/>
    <w:rsid w:val="00FF0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813E9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047D"/>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1">
    <w:name w:val="未处理的提及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F2656A"/>
    <w:pPr>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F2656A"/>
    <w:rPr>
      <w:b/>
      <w:bCs/>
    </w:rPr>
  </w:style>
  <w:style w:type="paragraph" w:styleId="ListParagraph">
    <w:name w:val="List Paragraph"/>
    <w:basedOn w:val="Normal"/>
    <w:uiPriority w:val="34"/>
    <w:qFormat/>
    <w:rsid w:val="003D2D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57070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19541289">
      <w:bodyDiv w:val="1"/>
      <w:marLeft w:val="0"/>
      <w:marRight w:val="0"/>
      <w:marTop w:val="0"/>
      <w:marBottom w:val="0"/>
      <w:divBdr>
        <w:top w:val="none" w:sz="0" w:space="0" w:color="auto"/>
        <w:left w:val="none" w:sz="0" w:space="0" w:color="auto"/>
        <w:bottom w:val="none" w:sz="0" w:space="0" w:color="auto"/>
        <w:right w:val="none" w:sz="0" w:space="0" w:color="auto"/>
      </w:divBdr>
    </w:div>
    <w:div w:id="859200244">
      <w:bodyDiv w:val="1"/>
      <w:marLeft w:val="0"/>
      <w:marRight w:val="0"/>
      <w:marTop w:val="0"/>
      <w:marBottom w:val="0"/>
      <w:divBdr>
        <w:top w:val="none" w:sz="0" w:space="0" w:color="auto"/>
        <w:left w:val="none" w:sz="0" w:space="0" w:color="auto"/>
        <w:bottom w:val="none" w:sz="0" w:space="0" w:color="auto"/>
        <w:right w:val="none" w:sz="0" w:space="0" w:color="auto"/>
      </w:divBdr>
    </w:div>
    <w:div w:id="929390908">
      <w:bodyDiv w:val="1"/>
      <w:marLeft w:val="0"/>
      <w:marRight w:val="0"/>
      <w:marTop w:val="0"/>
      <w:marBottom w:val="0"/>
      <w:divBdr>
        <w:top w:val="none" w:sz="0" w:space="0" w:color="auto"/>
        <w:left w:val="none" w:sz="0" w:space="0" w:color="auto"/>
        <w:bottom w:val="none" w:sz="0" w:space="0" w:color="auto"/>
        <w:right w:val="none" w:sz="0" w:space="0" w:color="auto"/>
      </w:divBdr>
    </w:div>
    <w:div w:id="9429590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456526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7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50B7-09FD-4B74-9DC1-FD46E92EF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752</TotalTime>
  <Pages>8</Pages>
  <Words>3083</Words>
  <Characters>17575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74</cp:revision>
  <cp:lastPrinted>1999-07-06T11:00:00Z</cp:lastPrinted>
  <dcterms:created xsi:type="dcterms:W3CDTF">2014-10-25T14:34:00Z</dcterms:created>
  <dcterms:modified xsi:type="dcterms:W3CDTF">2025-10-29T08:36:00Z</dcterms:modified>
</cp:coreProperties>
</file>