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BE25" w14:textId="2BED8C74" w:rsidR="00754C9A" w:rsidRDefault="0094658F" w:rsidP="00441B6F">
      <w:pPr>
        <w:pStyle w:val="Title"/>
        <w:spacing w:after="0"/>
        <w:jc w:val="both"/>
        <w:rPr>
          <w:rFonts w:ascii="Arial" w:hAnsi="Arial" w:cs="Arial"/>
          <w:u w:val="single"/>
        </w:rPr>
      </w:pPr>
      <w:r w:rsidRPr="0094658F">
        <w:rPr>
          <w:rFonts w:ascii="Arial" w:hAnsi="Arial" w:cs="Arial"/>
          <w:u w:val="single"/>
        </w:rPr>
        <w:t>Original Research Article</w:t>
      </w:r>
    </w:p>
    <w:p w14:paraId="0294BE1C" w14:textId="77777777" w:rsidR="00A94BEF" w:rsidRPr="0094658F" w:rsidRDefault="00A94BEF" w:rsidP="00441B6F">
      <w:pPr>
        <w:pStyle w:val="Title"/>
        <w:spacing w:after="0"/>
        <w:jc w:val="both"/>
        <w:rPr>
          <w:rFonts w:ascii="Arial" w:hAnsi="Arial" w:cs="Arial"/>
          <w:u w:val="single"/>
        </w:rPr>
      </w:pPr>
    </w:p>
    <w:p w14:paraId="603A3C4C" w14:textId="648F68B6" w:rsidR="00163BC4" w:rsidRPr="00163BC4" w:rsidRDefault="00A00E62" w:rsidP="00441B6F">
      <w:pPr>
        <w:pStyle w:val="Author"/>
        <w:spacing w:line="240" w:lineRule="auto"/>
        <w:rPr>
          <w:rFonts w:ascii="Arial" w:hAnsi="Arial" w:cs="Arial"/>
          <w:bCs/>
          <w:iCs/>
          <w:kern w:val="28"/>
          <w:sz w:val="36"/>
        </w:rPr>
      </w:pPr>
      <w:r w:rsidRPr="00A00E62">
        <w:rPr>
          <w:rFonts w:ascii="Arial" w:hAnsi="Arial" w:cs="Arial"/>
          <w:bCs/>
          <w:iCs/>
          <w:kern w:val="28"/>
          <w:sz w:val="36"/>
        </w:rPr>
        <w:t>A DYNAMIC CLINICAL PREDICTION MODEL TO STRATIFY THE RISK OF PREVENTABLE DRUG-RELATED INCIDENTS IN INFECTIOUS DISEASES WARD PATIENTS</w:t>
      </w:r>
    </w:p>
    <w:p w14:paraId="35282BEB" w14:textId="77777777" w:rsidR="00A258C3" w:rsidRPr="00790ADA" w:rsidRDefault="00A258C3" w:rsidP="00441B6F">
      <w:pPr>
        <w:pStyle w:val="Author"/>
        <w:spacing w:line="240" w:lineRule="auto"/>
        <w:jc w:val="both"/>
        <w:rPr>
          <w:rFonts w:ascii="Arial" w:hAnsi="Arial" w:cs="Arial"/>
          <w:sz w:val="36"/>
        </w:rPr>
      </w:pPr>
    </w:p>
    <w:p w14:paraId="441E8679" w14:textId="24D8AFBC" w:rsidR="00B01FCD" w:rsidRPr="00FB3A86" w:rsidRDefault="000572C7" w:rsidP="00441B6F">
      <w:pPr>
        <w:pStyle w:val="Copyright"/>
        <w:spacing w:after="0" w:line="240" w:lineRule="auto"/>
        <w:jc w:val="both"/>
        <w:rPr>
          <w:rFonts w:ascii="Arial" w:hAnsi="Arial" w:cs="Arial"/>
        </w:rPr>
        <w:sectPr w:rsidR="00B01FCD" w:rsidRPr="00FB3A86" w:rsidSect="00D0609F">
          <w:headerReference w:type="even" r:id="rId8"/>
          <w:headerReference w:type="default" r:id="rId9"/>
          <w:footerReference w:type="even" r:id="rId10"/>
          <w:footerReference w:type="default" r:id="rId11"/>
          <w:headerReference w:type="first" r:id="rId12"/>
          <w:footerReference w:type="first" r:id="rId13"/>
          <w:type w:val="nextColumn"/>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F1C38A0" wp14:editId="5063EF1B">
                <wp:extent cx="5303520" cy="635"/>
                <wp:effectExtent l="11430" t="13970" r="9525" b="14605"/>
                <wp:docPr id="14847559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3D014DCB">
                <v:path fillok="f" arrowok="t" o:connecttype="none"/>
                <o:lock v:ext="edit" shapetype="t"/>
              </v:shapetype>
              <v:shape id="AutoShape 2" style="width:417.6pt;height:.05pt;visibility:visible;mso-wrap-style:square;mso-left-percent:-10001;mso-top-percent:-10001;mso-position-horizontal:absolute;mso-position-horizontal-relative:char;mso-position-vertical:absolute;mso-position-vertical-relative:line;mso-left-percent:-10001;mso-top-percent:-10001"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w10:anchorlock/>
              </v:shape>
            </w:pict>
          </mc:Fallback>
        </mc:AlternateContent>
      </w:r>
      <w:r w:rsidR="00FB3A86">
        <w:rPr>
          <w:rFonts w:ascii="Arial" w:hAnsi="Arial" w:cs="Arial"/>
        </w:rPr>
        <w:t>.</w:t>
      </w:r>
    </w:p>
    <w:p w14:paraId="62199F61" w14:textId="44A936DE" w:rsidR="00B01FCD" w:rsidRDefault="000572C7" w:rsidP="00441B6F">
      <w:pPr>
        <w:pStyle w:val="AbstHead"/>
        <w:spacing w:after="0"/>
        <w:jc w:val="both"/>
        <w:rPr>
          <w:rFonts w:ascii="Arial" w:hAnsi="Arial" w:cs="Arial"/>
        </w:rPr>
      </w:pPr>
      <w:r w:rsidRPr="00FB3A86">
        <w:rPr>
          <w:rFonts w:ascii="Arial" w:hAnsi="Arial" w:cs="Arial"/>
        </w:rPr>
        <w:lastRenderedPageBreak/>
        <w:t>ABSTRACT</w:t>
      </w:r>
    </w:p>
    <w:p w14:paraId="7F297CCA" w14:textId="77777777" w:rsidR="000572C7" w:rsidRDefault="000572C7" w:rsidP="00441B6F">
      <w:pPr>
        <w:pStyle w:val="AbstHead"/>
        <w:spacing w:after="0"/>
        <w:jc w:val="both"/>
        <w:rPr>
          <w:rFonts w:ascii="Arial" w:hAnsi="Arial" w:cs="Arial"/>
        </w:rPr>
      </w:pPr>
    </w:p>
    <w:p w14:paraId="395DC6E9" w14:textId="18F0CA3F" w:rsidR="00CE5971" w:rsidRPr="00CE5971" w:rsidRDefault="00CE5971" w:rsidP="00CE5971">
      <w:pPr>
        <w:jc w:val="both"/>
        <w:rPr>
          <w:rFonts w:ascii="Arial" w:hAnsi="Arial" w:cs="Arial"/>
          <w:lang w:val="pt-BR"/>
        </w:rPr>
      </w:pPr>
      <w:r w:rsidRPr="00CE5971">
        <w:rPr>
          <w:rFonts w:ascii="Arial" w:hAnsi="Arial" w:cs="Arial"/>
          <w:b/>
          <w:bCs/>
          <w:highlight w:val="yellow"/>
          <w:lang w:val="pt-BR"/>
        </w:rPr>
        <w:t>Background:</w:t>
      </w:r>
      <w:r w:rsidRPr="00767E86">
        <w:rPr>
          <w:rFonts w:ascii="Arial" w:hAnsi="Arial" w:cs="Arial"/>
          <w:b/>
          <w:bCs/>
          <w:highlight w:val="yellow"/>
          <w:lang w:val="pt-BR"/>
        </w:rPr>
        <w:t xml:space="preserve"> </w:t>
      </w:r>
      <w:r w:rsidRPr="00CE5971">
        <w:rPr>
          <w:rFonts w:ascii="Arial" w:hAnsi="Arial" w:cs="Arial"/>
          <w:highlight w:val="yellow"/>
          <w:lang w:val="pt-BR"/>
        </w:rPr>
        <w:t>Preventable drug-related incidents (PDRIs) remain a major challenge in patient safety, particularly among adults hospitalized with infectious diseases, where complex pharmacotherapy and frequent clinical changes increase the likelihood of harm. This study aimed to develop and validate a clinical prediction model to estimate the risk of PDRIs and support early, pharmacist-led interventions.</w:t>
      </w:r>
      <w:r w:rsidRPr="00767E86">
        <w:rPr>
          <w:rFonts w:ascii="Arial" w:hAnsi="Arial" w:cs="Arial"/>
          <w:highlight w:val="yellow"/>
          <w:lang w:val="pt-BR"/>
        </w:rPr>
        <w:t xml:space="preserve"> </w:t>
      </w:r>
      <w:r w:rsidRPr="00CE5971">
        <w:rPr>
          <w:rFonts w:ascii="Arial" w:hAnsi="Arial" w:cs="Arial"/>
          <w:b/>
          <w:bCs/>
          <w:highlight w:val="yellow"/>
          <w:lang w:val="pt-BR"/>
        </w:rPr>
        <w:t>Methods:</w:t>
      </w:r>
      <w:r w:rsidRPr="00767E86">
        <w:rPr>
          <w:rFonts w:ascii="Arial" w:hAnsi="Arial" w:cs="Arial"/>
          <w:b/>
          <w:bCs/>
          <w:highlight w:val="yellow"/>
          <w:lang w:val="pt-BR"/>
        </w:rPr>
        <w:t xml:space="preserve"> </w:t>
      </w:r>
      <w:r w:rsidRPr="00CE5971">
        <w:rPr>
          <w:rFonts w:ascii="Arial" w:hAnsi="Arial" w:cs="Arial"/>
          <w:highlight w:val="yellow"/>
          <w:lang w:val="pt-BR"/>
        </w:rPr>
        <w:t>A prospective cohort study was conducted among adult inpatients admitted to the infectious disease ward of a tertiary teaching hospital. Data were collected over nine months, from June 2019 to March 2020, and the study was concluded earlier than planned due to restrictions imposed by the COVID-19 pandemic. Information regarding demographic, clinical, and pharmacotherapeutic characteristics, as well as the quality of medication conciliation, was recorded. The model was developed using multivariate logistic regression and internally validated through cross-validation techniques.</w:t>
      </w:r>
      <w:r w:rsidRPr="00767E86">
        <w:rPr>
          <w:rFonts w:ascii="Arial" w:hAnsi="Arial" w:cs="Arial"/>
          <w:highlight w:val="yellow"/>
          <w:lang w:val="pt-BR"/>
        </w:rPr>
        <w:t xml:space="preserve"> </w:t>
      </w:r>
      <w:r w:rsidRPr="00CE5971">
        <w:rPr>
          <w:rFonts w:ascii="Arial" w:hAnsi="Arial" w:cs="Arial"/>
          <w:b/>
          <w:bCs/>
          <w:highlight w:val="yellow"/>
          <w:lang w:val="pt-BR"/>
        </w:rPr>
        <w:t>Results:</w:t>
      </w:r>
      <w:r w:rsidRPr="00767E86">
        <w:rPr>
          <w:rFonts w:ascii="Arial" w:hAnsi="Arial" w:cs="Arial"/>
          <w:b/>
          <w:bCs/>
          <w:highlight w:val="yellow"/>
          <w:lang w:val="pt-BR"/>
        </w:rPr>
        <w:t xml:space="preserve"> </w:t>
      </w:r>
      <w:r w:rsidRPr="00CE5971">
        <w:rPr>
          <w:rFonts w:ascii="Arial" w:hAnsi="Arial" w:cs="Arial"/>
          <w:highlight w:val="yellow"/>
          <w:lang w:val="pt-BR"/>
        </w:rPr>
        <w:t>A total of 212 patients were included. The incidence of PDRIs was high, especially among those with prolonged hospitalization and multiple comorbidities. Independent predictors of PDRI included the number of medications, the presence of comorbidities, infectious diagnosis, and the quality of medication conciliation. Notably, conciliation performed by non-pharmacists was associated with a significantly higher risk of PDRI compared with pharmacist-led conciliation.</w:t>
      </w:r>
      <w:r w:rsidRPr="00767E86">
        <w:rPr>
          <w:rFonts w:ascii="Arial" w:hAnsi="Arial" w:cs="Arial"/>
          <w:highlight w:val="yellow"/>
          <w:lang w:val="pt-BR"/>
        </w:rPr>
        <w:t xml:space="preserve"> </w:t>
      </w:r>
      <w:r w:rsidRPr="00CE5971">
        <w:rPr>
          <w:rFonts w:ascii="Arial" w:hAnsi="Arial" w:cs="Arial"/>
          <w:b/>
          <w:bCs/>
          <w:highlight w:val="yellow"/>
          <w:lang w:val="pt-BR"/>
        </w:rPr>
        <w:t>Conclusion:</w:t>
      </w:r>
      <w:r w:rsidRPr="00767E86">
        <w:rPr>
          <w:rFonts w:ascii="Arial" w:hAnsi="Arial" w:cs="Arial"/>
          <w:b/>
          <w:bCs/>
          <w:highlight w:val="yellow"/>
          <w:lang w:val="pt-BR"/>
        </w:rPr>
        <w:t xml:space="preserve"> </w:t>
      </w:r>
      <w:r w:rsidRPr="00CE5971">
        <w:rPr>
          <w:rFonts w:ascii="Arial" w:hAnsi="Arial" w:cs="Arial"/>
          <w:highlight w:val="yellow"/>
          <w:lang w:val="pt-BR"/>
        </w:rPr>
        <w:t>The proposed model provides a practical and reliable tool to dynamically stratify PDRI risk throughout hospitalization. Its implementation may enhance the ability of clinical pharmacists to prioritize high-risk patients, enabling earlier interventions and contributing to safer and more efficient pharmacotherapy in infectious disease wards.</w:t>
      </w:r>
    </w:p>
    <w:p w14:paraId="57C96650" w14:textId="77777777" w:rsidR="001C28E1" w:rsidRDefault="001C28E1" w:rsidP="000572C7">
      <w:pPr>
        <w:jc w:val="both"/>
        <w:rPr>
          <w:rFonts w:ascii="Arial" w:hAnsi="Arial" w:cs="Arial"/>
        </w:rPr>
      </w:pPr>
    </w:p>
    <w:p w14:paraId="104FA599" w14:textId="77777777" w:rsidR="00636EB2" w:rsidRDefault="00636EB2" w:rsidP="00441B6F">
      <w:pPr>
        <w:pStyle w:val="Body"/>
        <w:spacing w:after="0"/>
        <w:rPr>
          <w:rFonts w:ascii="Arial" w:hAnsi="Arial" w:cs="Arial"/>
          <w:i/>
        </w:rPr>
      </w:pPr>
    </w:p>
    <w:p w14:paraId="1D18CA81" w14:textId="733C40EE" w:rsidR="00CC6BD6" w:rsidRPr="00243B85" w:rsidRDefault="001A6C42" w:rsidP="00CC6BD6">
      <w:pPr>
        <w:pStyle w:val="Body"/>
        <w:rPr>
          <w:rFonts w:ascii="Arial" w:hAnsi="Arial" w:cs="Arial"/>
          <w:i/>
          <w:sz w:val="18"/>
          <w:szCs w:val="18"/>
          <w:lang w:val="pt-BR"/>
        </w:rPr>
      </w:pPr>
      <w:r w:rsidRPr="00243B85">
        <w:rPr>
          <w:rFonts w:ascii="Arial" w:hAnsi="Arial" w:cs="Arial"/>
          <w:i/>
          <w:sz w:val="18"/>
          <w:szCs w:val="18"/>
        </w:rPr>
        <w:t xml:space="preserve">Keywords: </w:t>
      </w:r>
      <w:r w:rsidR="00CC6BD6" w:rsidRPr="00243B85">
        <w:rPr>
          <w:rFonts w:ascii="Arial" w:hAnsi="Arial" w:cs="Arial"/>
          <w:i/>
          <w:sz w:val="18"/>
          <w:szCs w:val="18"/>
        </w:rPr>
        <w:t>Clinical pharmacy service; Clinical decision rules; Prognosis; Patient</w:t>
      </w:r>
      <w:r w:rsidR="00CC6BD6" w:rsidRPr="00243B85">
        <w:rPr>
          <w:rFonts w:ascii="Arial" w:hAnsi="Arial" w:cs="Arial"/>
          <w:i/>
          <w:sz w:val="18"/>
          <w:szCs w:val="18"/>
          <w:lang w:val="pt-BR"/>
        </w:rPr>
        <w:t> </w:t>
      </w:r>
      <w:r w:rsidR="00CC6BD6" w:rsidRPr="00243B85">
        <w:rPr>
          <w:rFonts w:ascii="Arial" w:hAnsi="Arial" w:cs="Arial"/>
          <w:i/>
          <w:sz w:val="18"/>
          <w:szCs w:val="18"/>
        </w:rPr>
        <w:t>safety; Medication errors; Infectious disease medicine</w:t>
      </w:r>
    </w:p>
    <w:p w14:paraId="5A90AAB5" w14:textId="5B1D84CA" w:rsidR="00A24E7E" w:rsidRDefault="00A24E7E" w:rsidP="00441B6F">
      <w:pPr>
        <w:pStyle w:val="Body"/>
        <w:spacing w:after="0"/>
        <w:rPr>
          <w:rFonts w:ascii="Arial" w:hAnsi="Arial" w:cs="Arial"/>
          <w:i/>
        </w:rPr>
      </w:pPr>
    </w:p>
    <w:p w14:paraId="7AF1D092" w14:textId="77777777" w:rsidR="00790ADA" w:rsidRDefault="00790ADA" w:rsidP="00441B6F">
      <w:pPr>
        <w:pStyle w:val="Body"/>
        <w:spacing w:after="0"/>
        <w:rPr>
          <w:rFonts w:ascii="Arial" w:hAnsi="Arial" w:cs="Arial"/>
          <w:i/>
        </w:rPr>
      </w:pPr>
    </w:p>
    <w:p w14:paraId="5DA100E4" w14:textId="77777777" w:rsidR="0024282C" w:rsidRDefault="0024282C" w:rsidP="57C345FF">
      <w:pPr>
        <w:pStyle w:val="Body"/>
        <w:spacing w:after="0"/>
        <w:rPr>
          <w:rFonts w:ascii="Arial" w:hAnsi="Arial" w:cs="Arial"/>
          <w:i/>
          <w:iCs/>
          <w:sz w:val="18"/>
          <w:szCs w:val="18"/>
        </w:rPr>
      </w:pPr>
    </w:p>
    <w:p w14:paraId="2D11355F" w14:textId="19BF6199" w:rsidR="57C345FF" w:rsidRDefault="57C345FF" w:rsidP="57C345FF">
      <w:pPr>
        <w:pStyle w:val="Body"/>
        <w:spacing w:after="0"/>
        <w:rPr>
          <w:rFonts w:ascii="Arial" w:hAnsi="Arial" w:cs="Arial"/>
          <w:i/>
          <w:iCs/>
          <w:sz w:val="18"/>
          <w:szCs w:val="18"/>
        </w:rPr>
      </w:pPr>
    </w:p>
    <w:p w14:paraId="44E37351" w14:textId="4FBD302D" w:rsidR="57C345FF" w:rsidRDefault="57C345FF" w:rsidP="57C345FF">
      <w:pPr>
        <w:pStyle w:val="Body"/>
        <w:spacing w:after="0"/>
        <w:rPr>
          <w:rFonts w:ascii="Arial" w:hAnsi="Arial" w:cs="Arial"/>
          <w:i/>
          <w:iCs/>
          <w:sz w:val="18"/>
          <w:szCs w:val="18"/>
        </w:rPr>
      </w:pPr>
    </w:p>
    <w:p w14:paraId="41C9C9B9" w14:textId="4E322F62" w:rsidR="57C345FF" w:rsidRDefault="57C345FF" w:rsidP="57C345FF">
      <w:pPr>
        <w:pStyle w:val="Body"/>
        <w:spacing w:after="0"/>
        <w:rPr>
          <w:rFonts w:ascii="Arial" w:hAnsi="Arial" w:cs="Arial"/>
          <w:i/>
          <w:iCs/>
          <w:sz w:val="18"/>
          <w:szCs w:val="18"/>
        </w:rPr>
      </w:pPr>
    </w:p>
    <w:p w14:paraId="74616952" w14:textId="1E39CC6F" w:rsidR="57C345FF" w:rsidRDefault="57C345FF" w:rsidP="57C345FF">
      <w:pPr>
        <w:pStyle w:val="Body"/>
        <w:spacing w:after="0"/>
        <w:rPr>
          <w:rFonts w:ascii="Arial" w:hAnsi="Arial" w:cs="Arial"/>
          <w:i/>
          <w:iCs/>
          <w:sz w:val="18"/>
          <w:szCs w:val="18"/>
        </w:rPr>
      </w:pPr>
    </w:p>
    <w:p w14:paraId="0EFC93EE" w14:textId="16B9FBE2" w:rsidR="57C345FF" w:rsidRDefault="57C345FF" w:rsidP="57C345FF">
      <w:pPr>
        <w:pStyle w:val="Body"/>
        <w:spacing w:after="0"/>
        <w:rPr>
          <w:rFonts w:ascii="Arial" w:hAnsi="Arial" w:cs="Arial"/>
          <w:i/>
          <w:iCs/>
          <w:sz w:val="18"/>
          <w:szCs w:val="18"/>
        </w:rPr>
      </w:pPr>
    </w:p>
    <w:p w14:paraId="058F9444" w14:textId="0BDD788E" w:rsidR="57C345FF" w:rsidRDefault="57C345FF" w:rsidP="57C345FF">
      <w:pPr>
        <w:pStyle w:val="Body"/>
        <w:spacing w:after="0"/>
        <w:rPr>
          <w:rFonts w:ascii="Arial" w:hAnsi="Arial" w:cs="Arial"/>
          <w:i/>
          <w:iCs/>
          <w:sz w:val="18"/>
          <w:szCs w:val="18"/>
        </w:rPr>
      </w:pPr>
    </w:p>
    <w:p w14:paraId="3D735B69" w14:textId="35B9991E" w:rsidR="57C345FF" w:rsidRDefault="57C345FF" w:rsidP="57C345FF">
      <w:pPr>
        <w:pStyle w:val="Body"/>
        <w:spacing w:after="0"/>
        <w:rPr>
          <w:rFonts w:ascii="Arial" w:hAnsi="Arial" w:cs="Arial"/>
          <w:i/>
          <w:iCs/>
          <w:sz w:val="18"/>
          <w:szCs w:val="18"/>
        </w:rPr>
      </w:pPr>
    </w:p>
    <w:p w14:paraId="00F0E3FB" w14:textId="0AE55844" w:rsidR="57C345FF" w:rsidRDefault="57C345FF" w:rsidP="57C345FF">
      <w:pPr>
        <w:pStyle w:val="Body"/>
        <w:spacing w:after="0"/>
        <w:rPr>
          <w:rFonts w:ascii="Arial" w:hAnsi="Arial" w:cs="Arial"/>
          <w:i/>
          <w:iCs/>
          <w:sz w:val="18"/>
          <w:szCs w:val="18"/>
        </w:rPr>
      </w:pPr>
    </w:p>
    <w:p w14:paraId="66022F31" w14:textId="3D4C94C3" w:rsidR="57C345FF" w:rsidRDefault="57C345FF" w:rsidP="57C345FF">
      <w:pPr>
        <w:pStyle w:val="Body"/>
        <w:spacing w:after="0"/>
        <w:rPr>
          <w:rFonts w:ascii="Arial" w:hAnsi="Arial" w:cs="Arial"/>
          <w:i/>
          <w:iCs/>
          <w:sz w:val="18"/>
          <w:szCs w:val="18"/>
        </w:rPr>
      </w:pPr>
    </w:p>
    <w:p w14:paraId="3897D752" w14:textId="649463B4" w:rsidR="57C345FF" w:rsidRDefault="57C345FF" w:rsidP="57C345FF">
      <w:pPr>
        <w:pStyle w:val="Body"/>
        <w:spacing w:after="0"/>
        <w:rPr>
          <w:rFonts w:ascii="Arial" w:hAnsi="Arial" w:cs="Arial"/>
          <w:i/>
          <w:iCs/>
          <w:sz w:val="18"/>
          <w:szCs w:val="18"/>
        </w:rPr>
      </w:pPr>
    </w:p>
    <w:p w14:paraId="74138B86" w14:textId="5B0F3D54" w:rsidR="57C345FF" w:rsidRDefault="57C345FF" w:rsidP="57C345FF">
      <w:pPr>
        <w:pStyle w:val="Body"/>
        <w:spacing w:after="0"/>
        <w:rPr>
          <w:rFonts w:ascii="Arial" w:hAnsi="Arial" w:cs="Arial"/>
          <w:i/>
          <w:iCs/>
          <w:sz w:val="18"/>
          <w:szCs w:val="18"/>
        </w:rPr>
      </w:pPr>
    </w:p>
    <w:p w14:paraId="7B465686" w14:textId="0F61AF7D" w:rsidR="57C345FF" w:rsidRDefault="57C345FF" w:rsidP="57C345FF">
      <w:pPr>
        <w:pStyle w:val="Body"/>
        <w:spacing w:after="0"/>
        <w:rPr>
          <w:rFonts w:ascii="Arial" w:hAnsi="Arial" w:cs="Arial"/>
          <w:i/>
          <w:iCs/>
          <w:sz w:val="18"/>
          <w:szCs w:val="18"/>
        </w:rPr>
      </w:pPr>
    </w:p>
    <w:p w14:paraId="40BD1445" w14:textId="0C7C4CCD" w:rsidR="57C345FF" w:rsidRDefault="57C345FF" w:rsidP="57C345FF">
      <w:pPr>
        <w:pStyle w:val="Body"/>
        <w:spacing w:after="0"/>
        <w:rPr>
          <w:rFonts w:ascii="Arial" w:hAnsi="Arial" w:cs="Arial"/>
          <w:i/>
          <w:iCs/>
          <w:sz w:val="18"/>
          <w:szCs w:val="18"/>
        </w:rPr>
      </w:pPr>
    </w:p>
    <w:p w14:paraId="4E38C5BA" w14:textId="7725243C" w:rsidR="57C345FF" w:rsidRDefault="57C345FF" w:rsidP="57C345FF">
      <w:pPr>
        <w:pStyle w:val="Body"/>
        <w:spacing w:after="0"/>
        <w:rPr>
          <w:rFonts w:ascii="Arial" w:hAnsi="Arial" w:cs="Arial"/>
          <w:i/>
          <w:iCs/>
          <w:sz w:val="18"/>
          <w:szCs w:val="18"/>
        </w:rPr>
      </w:pPr>
    </w:p>
    <w:p w14:paraId="782F652B" w14:textId="29A6D8A8" w:rsidR="57C345FF" w:rsidRDefault="57C345FF" w:rsidP="57C345FF">
      <w:pPr>
        <w:pStyle w:val="Body"/>
        <w:spacing w:after="0"/>
        <w:rPr>
          <w:rFonts w:ascii="Arial" w:hAnsi="Arial" w:cs="Arial"/>
          <w:i/>
          <w:iCs/>
          <w:sz w:val="18"/>
          <w:szCs w:val="18"/>
        </w:rPr>
      </w:pPr>
    </w:p>
    <w:p w14:paraId="429396EE" w14:textId="36FF04D5" w:rsidR="57C345FF" w:rsidRDefault="57C345FF" w:rsidP="57C345FF">
      <w:pPr>
        <w:pStyle w:val="Body"/>
        <w:spacing w:after="0"/>
        <w:rPr>
          <w:rFonts w:ascii="Arial" w:hAnsi="Arial" w:cs="Arial"/>
          <w:i/>
          <w:iCs/>
          <w:sz w:val="18"/>
          <w:szCs w:val="18"/>
        </w:rPr>
      </w:pPr>
    </w:p>
    <w:p w14:paraId="6C1F89C4" w14:textId="257A5DBC" w:rsidR="57C345FF" w:rsidRDefault="57C345FF" w:rsidP="57C345FF">
      <w:pPr>
        <w:pStyle w:val="Body"/>
        <w:spacing w:after="0"/>
        <w:rPr>
          <w:rFonts w:ascii="Arial" w:hAnsi="Arial" w:cs="Arial"/>
          <w:i/>
          <w:iCs/>
          <w:sz w:val="18"/>
          <w:szCs w:val="18"/>
        </w:rPr>
      </w:pPr>
    </w:p>
    <w:p w14:paraId="652F7E49" w14:textId="77777777" w:rsidR="006A5EFE" w:rsidRDefault="006A5EFE" w:rsidP="57C345FF">
      <w:pPr>
        <w:pStyle w:val="Body"/>
        <w:spacing w:after="0"/>
        <w:rPr>
          <w:rFonts w:ascii="Arial" w:hAnsi="Arial" w:cs="Arial"/>
          <w:i/>
          <w:iCs/>
          <w:sz w:val="18"/>
          <w:szCs w:val="18"/>
        </w:rPr>
      </w:pPr>
    </w:p>
    <w:p w14:paraId="04604DAB" w14:textId="77777777" w:rsidR="006A5EFE" w:rsidRDefault="006A5EFE" w:rsidP="57C345FF">
      <w:pPr>
        <w:pStyle w:val="Body"/>
        <w:spacing w:after="0"/>
        <w:rPr>
          <w:rFonts w:ascii="Arial" w:hAnsi="Arial" w:cs="Arial"/>
          <w:i/>
          <w:iCs/>
          <w:sz w:val="18"/>
          <w:szCs w:val="18"/>
        </w:rPr>
      </w:pPr>
    </w:p>
    <w:p w14:paraId="23A0BDB7" w14:textId="77777777" w:rsidR="006A5EFE" w:rsidRDefault="006A5EFE" w:rsidP="57C345FF">
      <w:pPr>
        <w:pStyle w:val="Body"/>
        <w:spacing w:after="0"/>
        <w:rPr>
          <w:rFonts w:ascii="Arial" w:hAnsi="Arial" w:cs="Arial"/>
          <w:i/>
          <w:iCs/>
          <w:sz w:val="18"/>
          <w:szCs w:val="18"/>
        </w:rPr>
      </w:pPr>
    </w:p>
    <w:p w14:paraId="154A2E9C" w14:textId="77777777" w:rsidR="006A5EFE" w:rsidRDefault="006A5EFE" w:rsidP="57C345FF">
      <w:pPr>
        <w:pStyle w:val="Body"/>
        <w:spacing w:after="0"/>
        <w:rPr>
          <w:rFonts w:ascii="Arial" w:hAnsi="Arial" w:cs="Arial"/>
          <w:i/>
          <w:iCs/>
          <w:sz w:val="18"/>
          <w:szCs w:val="18"/>
        </w:rPr>
      </w:pPr>
    </w:p>
    <w:p w14:paraId="20E693A2" w14:textId="77777777" w:rsidR="006A5EFE" w:rsidRDefault="006A5EFE" w:rsidP="57C345FF">
      <w:pPr>
        <w:pStyle w:val="Body"/>
        <w:spacing w:after="0"/>
        <w:rPr>
          <w:rFonts w:ascii="Arial" w:hAnsi="Arial" w:cs="Arial"/>
          <w:i/>
          <w:iCs/>
          <w:sz w:val="18"/>
          <w:szCs w:val="18"/>
        </w:rPr>
      </w:pPr>
    </w:p>
    <w:p w14:paraId="32261A53" w14:textId="77777777" w:rsidR="006A5EFE" w:rsidRDefault="006A5EFE" w:rsidP="57C345FF">
      <w:pPr>
        <w:pStyle w:val="Body"/>
        <w:spacing w:after="0"/>
        <w:rPr>
          <w:rFonts w:ascii="Arial" w:hAnsi="Arial" w:cs="Arial"/>
          <w:i/>
          <w:iCs/>
          <w:sz w:val="18"/>
          <w:szCs w:val="18"/>
        </w:rPr>
      </w:pPr>
    </w:p>
    <w:p w14:paraId="63657641" w14:textId="4646ED8D" w:rsidR="57C345FF" w:rsidRDefault="57C345FF" w:rsidP="57C345FF">
      <w:pPr>
        <w:pStyle w:val="Body"/>
        <w:spacing w:after="0"/>
        <w:rPr>
          <w:rFonts w:ascii="Arial" w:hAnsi="Arial" w:cs="Arial"/>
          <w:i/>
          <w:iCs/>
          <w:sz w:val="18"/>
          <w:szCs w:val="18"/>
        </w:rPr>
      </w:pPr>
    </w:p>
    <w:p w14:paraId="7BB9D7FD" w14:textId="38FFBB22" w:rsidR="57C345FF" w:rsidRDefault="57C345FF" w:rsidP="57C345FF">
      <w:pPr>
        <w:pStyle w:val="Body"/>
        <w:spacing w:after="0"/>
        <w:rPr>
          <w:rFonts w:ascii="Arial" w:hAnsi="Arial" w:cs="Arial"/>
          <w:i/>
          <w:iCs/>
          <w:sz w:val="18"/>
          <w:szCs w:val="18"/>
        </w:rPr>
      </w:pPr>
    </w:p>
    <w:p w14:paraId="49FCB555" w14:textId="6F95FA0D" w:rsidR="57C345FF" w:rsidRDefault="57C345FF" w:rsidP="57C345FF">
      <w:pPr>
        <w:pStyle w:val="Body"/>
        <w:spacing w:after="0"/>
        <w:rPr>
          <w:rFonts w:ascii="Arial" w:hAnsi="Arial" w:cs="Arial"/>
          <w:i/>
          <w:iCs/>
          <w:sz w:val="18"/>
          <w:szCs w:val="18"/>
        </w:rPr>
      </w:pPr>
    </w:p>
    <w:p w14:paraId="35D63F74" w14:textId="41291CED" w:rsidR="57C345FF" w:rsidRDefault="57C345FF" w:rsidP="57C345FF">
      <w:pPr>
        <w:pStyle w:val="Body"/>
        <w:spacing w:after="0"/>
        <w:rPr>
          <w:rFonts w:ascii="Arial" w:hAnsi="Arial" w:cs="Arial"/>
          <w:i/>
          <w:iCs/>
          <w:sz w:val="18"/>
          <w:szCs w:val="18"/>
        </w:rPr>
      </w:pPr>
    </w:p>
    <w:p w14:paraId="78B49941" w14:textId="3613C251" w:rsidR="57C345FF" w:rsidRDefault="57C345FF" w:rsidP="57C345FF">
      <w:pPr>
        <w:pStyle w:val="Body"/>
        <w:spacing w:after="0"/>
        <w:rPr>
          <w:rFonts w:ascii="Arial" w:hAnsi="Arial" w:cs="Arial"/>
          <w:i/>
          <w:iCs/>
          <w:sz w:val="18"/>
          <w:szCs w:val="18"/>
        </w:rPr>
      </w:pPr>
    </w:p>
    <w:p w14:paraId="68381638" w14:textId="1B0E5E5D" w:rsidR="57C345FF" w:rsidRDefault="57C345FF" w:rsidP="57C345FF">
      <w:pPr>
        <w:pStyle w:val="Body"/>
        <w:spacing w:after="0"/>
        <w:rPr>
          <w:rFonts w:ascii="Arial" w:hAnsi="Arial" w:cs="Arial"/>
          <w:i/>
          <w:iCs/>
          <w:sz w:val="18"/>
          <w:szCs w:val="18"/>
        </w:rPr>
      </w:pPr>
    </w:p>
    <w:p w14:paraId="4179FDB3" w14:textId="1EB26F49" w:rsidR="57C345FF" w:rsidRDefault="57C345FF" w:rsidP="57C345FF">
      <w:pPr>
        <w:pStyle w:val="Body"/>
        <w:spacing w:after="0"/>
        <w:rPr>
          <w:rFonts w:ascii="Arial" w:hAnsi="Arial" w:cs="Arial"/>
          <w:i/>
          <w:iCs/>
          <w:sz w:val="18"/>
          <w:szCs w:val="18"/>
        </w:rPr>
      </w:pPr>
    </w:p>
    <w:p w14:paraId="6DA1124B" w14:textId="0FD2B4A3" w:rsidR="57C345FF" w:rsidRDefault="57C345FF" w:rsidP="57C345FF">
      <w:pPr>
        <w:pStyle w:val="Body"/>
        <w:spacing w:after="0"/>
        <w:rPr>
          <w:rFonts w:ascii="Arial" w:hAnsi="Arial" w:cs="Arial"/>
          <w:i/>
          <w:iCs/>
          <w:sz w:val="18"/>
          <w:szCs w:val="18"/>
        </w:rPr>
      </w:pPr>
    </w:p>
    <w:p w14:paraId="4B9E3559" w14:textId="256C5C83" w:rsidR="57C345FF" w:rsidRDefault="57C345FF" w:rsidP="57C345FF">
      <w:pPr>
        <w:pStyle w:val="Body"/>
        <w:spacing w:after="0"/>
        <w:rPr>
          <w:rFonts w:ascii="Arial" w:hAnsi="Arial" w:cs="Arial"/>
          <w:i/>
          <w:iCs/>
          <w:sz w:val="18"/>
          <w:szCs w:val="18"/>
        </w:rPr>
      </w:pPr>
    </w:p>
    <w:p w14:paraId="0A779794" w14:textId="5C48D632" w:rsidR="57C345FF" w:rsidRDefault="57C345FF" w:rsidP="57C345FF">
      <w:pPr>
        <w:pStyle w:val="Body"/>
        <w:spacing w:after="0"/>
        <w:rPr>
          <w:rFonts w:ascii="Arial" w:hAnsi="Arial" w:cs="Arial"/>
          <w:i/>
          <w:iCs/>
          <w:sz w:val="18"/>
          <w:szCs w:val="18"/>
        </w:rPr>
      </w:pPr>
    </w:p>
    <w:p w14:paraId="69E16DF1" w14:textId="4A7B03F6" w:rsidR="57C345FF" w:rsidRDefault="57C345FF" w:rsidP="57C345FF">
      <w:pPr>
        <w:pStyle w:val="Body"/>
        <w:spacing w:after="0"/>
        <w:rPr>
          <w:rFonts w:ascii="Arial" w:hAnsi="Arial" w:cs="Arial"/>
          <w:i/>
          <w:iCs/>
          <w:sz w:val="18"/>
          <w:szCs w:val="18"/>
        </w:rPr>
      </w:pPr>
    </w:p>
    <w:p w14:paraId="04AC0F03" w14:textId="77777777" w:rsidR="00505F06" w:rsidRPr="00A24E7E" w:rsidRDefault="00505F06" w:rsidP="00441B6F">
      <w:pPr>
        <w:pStyle w:val="Body"/>
        <w:spacing w:after="0"/>
        <w:rPr>
          <w:rFonts w:ascii="Arial" w:hAnsi="Arial" w:cs="Arial"/>
          <w:i/>
        </w:rPr>
      </w:pPr>
    </w:p>
    <w:p w14:paraId="57C893F2" w14:textId="4EF3E5AB" w:rsidR="007F7B32" w:rsidRDefault="001A6C42" w:rsidP="00441B6F">
      <w:pPr>
        <w:pStyle w:val="AbstHead"/>
        <w:spacing w:after="0"/>
        <w:jc w:val="both"/>
        <w:rPr>
          <w:rFonts w:ascii="Arial" w:hAnsi="Arial" w:cs="Arial"/>
        </w:rPr>
      </w:pPr>
      <w:r>
        <w:rPr>
          <w:rFonts w:ascii="Arial" w:hAnsi="Arial" w:cs="Arial"/>
        </w:rPr>
        <w:lastRenderedPageBreak/>
        <w:t xml:space="preserve">1. </w:t>
      </w:r>
      <w:r w:rsidRPr="00FB3A86">
        <w:rPr>
          <w:rFonts w:ascii="Arial" w:hAnsi="Arial" w:cs="Arial"/>
        </w:rPr>
        <w:t>INTRODUCTION</w:t>
      </w:r>
    </w:p>
    <w:p w14:paraId="44E08B0C" w14:textId="77777777" w:rsidR="00790ADA" w:rsidRPr="00FB3A86" w:rsidRDefault="00790ADA" w:rsidP="00441B6F">
      <w:pPr>
        <w:pStyle w:val="AbstHead"/>
        <w:spacing w:after="0"/>
        <w:jc w:val="both"/>
        <w:rPr>
          <w:rFonts w:ascii="Arial" w:hAnsi="Arial" w:cs="Arial"/>
        </w:rPr>
      </w:pPr>
    </w:p>
    <w:p w14:paraId="002B8D02" w14:textId="77777777" w:rsidR="00CC6BD6" w:rsidRPr="00CC6BD6" w:rsidRDefault="00CC6BD6" w:rsidP="00CC6BD6">
      <w:pPr>
        <w:pStyle w:val="Body"/>
        <w:rPr>
          <w:rFonts w:ascii="Arial" w:hAnsi="Arial" w:cs="Arial"/>
          <w:lang w:val="pt-BR"/>
        </w:rPr>
      </w:pPr>
      <w:r w:rsidRPr="00CC6BD6">
        <w:rPr>
          <w:rFonts w:ascii="Arial" w:hAnsi="Arial" w:cs="Arial"/>
        </w:rPr>
        <w:t>Every medicine has the potential to induce negative effects, and no medication is entirely free from risk (Chauhan et al., 2024). Medication-related problems (MRPs) refer to any incident or scenario connected to pharmaceutical treatment that might hinder or possibly hinder the anticipated health results. This concept includes medication errors (ME), adverse drug reactions (ADRs), adverse drug events (ADEs) (Urbina et al., 2014), as well as drug interactions. </w:t>
      </w:r>
      <w:r w:rsidRPr="00CC6BD6">
        <w:rPr>
          <w:rFonts w:ascii="Arial" w:hAnsi="Arial" w:cs="Arial"/>
          <w:lang w:val="pt-BR"/>
        </w:rPr>
        <w:t> </w:t>
      </w:r>
    </w:p>
    <w:p w14:paraId="21CD3D40" w14:textId="77777777" w:rsidR="00CC6BD6" w:rsidRPr="00CC6BD6" w:rsidRDefault="00CC6BD6" w:rsidP="00CC6BD6">
      <w:pPr>
        <w:pStyle w:val="Body"/>
        <w:rPr>
          <w:rFonts w:ascii="Arial" w:hAnsi="Arial" w:cs="Arial"/>
          <w:lang w:val="pt-BR"/>
        </w:rPr>
      </w:pPr>
      <w:r w:rsidRPr="00CC6BD6">
        <w:rPr>
          <w:rFonts w:ascii="Arial" w:hAnsi="Arial" w:cs="Arial"/>
        </w:rPr>
        <w:t>MRP can lead to patient injury and increased healthcare expenses due to hospitalization, extended hospital stays, and even fatalities (</w:t>
      </w:r>
      <w:proofErr w:type="spellStart"/>
      <w:r w:rsidRPr="00CC6BD6">
        <w:rPr>
          <w:rFonts w:ascii="Arial" w:hAnsi="Arial" w:cs="Arial"/>
        </w:rPr>
        <w:t>Saedder</w:t>
      </w:r>
      <w:proofErr w:type="spellEnd"/>
      <w:r w:rsidRPr="00CC6BD6">
        <w:rPr>
          <w:rFonts w:ascii="Arial" w:hAnsi="Arial" w:cs="Arial"/>
        </w:rPr>
        <w:t xml:space="preserve"> et al., 2015). Fortunately, a considerable fraction of MRP can be avoided. Clinical pharmacists improve the quality of patient care by enhancing the safety and efficacy of pharmaceutical usage, working closely with doctors and nurses (Robert et al., 2023). Additionally, it has been demonstrated that the provision of clinical pharmacy services improves outcomes (</w:t>
      </w:r>
      <w:proofErr w:type="spellStart"/>
      <w:r w:rsidRPr="00CC6BD6">
        <w:rPr>
          <w:rFonts w:ascii="Arial" w:hAnsi="Arial" w:cs="Arial"/>
        </w:rPr>
        <w:t>Alshakrah</w:t>
      </w:r>
      <w:proofErr w:type="spellEnd"/>
      <w:r w:rsidRPr="00CC6BD6">
        <w:rPr>
          <w:rFonts w:ascii="Arial" w:hAnsi="Arial" w:cs="Arial"/>
        </w:rPr>
        <w:t>; Steinke; Lewis, 2019).</w:t>
      </w:r>
      <w:r w:rsidRPr="00CC6BD6">
        <w:rPr>
          <w:rFonts w:ascii="Arial" w:hAnsi="Arial" w:cs="Arial"/>
          <w:lang w:val="pt-BR"/>
        </w:rPr>
        <w:t> </w:t>
      </w:r>
    </w:p>
    <w:p w14:paraId="59B38A94" w14:textId="77777777" w:rsidR="00CC6BD6" w:rsidRPr="00CC6BD6" w:rsidRDefault="00CC6BD6" w:rsidP="00CC6BD6">
      <w:pPr>
        <w:pStyle w:val="Body"/>
        <w:rPr>
          <w:rFonts w:ascii="Arial" w:hAnsi="Arial" w:cs="Arial"/>
          <w:lang w:val="pt-BR"/>
        </w:rPr>
      </w:pPr>
      <w:r w:rsidRPr="00CC6BD6">
        <w:rPr>
          <w:rFonts w:ascii="Arial" w:hAnsi="Arial" w:cs="Arial"/>
        </w:rPr>
        <w:t xml:space="preserve">In recent years, there has been a significant increase in the need for clinical pharmacists in hospitals, and their scope of responsibilities has greatly grown (Robert et al., 2023). </w:t>
      </w:r>
      <w:r w:rsidRPr="00CC6BD6">
        <w:rPr>
          <w:rFonts w:ascii="Arial" w:hAnsi="Arial" w:cs="Arial"/>
          <w:lang w:val="pt-BR"/>
        </w:rPr>
        <w:t> </w:t>
      </w:r>
      <w:r w:rsidRPr="00CC6BD6">
        <w:rPr>
          <w:rFonts w:ascii="Arial" w:hAnsi="Arial" w:cs="Arial"/>
          <w:lang w:val="pt-BR"/>
        </w:rPr>
        <w:br/>
      </w:r>
      <w:r w:rsidRPr="00CC6BD6">
        <w:rPr>
          <w:rFonts w:ascii="Arial" w:hAnsi="Arial" w:cs="Arial"/>
        </w:rPr>
        <w:t>Nevertheless, clinical pharmacy services continue to encounter constraints of resources and capacity, in a scenario of increasing complexity, patients with more intricate prescription regimens and morbidities. This highlights the need to give priority to clinical pharmaceutical services (</w:t>
      </w:r>
      <w:proofErr w:type="spellStart"/>
      <w:r w:rsidRPr="00CC6BD6">
        <w:rPr>
          <w:rFonts w:ascii="Arial" w:hAnsi="Arial" w:cs="Arial"/>
        </w:rPr>
        <w:t>Alshakrah</w:t>
      </w:r>
      <w:proofErr w:type="spellEnd"/>
      <w:r w:rsidRPr="00CC6BD6">
        <w:rPr>
          <w:rFonts w:ascii="Arial" w:hAnsi="Arial" w:cs="Arial"/>
        </w:rPr>
        <w:t>; Steinke; Lewis, 2019). </w:t>
      </w:r>
      <w:r w:rsidRPr="00CC6BD6">
        <w:rPr>
          <w:rFonts w:ascii="Arial" w:hAnsi="Arial" w:cs="Arial"/>
          <w:lang w:val="pt-BR"/>
        </w:rPr>
        <w:t> </w:t>
      </w:r>
    </w:p>
    <w:p w14:paraId="57D83F2F" w14:textId="77777777" w:rsidR="00CC6BD6" w:rsidRPr="00CC6BD6" w:rsidRDefault="00CC6BD6" w:rsidP="00CC6BD6">
      <w:pPr>
        <w:pStyle w:val="Body"/>
        <w:rPr>
          <w:rFonts w:ascii="Arial" w:hAnsi="Arial" w:cs="Arial"/>
          <w:lang w:val="pt-BR"/>
        </w:rPr>
      </w:pPr>
      <w:r w:rsidRPr="00CC6BD6">
        <w:rPr>
          <w:rFonts w:ascii="Arial" w:hAnsi="Arial" w:cs="Arial"/>
        </w:rPr>
        <w:t>The use of a clinical decision support system (CDSS) is associated with a significant increase in the acceptability of pharmacological intervention (PI). The objective of CDSS is to promptly identify medication-related issues, and it may be very beneficial in healthcare establishments with a clinical pharmacy team, as it has been linked to favorable clinical and economic outcomes (Robert et al., 2023). One of the clinical decision support technologies available is pharmaceutical incident prediction tools. </w:t>
      </w:r>
      <w:r w:rsidRPr="00CC6BD6">
        <w:rPr>
          <w:rFonts w:ascii="Arial" w:hAnsi="Arial" w:cs="Arial"/>
          <w:lang w:val="pt-BR"/>
        </w:rPr>
        <w:t> </w:t>
      </w:r>
    </w:p>
    <w:p w14:paraId="1DFCCBBD" w14:textId="77777777" w:rsidR="00CC6BD6" w:rsidRPr="00CC6BD6" w:rsidRDefault="00CC6BD6" w:rsidP="00CC6BD6">
      <w:pPr>
        <w:pStyle w:val="Body"/>
        <w:rPr>
          <w:rFonts w:ascii="Arial" w:hAnsi="Arial" w:cs="Arial"/>
          <w:lang w:val="pt-BR"/>
        </w:rPr>
      </w:pPr>
      <w:r w:rsidRPr="00CC6BD6">
        <w:rPr>
          <w:rFonts w:ascii="Arial" w:hAnsi="Arial" w:cs="Arial"/>
        </w:rPr>
        <w:t>The primary purpose of most tools is to detect patients who are more likely to have MRPs and to provide guidance for proper pharmaceutical intervention (</w:t>
      </w:r>
      <w:proofErr w:type="spellStart"/>
      <w:r w:rsidRPr="00CC6BD6">
        <w:rPr>
          <w:rFonts w:ascii="Arial" w:hAnsi="Arial" w:cs="Arial"/>
        </w:rPr>
        <w:t>Alshakrah</w:t>
      </w:r>
      <w:proofErr w:type="spellEnd"/>
      <w:r w:rsidRPr="00CC6BD6">
        <w:rPr>
          <w:rFonts w:ascii="Arial" w:hAnsi="Arial" w:cs="Arial"/>
        </w:rPr>
        <w:t>; Steinke; Lewis, 2019). The risk score should accurately categorize patients into low-risk and high-risk based on predetermined detection thresholds (</w:t>
      </w:r>
      <w:proofErr w:type="spellStart"/>
      <w:r w:rsidRPr="00CC6BD6">
        <w:rPr>
          <w:rFonts w:ascii="Arial" w:hAnsi="Arial" w:cs="Arial"/>
        </w:rPr>
        <w:t>Saedder</w:t>
      </w:r>
      <w:proofErr w:type="spellEnd"/>
      <w:r w:rsidRPr="00CC6BD6">
        <w:rPr>
          <w:rFonts w:ascii="Arial" w:hAnsi="Arial" w:cs="Arial"/>
        </w:rPr>
        <w:t xml:space="preserve"> et al., 2015). Additionally, validation of prediction models is necessary before their deployment in clinical practice (</w:t>
      </w:r>
      <w:proofErr w:type="spellStart"/>
      <w:r w:rsidRPr="00CC6BD6">
        <w:rPr>
          <w:rFonts w:ascii="Arial" w:hAnsi="Arial" w:cs="Arial"/>
        </w:rPr>
        <w:t>Calster</w:t>
      </w:r>
      <w:proofErr w:type="spellEnd"/>
      <w:r w:rsidRPr="00CC6BD6">
        <w:rPr>
          <w:rFonts w:ascii="Arial" w:hAnsi="Arial" w:cs="Arial"/>
        </w:rPr>
        <w:t xml:space="preserve"> et al., 2023).</w:t>
      </w:r>
      <w:r w:rsidRPr="00CC6BD6">
        <w:rPr>
          <w:rFonts w:ascii="Arial" w:hAnsi="Arial" w:cs="Arial"/>
          <w:lang w:val="pt-BR"/>
        </w:rPr>
        <w:t> </w:t>
      </w:r>
    </w:p>
    <w:p w14:paraId="0620C716" w14:textId="77777777" w:rsidR="00CC6BD6" w:rsidRPr="00CC6BD6" w:rsidRDefault="00CC6BD6" w:rsidP="00CC6BD6">
      <w:pPr>
        <w:pStyle w:val="Body"/>
        <w:rPr>
          <w:rFonts w:ascii="Arial" w:hAnsi="Arial" w:cs="Arial"/>
          <w:lang w:val="pt-BR"/>
        </w:rPr>
      </w:pPr>
      <w:r w:rsidRPr="00CC6BD6">
        <w:rPr>
          <w:rFonts w:ascii="Arial" w:hAnsi="Arial" w:cs="Arial"/>
        </w:rPr>
        <w:t>Various methodologies have been used to create instruments that aid in the assessment of risk of adverse reactions or medication errors (</w:t>
      </w:r>
      <w:proofErr w:type="spellStart"/>
      <w:r w:rsidRPr="00CC6BD6">
        <w:rPr>
          <w:rFonts w:ascii="Arial" w:hAnsi="Arial" w:cs="Arial"/>
        </w:rPr>
        <w:t>Saedder</w:t>
      </w:r>
      <w:proofErr w:type="spellEnd"/>
      <w:r w:rsidRPr="00CC6BD6">
        <w:rPr>
          <w:rFonts w:ascii="Arial" w:hAnsi="Arial" w:cs="Arial"/>
        </w:rPr>
        <w:t xml:space="preserve"> et al., 2015), and multiple prioritizing tools have been created (</w:t>
      </w:r>
      <w:proofErr w:type="spellStart"/>
      <w:r w:rsidRPr="00CC6BD6">
        <w:rPr>
          <w:rFonts w:ascii="Arial" w:hAnsi="Arial" w:cs="Arial"/>
        </w:rPr>
        <w:t>Alshakrah</w:t>
      </w:r>
      <w:proofErr w:type="spellEnd"/>
      <w:r w:rsidRPr="00CC6BD6">
        <w:rPr>
          <w:rFonts w:ascii="Arial" w:hAnsi="Arial" w:cs="Arial"/>
        </w:rPr>
        <w:t xml:space="preserve">; Steinke; Lewis, 2019). Several studies in this field have consistently shown that it is possible for these tools to effectively accomplish their objective of guiding pharmaceutical treatment towards areas with the highest demand. This finding may serve as a source of confidence and motivation for the wider use and advancement of such tools in clinical pharmacy services. Nevertheless, there have been few research efforts to examine the many categories of drug-related problems (DRP) among patients who are admitted to the hospital, especially the changing risk during their whole hospital </w:t>
      </w:r>
      <w:proofErr w:type="gramStart"/>
      <w:r w:rsidRPr="00CC6BD6">
        <w:rPr>
          <w:rFonts w:ascii="Arial" w:hAnsi="Arial" w:cs="Arial"/>
        </w:rPr>
        <w:t>stay</w:t>
      </w:r>
      <w:proofErr w:type="gramEnd"/>
      <w:r w:rsidRPr="00CC6BD6">
        <w:rPr>
          <w:rFonts w:ascii="Arial" w:hAnsi="Arial" w:cs="Arial"/>
        </w:rPr>
        <w:t xml:space="preserve"> (Urbina et al., 2014). Furthermore, the existing evaluation tools vary in their substance, focusing on various patient groups and therapeutic contexts, which makes it challenging to draw general conclusions (</w:t>
      </w:r>
      <w:proofErr w:type="spellStart"/>
      <w:r w:rsidRPr="00CC6BD6">
        <w:rPr>
          <w:rFonts w:ascii="Arial" w:hAnsi="Arial" w:cs="Arial"/>
        </w:rPr>
        <w:t>Alshakrah</w:t>
      </w:r>
      <w:proofErr w:type="spellEnd"/>
      <w:r w:rsidRPr="00CC6BD6">
        <w:rPr>
          <w:rFonts w:ascii="Arial" w:hAnsi="Arial" w:cs="Arial"/>
        </w:rPr>
        <w:t>; Steinke; Lewis, 2019).</w:t>
      </w:r>
      <w:r w:rsidRPr="00CC6BD6">
        <w:rPr>
          <w:rFonts w:ascii="Arial" w:hAnsi="Arial" w:cs="Arial"/>
          <w:lang w:val="pt-BR"/>
        </w:rPr>
        <w:t> </w:t>
      </w:r>
    </w:p>
    <w:p w14:paraId="32825E06" w14:textId="77777777" w:rsidR="00CC6BD6" w:rsidRPr="00CC6BD6" w:rsidRDefault="00CC6BD6" w:rsidP="00CC6BD6">
      <w:pPr>
        <w:pStyle w:val="Body"/>
        <w:rPr>
          <w:rFonts w:ascii="Arial" w:hAnsi="Arial" w:cs="Arial"/>
          <w:lang w:val="pt-BR"/>
        </w:rPr>
      </w:pPr>
      <w:r w:rsidRPr="00CC6BD6">
        <w:rPr>
          <w:rFonts w:ascii="Arial" w:hAnsi="Arial" w:cs="Arial"/>
        </w:rPr>
        <w:t>Diseases such as tuberculosis, HIV, and other infections require continuous monitoring and dynamic therapeutic interventions. Therefore, the ability of a model to reflect these changes and adjust its risk predictions according to the patient’s clinical status would be essential for its practical applicability. This could allow clinical pharmacists and other healthcare professionals to focus on periods and patients of greatest vulnerability, ensuring that interventions are implemented promptly. </w:t>
      </w:r>
      <w:r w:rsidRPr="00CC6BD6">
        <w:rPr>
          <w:rFonts w:ascii="Arial" w:hAnsi="Arial" w:cs="Arial"/>
          <w:lang w:val="pt-BR"/>
        </w:rPr>
        <w:t> </w:t>
      </w:r>
    </w:p>
    <w:p w14:paraId="20B4F2A0" w14:textId="25F7AF9B" w:rsidR="001A6C42" w:rsidRPr="001A6C42" w:rsidRDefault="00CC6BD6" w:rsidP="001A6C42">
      <w:pPr>
        <w:pStyle w:val="Body"/>
        <w:rPr>
          <w:rFonts w:ascii="Arial" w:hAnsi="Arial" w:cs="Arial"/>
          <w:lang w:val="pt-BR"/>
        </w:rPr>
      </w:pPr>
      <w:r w:rsidRPr="00CC6BD6">
        <w:rPr>
          <w:rFonts w:ascii="Arial" w:hAnsi="Arial" w:cs="Arial"/>
        </w:rPr>
        <w:t>The aim of this study was to develop a tool to predict preventable drug-related incidents (PDRI), and this tool should be able to make predictions during the whole hospitalization period in an infectious diseases ward</w:t>
      </w:r>
      <w:r w:rsidR="001A6C42" w:rsidRPr="001A6C42">
        <w:rPr>
          <w:rFonts w:ascii="Arial" w:hAnsi="Arial" w:cs="Arial"/>
        </w:rPr>
        <w:t>.</w:t>
      </w:r>
    </w:p>
    <w:p w14:paraId="2263EC7B" w14:textId="3B76A325" w:rsidR="00B01FCD" w:rsidRDefault="00B95236" w:rsidP="001A6C42">
      <w:pPr>
        <w:pStyle w:val="Body"/>
        <w:spacing w:after="0"/>
        <w:rPr>
          <w:rFonts w:ascii="Arial" w:hAnsi="Arial" w:cs="Arial"/>
        </w:rPr>
      </w:pPr>
      <w:r w:rsidRPr="00B95236">
        <w:rPr>
          <w:rFonts w:ascii="Arial" w:hAnsi="Arial" w:cs="Arial"/>
        </w:rPr>
        <w:t xml:space="preserve"> </w:t>
      </w:r>
    </w:p>
    <w:p w14:paraId="6E73E221" w14:textId="77777777" w:rsidR="00790ADA" w:rsidRPr="00FB3A86" w:rsidRDefault="00790ADA" w:rsidP="00441B6F">
      <w:pPr>
        <w:pStyle w:val="Body"/>
        <w:spacing w:after="0"/>
        <w:rPr>
          <w:rFonts w:ascii="Arial" w:hAnsi="Arial" w:cs="Arial"/>
        </w:rPr>
      </w:pPr>
    </w:p>
    <w:p w14:paraId="52DC6D94" w14:textId="2F85B449" w:rsidR="57C345FF" w:rsidRDefault="57C345FF" w:rsidP="57C345FF">
      <w:pPr>
        <w:pStyle w:val="Body"/>
        <w:spacing w:after="0"/>
        <w:rPr>
          <w:rFonts w:ascii="Arial" w:hAnsi="Arial" w:cs="Arial"/>
        </w:rPr>
      </w:pPr>
    </w:p>
    <w:p w14:paraId="2A5F1175" w14:textId="2EF859E2" w:rsidR="57C345FF" w:rsidRDefault="57C345FF" w:rsidP="57C345FF">
      <w:pPr>
        <w:pStyle w:val="Body"/>
        <w:spacing w:after="0"/>
        <w:rPr>
          <w:rFonts w:ascii="Arial" w:hAnsi="Arial" w:cs="Arial"/>
        </w:rPr>
      </w:pPr>
    </w:p>
    <w:p w14:paraId="798BEF27" w14:textId="1DA0D008" w:rsidR="57C345FF" w:rsidRDefault="57C345FF" w:rsidP="57C345FF">
      <w:pPr>
        <w:pStyle w:val="Body"/>
        <w:spacing w:after="0"/>
        <w:rPr>
          <w:rFonts w:ascii="Arial" w:hAnsi="Arial" w:cs="Arial"/>
        </w:rPr>
      </w:pPr>
    </w:p>
    <w:p w14:paraId="6F1983C7" w14:textId="4D87BF1F" w:rsidR="57C345FF" w:rsidRDefault="57C345FF" w:rsidP="57C345FF">
      <w:pPr>
        <w:pStyle w:val="Body"/>
        <w:spacing w:after="0"/>
        <w:rPr>
          <w:rFonts w:ascii="Arial" w:hAnsi="Arial" w:cs="Arial"/>
        </w:rPr>
      </w:pPr>
    </w:p>
    <w:p w14:paraId="6EB6F5B6" w14:textId="48AE7319" w:rsidR="007F7B32" w:rsidRDefault="001A6C42" w:rsidP="00441B6F">
      <w:pPr>
        <w:pStyle w:val="AbstHead"/>
        <w:spacing w:after="0"/>
        <w:jc w:val="both"/>
        <w:rPr>
          <w:rFonts w:ascii="Arial" w:hAnsi="Arial" w:cs="Arial"/>
        </w:rPr>
      </w:pPr>
      <w:r>
        <w:rPr>
          <w:rFonts w:ascii="Arial" w:hAnsi="Arial" w:cs="Arial"/>
        </w:rPr>
        <w:t>2. material and methods</w:t>
      </w:r>
    </w:p>
    <w:p w14:paraId="7BFD2C58" w14:textId="77777777" w:rsidR="00790ADA" w:rsidRPr="00FB3A86" w:rsidRDefault="00790ADA" w:rsidP="00441B6F">
      <w:pPr>
        <w:pStyle w:val="AbstHead"/>
        <w:spacing w:after="0"/>
        <w:jc w:val="both"/>
        <w:rPr>
          <w:rFonts w:ascii="Arial" w:hAnsi="Arial" w:cs="Arial"/>
        </w:rPr>
      </w:pPr>
    </w:p>
    <w:p w14:paraId="4D0D6B53" w14:textId="0CA22433" w:rsidR="00CC6BD6" w:rsidRPr="00243B85" w:rsidRDefault="00CC6BD6" w:rsidP="00CC6BD6">
      <w:pPr>
        <w:pStyle w:val="Body"/>
        <w:rPr>
          <w:rFonts w:ascii="Arial" w:hAnsi="Arial" w:cs="Arial"/>
          <w:b/>
          <w:bCs/>
          <w:lang w:val="pt-BR"/>
        </w:rPr>
      </w:pPr>
      <w:r w:rsidRPr="00243B85">
        <w:rPr>
          <w:rFonts w:ascii="Arial" w:hAnsi="Arial" w:cs="Arial"/>
          <w:b/>
          <w:bCs/>
          <w:i/>
          <w:iCs/>
        </w:rPr>
        <w:t>2.1 Study design and setting</w:t>
      </w:r>
      <w:r w:rsidRPr="00243B85">
        <w:rPr>
          <w:rFonts w:ascii="Arial" w:hAnsi="Arial" w:cs="Arial"/>
          <w:b/>
          <w:bCs/>
          <w:lang w:val="pt-BR"/>
        </w:rPr>
        <w:t> </w:t>
      </w:r>
    </w:p>
    <w:p w14:paraId="16DB38BB" w14:textId="77777777" w:rsidR="00CC6BD6" w:rsidRPr="00243B85" w:rsidRDefault="00CC6BD6" w:rsidP="00CC6BD6">
      <w:pPr>
        <w:pStyle w:val="Body"/>
        <w:rPr>
          <w:rFonts w:ascii="Arial" w:hAnsi="Arial" w:cs="Arial"/>
          <w:b/>
          <w:bCs/>
          <w:lang w:val="pt-BR"/>
        </w:rPr>
      </w:pPr>
      <w:r w:rsidRPr="00243B85">
        <w:rPr>
          <w:rFonts w:ascii="Arial" w:hAnsi="Arial" w:cs="Arial"/>
          <w:b/>
          <w:bCs/>
          <w:lang w:val="pt-BR"/>
        </w:rPr>
        <w:t> </w:t>
      </w:r>
    </w:p>
    <w:p w14:paraId="731C0EC9" w14:textId="1837974D" w:rsidR="00CC6BD6" w:rsidRPr="00243B85" w:rsidRDefault="00CC6BD6" w:rsidP="00CC6BD6">
      <w:pPr>
        <w:pStyle w:val="Body"/>
        <w:rPr>
          <w:rFonts w:ascii="Arial" w:hAnsi="Arial" w:cs="Arial"/>
          <w:lang w:val="pt-BR"/>
        </w:rPr>
      </w:pPr>
      <w:r w:rsidRPr="00243B85">
        <w:rPr>
          <w:rFonts w:ascii="Arial" w:hAnsi="Arial" w:cs="Arial"/>
        </w:rPr>
        <w:t>This is an observational follow-up study performed at the Evandro Chagas Infectious Diseases National Institute - Oswaldo Cruz Foundation (INI - FIOCRUZ), a specialized tertiary federal public hospital in Rio de Janeiro, Brazil, dedicated to the treatment of infectious diseases</w:t>
      </w:r>
      <w:r w:rsidR="007B5247">
        <w:rPr>
          <w:rFonts w:ascii="Arial" w:hAnsi="Arial" w:cs="Arial"/>
        </w:rPr>
        <w:t xml:space="preserve">, </w:t>
      </w:r>
      <w:r w:rsidR="007B5247" w:rsidRPr="007B5247">
        <w:rPr>
          <w:rFonts w:ascii="Arial" w:hAnsi="Arial" w:cs="Arial"/>
          <w:highlight w:val="yellow"/>
        </w:rPr>
        <w:t>from June 2019 to March 2020, and was concluded earlier than planned due to restrictions related to the COVID-19 pandemic</w:t>
      </w:r>
      <w:r w:rsidRPr="00243B85">
        <w:rPr>
          <w:rFonts w:ascii="Arial" w:hAnsi="Arial" w:cs="Arial"/>
        </w:rPr>
        <w:t>. During the study period, the INI ward featured 22 ward beds and 4 intensive care unit (ICU) beds, with an annual hospitalization average of approximately 575 patients. It received patients from the entire Rio de Janeiro metropolitan area, including many neighboring cities. </w:t>
      </w:r>
      <w:r w:rsidRPr="00243B85">
        <w:rPr>
          <w:rFonts w:ascii="Arial" w:hAnsi="Arial" w:cs="Arial"/>
          <w:lang w:val="pt-BR"/>
        </w:rPr>
        <w:t> </w:t>
      </w:r>
    </w:p>
    <w:p w14:paraId="16701F58" w14:textId="77777777" w:rsidR="00CC6BD6" w:rsidRPr="00243B85" w:rsidRDefault="00CC6BD6" w:rsidP="00CC6BD6">
      <w:pPr>
        <w:pStyle w:val="Body"/>
        <w:rPr>
          <w:rFonts w:ascii="Arial" w:hAnsi="Arial" w:cs="Arial"/>
          <w:b/>
          <w:bCs/>
          <w:lang w:val="pt-BR"/>
        </w:rPr>
      </w:pPr>
      <w:r w:rsidRPr="00243B85">
        <w:rPr>
          <w:rFonts w:ascii="Arial" w:hAnsi="Arial" w:cs="Arial"/>
          <w:b/>
          <w:bCs/>
        </w:rPr>
        <w:t>  </w:t>
      </w:r>
      <w:r w:rsidRPr="00243B85">
        <w:rPr>
          <w:rFonts w:ascii="Arial" w:hAnsi="Arial" w:cs="Arial"/>
          <w:b/>
          <w:bCs/>
          <w:lang w:val="pt-BR"/>
        </w:rPr>
        <w:t> </w:t>
      </w:r>
    </w:p>
    <w:p w14:paraId="666F4337" w14:textId="01860182" w:rsidR="00CC6BD6" w:rsidRPr="00243B85" w:rsidRDefault="00CC6BD6" w:rsidP="00CC6BD6">
      <w:pPr>
        <w:pStyle w:val="Body"/>
        <w:rPr>
          <w:rFonts w:ascii="Arial" w:hAnsi="Arial" w:cs="Arial"/>
          <w:b/>
          <w:bCs/>
          <w:lang w:val="pt-BR"/>
        </w:rPr>
      </w:pPr>
      <w:r w:rsidRPr="00243B85">
        <w:rPr>
          <w:rFonts w:ascii="Arial" w:hAnsi="Arial" w:cs="Arial"/>
          <w:b/>
          <w:bCs/>
          <w:i/>
          <w:iCs/>
        </w:rPr>
        <w:t>2.2 Participants</w:t>
      </w:r>
      <w:r w:rsidRPr="00243B85">
        <w:rPr>
          <w:rFonts w:ascii="Arial" w:hAnsi="Arial" w:cs="Arial"/>
          <w:b/>
          <w:bCs/>
          <w:lang w:val="pt-BR"/>
        </w:rPr>
        <w:t> </w:t>
      </w:r>
    </w:p>
    <w:p w14:paraId="5572836C" w14:textId="77777777" w:rsidR="00CC6BD6" w:rsidRPr="00243B85" w:rsidRDefault="00CC6BD6" w:rsidP="00CC6BD6">
      <w:pPr>
        <w:pStyle w:val="Body"/>
        <w:rPr>
          <w:rFonts w:ascii="Arial" w:hAnsi="Arial" w:cs="Arial"/>
          <w:b/>
          <w:bCs/>
          <w:lang w:val="pt-BR"/>
        </w:rPr>
      </w:pPr>
      <w:r w:rsidRPr="00243B85">
        <w:rPr>
          <w:rFonts w:ascii="Arial" w:hAnsi="Arial" w:cs="Arial"/>
          <w:b/>
          <w:bCs/>
          <w:lang w:val="pt-BR"/>
        </w:rPr>
        <w:t> </w:t>
      </w:r>
    </w:p>
    <w:p w14:paraId="2528BC66" w14:textId="77777777" w:rsidR="00CC6BD6" w:rsidRPr="00243B85" w:rsidRDefault="00CC6BD6" w:rsidP="00CC6BD6">
      <w:pPr>
        <w:pStyle w:val="Body"/>
        <w:rPr>
          <w:rFonts w:ascii="Arial" w:hAnsi="Arial" w:cs="Arial"/>
          <w:lang w:val="pt-BR"/>
        </w:rPr>
      </w:pPr>
      <w:r w:rsidRPr="00243B85">
        <w:rPr>
          <w:rFonts w:ascii="Arial" w:hAnsi="Arial" w:cs="Arial"/>
        </w:rPr>
        <w:t>Sequential selection of participants took place between June 2019 and March 2020. Admission within the inclusion period, being at least 18 years old, not having received any previous clinical pharmacist care, and indicating a desire to participate in the study by signing the Informed Consent Form were the requirements for participation. The exclusion criteria were: straight admission to the intensive care unit (ICU), transfer from the ICU to the ward, no medication use during the first 48 hours of admission, and hospital stays shorter than 24 hours. Only the first hospitalization—if a patient had more than one throughout the study period—was included in the analysis. Patients who were discharged from the hospital, moved to other medical facilities, or had a longer license (</w:t>
      </w:r>
      <w:r w:rsidRPr="00243B85">
        <w:rPr>
          <w:rFonts w:ascii="Cambria Math" w:hAnsi="Cambria Math" w:cs="Cambria Math"/>
        </w:rPr>
        <w:t>≽</w:t>
      </w:r>
      <w:r w:rsidRPr="00243B85">
        <w:rPr>
          <w:rFonts w:ascii="Arial" w:hAnsi="Arial" w:cs="Arial"/>
        </w:rPr>
        <w:t xml:space="preserve"> 24 hours) were discontinued.</w:t>
      </w:r>
      <w:r w:rsidRPr="00243B85">
        <w:rPr>
          <w:rFonts w:ascii="Arial" w:hAnsi="Arial" w:cs="Arial"/>
          <w:lang w:val="pt-BR"/>
        </w:rPr>
        <w:t> </w:t>
      </w:r>
    </w:p>
    <w:p w14:paraId="26D059B1" w14:textId="77777777" w:rsidR="00CC6BD6" w:rsidRPr="00243B85" w:rsidRDefault="00CC6BD6" w:rsidP="00CC6BD6">
      <w:pPr>
        <w:pStyle w:val="Body"/>
        <w:rPr>
          <w:rFonts w:ascii="Arial" w:hAnsi="Arial" w:cs="Arial"/>
          <w:b/>
          <w:bCs/>
          <w:lang w:val="pt-BR"/>
        </w:rPr>
      </w:pPr>
      <w:r w:rsidRPr="00243B85">
        <w:rPr>
          <w:rFonts w:ascii="Arial" w:hAnsi="Arial" w:cs="Arial"/>
          <w:b/>
          <w:bCs/>
          <w:lang w:val="pt-BR"/>
        </w:rPr>
        <w:t> </w:t>
      </w:r>
    </w:p>
    <w:p w14:paraId="220D9D77" w14:textId="2975DF2C" w:rsidR="00CC6BD6" w:rsidRPr="00243B85" w:rsidRDefault="00CC6BD6" w:rsidP="00CC6BD6">
      <w:pPr>
        <w:pStyle w:val="Body"/>
        <w:rPr>
          <w:rFonts w:ascii="Arial" w:hAnsi="Arial" w:cs="Arial"/>
          <w:b/>
          <w:bCs/>
          <w:lang w:val="pt-BR"/>
        </w:rPr>
      </w:pPr>
      <w:r w:rsidRPr="00243B85">
        <w:rPr>
          <w:rFonts w:ascii="Arial" w:hAnsi="Arial" w:cs="Arial"/>
          <w:b/>
          <w:bCs/>
          <w:i/>
          <w:iCs/>
        </w:rPr>
        <w:t>2.3 Procedures and techniques</w:t>
      </w:r>
      <w:r w:rsidRPr="00243B85">
        <w:rPr>
          <w:rFonts w:ascii="Arial" w:hAnsi="Arial" w:cs="Arial"/>
          <w:b/>
          <w:bCs/>
          <w:lang w:val="pt-BR"/>
        </w:rPr>
        <w:t> </w:t>
      </w:r>
    </w:p>
    <w:p w14:paraId="7F5EA09D" w14:textId="77777777" w:rsidR="00CC6BD6" w:rsidRPr="00243B85" w:rsidRDefault="00CC6BD6" w:rsidP="00CC6BD6">
      <w:pPr>
        <w:pStyle w:val="Body"/>
        <w:rPr>
          <w:rFonts w:ascii="Arial" w:hAnsi="Arial" w:cs="Arial"/>
          <w:b/>
          <w:bCs/>
          <w:lang w:val="pt-BR"/>
        </w:rPr>
      </w:pPr>
      <w:r w:rsidRPr="00243B85">
        <w:rPr>
          <w:rFonts w:ascii="Arial" w:hAnsi="Arial" w:cs="Arial"/>
          <w:b/>
          <w:bCs/>
          <w:lang w:val="pt-BR"/>
        </w:rPr>
        <w:t> </w:t>
      </w:r>
    </w:p>
    <w:p w14:paraId="6C44A4B0" w14:textId="77777777" w:rsidR="00CC6BD6" w:rsidRPr="00243B85" w:rsidRDefault="00CC6BD6" w:rsidP="00CC6BD6">
      <w:pPr>
        <w:pStyle w:val="Body"/>
        <w:rPr>
          <w:rFonts w:ascii="Arial" w:hAnsi="Arial" w:cs="Arial"/>
          <w:lang w:val="pt-BR"/>
        </w:rPr>
      </w:pPr>
      <w:r w:rsidRPr="00243B85">
        <w:rPr>
          <w:rFonts w:ascii="Arial" w:hAnsi="Arial" w:cs="Arial"/>
        </w:rPr>
        <w:t>Under the supervision of a senior pharmacist (ECF), junior pharmacists (RBR, PGS, ALS, FOS, and VRB) gathered patient data from electronic medical records and prescriptions. When information was lacking, the authors gathered it by speaking with the patients or the multidisciplinary team. </w:t>
      </w:r>
      <w:r w:rsidRPr="00243B85">
        <w:rPr>
          <w:rFonts w:ascii="Arial" w:hAnsi="Arial" w:cs="Arial"/>
          <w:lang w:val="pt-BR"/>
        </w:rPr>
        <w:t> </w:t>
      </w:r>
    </w:p>
    <w:p w14:paraId="206EE54E" w14:textId="77777777" w:rsidR="00CC6BD6" w:rsidRPr="00243B85" w:rsidRDefault="00CC6BD6" w:rsidP="00CC6BD6">
      <w:pPr>
        <w:pStyle w:val="Body"/>
        <w:rPr>
          <w:rFonts w:ascii="Arial" w:hAnsi="Arial" w:cs="Arial"/>
          <w:lang w:val="pt-BR"/>
        </w:rPr>
      </w:pPr>
      <w:r w:rsidRPr="00243B85">
        <w:rPr>
          <w:rFonts w:ascii="Arial" w:hAnsi="Arial" w:cs="Arial"/>
        </w:rPr>
        <w:t>On the first day of hospitalization (D1), the seventh day of hospitalization (D7), and every other seventh day until hospital discharge, information about possible predictors and outcome data were gathered. The closest data within 72 hours before or following the scheduled evaluation was utilized if data for a certain day was absent.</w:t>
      </w:r>
      <w:r w:rsidRPr="00243B85">
        <w:rPr>
          <w:rFonts w:ascii="Arial" w:hAnsi="Arial" w:cs="Arial"/>
          <w:lang w:val="pt-BR"/>
        </w:rPr>
        <w:t> </w:t>
      </w:r>
    </w:p>
    <w:p w14:paraId="595FB46E" w14:textId="77777777" w:rsidR="00CC6BD6" w:rsidRPr="00243B85" w:rsidRDefault="00CC6BD6" w:rsidP="00CC6BD6">
      <w:pPr>
        <w:pStyle w:val="Body"/>
        <w:rPr>
          <w:rFonts w:ascii="Arial" w:hAnsi="Arial" w:cs="Arial"/>
          <w:lang w:val="pt-BR"/>
        </w:rPr>
      </w:pPr>
      <w:r w:rsidRPr="00243B85">
        <w:rPr>
          <w:rFonts w:ascii="Arial" w:hAnsi="Arial" w:cs="Arial"/>
        </w:rPr>
        <w:t>The responsible researcher and staff members of the study team regularly reviewed the predictors and results that the team members had found. This procedure handled several requests and permitted comments and modifications.</w:t>
      </w:r>
      <w:r w:rsidRPr="00243B85">
        <w:rPr>
          <w:rFonts w:ascii="Arial" w:hAnsi="Arial" w:cs="Arial"/>
          <w:lang w:val="pt-BR"/>
        </w:rPr>
        <w:t> </w:t>
      </w:r>
    </w:p>
    <w:p w14:paraId="4799CAA9" w14:textId="77777777" w:rsidR="00CC6BD6" w:rsidRPr="00243B85" w:rsidRDefault="00CC6BD6" w:rsidP="00CC6BD6">
      <w:pPr>
        <w:pStyle w:val="Body"/>
        <w:rPr>
          <w:rFonts w:ascii="Arial" w:hAnsi="Arial" w:cs="Arial"/>
          <w:b/>
          <w:bCs/>
          <w:lang w:val="pt-BR"/>
        </w:rPr>
      </w:pPr>
      <w:r w:rsidRPr="00243B85">
        <w:rPr>
          <w:rFonts w:ascii="Arial" w:hAnsi="Arial" w:cs="Arial"/>
          <w:b/>
          <w:bCs/>
          <w:lang w:val="pt-BR"/>
        </w:rPr>
        <w:t> </w:t>
      </w:r>
    </w:p>
    <w:p w14:paraId="7200820B" w14:textId="73CB4E76" w:rsidR="00CC6BD6" w:rsidRPr="00243B85" w:rsidRDefault="00CC6BD6" w:rsidP="00CC6BD6">
      <w:pPr>
        <w:pStyle w:val="Body"/>
        <w:rPr>
          <w:rFonts w:ascii="Arial" w:hAnsi="Arial" w:cs="Arial"/>
          <w:b/>
          <w:bCs/>
          <w:lang w:val="pt-BR"/>
        </w:rPr>
      </w:pPr>
      <w:r w:rsidRPr="00243B85">
        <w:rPr>
          <w:rFonts w:ascii="Arial" w:hAnsi="Arial" w:cs="Arial"/>
          <w:b/>
          <w:bCs/>
          <w:i/>
          <w:iCs/>
        </w:rPr>
        <w:t>2.4 Predictors</w:t>
      </w:r>
      <w:r w:rsidRPr="00243B85">
        <w:rPr>
          <w:rFonts w:ascii="Arial" w:hAnsi="Arial" w:cs="Arial"/>
          <w:b/>
          <w:bCs/>
          <w:lang w:val="pt-BR"/>
        </w:rPr>
        <w:t> </w:t>
      </w:r>
    </w:p>
    <w:p w14:paraId="1889D93C" w14:textId="77777777" w:rsidR="00CC6BD6" w:rsidRPr="00243B85" w:rsidRDefault="00CC6BD6" w:rsidP="00CC6BD6">
      <w:pPr>
        <w:pStyle w:val="Body"/>
        <w:rPr>
          <w:rFonts w:ascii="Arial" w:hAnsi="Arial" w:cs="Arial"/>
          <w:b/>
          <w:bCs/>
          <w:lang w:val="pt-BR"/>
        </w:rPr>
      </w:pPr>
      <w:r w:rsidRPr="00243B85">
        <w:rPr>
          <w:rFonts w:ascii="Arial" w:hAnsi="Arial" w:cs="Arial"/>
          <w:b/>
          <w:bCs/>
          <w:lang w:val="pt-BR"/>
        </w:rPr>
        <w:t> </w:t>
      </w:r>
    </w:p>
    <w:p w14:paraId="7B5F8260" w14:textId="77777777" w:rsidR="00CC6BD6" w:rsidRPr="00243B85" w:rsidRDefault="00CC6BD6" w:rsidP="00CC6BD6">
      <w:pPr>
        <w:pStyle w:val="Body"/>
        <w:rPr>
          <w:rFonts w:ascii="Arial" w:hAnsi="Arial" w:cs="Arial"/>
          <w:lang w:val="pt-BR"/>
        </w:rPr>
      </w:pPr>
      <w:r w:rsidRPr="00243B85">
        <w:rPr>
          <w:rFonts w:ascii="Arial" w:hAnsi="Arial" w:cs="Arial"/>
        </w:rPr>
        <w:t xml:space="preserve">The final model developed in this study incorporated multiple predictors selected based on clinical relevance and support from the literature. Each predictor represents a specific dimension of patient vulnerability or pharmacotherapeutic complexity, particularly within the context of infectious diseases. </w:t>
      </w:r>
      <w:r w:rsidRPr="00243B85">
        <w:rPr>
          <w:rFonts w:ascii="Arial" w:hAnsi="Arial" w:cs="Arial"/>
        </w:rPr>
        <w:lastRenderedPageBreak/>
        <w:t>The total number of prescribed medications during hospitalization was included as a continuous variable, representing the overall pharmacological burden to which the patient was exposed. </w:t>
      </w:r>
      <w:r w:rsidRPr="00243B85">
        <w:rPr>
          <w:rFonts w:ascii="Arial" w:hAnsi="Arial" w:cs="Arial"/>
          <w:lang w:val="pt-BR"/>
        </w:rPr>
        <w:t> </w:t>
      </w:r>
    </w:p>
    <w:p w14:paraId="1A1983D4" w14:textId="259A86FD" w:rsidR="00CC6BD6" w:rsidRPr="00243B85" w:rsidRDefault="00CC6BD6" w:rsidP="00CC6BD6">
      <w:pPr>
        <w:pStyle w:val="Body"/>
        <w:rPr>
          <w:rFonts w:ascii="Arial" w:hAnsi="Arial" w:cs="Arial"/>
          <w:lang w:val="pt-BR"/>
        </w:rPr>
      </w:pPr>
      <w:r w:rsidRPr="00243B85">
        <w:rPr>
          <w:rFonts w:ascii="Arial" w:hAnsi="Arial" w:cs="Arial"/>
        </w:rPr>
        <w:t xml:space="preserve">The presence of potentially dangerous medications was defined according to the official list published by ANVISA (ISMP Brasil, 2019), which includes drugs with a narrow therapeutic index, high toxicity, or complex administration requirements, such as anticoagulants, immunosuppressants, and vasoactive agents. Medication </w:t>
      </w:r>
      <w:r w:rsidR="005C43D9">
        <w:rPr>
          <w:rFonts w:ascii="Arial" w:hAnsi="Arial" w:cs="Arial"/>
        </w:rPr>
        <w:t>conciliation</w:t>
      </w:r>
      <w:r w:rsidRPr="00243B85">
        <w:rPr>
          <w:rFonts w:ascii="Arial" w:hAnsi="Arial" w:cs="Arial"/>
        </w:rPr>
        <w:t xml:space="preserve"> was also included as a binary variable, indicating whether the patient underwent this process during hospital admission. In the context of the present study, </w:t>
      </w:r>
      <w:r w:rsidR="005C43D9">
        <w:rPr>
          <w:rFonts w:ascii="Arial" w:hAnsi="Arial" w:cs="Arial"/>
        </w:rPr>
        <w:t>conciliation</w:t>
      </w:r>
      <w:r w:rsidRPr="00243B85">
        <w:rPr>
          <w:rFonts w:ascii="Arial" w:hAnsi="Arial" w:cs="Arial"/>
        </w:rPr>
        <w:t xml:space="preserve"> was performed by non-pharmacist professionals. </w:t>
      </w:r>
      <w:r w:rsidRPr="00243B85">
        <w:rPr>
          <w:rFonts w:ascii="Arial" w:hAnsi="Arial" w:cs="Arial"/>
          <w:lang w:val="pt-BR"/>
        </w:rPr>
        <w:t> </w:t>
      </w:r>
    </w:p>
    <w:p w14:paraId="5FE325AB" w14:textId="77777777" w:rsidR="00CC6BD6" w:rsidRPr="00243B85" w:rsidRDefault="00CC6BD6" w:rsidP="00CC6BD6">
      <w:pPr>
        <w:pStyle w:val="Body"/>
        <w:rPr>
          <w:rFonts w:ascii="Arial" w:hAnsi="Arial" w:cs="Arial"/>
          <w:lang w:val="pt-BR"/>
        </w:rPr>
      </w:pPr>
      <w:r w:rsidRPr="00243B85">
        <w:rPr>
          <w:rFonts w:ascii="Arial" w:hAnsi="Arial" w:cs="Arial"/>
        </w:rPr>
        <w:t>The administration of medications via enteral tube reflects both the severity of the patient’s clinical condition (indicating an inability to take drugs orally) and the complexity of drug preparation and delivery. The manipulation of solid oral dosage forms, such as tablet crushing, may compromise the drug’s stability, bioavailability, and therapeutic efficacy, in addition to increasing the risk of chemical interactions and tube obstruction.</w:t>
      </w:r>
      <w:r w:rsidRPr="00243B85">
        <w:rPr>
          <w:rFonts w:ascii="Arial" w:hAnsi="Arial" w:cs="Arial"/>
          <w:lang w:val="pt-BR"/>
        </w:rPr>
        <w:t> </w:t>
      </w:r>
    </w:p>
    <w:p w14:paraId="2829002B" w14:textId="77777777" w:rsidR="00CC6BD6" w:rsidRPr="00243B85" w:rsidRDefault="00CC6BD6" w:rsidP="00CC6BD6">
      <w:pPr>
        <w:pStyle w:val="Body"/>
        <w:rPr>
          <w:rFonts w:ascii="Arial" w:hAnsi="Arial" w:cs="Arial"/>
          <w:lang w:val="pt-BR"/>
        </w:rPr>
      </w:pPr>
      <w:r w:rsidRPr="00243B85">
        <w:rPr>
          <w:rFonts w:ascii="Arial" w:hAnsi="Arial" w:cs="Arial"/>
        </w:rPr>
        <w:t>The modified Sequential Organ Failure Assessment (SOFA) score was included as an indicator of clinical severity, assessing dysfunction in multiple organ systems. It was adapted to better correspond to the assessment reality of patients in the ward. (supplementary material)</w:t>
      </w:r>
      <w:r w:rsidRPr="00243B85">
        <w:rPr>
          <w:rFonts w:ascii="Arial" w:hAnsi="Arial" w:cs="Arial"/>
          <w:lang w:val="pt-BR"/>
        </w:rPr>
        <w:t> </w:t>
      </w:r>
    </w:p>
    <w:p w14:paraId="47F82C71" w14:textId="77777777" w:rsidR="00CC6BD6" w:rsidRPr="00243B85" w:rsidRDefault="00CC6BD6" w:rsidP="00CC6BD6">
      <w:pPr>
        <w:pStyle w:val="Body"/>
        <w:rPr>
          <w:rFonts w:ascii="Arial" w:hAnsi="Arial" w:cs="Arial"/>
          <w:lang w:val="pt-BR"/>
        </w:rPr>
      </w:pPr>
      <w:r w:rsidRPr="00243B85">
        <w:rPr>
          <w:rFonts w:ascii="Arial" w:hAnsi="Arial" w:cs="Arial"/>
        </w:rPr>
        <w:t>Length of stay (in weeks) was included to account for changing risk exposure during hospitalization, as the difference between the date of the hospital outcome and hospital admission. In this modeling process, the time was incorporated as the week number after admission. </w:t>
      </w:r>
      <w:r w:rsidRPr="00243B85">
        <w:rPr>
          <w:rFonts w:ascii="Arial" w:hAnsi="Arial" w:cs="Arial"/>
          <w:lang w:val="pt-BR"/>
        </w:rPr>
        <w:t> </w:t>
      </w:r>
    </w:p>
    <w:p w14:paraId="16CDB515" w14:textId="77777777" w:rsidR="00CC6BD6" w:rsidRPr="00243B85" w:rsidRDefault="00CC6BD6" w:rsidP="00CC6BD6">
      <w:pPr>
        <w:pStyle w:val="Body"/>
        <w:rPr>
          <w:rFonts w:ascii="Arial" w:hAnsi="Arial" w:cs="Arial"/>
          <w:b/>
          <w:bCs/>
          <w:lang w:val="pt-BR"/>
        </w:rPr>
      </w:pPr>
      <w:r w:rsidRPr="00243B85">
        <w:rPr>
          <w:rFonts w:ascii="Arial" w:hAnsi="Arial" w:cs="Arial"/>
          <w:b/>
          <w:bCs/>
          <w:lang w:val="pt-BR"/>
        </w:rPr>
        <w:t> </w:t>
      </w:r>
    </w:p>
    <w:p w14:paraId="6CA8ABC9" w14:textId="701D33CE" w:rsidR="00CC6BD6" w:rsidRPr="00243B85" w:rsidRDefault="00CC6BD6" w:rsidP="00CC6BD6">
      <w:pPr>
        <w:pStyle w:val="Body"/>
        <w:rPr>
          <w:rFonts w:ascii="Arial" w:hAnsi="Arial" w:cs="Arial"/>
          <w:b/>
          <w:bCs/>
          <w:lang w:val="pt-BR"/>
        </w:rPr>
      </w:pPr>
      <w:r w:rsidRPr="00243B85">
        <w:rPr>
          <w:rFonts w:ascii="Arial" w:hAnsi="Arial" w:cs="Arial"/>
          <w:b/>
          <w:bCs/>
          <w:i/>
          <w:iCs/>
        </w:rPr>
        <w:t>2.5 Outcome</w:t>
      </w:r>
      <w:r w:rsidRPr="00243B85">
        <w:rPr>
          <w:rFonts w:ascii="Arial" w:hAnsi="Arial" w:cs="Arial"/>
          <w:b/>
          <w:bCs/>
          <w:lang w:val="pt-BR"/>
        </w:rPr>
        <w:t> </w:t>
      </w:r>
    </w:p>
    <w:p w14:paraId="1DD330F6" w14:textId="77777777" w:rsidR="00CC6BD6" w:rsidRPr="00243B85" w:rsidRDefault="00CC6BD6" w:rsidP="00CC6BD6">
      <w:pPr>
        <w:pStyle w:val="Body"/>
        <w:rPr>
          <w:rFonts w:ascii="Arial" w:hAnsi="Arial" w:cs="Arial"/>
          <w:b/>
          <w:bCs/>
          <w:lang w:val="pt-BR"/>
        </w:rPr>
      </w:pPr>
      <w:r w:rsidRPr="00243B85">
        <w:rPr>
          <w:rFonts w:ascii="Arial" w:hAnsi="Arial" w:cs="Arial"/>
          <w:b/>
          <w:bCs/>
          <w:lang w:val="pt-BR"/>
        </w:rPr>
        <w:t> </w:t>
      </w:r>
    </w:p>
    <w:p w14:paraId="4A0A196B" w14:textId="77777777" w:rsidR="00CC6BD6" w:rsidRPr="00243B85" w:rsidRDefault="00CC6BD6" w:rsidP="00CC6BD6">
      <w:pPr>
        <w:pStyle w:val="Body"/>
        <w:rPr>
          <w:rFonts w:ascii="Arial" w:hAnsi="Arial" w:cs="Arial"/>
          <w:lang w:val="pt-BR"/>
        </w:rPr>
      </w:pPr>
      <w:r w:rsidRPr="00243B85">
        <w:rPr>
          <w:rFonts w:ascii="Arial" w:hAnsi="Arial" w:cs="Arial"/>
        </w:rPr>
        <w:t>Outcome was defined as a clinically relevant PDRI that could be avoided by clinical pharmacists as per Michel's definition of preventability (Michel, 2004). Here, PDRI is defined as a combination of ADRs, ADEs, drug delivery that resulted in actual harm or harm that may have been medium to extremely severe, if they are preventable by the clinical pharmacist, and prescription errors.</w:t>
      </w:r>
      <w:r w:rsidRPr="00243B85">
        <w:rPr>
          <w:rFonts w:ascii="Arial" w:hAnsi="Arial" w:cs="Arial"/>
          <w:lang w:val="pt-BR"/>
        </w:rPr>
        <w:t> </w:t>
      </w:r>
    </w:p>
    <w:p w14:paraId="007E05BA" w14:textId="77777777" w:rsidR="00CC6BD6" w:rsidRPr="00243B85" w:rsidRDefault="00CC6BD6" w:rsidP="00CC6BD6">
      <w:pPr>
        <w:pStyle w:val="Body"/>
        <w:rPr>
          <w:rFonts w:ascii="Arial" w:hAnsi="Arial" w:cs="Arial"/>
          <w:lang w:val="pt-BR"/>
        </w:rPr>
      </w:pPr>
      <w:r w:rsidRPr="00243B85">
        <w:rPr>
          <w:rFonts w:ascii="Arial" w:hAnsi="Arial" w:cs="Arial"/>
        </w:rPr>
        <w:t>In contrast to recognized and approved therapeutic standards, prescription errors are inadvertent decisions or linguistic errors that might raise the risk of patient harm or decrease the likelihood that a therapy will be successful (Dean, 2000). Prescription errors included prescriptions with drugs interactions, dosage errors, dilution errors, administration routes errors, concentration errors, infusion errors, treatment time errors, scheduling errors, indication errors, lack of prescription for medication, infusion time errors, vehicle errors, and prescription duplication, including those that the hospital pharmacist identified (corrected or not). The term "infusion error" describes a mistake in a drug's venous infusion rate (mg/kg/h). The term "dose error" describes a discrepancy in the recommended dosage (mg/kg). Errors in the time between drug administrations are known as scheduling errors. When the infusion time exceeds the solution's stability, an error known as "infusing time error" occurs. The term "treatment time error" describes a mistake in how long the patient should take their medication. Posology error is the inaccuracy of the daily dosage, even when a single dose is right (e.g., taking 2g of a medicine every 6 hours when it should be delivered every 12 hours). </w:t>
      </w:r>
      <w:r w:rsidRPr="00243B85">
        <w:rPr>
          <w:rFonts w:ascii="Arial" w:hAnsi="Arial" w:cs="Arial"/>
          <w:lang w:val="pt-BR"/>
        </w:rPr>
        <w:t> </w:t>
      </w:r>
    </w:p>
    <w:p w14:paraId="7DAE5A9A" w14:textId="77777777" w:rsidR="00CC6BD6" w:rsidRPr="00243B85" w:rsidRDefault="00CC6BD6" w:rsidP="00CC6BD6">
      <w:pPr>
        <w:pStyle w:val="Body"/>
        <w:rPr>
          <w:rFonts w:ascii="Arial" w:hAnsi="Arial" w:cs="Arial"/>
          <w:lang w:val="pt-BR"/>
        </w:rPr>
      </w:pPr>
      <w:r w:rsidRPr="00243B85">
        <w:rPr>
          <w:rFonts w:ascii="Arial" w:hAnsi="Arial" w:cs="Arial"/>
        </w:rPr>
        <w:t>ADE is any undesirable clinical event that occurs during drug treatment but may not be caused by the mechanism of action of the specified treatment. PDRI includes ADEs with medium to very high severity harm and occurrences that could cause medium to very high severity harm to the patient (</w:t>
      </w:r>
      <w:proofErr w:type="spellStart"/>
      <w:r w:rsidRPr="00243B85">
        <w:rPr>
          <w:rFonts w:ascii="Arial" w:hAnsi="Arial" w:cs="Arial"/>
        </w:rPr>
        <w:t>Agência</w:t>
      </w:r>
      <w:proofErr w:type="spellEnd"/>
      <w:r w:rsidRPr="00243B85">
        <w:rPr>
          <w:rFonts w:ascii="Arial" w:hAnsi="Arial" w:cs="Arial"/>
        </w:rPr>
        <w:t xml:space="preserve"> Nacional de </w:t>
      </w:r>
      <w:proofErr w:type="spellStart"/>
      <w:r w:rsidRPr="00243B85">
        <w:rPr>
          <w:rFonts w:ascii="Arial" w:hAnsi="Arial" w:cs="Arial"/>
        </w:rPr>
        <w:t>Vigilância</w:t>
      </w:r>
      <w:proofErr w:type="spellEnd"/>
      <w:r w:rsidRPr="00243B85">
        <w:rPr>
          <w:rFonts w:ascii="Arial" w:hAnsi="Arial" w:cs="Arial"/>
        </w:rPr>
        <w:t xml:space="preserve"> </w:t>
      </w:r>
      <w:proofErr w:type="spellStart"/>
      <w:r w:rsidRPr="00243B85">
        <w:rPr>
          <w:rFonts w:ascii="Arial" w:hAnsi="Arial" w:cs="Arial"/>
        </w:rPr>
        <w:t>Sanitária</w:t>
      </w:r>
      <w:proofErr w:type="spellEnd"/>
      <w:r w:rsidRPr="00243B85">
        <w:rPr>
          <w:rFonts w:ascii="Arial" w:hAnsi="Arial" w:cs="Arial"/>
        </w:rPr>
        <w:t xml:space="preserve">, 2020). The WHO's recommendations were followed in classifying ADEs according to their intensity (“Safety of medicines”, </w:t>
      </w:r>
      <w:r w:rsidRPr="00243B85">
        <w:rPr>
          <w:rFonts w:ascii="Arial" w:hAnsi="Arial" w:cs="Arial"/>
          <w:i/>
          <w:iCs/>
        </w:rPr>
        <w:t>[</w:t>
      </w:r>
      <w:proofErr w:type="spellStart"/>
      <w:r w:rsidRPr="00243B85">
        <w:rPr>
          <w:rFonts w:ascii="Arial" w:hAnsi="Arial" w:cs="Arial"/>
          <w:i/>
          <w:iCs/>
        </w:rPr>
        <w:t>S.d.</w:t>
      </w:r>
      <w:proofErr w:type="spellEnd"/>
      <w:r w:rsidRPr="00243B85">
        <w:rPr>
          <w:rFonts w:ascii="Arial" w:hAnsi="Arial" w:cs="Arial"/>
          <w:i/>
          <w:iCs/>
        </w:rPr>
        <w:t>]</w:t>
      </w:r>
      <w:r w:rsidRPr="00243B85">
        <w:rPr>
          <w:rFonts w:ascii="Arial" w:hAnsi="Arial" w:cs="Arial"/>
        </w:rPr>
        <w:t>).</w:t>
      </w:r>
      <w:r w:rsidRPr="00243B85">
        <w:rPr>
          <w:rFonts w:ascii="Arial" w:hAnsi="Arial" w:cs="Arial"/>
          <w:lang w:val="pt-BR"/>
        </w:rPr>
        <w:t> </w:t>
      </w:r>
    </w:p>
    <w:p w14:paraId="24D6C254" w14:textId="77777777" w:rsidR="00CC6BD6" w:rsidRPr="00243B85" w:rsidRDefault="00CC6BD6" w:rsidP="00CC6BD6">
      <w:pPr>
        <w:pStyle w:val="Body"/>
        <w:rPr>
          <w:rFonts w:ascii="Arial" w:hAnsi="Arial" w:cs="Arial"/>
          <w:lang w:val="pt-BR"/>
        </w:rPr>
      </w:pPr>
      <w:r w:rsidRPr="00243B85">
        <w:rPr>
          <w:rFonts w:ascii="Arial" w:hAnsi="Arial" w:cs="Arial"/>
        </w:rPr>
        <w:t>PDRI includes ADR, defined as an undesirable and unintended drug response that occurs in treatment at commonly used doses, usually explained by the mechanism of action of the specific treatment (</w:t>
      </w:r>
      <w:proofErr w:type="spellStart"/>
      <w:r w:rsidRPr="00243B85">
        <w:rPr>
          <w:rFonts w:ascii="Arial" w:hAnsi="Arial" w:cs="Arial"/>
        </w:rPr>
        <w:t>Weltgesundheitsorganisation</w:t>
      </w:r>
      <w:proofErr w:type="spellEnd"/>
      <w:r w:rsidRPr="00243B85">
        <w:rPr>
          <w:rFonts w:ascii="Arial" w:hAnsi="Arial" w:cs="Arial"/>
        </w:rPr>
        <w:t xml:space="preserve">; Collaborating Centre for International Drug Monitoring, 2002). For adverse drug reactions (ADRs), we applied </w:t>
      </w:r>
      <w:proofErr w:type="spellStart"/>
      <w:r w:rsidRPr="00243B85">
        <w:rPr>
          <w:rFonts w:ascii="Arial" w:hAnsi="Arial" w:cs="Arial"/>
        </w:rPr>
        <w:t>Schumock</w:t>
      </w:r>
      <w:proofErr w:type="spellEnd"/>
      <w:r w:rsidRPr="00243B85">
        <w:rPr>
          <w:rFonts w:ascii="Arial" w:hAnsi="Arial" w:cs="Arial"/>
        </w:rPr>
        <w:t xml:space="preserve"> and Thornton's preventable definition (Pearson et al., 1994). </w:t>
      </w:r>
      <w:r w:rsidRPr="00243B85">
        <w:rPr>
          <w:rFonts w:ascii="Arial" w:hAnsi="Arial" w:cs="Arial"/>
          <w:lang w:val="pt-BR"/>
        </w:rPr>
        <w:t> </w:t>
      </w:r>
    </w:p>
    <w:p w14:paraId="5DE9E39C" w14:textId="77777777" w:rsidR="00CC6BD6" w:rsidRPr="00243B85" w:rsidRDefault="00CC6BD6" w:rsidP="00CC6BD6">
      <w:pPr>
        <w:pStyle w:val="Body"/>
        <w:rPr>
          <w:rFonts w:ascii="Arial" w:hAnsi="Arial" w:cs="Arial"/>
          <w:lang w:val="pt-BR"/>
        </w:rPr>
      </w:pPr>
      <w:r w:rsidRPr="00243B85">
        <w:rPr>
          <w:rFonts w:ascii="Arial" w:hAnsi="Arial" w:cs="Arial"/>
        </w:rPr>
        <w:lastRenderedPageBreak/>
        <w:t>We used the "Drugs.com" and Micromedex databases to find medication interactions. For the sake of the outcome, we only considered moderate and severe ones that are clinically relevant. </w:t>
      </w:r>
      <w:r w:rsidRPr="00243B85">
        <w:rPr>
          <w:rFonts w:ascii="Arial" w:hAnsi="Arial" w:cs="Arial"/>
          <w:lang w:val="pt-BR"/>
        </w:rPr>
        <w:t> </w:t>
      </w:r>
    </w:p>
    <w:p w14:paraId="70CDC25E" w14:textId="77777777" w:rsidR="00CC6BD6" w:rsidRPr="00243B85" w:rsidRDefault="00CC6BD6" w:rsidP="00CC6BD6">
      <w:pPr>
        <w:pStyle w:val="Body"/>
        <w:rPr>
          <w:rFonts w:ascii="Arial" w:hAnsi="Arial" w:cs="Arial"/>
          <w:b/>
          <w:bCs/>
          <w:lang w:val="pt-BR"/>
        </w:rPr>
      </w:pPr>
      <w:r w:rsidRPr="00243B85">
        <w:rPr>
          <w:rFonts w:ascii="Arial" w:hAnsi="Arial" w:cs="Arial"/>
        </w:rPr>
        <w:t xml:space="preserve">The Severity Assessment Code (SAC) criteria (“Safety of medicines”, </w:t>
      </w:r>
      <w:r w:rsidRPr="00243B85">
        <w:rPr>
          <w:rFonts w:ascii="Arial" w:hAnsi="Arial" w:cs="Arial"/>
          <w:i/>
          <w:iCs/>
        </w:rPr>
        <w:t>[</w:t>
      </w:r>
      <w:proofErr w:type="spellStart"/>
      <w:r w:rsidRPr="00243B85">
        <w:rPr>
          <w:rFonts w:ascii="Arial" w:hAnsi="Arial" w:cs="Arial"/>
          <w:i/>
          <w:iCs/>
        </w:rPr>
        <w:t>S.d.</w:t>
      </w:r>
      <w:proofErr w:type="spellEnd"/>
      <w:r w:rsidRPr="00243B85">
        <w:rPr>
          <w:rFonts w:ascii="Arial" w:hAnsi="Arial" w:cs="Arial"/>
          <w:i/>
          <w:iCs/>
        </w:rPr>
        <w:t>]</w:t>
      </w:r>
      <w:r w:rsidRPr="00243B85">
        <w:rPr>
          <w:rFonts w:ascii="Arial" w:hAnsi="Arial" w:cs="Arial"/>
        </w:rPr>
        <w:t>) and the triage tool for reporting adverse events (New Zealand, 2017) were used to classify PDRI severity. In terms of intensity, they were categorized by the Grading of Qualifying Intensity for Health Conditions recommendations available at ANVISA (</w:t>
      </w:r>
      <w:proofErr w:type="spellStart"/>
      <w:r w:rsidRPr="00243B85">
        <w:rPr>
          <w:rFonts w:ascii="Arial" w:hAnsi="Arial" w:cs="Arial"/>
        </w:rPr>
        <w:t>Agência</w:t>
      </w:r>
      <w:proofErr w:type="spellEnd"/>
      <w:r w:rsidRPr="00243B85">
        <w:rPr>
          <w:rFonts w:ascii="Arial" w:hAnsi="Arial" w:cs="Arial"/>
        </w:rPr>
        <w:t xml:space="preserve"> Nacional de </w:t>
      </w:r>
      <w:proofErr w:type="spellStart"/>
      <w:r w:rsidRPr="00243B85">
        <w:rPr>
          <w:rFonts w:ascii="Arial" w:hAnsi="Arial" w:cs="Arial"/>
        </w:rPr>
        <w:t>Vigilância</w:t>
      </w:r>
      <w:proofErr w:type="spellEnd"/>
      <w:r w:rsidRPr="00243B85">
        <w:rPr>
          <w:rFonts w:ascii="Arial" w:hAnsi="Arial" w:cs="Arial"/>
        </w:rPr>
        <w:t xml:space="preserve"> </w:t>
      </w:r>
      <w:proofErr w:type="spellStart"/>
      <w:r w:rsidRPr="00243B85">
        <w:rPr>
          <w:rFonts w:ascii="Arial" w:hAnsi="Arial" w:cs="Arial"/>
        </w:rPr>
        <w:t>Sanitária</w:t>
      </w:r>
      <w:proofErr w:type="spellEnd"/>
      <w:r w:rsidRPr="00243B85">
        <w:rPr>
          <w:rFonts w:ascii="Arial" w:hAnsi="Arial" w:cs="Arial"/>
        </w:rPr>
        <w:t>, 2020).</w:t>
      </w:r>
      <w:r w:rsidRPr="00243B85">
        <w:rPr>
          <w:rFonts w:ascii="Arial" w:hAnsi="Arial" w:cs="Arial"/>
          <w:lang w:val="pt-BR"/>
        </w:rPr>
        <w:t> </w:t>
      </w:r>
    </w:p>
    <w:p w14:paraId="20A6832A" w14:textId="77777777" w:rsidR="00CC6BD6" w:rsidRPr="00243B85" w:rsidRDefault="00CC6BD6" w:rsidP="00CC6BD6">
      <w:pPr>
        <w:pStyle w:val="Body"/>
        <w:rPr>
          <w:rFonts w:ascii="Arial" w:hAnsi="Arial" w:cs="Arial"/>
          <w:b/>
          <w:bCs/>
          <w:lang w:val="pt-BR"/>
        </w:rPr>
      </w:pPr>
      <w:r w:rsidRPr="00243B85">
        <w:rPr>
          <w:rFonts w:ascii="Arial" w:hAnsi="Arial" w:cs="Arial"/>
          <w:b/>
          <w:bCs/>
          <w:lang w:val="pt-BR"/>
        </w:rPr>
        <w:t> </w:t>
      </w:r>
    </w:p>
    <w:p w14:paraId="2F02B534" w14:textId="76B4248C" w:rsidR="00CC6BD6" w:rsidRPr="00243B85" w:rsidRDefault="00CC6BD6" w:rsidP="00CC6BD6">
      <w:pPr>
        <w:pStyle w:val="Body"/>
        <w:rPr>
          <w:rFonts w:ascii="Arial" w:hAnsi="Arial" w:cs="Arial"/>
          <w:b/>
          <w:bCs/>
          <w:lang w:val="pt-BR"/>
        </w:rPr>
      </w:pPr>
      <w:r w:rsidRPr="00243B85">
        <w:rPr>
          <w:rFonts w:ascii="Arial" w:hAnsi="Arial" w:cs="Arial"/>
          <w:b/>
          <w:bCs/>
          <w:i/>
          <w:iCs/>
        </w:rPr>
        <w:t>2.6 Analysis Plan</w:t>
      </w:r>
      <w:r w:rsidRPr="00243B85">
        <w:rPr>
          <w:rFonts w:ascii="Arial" w:hAnsi="Arial" w:cs="Arial"/>
          <w:b/>
          <w:bCs/>
          <w:lang w:val="pt-BR"/>
        </w:rPr>
        <w:t> </w:t>
      </w:r>
    </w:p>
    <w:p w14:paraId="15EE68A8" w14:textId="77777777" w:rsidR="00CC6BD6" w:rsidRPr="00243B85" w:rsidRDefault="00CC6BD6" w:rsidP="00CC6BD6">
      <w:pPr>
        <w:pStyle w:val="Body"/>
        <w:rPr>
          <w:rFonts w:ascii="Arial" w:hAnsi="Arial" w:cs="Arial"/>
          <w:b/>
          <w:bCs/>
          <w:lang w:val="pt-BR"/>
        </w:rPr>
      </w:pPr>
      <w:r w:rsidRPr="00243B85">
        <w:rPr>
          <w:rFonts w:ascii="Arial" w:hAnsi="Arial" w:cs="Arial"/>
          <w:b/>
          <w:bCs/>
          <w:lang w:val="pt-BR"/>
        </w:rPr>
        <w:t> </w:t>
      </w:r>
    </w:p>
    <w:p w14:paraId="564B9C42" w14:textId="5D64BAF7" w:rsidR="001A6C42" w:rsidRPr="00243B85" w:rsidRDefault="00CC6BD6" w:rsidP="001A6C42">
      <w:pPr>
        <w:pStyle w:val="Body"/>
        <w:rPr>
          <w:rFonts w:ascii="Arial" w:hAnsi="Arial" w:cs="Arial"/>
          <w:lang w:val="pt-BR"/>
        </w:rPr>
      </w:pPr>
      <w:r w:rsidRPr="00243B85">
        <w:rPr>
          <w:rFonts w:ascii="Arial" w:hAnsi="Arial" w:cs="Arial"/>
        </w:rPr>
        <w:t xml:space="preserve">The analyses were performed with R-project (“R: The R Project for Statistical Computing”, </w:t>
      </w:r>
      <w:r w:rsidRPr="00243B85">
        <w:rPr>
          <w:rFonts w:ascii="Arial" w:hAnsi="Arial" w:cs="Arial"/>
          <w:i/>
          <w:iCs/>
        </w:rPr>
        <w:t>[</w:t>
      </w:r>
      <w:proofErr w:type="spellStart"/>
      <w:r w:rsidRPr="00243B85">
        <w:rPr>
          <w:rFonts w:ascii="Arial" w:hAnsi="Arial" w:cs="Arial"/>
          <w:i/>
          <w:iCs/>
        </w:rPr>
        <w:t>S.d.</w:t>
      </w:r>
      <w:proofErr w:type="spellEnd"/>
      <w:r w:rsidRPr="00243B85">
        <w:rPr>
          <w:rFonts w:ascii="Arial" w:hAnsi="Arial" w:cs="Arial"/>
          <w:i/>
          <w:iCs/>
        </w:rPr>
        <w:t>]</w:t>
      </w:r>
      <w:r w:rsidRPr="00243B85">
        <w:rPr>
          <w:rFonts w:ascii="Arial" w:hAnsi="Arial" w:cs="Arial"/>
        </w:rPr>
        <w:t xml:space="preserve">) software with the additional packages rms, </w:t>
      </w:r>
      <w:proofErr w:type="spellStart"/>
      <w:r w:rsidRPr="00243B85">
        <w:rPr>
          <w:rFonts w:ascii="Arial" w:hAnsi="Arial" w:cs="Arial"/>
        </w:rPr>
        <w:t>givityR</w:t>
      </w:r>
      <w:proofErr w:type="spellEnd"/>
      <w:r w:rsidRPr="00243B85">
        <w:rPr>
          <w:rFonts w:ascii="Arial" w:hAnsi="Arial" w:cs="Arial"/>
        </w:rPr>
        <w:t xml:space="preserve">, and </w:t>
      </w:r>
      <w:proofErr w:type="spellStart"/>
      <w:r w:rsidRPr="00243B85">
        <w:rPr>
          <w:rFonts w:ascii="Arial" w:hAnsi="Arial" w:cs="Arial"/>
        </w:rPr>
        <w:t>geepack</w:t>
      </w:r>
      <w:proofErr w:type="spellEnd"/>
      <w:r w:rsidRPr="00243B85">
        <w:rPr>
          <w:rFonts w:ascii="Arial" w:hAnsi="Arial" w:cs="Arial"/>
        </w:rPr>
        <w:t>. The steps used in data analysis were data inspection; study of missing data patterns and need for imputation; predictor coding; model specification; model estimation; evaluation of model performance, and thresholds estimation. The main approach used was generalized equation models (GEE) for repeated measures with a binary outcome (binomial distribution), adjusting for correlation. Model estimates were performed through coefficient calculations, using the maximum likelihood method. Predictors with 10 events or less were removed before model fit. The final model was defined using the lowest QIC value, representing the best model fit, including the best correlation structure and the best predictor combination. The following calibration measures were used: slope, intercept, mean error, and calibration belt. The area under the ROC curve, R², and the Brier score were used as discrimination measures. The thresholds to discuss risk categories were estimated with Uncertain interval technique (</w:t>
      </w:r>
      <w:proofErr w:type="spellStart"/>
      <w:r w:rsidRPr="00243B85">
        <w:rPr>
          <w:rFonts w:ascii="Arial" w:hAnsi="Arial" w:cs="Arial"/>
        </w:rPr>
        <w:t>Landsheer</w:t>
      </w:r>
      <w:proofErr w:type="spellEnd"/>
      <w:r w:rsidRPr="00243B85">
        <w:rPr>
          <w:rFonts w:ascii="Arial" w:hAnsi="Arial" w:cs="Arial"/>
        </w:rPr>
        <w:t>, 2016; Steyerberg, 2019)</w:t>
      </w:r>
      <w:r w:rsidR="001A6C42" w:rsidRPr="00243B85">
        <w:rPr>
          <w:rFonts w:ascii="Arial" w:hAnsi="Arial" w:cs="Arial"/>
        </w:rPr>
        <w:t>.</w:t>
      </w:r>
    </w:p>
    <w:p w14:paraId="4D32E800" w14:textId="3618AB90" w:rsidR="00E66E10" w:rsidRDefault="00E66E10" w:rsidP="00441B6F">
      <w:pPr>
        <w:pStyle w:val="Body"/>
        <w:spacing w:after="0"/>
        <w:rPr>
          <w:rFonts w:ascii="Arial" w:hAnsi="Arial" w:cs="Arial"/>
        </w:rPr>
      </w:pPr>
    </w:p>
    <w:p w14:paraId="34FB274F" w14:textId="77777777" w:rsidR="00790ADA" w:rsidRPr="00FB3A86" w:rsidRDefault="00790ADA" w:rsidP="00441B6F">
      <w:pPr>
        <w:pStyle w:val="Body"/>
        <w:spacing w:after="0"/>
        <w:rPr>
          <w:rFonts w:ascii="Arial" w:hAnsi="Arial" w:cs="Arial"/>
        </w:rPr>
      </w:pPr>
    </w:p>
    <w:p w14:paraId="2C5B02D5" w14:textId="61912690" w:rsidR="57C345FF" w:rsidRDefault="57C345FF" w:rsidP="57C345FF">
      <w:pPr>
        <w:pStyle w:val="Body"/>
        <w:spacing w:after="0"/>
        <w:rPr>
          <w:rFonts w:ascii="Arial" w:hAnsi="Arial" w:cs="Arial"/>
        </w:rPr>
      </w:pPr>
    </w:p>
    <w:p w14:paraId="4968C86A" w14:textId="7DD0258B" w:rsidR="57C345FF" w:rsidRDefault="57C345FF" w:rsidP="57C345FF">
      <w:pPr>
        <w:pStyle w:val="Body"/>
        <w:spacing w:after="0"/>
        <w:rPr>
          <w:rFonts w:ascii="Arial" w:hAnsi="Arial" w:cs="Arial"/>
        </w:rPr>
      </w:pPr>
    </w:p>
    <w:p w14:paraId="761BD967" w14:textId="77777777" w:rsidR="00243B85" w:rsidRDefault="00243B85" w:rsidP="57C345FF">
      <w:pPr>
        <w:pStyle w:val="Body"/>
        <w:spacing w:after="0"/>
        <w:rPr>
          <w:rFonts w:ascii="Arial" w:hAnsi="Arial" w:cs="Arial"/>
        </w:rPr>
      </w:pPr>
    </w:p>
    <w:p w14:paraId="5D226F3C" w14:textId="77777777" w:rsidR="00243B85" w:rsidRDefault="00243B85" w:rsidP="57C345FF">
      <w:pPr>
        <w:pStyle w:val="Body"/>
        <w:spacing w:after="0"/>
        <w:rPr>
          <w:rFonts w:ascii="Arial" w:hAnsi="Arial" w:cs="Arial"/>
        </w:rPr>
      </w:pPr>
    </w:p>
    <w:p w14:paraId="0E399289" w14:textId="77777777" w:rsidR="00243B85" w:rsidRDefault="00243B85" w:rsidP="57C345FF">
      <w:pPr>
        <w:pStyle w:val="Body"/>
        <w:spacing w:after="0"/>
        <w:rPr>
          <w:rFonts w:ascii="Arial" w:hAnsi="Arial" w:cs="Arial"/>
        </w:rPr>
      </w:pPr>
    </w:p>
    <w:p w14:paraId="7F472F4A" w14:textId="77777777" w:rsidR="00243B85" w:rsidRDefault="00243B85" w:rsidP="57C345FF">
      <w:pPr>
        <w:pStyle w:val="Body"/>
        <w:spacing w:after="0"/>
        <w:rPr>
          <w:rFonts w:ascii="Arial" w:hAnsi="Arial" w:cs="Arial"/>
        </w:rPr>
      </w:pPr>
    </w:p>
    <w:p w14:paraId="109E24AD" w14:textId="77777777" w:rsidR="00243B85" w:rsidRDefault="00243B85" w:rsidP="57C345FF">
      <w:pPr>
        <w:pStyle w:val="Body"/>
        <w:spacing w:after="0"/>
        <w:rPr>
          <w:rFonts w:ascii="Arial" w:hAnsi="Arial" w:cs="Arial"/>
        </w:rPr>
      </w:pPr>
    </w:p>
    <w:p w14:paraId="5C6EC805" w14:textId="77777777" w:rsidR="00243B85" w:rsidRDefault="00243B85" w:rsidP="57C345FF">
      <w:pPr>
        <w:pStyle w:val="Body"/>
        <w:spacing w:after="0"/>
        <w:rPr>
          <w:rFonts w:ascii="Arial" w:hAnsi="Arial" w:cs="Arial"/>
        </w:rPr>
      </w:pPr>
    </w:p>
    <w:p w14:paraId="0D1E45C7" w14:textId="77777777" w:rsidR="00243B85" w:rsidRDefault="00243B85" w:rsidP="57C345FF">
      <w:pPr>
        <w:pStyle w:val="Body"/>
        <w:spacing w:after="0"/>
        <w:rPr>
          <w:rFonts w:ascii="Arial" w:hAnsi="Arial" w:cs="Arial"/>
        </w:rPr>
      </w:pPr>
    </w:p>
    <w:p w14:paraId="6B2C686F" w14:textId="77777777" w:rsidR="00243B85" w:rsidRDefault="00243B85" w:rsidP="57C345FF">
      <w:pPr>
        <w:pStyle w:val="Body"/>
        <w:spacing w:after="0"/>
        <w:rPr>
          <w:rFonts w:ascii="Arial" w:hAnsi="Arial" w:cs="Arial"/>
        </w:rPr>
      </w:pPr>
    </w:p>
    <w:p w14:paraId="5DDF1985" w14:textId="77777777" w:rsidR="00243B85" w:rsidRDefault="00243B85" w:rsidP="57C345FF">
      <w:pPr>
        <w:pStyle w:val="Body"/>
        <w:spacing w:after="0"/>
        <w:rPr>
          <w:rFonts w:ascii="Arial" w:hAnsi="Arial" w:cs="Arial"/>
        </w:rPr>
      </w:pPr>
    </w:p>
    <w:p w14:paraId="676D151E" w14:textId="77777777" w:rsidR="00243B85" w:rsidRDefault="00243B85" w:rsidP="57C345FF">
      <w:pPr>
        <w:pStyle w:val="Body"/>
        <w:spacing w:after="0"/>
        <w:rPr>
          <w:rFonts w:ascii="Arial" w:hAnsi="Arial" w:cs="Arial"/>
        </w:rPr>
      </w:pPr>
    </w:p>
    <w:p w14:paraId="718635F3" w14:textId="77777777" w:rsidR="00243B85" w:rsidRDefault="00243B85" w:rsidP="57C345FF">
      <w:pPr>
        <w:pStyle w:val="Body"/>
        <w:spacing w:after="0"/>
        <w:rPr>
          <w:rFonts w:ascii="Arial" w:hAnsi="Arial" w:cs="Arial"/>
        </w:rPr>
      </w:pPr>
    </w:p>
    <w:p w14:paraId="146EFE16" w14:textId="77777777" w:rsidR="00243B85" w:rsidRDefault="00243B85" w:rsidP="57C345FF">
      <w:pPr>
        <w:pStyle w:val="Body"/>
        <w:spacing w:after="0"/>
        <w:rPr>
          <w:rFonts w:ascii="Arial" w:hAnsi="Arial" w:cs="Arial"/>
        </w:rPr>
      </w:pPr>
    </w:p>
    <w:p w14:paraId="4F6DF303" w14:textId="77777777" w:rsidR="00243B85" w:rsidRDefault="00243B85" w:rsidP="57C345FF">
      <w:pPr>
        <w:pStyle w:val="Body"/>
        <w:spacing w:after="0"/>
        <w:rPr>
          <w:rFonts w:ascii="Arial" w:hAnsi="Arial" w:cs="Arial"/>
        </w:rPr>
      </w:pPr>
    </w:p>
    <w:p w14:paraId="42B9A40C" w14:textId="77777777" w:rsidR="00243B85" w:rsidRDefault="00243B85" w:rsidP="57C345FF">
      <w:pPr>
        <w:pStyle w:val="Body"/>
        <w:spacing w:after="0"/>
        <w:rPr>
          <w:rFonts w:ascii="Arial" w:hAnsi="Arial" w:cs="Arial"/>
        </w:rPr>
      </w:pPr>
    </w:p>
    <w:p w14:paraId="6C646B3A" w14:textId="77777777" w:rsidR="00243B85" w:rsidRDefault="00243B85" w:rsidP="57C345FF">
      <w:pPr>
        <w:pStyle w:val="Body"/>
        <w:spacing w:after="0"/>
        <w:rPr>
          <w:rFonts w:ascii="Arial" w:hAnsi="Arial" w:cs="Arial"/>
        </w:rPr>
      </w:pPr>
    </w:p>
    <w:p w14:paraId="3CA86417" w14:textId="77777777" w:rsidR="00243B85" w:rsidRDefault="00243B85" w:rsidP="57C345FF">
      <w:pPr>
        <w:pStyle w:val="Body"/>
        <w:spacing w:after="0"/>
        <w:rPr>
          <w:rFonts w:ascii="Arial" w:hAnsi="Arial" w:cs="Arial"/>
        </w:rPr>
      </w:pPr>
    </w:p>
    <w:p w14:paraId="6AC53F27" w14:textId="77777777" w:rsidR="00243B85" w:rsidRDefault="00243B85" w:rsidP="57C345FF">
      <w:pPr>
        <w:pStyle w:val="Body"/>
        <w:spacing w:after="0"/>
        <w:rPr>
          <w:rFonts w:ascii="Arial" w:hAnsi="Arial" w:cs="Arial"/>
        </w:rPr>
      </w:pPr>
    </w:p>
    <w:p w14:paraId="2D65D6E3" w14:textId="77777777" w:rsidR="00243B85" w:rsidRDefault="00243B85" w:rsidP="57C345FF">
      <w:pPr>
        <w:pStyle w:val="Body"/>
        <w:spacing w:after="0"/>
        <w:rPr>
          <w:rFonts w:ascii="Arial" w:hAnsi="Arial" w:cs="Arial"/>
        </w:rPr>
      </w:pPr>
    </w:p>
    <w:p w14:paraId="69298601" w14:textId="77777777" w:rsidR="00243B85" w:rsidRDefault="00243B85" w:rsidP="57C345FF">
      <w:pPr>
        <w:pStyle w:val="Body"/>
        <w:spacing w:after="0"/>
        <w:rPr>
          <w:rFonts w:ascii="Arial" w:hAnsi="Arial" w:cs="Arial"/>
        </w:rPr>
      </w:pPr>
    </w:p>
    <w:p w14:paraId="13389154" w14:textId="77777777" w:rsidR="00243B85" w:rsidRDefault="00243B85" w:rsidP="57C345FF">
      <w:pPr>
        <w:pStyle w:val="Body"/>
        <w:spacing w:after="0"/>
        <w:rPr>
          <w:rFonts w:ascii="Arial" w:hAnsi="Arial" w:cs="Arial"/>
        </w:rPr>
      </w:pPr>
    </w:p>
    <w:p w14:paraId="3FE2A699" w14:textId="77777777" w:rsidR="00243B85" w:rsidRDefault="00243B85" w:rsidP="57C345FF">
      <w:pPr>
        <w:pStyle w:val="Body"/>
        <w:spacing w:after="0"/>
        <w:rPr>
          <w:rFonts w:ascii="Arial" w:hAnsi="Arial" w:cs="Arial"/>
        </w:rPr>
      </w:pPr>
    </w:p>
    <w:p w14:paraId="1DCCA60C" w14:textId="77777777" w:rsidR="00243B85" w:rsidRDefault="00243B85" w:rsidP="57C345FF">
      <w:pPr>
        <w:pStyle w:val="Body"/>
        <w:spacing w:after="0"/>
        <w:rPr>
          <w:rFonts w:ascii="Arial" w:hAnsi="Arial" w:cs="Arial"/>
        </w:rPr>
      </w:pPr>
    </w:p>
    <w:p w14:paraId="6EFFBFF6" w14:textId="77777777" w:rsidR="00243B85" w:rsidRDefault="00243B85" w:rsidP="57C345FF">
      <w:pPr>
        <w:pStyle w:val="Body"/>
        <w:spacing w:after="0"/>
        <w:rPr>
          <w:rFonts w:ascii="Arial" w:hAnsi="Arial" w:cs="Arial"/>
        </w:rPr>
      </w:pPr>
    </w:p>
    <w:p w14:paraId="57295D76" w14:textId="77777777" w:rsidR="00243B85" w:rsidRDefault="00243B85" w:rsidP="57C345FF">
      <w:pPr>
        <w:pStyle w:val="Body"/>
        <w:spacing w:after="0"/>
        <w:rPr>
          <w:rFonts w:ascii="Arial" w:hAnsi="Arial" w:cs="Arial"/>
        </w:rPr>
      </w:pPr>
    </w:p>
    <w:p w14:paraId="7F5B79E3" w14:textId="41B0530A" w:rsidR="57C345FF" w:rsidRDefault="57C345FF" w:rsidP="57C345FF">
      <w:pPr>
        <w:pStyle w:val="Body"/>
        <w:spacing w:after="0"/>
        <w:rPr>
          <w:rFonts w:ascii="Arial" w:hAnsi="Arial" w:cs="Arial"/>
        </w:rPr>
      </w:pPr>
    </w:p>
    <w:p w14:paraId="4F397CD6" w14:textId="77777777" w:rsidR="00CC6BD6" w:rsidRDefault="00CC6BD6" w:rsidP="57C345FF">
      <w:pPr>
        <w:pStyle w:val="Body"/>
        <w:spacing w:after="0"/>
        <w:rPr>
          <w:rFonts w:ascii="Arial" w:hAnsi="Arial" w:cs="Arial"/>
        </w:rPr>
      </w:pPr>
    </w:p>
    <w:p w14:paraId="5488637A" w14:textId="77777777" w:rsidR="00CC6BD6" w:rsidRDefault="00CC6BD6" w:rsidP="57C345FF">
      <w:pPr>
        <w:pStyle w:val="Body"/>
        <w:spacing w:after="0"/>
        <w:rPr>
          <w:rFonts w:ascii="Arial" w:hAnsi="Arial" w:cs="Arial"/>
        </w:rPr>
      </w:pPr>
    </w:p>
    <w:p w14:paraId="7E29383D" w14:textId="77777777" w:rsidR="00CC6BD6" w:rsidRDefault="00CC6BD6" w:rsidP="57C345FF">
      <w:pPr>
        <w:pStyle w:val="Body"/>
        <w:spacing w:after="0"/>
        <w:rPr>
          <w:rFonts w:ascii="Arial" w:hAnsi="Arial" w:cs="Arial"/>
        </w:rPr>
      </w:pPr>
    </w:p>
    <w:p w14:paraId="73F39C6D" w14:textId="48540C65" w:rsidR="00902823" w:rsidRDefault="005C786F" w:rsidP="00441B6F">
      <w:pPr>
        <w:pStyle w:val="Head1"/>
        <w:spacing w:after="0"/>
        <w:jc w:val="both"/>
        <w:rPr>
          <w:rFonts w:ascii="Arial" w:hAnsi="Arial" w:cs="Arial"/>
        </w:rPr>
      </w:pPr>
      <w:r>
        <w:rPr>
          <w:rFonts w:ascii="Arial" w:hAnsi="Arial" w:cs="Arial"/>
        </w:rPr>
        <w:lastRenderedPageBreak/>
        <w:t>3. results and discussion</w:t>
      </w:r>
    </w:p>
    <w:p w14:paraId="63C4FBE1" w14:textId="77777777" w:rsidR="00790ADA" w:rsidRPr="00FB3A86" w:rsidRDefault="00790ADA" w:rsidP="00441B6F">
      <w:pPr>
        <w:pStyle w:val="Head1"/>
        <w:spacing w:after="0"/>
        <w:jc w:val="both"/>
        <w:rPr>
          <w:rFonts w:ascii="Arial" w:hAnsi="Arial" w:cs="Arial"/>
        </w:rPr>
      </w:pPr>
    </w:p>
    <w:p w14:paraId="4538A9FF" w14:textId="32DBD723" w:rsidR="00352CC7" w:rsidRPr="00352CC7" w:rsidRDefault="001F7E8E" w:rsidP="00352CC7">
      <w:pPr>
        <w:spacing w:line="360" w:lineRule="auto"/>
        <w:jc w:val="both"/>
        <w:outlineLvl w:val="0"/>
        <w:rPr>
          <w:rFonts w:ascii="Arial" w:hAnsi="Arial" w:cs="Arial"/>
          <w:b/>
          <w:bCs/>
        </w:rPr>
      </w:pPr>
      <w:r>
        <w:rPr>
          <w:rFonts w:ascii="Arial" w:hAnsi="Arial" w:cs="Arial"/>
          <w:b/>
          <w:bCs/>
        </w:rPr>
        <w:t xml:space="preserve">3.1 </w:t>
      </w:r>
      <w:r w:rsidR="00352CC7" w:rsidRPr="00352CC7">
        <w:rPr>
          <w:rFonts w:ascii="Arial" w:hAnsi="Arial" w:cs="Arial"/>
          <w:b/>
          <w:bCs/>
        </w:rPr>
        <w:t>Results</w:t>
      </w:r>
    </w:p>
    <w:p w14:paraId="29DE6405" w14:textId="77777777" w:rsidR="00352CC7" w:rsidRPr="0039545A" w:rsidRDefault="00352CC7" w:rsidP="00352CC7">
      <w:pPr>
        <w:spacing w:line="360" w:lineRule="auto"/>
        <w:jc w:val="both"/>
      </w:pPr>
    </w:p>
    <w:p w14:paraId="53AFD920" w14:textId="77777777" w:rsidR="00352CC7" w:rsidRPr="0039545A" w:rsidRDefault="00352CC7" w:rsidP="00352CC7">
      <w:pPr>
        <w:spacing w:line="360" w:lineRule="auto"/>
        <w:jc w:val="both"/>
      </w:pPr>
      <w:r w:rsidRPr="0039545A">
        <w:rPr>
          <w:noProof/>
        </w:rPr>
        <w:drawing>
          <wp:anchor distT="0" distB="0" distL="114300" distR="114300" simplePos="0" relativeHeight="251664384" behindDoc="0" locked="0" layoutInCell="1" allowOverlap="1" wp14:anchorId="23D79EB2" wp14:editId="1578B184">
            <wp:simplePos x="0" y="0"/>
            <wp:positionH relativeFrom="column">
              <wp:posOffset>0</wp:posOffset>
            </wp:positionH>
            <wp:positionV relativeFrom="paragraph">
              <wp:posOffset>2540</wp:posOffset>
            </wp:positionV>
            <wp:extent cx="4114800" cy="4114800"/>
            <wp:effectExtent l="0" t="0" r="0" b="0"/>
            <wp:wrapTopAndBottom/>
            <wp:docPr id="2079956419" name="Imagem 4"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56419" name="Imagem 4" descr="Diagrama&#10;&#10;O conteúdo gerado por IA pode estar incorret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14800" cy="411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297B24" w14:textId="77777777" w:rsidR="00352CC7" w:rsidRPr="00352CC7" w:rsidRDefault="00352CC7" w:rsidP="00352CC7">
      <w:pPr>
        <w:keepNext/>
        <w:spacing w:line="360" w:lineRule="auto"/>
        <w:jc w:val="both"/>
        <w:rPr>
          <w:rFonts w:ascii="Arial" w:hAnsi="Arial" w:cs="Arial"/>
        </w:rPr>
      </w:pPr>
      <w:r w:rsidRPr="00352CC7">
        <w:rPr>
          <w:rFonts w:ascii="Arial" w:hAnsi="Arial" w:cs="Arial"/>
          <w:b/>
          <w:bCs/>
        </w:rPr>
        <w:t xml:space="preserve">Figure </w:t>
      </w:r>
      <w:r w:rsidRPr="00352CC7">
        <w:rPr>
          <w:rFonts w:ascii="Arial" w:hAnsi="Arial" w:cs="Arial"/>
          <w:b/>
          <w:bCs/>
        </w:rPr>
        <w:fldChar w:fldCharType="begin"/>
      </w:r>
      <w:r w:rsidRPr="00352CC7">
        <w:rPr>
          <w:rFonts w:ascii="Arial" w:hAnsi="Arial" w:cs="Arial"/>
          <w:b/>
          <w:bCs/>
        </w:rPr>
        <w:instrText xml:space="preserve"> SEQ Figure \* ARABIC </w:instrText>
      </w:r>
      <w:r w:rsidRPr="00352CC7">
        <w:rPr>
          <w:rFonts w:ascii="Arial" w:hAnsi="Arial" w:cs="Arial"/>
          <w:b/>
          <w:bCs/>
        </w:rPr>
        <w:fldChar w:fldCharType="separate"/>
      </w:r>
      <w:r w:rsidRPr="00352CC7">
        <w:rPr>
          <w:rFonts w:ascii="Arial" w:hAnsi="Arial" w:cs="Arial"/>
          <w:b/>
          <w:bCs/>
        </w:rPr>
        <w:t>1</w:t>
      </w:r>
      <w:r w:rsidRPr="00352CC7">
        <w:rPr>
          <w:rFonts w:ascii="Arial" w:hAnsi="Arial" w:cs="Arial"/>
          <w:b/>
          <w:bCs/>
        </w:rPr>
        <w:fldChar w:fldCharType="end"/>
      </w:r>
      <w:r w:rsidRPr="00352CC7">
        <w:rPr>
          <w:rFonts w:ascii="Arial" w:hAnsi="Arial" w:cs="Arial"/>
          <w:b/>
          <w:bCs/>
        </w:rPr>
        <w:t>:</w:t>
      </w:r>
      <w:r w:rsidRPr="00352CC7">
        <w:rPr>
          <w:rFonts w:ascii="Arial" w:hAnsi="Arial" w:cs="Arial"/>
        </w:rPr>
        <w:t xml:space="preserve"> Inclusion and exclusion flowchart.</w:t>
      </w:r>
    </w:p>
    <w:p w14:paraId="7E65D7BC" w14:textId="77777777" w:rsidR="00352CC7" w:rsidRPr="001F7E8E" w:rsidRDefault="00352CC7" w:rsidP="00352CC7">
      <w:pPr>
        <w:spacing w:line="360" w:lineRule="auto"/>
        <w:jc w:val="both"/>
        <w:rPr>
          <w:rFonts w:ascii="Arial" w:hAnsi="Arial" w:cs="Arial"/>
          <w:sz w:val="22"/>
          <w:szCs w:val="22"/>
        </w:rPr>
      </w:pPr>
    </w:p>
    <w:p w14:paraId="24124853" w14:textId="77777777" w:rsidR="00352CC7" w:rsidRPr="00243B85" w:rsidRDefault="00352CC7" w:rsidP="00352CC7">
      <w:pPr>
        <w:jc w:val="both"/>
        <w:rPr>
          <w:rFonts w:ascii="Arial" w:hAnsi="Arial" w:cs="Arial"/>
        </w:rPr>
      </w:pPr>
      <w:r w:rsidRPr="00243B85">
        <w:rPr>
          <w:rFonts w:ascii="Arial" w:hAnsi="Arial" w:cs="Arial"/>
        </w:rPr>
        <w:t xml:space="preserve">We analyzed a sample of 212 patients admitted to an infectious </w:t>
      </w:r>
      <w:proofErr w:type="gramStart"/>
      <w:r w:rsidRPr="00243B85">
        <w:rPr>
          <w:rFonts w:ascii="Arial" w:hAnsi="Arial" w:cs="Arial"/>
        </w:rPr>
        <w:t>diseases</w:t>
      </w:r>
      <w:proofErr w:type="gramEnd"/>
      <w:r w:rsidRPr="00243B85">
        <w:rPr>
          <w:rFonts w:ascii="Arial" w:hAnsi="Arial" w:cs="Arial"/>
        </w:rPr>
        <w:t xml:space="preserve"> unit. (Figure 1) Patients included had a higher prevalence of comorbidities in addition to the main infectious diseases, such as HIV, tuberculosis, and Chagas disease, demonstrating the therapeutic complexity to which these patients are subjected. (Table 1) At least one PDRI during hospitalization was identified in 167 participants (78.8%). Participants with PDRI were slightly older and had more comorbidities than patients without PDRI. The length of stay (LOS) was slightly longer, and hospital discharge was a little less frequent in the PDRI group. Additionally, Chagas disease seems to be more frequent in the PDRI group. (Table 1)</w:t>
      </w:r>
    </w:p>
    <w:p w14:paraId="6C6D69E6" w14:textId="77777777" w:rsidR="00352CC7" w:rsidRPr="001F7E8E" w:rsidRDefault="00352CC7" w:rsidP="00352CC7">
      <w:pPr>
        <w:spacing w:line="360" w:lineRule="auto"/>
        <w:jc w:val="both"/>
        <w:rPr>
          <w:rFonts w:ascii="Arial" w:hAnsi="Arial" w:cs="Arial"/>
          <w:sz w:val="22"/>
          <w:szCs w:val="22"/>
        </w:rPr>
      </w:pPr>
    </w:p>
    <w:p w14:paraId="3C847CEA" w14:textId="77777777" w:rsidR="00352CC7" w:rsidRPr="00352CC7" w:rsidRDefault="00352CC7" w:rsidP="00352CC7">
      <w:pPr>
        <w:spacing w:line="360" w:lineRule="auto"/>
        <w:jc w:val="both"/>
        <w:rPr>
          <w:rFonts w:ascii="Arial" w:hAnsi="Arial" w:cs="Arial"/>
        </w:rPr>
      </w:pPr>
    </w:p>
    <w:p w14:paraId="41B8E743" w14:textId="77777777" w:rsidR="00352CC7" w:rsidRPr="00352CC7" w:rsidRDefault="00352CC7" w:rsidP="00352CC7">
      <w:pPr>
        <w:pStyle w:val="ImageCaption"/>
        <w:keepNext/>
        <w:pBdr>
          <w:top w:val="none" w:sz="0" w:space="0" w:color="000000"/>
          <w:left w:val="none" w:sz="0" w:space="0" w:color="000000"/>
          <w:bottom w:val="none" w:sz="0" w:space="0" w:color="000000"/>
          <w:right w:val="none" w:sz="0" w:space="0" w:color="000000"/>
        </w:pBdr>
        <w:spacing w:before="60" w:after="60"/>
        <w:ind w:left="60" w:right="60"/>
        <w:rPr>
          <w:rFonts w:ascii="Arial" w:hAnsi="Arial" w:cs="Arial"/>
          <w:b/>
          <w:bCs/>
          <w:sz w:val="20"/>
          <w:szCs w:val="20"/>
        </w:rPr>
      </w:pPr>
      <w:r w:rsidRPr="00352CC7">
        <w:rPr>
          <w:rFonts w:ascii="Arial" w:hAnsi="Arial" w:cs="Arial"/>
          <w:b/>
          <w:bCs/>
          <w:sz w:val="20"/>
          <w:szCs w:val="20"/>
        </w:rPr>
        <w:t xml:space="preserve">Table </w:t>
      </w:r>
      <w:bookmarkStart w:id="0" w:name="tab1"/>
      <w:r w:rsidRPr="00352CC7">
        <w:rPr>
          <w:rFonts w:ascii="Arial" w:hAnsi="Arial" w:cs="Arial"/>
          <w:b/>
          <w:bCs/>
          <w:sz w:val="20"/>
          <w:szCs w:val="20"/>
        </w:rPr>
        <w:fldChar w:fldCharType="begin"/>
      </w:r>
      <w:r w:rsidRPr="00352CC7">
        <w:rPr>
          <w:rFonts w:ascii="Arial" w:hAnsi="Arial" w:cs="Arial"/>
          <w:b/>
          <w:bCs/>
          <w:sz w:val="20"/>
          <w:szCs w:val="20"/>
        </w:rPr>
        <w:instrText>SEQ tab \* Arabic</w:instrText>
      </w:r>
      <w:r w:rsidRPr="00352CC7">
        <w:rPr>
          <w:rFonts w:ascii="Arial" w:hAnsi="Arial" w:cs="Arial"/>
          <w:b/>
          <w:bCs/>
          <w:sz w:val="20"/>
          <w:szCs w:val="20"/>
        </w:rPr>
        <w:fldChar w:fldCharType="separate"/>
      </w:r>
      <w:r w:rsidRPr="00352CC7">
        <w:rPr>
          <w:rFonts w:ascii="Arial" w:hAnsi="Arial" w:cs="Arial"/>
          <w:b/>
          <w:bCs/>
          <w:sz w:val="20"/>
          <w:szCs w:val="20"/>
        </w:rPr>
        <w:t>1</w:t>
      </w:r>
      <w:r w:rsidRPr="00352CC7">
        <w:rPr>
          <w:rFonts w:ascii="Arial" w:hAnsi="Arial" w:cs="Arial"/>
          <w:b/>
          <w:bCs/>
          <w:sz w:val="20"/>
          <w:szCs w:val="20"/>
        </w:rPr>
        <w:fldChar w:fldCharType="end"/>
      </w:r>
      <w:bookmarkEnd w:id="0"/>
      <w:r w:rsidRPr="00352CC7">
        <w:rPr>
          <w:rFonts w:ascii="Arial" w:hAnsi="Arial" w:cs="Arial"/>
          <w:b/>
          <w:bCs/>
          <w:sz w:val="20"/>
          <w:szCs w:val="20"/>
        </w:rPr>
        <w:t xml:space="preserve">: </w:t>
      </w:r>
      <w:r w:rsidRPr="00352CC7">
        <w:rPr>
          <w:rFonts w:ascii="Arial" w:hAnsi="Arial" w:cs="Arial"/>
          <w:sz w:val="20"/>
          <w:szCs w:val="20"/>
        </w:rPr>
        <w:t>Clinical and demographic baseline data by presence or absence of preventable drug related incident (PDRI).</w:t>
      </w:r>
    </w:p>
    <w:tbl>
      <w:tblPr>
        <w:tblW w:w="0" w:type="auto"/>
        <w:jc w:val="center"/>
        <w:tblLayout w:type="fixed"/>
        <w:tblLook w:val="0420" w:firstRow="1" w:lastRow="0" w:firstColumn="0" w:lastColumn="0" w:noHBand="0" w:noVBand="1"/>
      </w:tblPr>
      <w:tblGrid>
        <w:gridCol w:w="2211"/>
        <w:gridCol w:w="2211"/>
        <w:gridCol w:w="2211"/>
        <w:gridCol w:w="2211"/>
      </w:tblGrid>
      <w:tr w:rsidR="00352CC7" w:rsidRPr="00352CC7" w14:paraId="068DE541" w14:textId="77777777" w:rsidTr="0017407A">
        <w:trPr>
          <w:trHeight w:val="283"/>
          <w:tblHeader/>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6D8CCF6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themeColor="text1"/>
                <w:sz w:val="16"/>
                <w:szCs w:val="16"/>
              </w:rPr>
              <w:t> </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4DFD88F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b/>
                <w:color w:val="000000" w:themeColor="text1"/>
                <w:sz w:val="16"/>
                <w:szCs w:val="16"/>
              </w:rPr>
              <w:t>No</w:t>
            </w:r>
            <w:r w:rsidRPr="00352CC7">
              <w:rPr>
                <w:rFonts w:ascii="Arial" w:hAnsi="Arial" w:cs="Arial"/>
              </w:rPr>
              <w:br/>
            </w:r>
            <w:r w:rsidRPr="00352CC7">
              <w:rPr>
                <w:rFonts w:ascii="Arial" w:eastAsia="Arial" w:hAnsi="Arial" w:cs="Arial"/>
                <w:b/>
                <w:color w:val="000000" w:themeColor="text1"/>
                <w:sz w:val="16"/>
                <w:szCs w:val="16"/>
              </w:rPr>
              <w:t>(N=45)</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127D6BB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b/>
                <w:color w:val="000000" w:themeColor="text1"/>
                <w:sz w:val="16"/>
                <w:szCs w:val="16"/>
              </w:rPr>
              <w:t>Yes</w:t>
            </w:r>
            <w:r w:rsidRPr="00352CC7">
              <w:rPr>
                <w:rFonts w:ascii="Arial" w:hAnsi="Arial" w:cs="Arial"/>
              </w:rPr>
              <w:br/>
            </w:r>
            <w:r w:rsidRPr="00352CC7">
              <w:rPr>
                <w:rFonts w:ascii="Arial" w:eastAsia="Arial" w:hAnsi="Arial" w:cs="Arial"/>
                <w:b/>
                <w:color w:val="000000" w:themeColor="text1"/>
                <w:sz w:val="16"/>
                <w:szCs w:val="16"/>
              </w:rPr>
              <w:t>(N=167)</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709B07F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b/>
                <w:color w:val="000000" w:themeColor="text1"/>
                <w:sz w:val="16"/>
                <w:szCs w:val="16"/>
              </w:rPr>
              <w:t>Overall</w:t>
            </w:r>
            <w:r w:rsidRPr="00352CC7">
              <w:rPr>
                <w:rFonts w:ascii="Arial" w:hAnsi="Arial" w:cs="Arial"/>
              </w:rPr>
              <w:br/>
            </w:r>
            <w:r w:rsidRPr="00352CC7">
              <w:rPr>
                <w:rFonts w:ascii="Arial" w:eastAsia="Arial" w:hAnsi="Arial" w:cs="Arial"/>
                <w:b/>
                <w:color w:val="000000" w:themeColor="text1"/>
                <w:sz w:val="16"/>
                <w:szCs w:val="16"/>
              </w:rPr>
              <w:t>(N=212)</w:t>
            </w:r>
          </w:p>
        </w:tc>
      </w:tr>
      <w:tr w:rsidR="00352CC7" w:rsidRPr="00352CC7" w14:paraId="0BA0B7DC"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CA0A39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Age</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9B09B7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74811B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2DDA21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5F178CE0"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FBA226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Mean (SD)</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2C7A69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43.3 (18.6)</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04E311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47.2 (16.0)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2BD9C0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46.4 (16.6)</w:t>
            </w:r>
          </w:p>
        </w:tc>
      </w:tr>
      <w:tr w:rsidR="00352CC7" w:rsidRPr="00352CC7" w14:paraId="0E946436"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58444C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Median [Min, Max]</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E4F6EE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39.0 [18.0, 85.0]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85E108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46.0 [19.0, 101]</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BAD9E0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44.0 [18.0, 101]</w:t>
            </w:r>
          </w:p>
        </w:tc>
      </w:tr>
      <w:tr w:rsidR="00352CC7" w:rsidRPr="00352CC7" w14:paraId="6EA829DE"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DD5342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Age</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73E690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050EA1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B307FE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0105A1A7"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45B1F2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[18,39]</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6C6545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22 (48.9%)</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19F34A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59 (35.3%)</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3B4900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81 (38.2%)</w:t>
            </w:r>
          </w:p>
        </w:tc>
      </w:tr>
      <w:tr w:rsidR="00352CC7" w:rsidRPr="00352CC7" w14:paraId="3FD0C5B8"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0173FF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lastRenderedPageBreak/>
              <w:t>  (39,60]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6FE88D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12 (26.7%)</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DD5047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69 (41.3%)</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019FB7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81 (38.2%)</w:t>
            </w:r>
          </w:p>
        </w:tc>
      </w:tr>
      <w:tr w:rsidR="00352CC7" w:rsidRPr="00352CC7" w14:paraId="6D37D339"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73DF43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(60,80]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ECFC48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9 (20.0%)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3B3D00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38 (22.8%)</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4416E7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47 (22.2%)</w:t>
            </w:r>
          </w:p>
        </w:tc>
      </w:tr>
      <w:tr w:rsidR="00352CC7" w:rsidRPr="00352CC7" w14:paraId="57FE9D71"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1AF258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(80,102]</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7403EC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(4.4%)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6B6419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(0.6%)</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8FF5F7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 (1.4%)</w:t>
            </w:r>
          </w:p>
        </w:tc>
      </w:tr>
      <w:tr w:rsidR="00352CC7" w:rsidRPr="00352CC7" w14:paraId="5F1E0C99"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DEAD4E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Sex</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4F5E45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845388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295FD2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448A2405"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ED6295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Female</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8FCCDB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12 (26.7%)</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56BC60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69 (41.3%)</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2990CB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81 (38.2%)</w:t>
            </w:r>
          </w:p>
        </w:tc>
      </w:tr>
      <w:tr w:rsidR="00352CC7" w:rsidRPr="00352CC7" w14:paraId="0D248084"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294B59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Male</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E07A10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33 (73.3%)</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5B83E7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98 (58.7%)</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84228D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131 (61.8%)</w:t>
            </w:r>
          </w:p>
        </w:tc>
      </w:tr>
      <w:tr w:rsidR="00352CC7" w:rsidRPr="00352CC7" w14:paraId="7E578D73"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C63105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Race</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F76788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EFB93B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45F7D5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2417DBFE"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FDA6CB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Black</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98A612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12 (26.7%)</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CBE14E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35 (21.0%)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335700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47 (22.2%)</w:t>
            </w:r>
          </w:p>
        </w:tc>
      </w:tr>
      <w:tr w:rsidR="00352CC7" w:rsidRPr="00352CC7" w14:paraId="6D56F1D0"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25F672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Brown</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1043E3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15 (33.3%)</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AD4C7E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84 (50.3%)</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005108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99 (46.7%)</w:t>
            </w:r>
          </w:p>
        </w:tc>
      </w:tr>
      <w:tr w:rsidR="00352CC7" w:rsidRPr="00352CC7" w14:paraId="2E2D9E25"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B87A74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White</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E2A472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18 (40.0%)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6F8B1F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48 (28.7%)</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DD0CBF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66 (31.1%)</w:t>
            </w:r>
          </w:p>
        </w:tc>
      </w:tr>
      <w:tr w:rsidR="00352CC7" w:rsidRPr="00352CC7" w14:paraId="0A337D14"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718BBF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Education</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AF0F53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8FBEEB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4018AB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7C7EF9C8"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4521FA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Up to 5 years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D9492F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11 (24.4%)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7D71D8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53 (31.7%)</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294409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64 (30.2%)</w:t>
            </w:r>
          </w:p>
        </w:tc>
      </w:tr>
      <w:tr w:rsidR="00352CC7" w:rsidRPr="00352CC7" w14:paraId="671D9304"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E41637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Between 6 and 8</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D90D49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9 (20.0%)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837BBC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39 (23.4%)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D2CB4B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48 (22.6%)</w:t>
            </w:r>
          </w:p>
        </w:tc>
      </w:tr>
      <w:tr w:rsidR="00352CC7" w:rsidRPr="00352CC7" w14:paraId="1AF466CD"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49DE5A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Between 9 and 11</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8812D4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15 (33.3%)</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EB2304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52 (31.1%)</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4F375A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67 (31.6%)</w:t>
            </w:r>
          </w:p>
        </w:tc>
      </w:tr>
      <w:tr w:rsidR="00352CC7" w:rsidRPr="00352CC7" w14:paraId="05E8357C"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D187AA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Over 11</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F250FC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8 (17.8%)</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BDB6CA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19 (11.4%)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BE5472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27 (12.7%)</w:t>
            </w:r>
          </w:p>
        </w:tc>
      </w:tr>
      <w:tr w:rsidR="00352CC7" w:rsidRPr="00352CC7" w14:paraId="154B9B84"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858890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Ignored</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78C8C4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(4.4%)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5ED8FD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 (2.4%)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5B469C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 (2.8%)</w:t>
            </w:r>
          </w:p>
        </w:tc>
      </w:tr>
      <w:tr w:rsidR="00352CC7" w:rsidRPr="00352CC7" w14:paraId="2B4353BA"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099D9B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Number of Hospitalizations in the previous 12 months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942153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73614E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0CE092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79E447CC"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0EFBF9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895E67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27 (60.0%)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9B7183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100 (59.9%)</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0286CD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127 (59.9%)</w:t>
            </w:r>
          </w:p>
        </w:tc>
      </w:tr>
      <w:tr w:rsidR="00352CC7" w:rsidRPr="00352CC7" w14:paraId="1AB067B8"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5A3593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1</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6A17ED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14 (31.1%)</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C8C20B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51 (30.5%)</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6CF530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65 (30.7%)</w:t>
            </w:r>
          </w:p>
        </w:tc>
      </w:tr>
      <w:tr w:rsidR="00352CC7" w:rsidRPr="00352CC7" w14:paraId="25112A3F"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C87B83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2</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DB2DC8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(4.4%)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1C45E5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10 (6.0%)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56454A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12 (5.7%)</w:t>
            </w:r>
          </w:p>
        </w:tc>
      </w:tr>
      <w:tr w:rsidR="00352CC7" w:rsidRPr="00352CC7" w14:paraId="6D21DE30"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E8E6BC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3</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8C8C62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(2.2%)</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9665D0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 (2.4%)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70B720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5 (2.4%)</w:t>
            </w:r>
          </w:p>
        </w:tc>
      </w:tr>
      <w:tr w:rsidR="00352CC7" w:rsidRPr="00352CC7" w14:paraId="2396AACC"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755D65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30DA29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D23A83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(1.2%)</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BFA122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(0.9%)</w:t>
            </w:r>
          </w:p>
        </w:tc>
      </w:tr>
      <w:tr w:rsidR="00352CC7" w:rsidRPr="00352CC7" w14:paraId="15AB39EB"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623250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&gt;= 5</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D50845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(2.2%)</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4F1CEA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B92B15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(0.5%)</w:t>
            </w:r>
          </w:p>
        </w:tc>
      </w:tr>
      <w:tr w:rsidR="00352CC7" w:rsidRPr="00352CC7" w14:paraId="46428010"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4D9ACE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Was there a hospital stay in the previous 30 days?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DCA430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3793C3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D08661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1D8DD2C4"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037C6B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6CE6F2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39 (86.7%)</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88C33B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151 (90.4%)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5A8F36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190 (89.6%)</w:t>
            </w:r>
          </w:p>
        </w:tc>
      </w:tr>
      <w:tr w:rsidR="00352CC7" w:rsidRPr="00352CC7" w14:paraId="00E903B9"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4DB6CB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0E6753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 (13.3%)</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42B4C1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16 (9.6%)</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C13066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22 (10.4%)</w:t>
            </w:r>
          </w:p>
        </w:tc>
      </w:tr>
      <w:tr w:rsidR="00352CC7" w:rsidRPr="00352CC7" w14:paraId="00F1882D"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640782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Do you use illicit drugs?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24DF62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3E97C9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F5E550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09304247"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D01DF8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BE8BB7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40 (88.9%)</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A6DD5B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143 (85.6%)</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2ABF05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183 (86.3%)</w:t>
            </w:r>
          </w:p>
        </w:tc>
      </w:tr>
      <w:tr w:rsidR="00352CC7" w:rsidRPr="00352CC7" w14:paraId="184B119C"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B6B5D4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0E5810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5 (11.1%)</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F947B8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24 (14.4%)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E54DA6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29 (13.7%)</w:t>
            </w:r>
          </w:p>
        </w:tc>
      </w:tr>
      <w:tr w:rsidR="00352CC7" w:rsidRPr="00352CC7" w14:paraId="1601DE66"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2EF5B1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Do you use intravenous illicit drugs?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385B3B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B4CDFE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F35978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11D410BA"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0BD9AD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4E8FA6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45 (100%)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8DAF6E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165 (98.8%)</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33F635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210 (99.1%)</w:t>
            </w:r>
          </w:p>
        </w:tc>
      </w:tr>
      <w:tr w:rsidR="00352CC7" w:rsidRPr="00352CC7" w14:paraId="3FA30BFC"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F92618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DB5179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757E77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(1.2%)</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25846D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(0.9%)</w:t>
            </w:r>
          </w:p>
        </w:tc>
      </w:tr>
      <w:tr w:rsidR="00352CC7" w:rsidRPr="00352CC7" w14:paraId="74616BF6"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D0FA6E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Tobacco use?</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C81C18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8EA567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1033DA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6F54F01B"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877A7F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1738DD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33 (73.3%)</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91451A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134 (80.2%)</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B8D85D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167 (78.8%)</w:t>
            </w:r>
          </w:p>
        </w:tc>
      </w:tr>
      <w:tr w:rsidR="00352CC7" w:rsidRPr="00352CC7" w14:paraId="70CE4B2E"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88C3BF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6E4310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12 (26.7%)</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B3A381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31 (18.6%)</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386433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43 (20.3%)</w:t>
            </w:r>
          </w:p>
        </w:tc>
      </w:tr>
      <w:tr w:rsidR="00352CC7" w:rsidRPr="00352CC7" w14:paraId="0FC4B978"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527239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Ignored</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98E1A4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B92B9E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(1.2%)</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6F2E83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(0.9%)</w:t>
            </w:r>
          </w:p>
        </w:tc>
      </w:tr>
      <w:tr w:rsidR="00352CC7" w:rsidRPr="00352CC7" w14:paraId="7D0981D4"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90BD86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Alcohol use?</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678EC6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811621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DEBE05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1F8BD1C0"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0C68C4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BFFD61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30 (66.7%)</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0C3D0B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120 (71.9%)</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32A0EF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150 (70.8%)</w:t>
            </w:r>
          </w:p>
        </w:tc>
      </w:tr>
      <w:tr w:rsidR="00352CC7" w:rsidRPr="00352CC7" w14:paraId="4BD9C10E"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1FA6DF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F58A36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15 (33.3%)</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6823D2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44 (26.3%)</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D70CF9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59 (27.8%)</w:t>
            </w:r>
          </w:p>
        </w:tc>
      </w:tr>
      <w:tr w:rsidR="00352CC7" w:rsidRPr="00352CC7" w14:paraId="4984D3E9"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BD01C0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Ignored</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9D173D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355093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 (1.8%)</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050742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 (1.4%)</w:t>
            </w:r>
          </w:p>
        </w:tc>
      </w:tr>
      <w:tr w:rsidR="00352CC7" w:rsidRPr="00352CC7" w14:paraId="06AC3B7B"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7C2600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Comorbidities?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6EA798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C4433F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F8A460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50D81B5B"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8728A1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D296FB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16 (35.6%)</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9AFE95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24 (14.4%)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C97A66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40 (18.9%)</w:t>
            </w:r>
          </w:p>
        </w:tc>
      </w:tr>
      <w:tr w:rsidR="00352CC7" w:rsidRPr="00352CC7" w14:paraId="3122392A"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D9E4CA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CEF46F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29 (64.4%)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281155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143 (85.6%)</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D1D891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172 (81.1%)</w:t>
            </w:r>
          </w:p>
        </w:tc>
      </w:tr>
      <w:tr w:rsidR="00352CC7" w:rsidRPr="00352CC7" w14:paraId="1D71F0BD"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8F7BE0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Chagas disease</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340D34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8F5228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F398A0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347D249B"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72D383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CD32AC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45 (100%)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C1C7A4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142 (85.0%)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B8C67F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187 (88.2%)</w:t>
            </w:r>
          </w:p>
        </w:tc>
      </w:tr>
      <w:tr w:rsidR="00352CC7" w:rsidRPr="00352CC7" w14:paraId="1C21E914"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FF218C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5ADC5F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691552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25 (15.0%)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07B7AC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25 (11.8%)</w:t>
            </w:r>
          </w:p>
        </w:tc>
      </w:tr>
      <w:tr w:rsidR="00352CC7" w:rsidRPr="00352CC7" w14:paraId="4770A3F3"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BF7745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lastRenderedPageBreak/>
              <w:t>Leishmaniasis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F37FFC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25CF56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33F1E0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0BCE0D91"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74E893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AF2674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44 (97.8%)</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07020E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166 (99.4%)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8A9F94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210 (99.1%)</w:t>
            </w:r>
          </w:p>
        </w:tc>
      </w:tr>
      <w:tr w:rsidR="00352CC7" w:rsidRPr="00352CC7" w14:paraId="2B04D598"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AEB1A3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8588B3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(2.2%)</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7E1867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(0.6%)</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1F1242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(0.9%)</w:t>
            </w:r>
          </w:p>
        </w:tc>
      </w:tr>
      <w:tr w:rsidR="00352CC7" w:rsidRPr="00352CC7" w14:paraId="0AE98EC1"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382F17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b/>
                <w:color w:val="000000" w:themeColor="text1"/>
                <w:sz w:val="16"/>
                <w:szCs w:val="16"/>
              </w:rPr>
            </w:pPr>
            <w:proofErr w:type="spellStart"/>
            <w:r w:rsidRPr="00352CC7">
              <w:rPr>
                <w:rFonts w:ascii="Arial" w:eastAsia="Arial" w:hAnsi="Arial" w:cs="Arial"/>
                <w:b/>
                <w:color w:val="000000" w:themeColor="text1"/>
                <w:sz w:val="16"/>
                <w:szCs w:val="16"/>
              </w:rPr>
              <w:t>Paracoccidioidomycosis</w:t>
            </w:r>
            <w:proofErr w:type="spellEnd"/>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17787B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19DD3E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ED6A0F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72A2628A"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D163AF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8E1AA3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45 (100%)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44BE39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164 (98.2%)</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E65CE2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209 (98.6%)</w:t>
            </w:r>
          </w:p>
        </w:tc>
      </w:tr>
      <w:tr w:rsidR="00352CC7" w:rsidRPr="00352CC7" w14:paraId="6BF509C8"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AAB470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7D1FF4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E3A8DF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 (1.8%)</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76655C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 (1.4%)</w:t>
            </w:r>
          </w:p>
        </w:tc>
      </w:tr>
      <w:tr w:rsidR="00352CC7" w:rsidRPr="00352CC7" w14:paraId="717CBEB1"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28525B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HTLV</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9055C5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DB339B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FB8D97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0DCFDCC2"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9AC795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8B723B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42 (93.3%)</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4E2170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164 (98.2%)</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099F81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206 (97.2%)</w:t>
            </w:r>
          </w:p>
        </w:tc>
      </w:tr>
      <w:tr w:rsidR="00352CC7" w:rsidRPr="00352CC7" w14:paraId="2733C78A"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A54B3B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E80AC3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 (6.7%)</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95B56F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 (1.8%)</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02499F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 (2.8%)</w:t>
            </w:r>
          </w:p>
        </w:tc>
      </w:tr>
      <w:tr w:rsidR="00352CC7" w:rsidRPr="00352CC7" w14:paraId="16589E13"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87ACA0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Sporotrichosis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9A65B8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E11CE6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C279A5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50A223AF"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0B507A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BF3A02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45 (100%)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C54F0F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163 (97.6%)</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1ADB91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208 (98.1%)</w:t>
            </w:r>
          </w:p>
        </w:tc>
      </w:tr>
      <w:tr w:rsidR="00352CC7" w:rsidRPr="00352CC7" w14:paraId="586A86F2"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73FCE3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5D7AF9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E77D49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 (2.4%)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623D9E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 (1.9%)</w:t>
            </w:r>
          </w:p>
        </w:tc>
      </w:tr>
      <w:tr w:rsidR="00352CC7" w:rsidRPr="00352CC7" w14:paraId="5AFB5AF8"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9C7D5A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Tuberculosis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25BEBB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B6E9DF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DAF592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0C4E4290"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7DDD25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3DAD27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38 (84.4%)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CC99D2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143 (85.6%)</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D9F1DF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181 (85.4%)</w:t>
            </w:r>
          </w:p>
        </w:tc>
      </w:tr>
      <w:tr w:rsidR="00352CC7" w:rsidRPr="00352CC7" w14:paraId="3D034ED9"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15C451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BD32E5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7 (15.6%)</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FA689A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24 (14.4%)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2FC1D7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31 (14.6%)</w:t>
            </w:r>
          </w:p>
        </w:tc>
      </w:tr>
      <w:tr w:rsidR="00352CC7" w:rsidRPr="00352CC7" w14:paraId="5E2F893A"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2F4B4E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HIV/AIDS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0CC9BC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480A19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5C4139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26D81217"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0B050F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71EAD8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22 (48.9%)</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EF31A4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69 (41.3%)</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F4435F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91 (42.9%)</w:t>
            </w:r>
          </w:p>
        </w:tc>
      </w:tr>
      <w:tr w:rsidR="00352CC7" w:rsidRPr="00352CC7" w14:paraId="4F10B79F"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A3AB47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92A880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23 (51.1%)</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FB1815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98 (58.7%)</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7BB7F5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121 (57.1%)</w:t>
            </w:r>
          </w:p>
        </w:tc>
      </w:tr>
      <w:tr w:rsidR="00352CC7" w:rsidRPr="00352CC7" w14:paraId="601BB2F7"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F611D2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Hospitalization outcome</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BA7A16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8E7D68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11D679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2707523C"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1ADA6E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Hospital discharge</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DE8531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42 (93.3%)</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4C97B0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137 (82.0%)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0812F7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179 (84.4%)</w:t>
            </w:r>
          </w:p>
        </w:tc>
      </w:tr>
      <w:tr w:rsidR="00352CC7" w:rsidRPr="00352CC7" w14:paraId="168E8708"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EEA857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Transfer to ICU</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60EEC8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 (6.7%)</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59445F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10 (6.0%)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44CEF8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 (6.1%)</w:t>
            </w:r>
          </w:p>
        </w:tc>
      </w:tr>
      <w:tr w:rsidR="00352CC7" w:rsidRPr="00352CC7" w14:paraId="115B2068"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4DF081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Death</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B46071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88AC1C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5 (3.0%)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E384FD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5 (2.4%)</w:t>
            </w:r>
          </w:p>
        </w:tc>
      </w:tr>
      <w:tr w:rsidR="00352CC7" w:rsidRPr="00352CC7" w14:paraId="03825C44"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FF6E59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Extended hospital license</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DD280F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FAB272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(1.2%)</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408DFE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(0.9%)</w:t>
            </w:r>
          </w:p>
        </w:tc>
      </w:tr>
      <w:tr w:rsidR="00352CC7" w:rsidRPr="00352CC7" w14:paraId="0698938F"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B1A4AC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Transfer to another unit</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AB3CFB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F33AED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 (7.8%)</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CC82DF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 (6.1%)</w:t>
            </w:r>
          </w:p>
        </w:tc>
      </w:tr>
      <w:tr w:rsidR="00352CC7" w:rsidRPr="00352CC7" w14:paraId="6150090F"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661903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Length of stay (days)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7E681D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10F281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D81A2D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5978BB57"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6787C2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[0,7]</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740FAF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25 (55.6%)</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2E8415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61 (36.5%)</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31FE3F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86 (40.6%)</w:t>
            </w:r>
          </w:p>
        </w:tc>
      </w:tr>
      <w:tr w:rsidR="00352CC7" w:rsidRPr="00352CC7" w14:paraId="01220080"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7B7DF3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(7,14]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3F9DB1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 (28.9%)</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35743C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59 (35.3%)</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5D0AA4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72 (34.0%)</w:t>
            </w:r>
          </w:p>
        </w:tc>
      </w:tr>
      <w:tr w:rsidR="00352CC7" w:rsidRPr="00352CC7" w14:paraId="49680D60"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079EEA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(14,21]</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0C4CFA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5 (11.1%)</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95E7F3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18 (10.8%)</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94223E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23 (10.8%)</w:t>
            </w:r>
          </w:p>
        </w:tc>
      </w:tr>
      <w:tr w:rsidR="00352CC7" w:rsidRPr="00352CC7" w14:paraId="22B26FE4"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7D603C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(21,28]</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85B36F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(2.2%)</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E5792F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 (7.8%)</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0AEF32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14 (6.6%)</w:t>
            </w:r>
          </w:p>
        </w:tc>
      </w:tr>
      <w:tr w:rsidR="00352CC7" w:rsidRPr="00352CC7" w14:paraId="2243AD12"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27B401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themeColor="text1"/>
                <w:sz w:val="16"/>
                <w:szCs w:val="16"/>
              </w:rPr>
              <w:t>  (28,56]</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D55958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(2.2%)</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756559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16 (9.6%)</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61DDA1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17 (8.0%)</w:t>
            </w:r>
          </w:p>
        </w:tc>
      </w:tr>
      <w:tr w:rsidR="00352CC7" w:rsidRPr="00352CC7" w14:paraId="088A116C"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9535EC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Length of stay (days)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E68174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A525CA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4B96CA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4005FA93"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3CB0C1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Mean (SD)</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F9C910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8.38 (7.19)</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473660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13.9 (19.2)</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A1DB06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12.7 (17.5)</w:t>
            </w:r>
          </w:p>
        </w:tc>
      </w:tr>
      <w:tr w:rsidR="00352CC7" w:rsidRPr="00352CC7" w14:paraId="4BB4B9B9"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06A9CF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Median [Min, Max]</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515699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6.00 [1.00, 36.0]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181350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themeColor="text1"/>
                <w:sz w:val="16"/>
                <w:szCs w:val="16"/>
              </w:rPr>
              <w:t>10.0 [0, 56]</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4DC1F9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themeColor="text1"/>
                <w:sz w:val="16"/>
                <w:szCs w:val="16"/>
              </w:rPr>
              <w:t>9.00 [0, 56]</w:t>
            </w:r>
          </w:p>
        </w:tc>
      </w:tr>
    </w:tbl>
    <w:p w14:paraId="6F45CE30" w14:textId="77777777" w:rsidR="00352CC7" w:rsidRPr="00352CC7" w:rsidRDefault="00352CC7" w:rsidP="00352CC7">
      <w:pPr>
        <w:jc w:val="center"/>
        <w:rPr>
          <w:rFonts w:ascii="Arial" w:eastAsia="Arial" w:hAnsi="Arial" w:cs="Arial"/>
          <w:color w:val="000000"/>
          <w:sz w:val="16"/>
          <w:szCs w:val="16"/>
        </w:rPr>
      </w:pPr>
      <w:r w:rsidRPr="00352CC7">
        <w:rPr>
          <w:rFonts w:ascii="Arial" w:eastAsia="Arial" w:hAnsi="Arial" w:cs="Arial"/>
          <w:color w:val="000000" w:themeColor="text1"/>
          <w:sz w:val="16"/>
          <w:szCs w:val="16"/>
        </w:rPr>
        <w:t>Max=Maximum; Min=Minimum; SD=Standard Deviation</w:t>
      </w:r>
    </w:p>
    <w:p w14:paraId="6403FB6D" w14:textId="77777777" w:rsidR="00352CC7" w:rsidRPr="00352CC7" w:rsidRDefault="00352CC7" w:rsidP="00352CC7">
      <w:pPr>
        <w:jc w:val="center"/>
        <w:rPr>
          <w:rFonts w:ascii="Arial" w:hAnsi="Arial" w:cs="Arial"/>
        </w:rPr>
      </w:pPr>
    </w:p>
    <w:p w14:paraId="07D16555" w14:textId="77777777" w:rsidR="00352CC7" w:rsidRPr="00243B85" w:rsidRDefault="00352CC7" w:rsidP="00352CC7">
      <w:pPr>
        <w:jc w:val="both"/>
        <w:rPr>
          <w:rFonts w:ascii="Arial" w:hAnsi="Arial" w:cs="Arial"/>
        </w:rPr>
      </w:pPr>
      <w:r w:rsidRPr="00243B85">
        <w:rPr>
          <w:rFonts w:ascii="Arial" w:hAnsi="Arial" w:cs="Arial"/>
        </w:rPr>
        <w:t xml:space="preserve">A total of 446 PDRIs were observed during the whole study period. By far, the most frequent PDRI was drug interactions, followed by scheduling errors and ADR. (Table 2) </w:t>
      </w:r>
    </w:p>
    <w:p w14:paraId="07293477" w14:textId="77777777" w:rsidR="00352CC7" w:rsidRPr="00352CC7" w:rsidRDefault="00352CC7" w:rsidP="00352CC7">
      <w:pPr>
        <w:rPr>
          <w:rFonts w:ascii="Arial" w:hAnsi="Arial" w:cs="Arial"/>
        </w:rPr>
      </w:pPr>
      <w:r w:rsidRPr="00352CC7">
        <w:rPr>
          <w:rFonts w:ascii="Arial" w:hAnsi="Arial" w:cs="Arial"/>
        </w:rPr>
        <w:br w:type="page"/>
      </w:r>
    </w:p>
    <w:p w14:paraId="52CE70C0" w14:textId="77777777" w:rsidR="00352CC7" w:rsidRPr="00352CC7" w:rsidRDefault="00352CC7" w:rsidP="00352CC7">
      <w:pPr>
        <w:rPr>
          <w:rFonts w:ascii="Arial" w:hAnsi="Arial" w:cs="Arial"/>
        </w:rPr>
        <w:sectPr w:rsidR="00352CC7" w:rsidRPr="00352CC7" w:rsidSect="00D0609F">
          <w:headerReference w:type="even" r:id="rId15"/>
          <w:headerReference w:type="default" r:id="rId16"/>
          <w:headerReference w:type="first" r:id="rId17"/>
          <w:type w:val="nextColumn"/>
          <w:pgSz w:w="11906" w:h="16838"/>
          <w:pgMar w:top="1440" w:right="1440" w:bottom="1440" w:left="1440" w:header="709" w:footer="709" w:gutter="0"/>
          <w:cols w:space="708"/>
          <w:docGrid w:linePitch="360"/>
        </w:sectPr>
      </w:pPr>
    </w:p>
    <w:p w14:paraId="54C86671" w14:textId="77777777" w:rsidR="00352CC7" w:rsidRPr="00352CC7" w:rsidRDefault="00352CC7" w:rsidP="00352CC7">
      <w:pPr>
        <w:rPr>
          <w:rFonts w:ascii="Arial" w:hAnsi="Arial" w:cs="Arial"/>
        </w:rPr>
      </w:pPr>
    </w:p>
    <w:p w14:paraId="270EDE16" w14:textId="77777777" w:rsidR="00352CC7" w:rsidRPr="00352CC7" w:rsidRDefault="00352CC7" w:rsidP="00352CC7">
      <w:pPr>
        <w:pStyle w:val="ImageCaption"/>
        <w:keepNext/>
        <w:pBdr>
          <w:top w:val="none" w:sz="0" w:space="0" w:color="000000"/>
          <w:left w:val="none" w:sz="0" w:space="0" w:color="000000"/>
          <w:bottom w:val="none" w:sz="0" w:space="0" w:color="000000"/>
          <w:right w:val="none" w:sz="0" w:space="0" w:color="000000"/>
        </w:pBdr>
        <w:spacing w:before="60" w:after="60"/>
        <w:ind w:left="60" w:right="60"/>
        <w:rPr>
          <w:rFonts w:ascii="Arial" w:hAnsi="Arial" w:cs="Arial"/>
          <w:sz w:val="20"/>
          <w:szCs w:val="20"/>
        </w:rPr>
      </w:pPr>
      <w:r w:rsidRPr="00352CC7">
        <w:rPr>
          <w:rFonts w:ascii="Arial" w:hAnsi="Arial" w:cs="Arial"/>
          <w:b/>
          <w:bCs/>
          <w:sz w:val="20"/>
          <w:szCs w:val="20"/>
        </w:rPr>
        <w:t xml:space="preserve">Table </w:t>
      </w:r>
      <w:bookmarkStart w:id="1" w:name="tab2"/>
      <w:r w:rsidRPr="00352CC7">
        <w:rPr>
          <w:rFonts w:ascii="Arial" w:hAnsi="Arial" w:cs="Arial"/>
          <w:b/>
          <w:bCs/>
          <w:sz w:val="20"/>
          <w:szCs w:val="20"/>
        </w:rPr>
        <w:fldChar w:fldCharType="begin"/>
      </w:r>
      <w:r w:rsidRPr="00352CC7">
        <w:rPr>
          <w:rFonts w:ascii="Arial" w:hAnsi="Arial" w:cs="Arial"/>
          <w:b/>
          <w:bCs/>
          <w:sz w:val="20"/>
          <w:szCs w:val="20"/>
        </w:rPr>
        <w:instrText>SEQ tab \* Arabic</w:instrText>
      </w:r>
      <w:r w:rsidRPr="00352CC7">
        <w:rPr>
          <w:rFonts w:ascii="Arial" w:hAnsi="Arial" w:cs="Arial"/>
          <w:b/>
          <w:bCs/>
          <w:sz w:val="20"/>
          <w:szCs w:val="20"/>
        </w:rPr>
        <w:fldChar w:fldCharType="separate"/>
      </w:r>
      <w:r w:rsidRPr="00352CC7">
        <w:rPr>
          <w:rFonts w:ascii="Arial" w:hAnsi="Arial" w:cs="Arial"/>
          <w:b/>
          <w:bCs/>
          <w:sz w:val="20"/>
          <w:szCs w:val="20"/>
        </w:rPr>
        <w:t>2</w:t>
      </w:r>
      <w:r w:rsidRPr="00352CC7">
        <w:rPr>
          <w:rFonts w:ascii="Arial" w:hAnsi="Arial" w:cs="Arial"/>
          <w:b/>
          <w:bCs/>
          <w:sz w:val="20"/>
          <w:szCs w:val="20"/>
        </w:rPr>
        <w:fldChar w:fldCharType="end"/>
      </w:r>
      <w:bookmarkEnd w:id="1"/>
      <w:r w:rsidRPr="00352CC7">
        <w:rPr>
          <w:rFonts w:ascii="Arial" w:hAnsi="Arial" w:cs="Arial"/>
          <w:b/>
          <w:bCs/>
          <w:sz w:val="20"/>
          <w:szCs w:val="20"/>
        </w:rPr>
        <w:t xml:space="preserve">: </w:t>
      </w:r>
      <w:r w:rsidRPr="00352CC7">
        <w:rPr>
          <w:rFonts w:ascii="Arial" w:hAnsi="Arial" w:cs="Arial"/>
          <w:sz w:val="20"/>
          <w:szCs w:val="20"/>
        </w:rPr>
        <w:t xml:space="preserve"> Preventable drug related incidents (PDRI) type by week of hospital admission.</w:t>
      </w:r>
    </w:p>
    <w:tbl>
      <w:tblPr>
        <w:tblW w:w="0" w:type="auto"/>
        <w:jc w:val="center"/>
        <w:tblLayout w:type="fixed"/>
        <w:tblLook w:val="0420" w:firstRow="1" w:lastRow="0" w:firstColumn="0" w:lastColumn="0" w:noHBand="0" w:noVBand="1"/>
      </w:tblPr>
      <w:tblGrid>
        <w:gridCol w:w="3638"/>
        <w:gridCol w:w="1567"/>
        <w:gridCol w:w="1567"/>
        <w:gridCol w:w="1567"/>
        <w:gridCol w:w="1567"/>
        <w:gridCol w:w="1567"/>
        <w:gridCol w:w="1567"/>
      </w:tblGrid>
      <w:tr w:rsidR="00352CC7" w:rsidRPr="00352CC7" w14:paraId="32E1C1A6" w14:textId="77777777" w:rsidTr="0017407A">
        <w:trPr>
          <w:trHeight w:val="283"/>
          <w:tblHeader/>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006AAE1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themeColor="text1"/>
                <w:sz w:val="16"/>
                <w:szCs w:val="16"/>
              </w:rPr>
              <w:t> </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17A54F6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b/>
                <w:bCs/>
                <w:color w:val="000000" w:themeColor="text1"/>
                <w:sz w:val="16"/>
                <w:szCs w:val="16"/>
              </w:rPr>
              <w:t>1</w:t>
            </w:r>
            <w:r w:rsidRPr="00352CC7">
              <w:rPr>
                <w:rFonts w:ascii="Arial" w:eastAsia="Arial" w:hAnsi="Arial" w:cs="Arial"/>
                <w:b/>
                <w:bCs/>
                <w:color w:val="000000" w:themeColor="text1"/>
                <w:sz w:val="16"/>
                <w:szCs w:val="16"/>
                <w:vertAlign w:val="superscript"/>
              </w:rPr>
              <w:t>st</w:t>
            </w:r>
            <w:r w:rsidRPr="00352CC7">
              <w:rPr>
                <w:rFonts w:ascii="Arial" w:eastAsia="Arial" w:hAnsi="Arial" w:cs="Arial"/>
                <w:b/>
                <w:bCs/>
                <w:color w:val="000000" w:themeColor="text1"/>
                <w:sz w:val="16"/>
                <w:szCs w:val="16"/>
              </w:rPr>
              <w:t xml:space="preserve"> week</w:t>
            </w:r>
            <w:r w:rsidRPr="00352CC7">
              <w:rPr>
                <w:rFonts w:ascii="Arial" w:hAnsi="Arial" w:cs="Arial"/>
              </w:rPr>
              <w:br/>
            </w:r>
            <w:r w:rsidRPr="00352CC7">
              <w:rPr>
                <w:rFonts w:ascii="Arial" w:eastAsia="Arial" w:hAnsi="Arial" w:cs="Arial"/>
                <w:b/>
                <w:bCs/>
                <w:color w:val="000000" w:themeColor="text1"/>
                <w:sz w:val="16"/>
                <w:szCs w:val="16"/>
              </w:rPr>
              <w:t>(N=212)</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3BE3A18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b/>
                <w:bCs/>
                <w:color w:val="000000" w:themeColor="text1"/>
                <w:sz w:val="16"/>
                <w:szCs w:val="16"/>
              </w:rPr>
              <w:t>2</w:t>
            </w:r>
            <w:r w:rsidRPr="00352CC7">
              <w:rPr>
                <w:rFonts w:ascii="Arial" w:eastAsia="Arial" w:hAnsi="Arial" w:cs="Arial"/>
                <w:b/>
                <w:bCs/>
                <w:color w:val="000000" w:themeColor="text1"/>
                <w:sz w:val="16"/>
                <w:szCs w:val="16"/>
                <w:vertAlign w:val="superscript"/>
              </w:rPr>
              <w:t>nd</w:t>
            </w:r>
            <w:r w:rsidRPr="00352CC7">
              <w:rPr>
                <w:rFonts w:ascii="Arial" w:eastAsia="Arial" w:hAnsi="Arial" w:cs="Arial"/>
                <w:b/>
                <w:bCs/>
                <w:color w:val="000000" w:themeColor="text1"/>
                <w:sz w:val="16"/>
                <w:szCs w:val="16"/>
              </w:rPr>
              <w:t xml:space="preserve"> week</w:t>
            </w:r>
            <w:r w:rsidRPr="00352CC7">
              <w:rPr>
                <w:rFonts w:ascii="Arial" w:hAnsi="Arial" w:cs="Arial"/>
              </w:rPr>
              <w:br/>
            </w:r>
            <w:r w:rsidRPr="00352CC7">
              <w:rPr>
                <w:rFonts w:ascii="Arial" w:eastAsia="Arial" w:hAnsi="Arial" w:cs="Arial"/>
                <w:b/>
                <w:bCs/>
                <w:color w:val="000000" w:themeColor="text1"/>
                <w:sz w:val="16"/>
                <w:szCs w:val="16"/>
              </w:rPr>
              <w:t>(N=134)</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26B849C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b/>
                <w:bCs/>
                <w:color w:val="000000" w:themeColor="text1"/>
                <w:sz w:val="16"/>
                <w:szCs w:val="16"/>
              </w:rPr>
              <w:t>3</w:t>
            </w:r>
            <w:r w:rsidRPr="00352CC7">
              <w:rPr>
                <w:rFonts w:ascii="Arial" w:eastAsia="Arial" w:hAnsi="Arial" w:cs="Arial"/>
                <w:b/>
                <w:bCs/>
                <w:color w:val="000000" w:themeColor="text1"/>
                <w:sz w:val="16"/>
                <w:szCs w:val="16"/>
                <w:vertAlign w:val="superscript"/>
              </w:rPr>
              <w:t>rd</w:t>
            </w:r>
            <w:r w:rsidRPr="00352CC7">
              <w:rPr>
                <w:rFonts w:ascii="Arial" w:eastAsia="Arial" w:hAnsi="Arial" w:cs="Arial"/>
                <w:b/>
                <w:bCs/>
                <w:color w:val="000000" w:themeColor="text1"/>
                <w:sz w:val="16"/>
                <w:szCs w:val="16"/>
              </w:rPr>
              <w:t xml:space="preserve"> week</w:t>
            </w:r>
            <w:r w:rsidRPr="00352CC7">
              <w:rPr>
                <w:rFonts w:ascii="Arial" w:hAnsi="Arial" w:cs="Arial"/>
              </w:rPr>
              <w:br/>
            </w:r>
            <w:r w:rsidRPr="00352CC7">
              <w:rPr>
                <w:rFonts w:ascii="Arial" w:eastAsia="Arial" w:hAnsi="Arial" w:cs="Arial"/>
                <w:b/>
                <w:bCs/>
                <w:color w:val="000000" w:themeColor="text1"/>
                <w:sz w:val="16"/>
                <w:szCs w:val="16"/>
              </w:rPr>
              <w:t>(N=69)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06F2A94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b/>
                <w:bCs/>
                <w:color w:val="000000" w:themeColor="text1"/>
                <w:sz w:val="16"/>
                <w:szCs w:val="16"/>
              </w:rPr>
              <w:t>4</w:t>
            </w:r>
            <w:r w:rsidRPr="00352CC7">
              <w:rPr>
                <w:rFonts w:ascii="Arial" w:eastAsia="Arial" w:hAnsi="Arial" w:cs="Arial"/>
                <w:b/>
                <w:bCs/>
                <w:color w:val="000000" w:themeColor="text1"/>
                <w:sz w:val="16"/>
                <w:szCs w:val="16"/>
                <w:vertAlign w:val="superscript"/>
              </w:rPr>
              <w:t>th</w:t>
            </w:r>
            <w:r w:rsidRPr="00352CC7">
              <w:rPr>
                <w:rFonts w:ascii="Arial" w:eastAsia="Arial" w:hAnsi="Arial" w:cs="Arial"/>
                <w:b/>
                <w:bCs/>
                <w:color w:val="000000" w:themeColor="text1"/>
                <w:sz w:val="16"/>
                <w:szCs w:val="16"/>
              </w:rPr>
              <w:t xml:space="preserve"> week</w:t>
            </w:r>
            <w:r w:rsidRPr="00352CC7">
              <w:rPr>
                <w:rFonts w:ascii="Arial" w:hAnsi="Arial" w:cs="Arial"/>
              </w:rPr>
              <w:br/>
            </w:r>
            <w:r w:rsidRPr="00352CC7">
              <w:rPr>
                <w:rFonts w:ascii="Arial" w:eastAsia="Arial" w:hAnsi="Arial" w:cs="Arial"/>
                <w:b/>
                <w:bCs/>
                <w:color w:val="000000" w:themeColor="text1"/>
                <w:sz w:val="16"/>
                <w:szCs w:val="16"/>
              </w:rPr>
              <w:t>(N=33)</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2655417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b/>
                <w:bCs/>
                <w:color w:val="000000" w:themeColor="text1"/>
                <w:sz w:val="16"/>
                <w:szCs w:val="16"/>
              </w:rPr>
              <w:t>&gt;=5</w:t>
            </w:r>
            <w:r w:rsidRPr="00352CC7">
              <w:rPr>
                <w:rFonts w:ascii="Arial" w:eastAsia="Arial" w:hAnsi="Arial" w:cs="Arial"/>
                <w:b/>
                <w:bCs/>
                <w:color w:val="000000" w:themeColor="text1"/>
                <w:sz w:val="16"/>
                <w:szCs w:val="16"/>
                <w:vertAlign w:val="superscript"/>
              </w:rPr>
              <w:t>th</w:t>
            </w:r>
            <w:r w:rsidRPr="00352CC7">
              <w:rPr>
                <w:rFonts w:ascii="Arial" w:eastAsia="Arial" w:hAnsi="Arial" w:cs="Arial"/>
                <w:b/>
                <w:bCs/>
                <w:color w:val="000000" w:themeColor="text1"/>
                <w:sz w:val="16"/>
                <w:szCs w:val="16"/>
              </w:rPr>
              <w:t xml:space="preserve"> week</w:t>
            </w:r>
            <w:r w:rsidRPr="00352CC7">
              <w:rPr>
                <w:rFonts w:ascii="Arial" w:hAnsi="Arial" w:cs="Arial"/>
              </w:rPr>
              <w:br/>
            </w:r>
            <w:r w:rsidRPr="00352CC7">
              <w:rPr>
                <w:rFonts w:ascii="Arial" w:eastAsia="Arial" w:hAnsi="Arial" w:cs="Arial"/>
                <w:b/>
                <w:bCs/>
                <w:color w:val="000000" w:themeColor="text1"/>
                <w:sz w:val="16"/>
                <w:szCs w:val="16"/>
              </w:rPr>
              <w:t>(N=24)</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2FBE4EC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eastAsia="Arial" w:hAnsi="Arial" w:cs="Arial"/>
                <w:b/>
                <w:color w:val="000000" w:themeColor="text1"/>
                <w:sz w:val="16"/>
                <w:szCs w:val="16"/>
              </w:rPr>
            </w:pPr>
            <w:r w:rsidRPr="00352CC7">
              <w:rPr>
                <w:rFonts w:ascii="Arial" w:eastAsia="Arial" w:hAnsi="Arial" w:cs="Arial"/>
                <w:b/>
                <w:color w:val="000000" w:themeColor="text1"/>
                <w:sz w:val="16"/>
                <w:szCs w:val="16"/>
              </w:rPr>
              <w:t>Overall</w:t>
            </w:r>
          </w:p>
        </w:tc>
      </w:tr>
      <w:tr w:rsidR="00352CC7" w:rsidRPr="00352CC7" w14:paraId="62B22F0E"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9CED97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ADR</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F79941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6339C8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5090D9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75BEB5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C60685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9905FA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3C5EAEB4"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8C41E6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6D01C7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190 (89.6%)</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8E16F3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124 (92.5%)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B73F38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67 (97.1%)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A5299D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31 (93.9%)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DE4F3D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36A9EE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436 (92.4%)</w:t>
            </w:r>
          </w:p>
        </w:tc>
      </w:tr>
      <w:tr w:rsidR="00352CC7" w:rsidRPr="00352CC7" w14:paraId="435E3265"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760FE5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F0B20D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22 (10.4%)</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8F8610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10 (7.5%)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BB0145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(2.9%)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D09985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(6.1%)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426EF3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4B3089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36 (7.6%)</w:t>
            </w:r>
          </w:p>
        </w:tc>
      </w:tr>
      <w:tr w:rsidR="00352CC7" w:rsidRPr="00352CC7" w14:paraId="01474A77"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FC031D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Prescription drug with interactions?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B450D8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325AB2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7238AD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993847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B4D0EC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63D1B2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4661CC52"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700598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378310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85 (40.1%)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4FE488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70 (52.2%)</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A3136D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37 (53.6%)</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D10A63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16 (48.5%)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2C6B32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11 (45.8%)</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BD49B9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219 (46.4%)</w:t>
            </w:r>
          </w:p>
        </w:tc>
      </w:tr>
      <w:tr w:rsidR="00352CC7" w:rsidRPr="00352CC7" w14:paraId="391D778F"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0E835D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765461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127 (59.9%)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33F2F9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64 (47.8%)</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A12373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32 (46.4%)</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7DBD2C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17 (51.5%)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732DC5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 (54.2%)</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53ABAD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253 (53.6%)</w:t>
            </w:r>
          </w:p>
        </w:tc>
      </w:tr>
      <w:tr w:rsidR="00352CC7" w:rsidRPr="00352CC7" w14:paraId="5E290F46"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A80730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Dose error?</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CCAAC3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63D827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0C1CF0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6308FF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010E9B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3E25D7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435AEBC3"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83BD73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ABCD45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194 (91.5%)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92BDD2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126 (94.0%)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2CF4A0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66 (95.7%)</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557BED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32 (97.0%)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24219B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23 (95.8%)</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CE0B3B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441 (93.4%)</w:t>
            </w:r>
          </w:p>
        </w:tc>
      </w:tr>
      <w:tr w:rsidR="00352CC7" w:rsidRPr="00352CC7" w14:paraId="3ABFB82B"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2137CD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0A93E9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18 (8.5%)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7D3E63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8 (6.0%)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733123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 (4.3%)</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D4E79B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(3.0%)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6A0EC2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(4.2%)</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690595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31 (6.6%)</w:t>
            </w:r>
          </w:p>
        </w:tc>
      </w:tr>
      <w:tr w:rsidR="00352CC7" w:rsidRPr="00352CC7" w14:paraId="143BFE71"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8091C7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If so, how many dose errors in the period?</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096E39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7A50AB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197FA0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E607EC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6ED02D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D91FA4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0674BFB8"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C9CFDC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Mean (SD)</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DC1AFF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2.11 (1.94)</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A8942D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2.75 (2.05)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ED537D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1.67 (1.15)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4CB62B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2.00 (NA)</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996976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4.00 (NA)</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13B994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2.29 (1.85)</w:t>
            </w:r>
          </w:p>
        </w:tc>
      </w:tr>
      <w:tr w:rsidR="00352CC7" w:rsidRPr="00352CC7" w14:paraId="5B56BD71"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7EBB7C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Median [Min, Max]</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8F6478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1.00 [1.00, 7.00]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B21DD2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2.50 [1.00, 7.00]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D2E115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1.00 [1.00, 3.00]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B5BE6D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2.00 [2.00, 2.00]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FB45ED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4.00 [4.00, 4.00]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5A80F1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1.00 [1.00, 7.00]</w:t>
            </w:r>
          </w:p>
        </w:tc>
      </w:tr>
      <w:tr w:rsidR="00352CC7" w:rsidRPr="00352CC7" w14:paraId="0F9E4A58"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9AE6FB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themeColor="text1"/>
                <w:sz w:val="16"/>
                <w:szCs w:val="16"/>
              </w:rPr>
              <w:t>  Not applicable</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400AD4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194 (91.5%)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9034E0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126 (94.0%)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ED67F2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66 (95.7%)</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5D9A02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32 (97.0%)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8E140C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23 (95.8%)</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47FA30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441 (93.4%)</w:t>
            </w:r>
          </w:p>
        </w:tc>
      </w:tr>
      <w:tr w:rsidR="00352CC7" w:rsidRPr="00352CC7" w14:paraId="581565B3"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696BCA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Dosage error?</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FD1273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5DA582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4757F1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A99F09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EAFE37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CB71E6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77A980C5"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7EB648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C7CB3D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194 (91.5%)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70AF67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131 (97.8%)</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A9D62F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67 (97.1%)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2EB22C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33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1A2263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23 (95.8%)</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4A060A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448 (94.9%)</w:t>
            </w:r>
          </w:p>
        </w:tc>
      </w:tr>
      <w:tr w:rsidR="00352CC7" w:rsidRPr="00352CC7" w14:paraId="6FF2E368"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CBE010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03B106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18 (8.5%)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4F0767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 (2.2%)</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7FC83A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(2.9%)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D54474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53F814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(4.2%)</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04F5EC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24 (5.1%)</w:t>
            </w:r>
          </w:p>
        </w:tc>
      </w:tr>
      <w:tr w:rsidR="00352CC7" w:rsidRPr="00352CC7" w14:paraId="075F93CD"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40B100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Dilution error?</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773CBE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062C04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77634D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CD5CA8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0C8C17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0B2D34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1F367EAE"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8B5C68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08D5B6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207 (97.6%)</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9F8EAD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D5530C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69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83C84C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33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4BE9B4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F57326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467 (98.9%)</w:t>
            </w:r>
          </w:p>
        </w:tc>
      </w:tr>
      <w:tr w:rsidR="00352CC7" w:rsidRPr="00352CC7" w14:paraId="659D5CB2"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8A68F1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8CC097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5 (2.4%)</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6942F9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DF1819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505C61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98C3AD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3BA1AA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5 (1.1%)</w:t>
            </w:r>
          </w:p>
        </w:tc>
      </w:tr>
      <w:tr w:rsidR="00352CC7" w:rsidRPr="00352CC7" w14:paraId="72256CAF"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0FA054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Error in administration route?</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2AA901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46603B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8A9630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5485AA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3C9CBF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FA1ED9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0B9CEE32"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0C76EC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DF2D12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205 (96.7%)</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74E390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133 (99.3%)</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EEEB16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68 (98.6%)</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618EA4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33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4DF82A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DA4F02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463 (98.1%)</w:t>
            </w:r>
          </w:p>
        </w:tc>
      </w:tr>
      <w:tr w:rsidR="00352CC7" w:rsidRPr="00352CC7" w14:paraId="242D343C"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E6A9D3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B1E823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7 (3.3%)</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C76C1D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(0.7%)</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2F715C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(1.4%)</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C0AF70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BB4179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6FAF24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9 (1.9%)</w:t>
            </w:r>
          </w:p>
        </w:tc>
      </w:tr>
      <w:tr w:rsidR="00352CC7" w:rsidRPr="00352CC7" w14:paraId="22D21AE8"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5399C3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Concentration error?</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E2BC41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00DE6B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059D8B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1DAFE0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9512D5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A4421D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2122429F"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15EF0F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24E7CB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209 (98.6%)</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81405D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133 (99.3%)</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3312F9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69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0FBCB7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33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6B84CC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7660D8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468 (99.2%)</w:t>
            </w:r>
          </w:p>
        </w:tc>
      </w:tr>
      <w:tr w:rsidR="00352CC7" w:rsidRPr="00352CC7" w14:paraId="2F31D0A6"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A629F5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4885ED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(0.9%)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EAB56D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(0.7%)</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E2E5B6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3746EB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4C7E0E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30C053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 (0.6%)</w:t>
            </w:r>
          </w:p>
        </w:tc>
      </w:tr>
      <w:tr w:rsidR="00352CC7" w:rsidRPr="00352CC7" w14:paraId="03AA004F"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51E41E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Missing</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4D30D5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(0.5%)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FB394F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766200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3E72F7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714C54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2E198A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(0.2%)</w:t>
            </w:r>
          </w:p>
        </w:tc>
      </w:tr>
      <w:tr w:rsidR="00352CC7" w:rsidRPr="00352CC7" w14:paraId="509B150E"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BDA8EA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Infusion error?</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AA02A4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D8214A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25EE2B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D2C928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1FDE4D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43FDA0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630B619E"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883990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B9233F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211 (99.5%)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2E0CB8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4EC950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69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31DA34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33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30DB90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08114E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471 (99.8%)</w:t>
            </w:r>
          </w:p>
        </w:tc>
      </w:tr>
      <w:tr w:rsidR="00352CC7" w:rsidRPr="00352CC7" w14:paraId="6D5E8203"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6ACCEB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E8397B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(0.5%)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960927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8DF954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46DB70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0136E4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47A280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(0.2%)</w:t>
            </w:r>
          </w:p>
        </w:tc>
      </w:tr>
      <w:tr w:rsidR="00352CC7" w:rsidRPr="00352CC7" w14:paraId="10B8EF09"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DAE956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Treatment time error?</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DA5F12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22208A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EB2456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81C973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BE2184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BCA736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3CFFC250"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1B6F8D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lastRenderedPageBreak/>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37568B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212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A3FCE3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CD6C64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69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680A73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33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09CEA7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EDC85A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472 (100%)</w:t>
            </w:r>
          </w:p>
        </w:tc>
      </w:tr>
      <w:tr w:rsidR="00352CC7" w:rsidRPr="00352CC7" w14:paraId="31EF8B26"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ACE59D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Scheduling error?</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958903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5A0D63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647903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275694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D54789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CA35B3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7FBC2927"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DBA0AC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53CED5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180 (84.9%)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D6A8D3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125 (93.3%)</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BB7F94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63 (91.3%)</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BE3F10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32 (97.0%)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2A1EB7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21 (87.5%)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8D2F2D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421 (89.2%)</w:t>
            </w:r>
          </w:p>
        </w:tc>
      </w:tr>
      <w:tr w:rsidR="00352CC7" w:rsidRPr="00352CC7" w14:paraId="3DB1B61B"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083BCB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8EAD88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32 (15.1%)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480664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9 (6.7%)</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CE0084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 (8.7%)</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9AA9A3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(3.0%)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0EBAEB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 (12.5%)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C9B525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51 (10.8%)</w:t>
            </w:r>
          </w:p>
        </w:tc>
      </w:tr>
      <w:tr w:rsidR="00352CC7" w:rsidRPr="00352CC7" w14:paraId="75FA3EA7"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5A40AF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Referral Error?</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1467C4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81B817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243B1B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A05856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0DADA8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6FDE9A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749241C5"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C427E5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DF571D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211 (99.5%)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C1D6C0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FC6D68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68 (98.6%)</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A20245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33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E2046F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74F9EF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470 (99.6%)</w:t>
            </w:r>
          </w:p>
        </w:tc>
      </w:tr>
      <w:tr w:rsidR="00352CC7" w:rsidRPr="00352CC7" w14:paraId="00434848"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9F20CD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5E2774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(0.5%)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C06D85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DA5D9D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(1.4%)</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EA215D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B2BEC8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F1E161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(0.4%)</w:t>
            </w:r>
          </w:p>
        </w:tc>
      </w:tr>
      <w:tr w:rsidR="00352CC7" w:rsidRPr="00352CC7" w14:paraId="62F1B857"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0389B4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No prescription for any medication?</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6AA5B6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0802C8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039B2F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093080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3A859D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C8AC69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75D3FF75"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E39DCD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CDADC6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210 (99.1%)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3465E9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DA8AF4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69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B586B5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32 (97.0%)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A1AC5D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023BB4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469 (99.4%)</w:t>
            </w:r>
          </w:p>
        </w:tc>
      </w:tr>
      <w:tr w:rsidR="00352CC7" w:rsidRPr="00352CC7" w14:paraId="4BD714E2"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0FC30F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5EED5D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(0.9%)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68E3A5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962413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96D2B8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C2AE11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40AC29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(0.4%)</w:t>
            </w:r>
          </w:p>
        </w:tc>
      </w:tr>
      <w:tr w:rsidR="00352CC7" w:rsidRPr="00352CC7" w14:paraId="334C51FF"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54904A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Missing</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D438F3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3DA456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7A5C6D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DC98C4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(3.0%)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816804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24384D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(0.2%)</w:t>
            </w:r>
          </w:p>
        </w:tc>
      </w:tr>
      <w:tr w:rsidR="00352CC7" w:rsidRPr="00352CC7" w14:paraId="4D53CE6A"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1F2835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Unnecessary medication prescribed?</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FA4B8E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D56672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6BF6EC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90A741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11419A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B28F53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080E6181"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322A26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2BC565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208 (98.1%)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E48AE5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133 (99.3%)</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555AAB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68 (98.6%)</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283B85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33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24333A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722406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466 (98.7%)</w:t>
            </w:r>
          </w:p>
        </w:tc>
      </w:tr>
      <w:tr w:rsidR="00352CC7" w:rsidRPr="00352CC7" w14:paraId="4AE2C20E"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ABF456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6D6CC2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 (1.9%)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962A31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(0.7%)</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816DE8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(1.4%)</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062C32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7E62D5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465A7C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 (1.3%)</w:t>
            </w:r>
          </w:p>
        </w:tc>
      </w:tr>
      <w:tr w:rsidR="00352CC7" w:rsidRPr="00352CC7" w14:paraId="2B6E3C9B"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83B6C7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Infusion time error?</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ABD528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C14909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BFCA30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6068B1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41406C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F556E1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2AF6046E"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F17D9A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104CEB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212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07B9C3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1250AB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69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518669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33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425AED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4B0BAA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472 (100%)</w:t>
            </w:r>
          </w:p>
        </w:tc>
      </w:tr>
      <w:tr w:rsidR="00352CC7" w:rsidRPr="00352CC7" w14:paraId="1320C50F"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B14CB0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Vehicle error?</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7BDFD0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EA02B1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1A0EFE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61FA09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660CBD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A791B7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34F3C648"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B3495E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B67CDB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212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84C60D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52CE7A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69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6BF1A8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33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C697D5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5FB4E3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472 (100%)</w:t>
            </w:r>
          </w:p>
        </w:tc>
      </w:tr>
      <w:tr w:rsidR="00352CC7" w:rsidRPr="00352CC7" w14:paraId="490AC16C"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70A842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b/>
                <w:color w:val="000000" w:themeColor="text1"/>
                <w:sz w:val="16"/>
                <w:szCs w:val="16"/>
              </w:rPr>
            </w:pPr>
            <w:r w:rsidRPr="00352CC7">
              <w:rPr>
                <w:rFonts w:ascii="Arial" w:eastAsia="Arial" w:hAnsi="Arial" w:cs="Arial"/>
                <w:b/>
                <w:color w:val="000000" w:themeColor="text1"/>
                <w:sz w:val="16"/>
                <w:szCs w:val="16"/>
              </w:rPr>
              <w:t>Drug prescribed in duplicate?</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97BED3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248EB5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278581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DD7759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DC8086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DF69DA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03417B3D"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CAB171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AA1927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202 (95.3%)</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37BBEA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130 (97.0%)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D4E296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64 (92.8%)</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A97C76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31 (93.9%)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BC9E36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23 (95.8%)</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B24F11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450 (95.3%)</w:t>
            </w:r>
          </w:p>
        </w:tc>
      </w:tr>
      <w:tr w:rsidR="00352CC7" w:rsidRPr="00352CC7" w14:paraId="7E44933B"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221871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B482C1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10 (4.7%)</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AD12C3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 (3.0%)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599604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5 (7.2%)</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80FE6E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(6.1%)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519F49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(4.2%)</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FC972C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22 (4.7%)</w:t>
            </w:r>
          </w:p>
        </w:tc>
      </w:tr>
      <w:tr w:rsidR="00352CC7" w:rsidRPr="00243B85" w14:paraId="1E4368A8" w14:textId="77777777" w:rsidTr="0017407A">
        <w:trPr>
          <w:trHeight w:val="283"/>
          <w:jc w:val="center"/>
        </w:trPr>
        <w:tc>
          <w:tcPr>
            <w:tcW w:w="13040" w:type="dxa"/>
            <w:gridSpan w:val="7"/>
            <w:tcBorders>
              <w:top w:val="none" w:sz="0" w:space="0" w:color="000000" w:themeColor="text1"/>
              <w:left w:val="none" w:sz="0" w:space="0" w:color="FFFFFF" w:themeColor="background1"/>
              <w:bottom w:val="none" w:sz="0" w:space="0" w:color="FFFFFF" w:themeColor="background1"/>
              <w:right w:val="none" w:sz="0" w:space="0" w:color="FFFFFF" w:themeColor="background1"/>
            </w:tcBorders>
            <w:shd w:val="clear" w:color="auto" w:fill="FFFFFF" w:themeFill="background1"/>
            <w:tcMar>
              <w:top w:w="0" w:type="dxa"/>
              <w:left w:w="0" w:type="dxa"/>
              <w:bottom w:w="0" w:type="dxa"/>
              <w:right w:w="0" w:type="dxa"/>
            </w:tcMar>
            <w:vAlign w:val="center"/>
          </w:tcPr>
          <w:p w14:paraId="27D129F5" w14:textId="77777777" w:rsidR="00352CC7" w:rsidRPr="00243B85"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eastAsia="Arial" w:hAnsi="Arial" w:cs="Arial"/>
                <w:color w:val="000000" w:themeColor="text1"/>
                <w:sz w:val="18"/>
                <w:szCs w:val="18"/>
              </w:rPr>
            </w:pPr>
            <w:r w:rsidRPr="00243B85">
              <w:rPr>
                <w:rFonts w:ascii="Arial" w:eastAsia="Arial" w:hAnsi="Arial" w:cs="Arial"/>
                <w:color w:val="000000" w:themeColor="text1"/>
                <w:sz w:val="18"/>
                <w:szCs w:val="18"/>
              </w:rPr>
              <w:t xml:space="preserve">Max = Maximum; Min = Minimum; SD=Standard Deviation; </w:t>
            </w:r>
            <w:proofErr w:type="spellStart"/>
            <w:r w:rsidRPr="00243B85">
              <w:rPr>
                <w:rFonts w:ascii="Arial" w:eastAsia="Arial" w:hAnsi="Arial" w:cs="Arial"/>
                <w:color w:val="000000" w:themeColor="text1"/>
                <w:sz w:val="18"/>
                <w:szCs w:val="18"/>
              </w:rPr>
              <w:t>ToP</w:t>
            </w:r>
            <w:proofErr w:type="spellEnd"/>
            <w:r w:rsidRPr="00243B85">
              <w:rPr>
                <w:rFonts w:ascii="Arial" w:eastAsia="Arial" w:hAnsi="Arial" w:cs="Arial"/>
                <w:color w:val="000000" w:themeColor="text1"/>
                <w:sz w:val="18"/>
                <w:szCs w:val="18"/>
              </w:rPr>
              <w:t xml:space="preserve"> = time of prescription; ADR = Adverse Drug Reaction</w:t>
            </w:r>
          </w:p>
        </w:tc>
      </w:tr>
    </w:tbl>
    <w:p w14:paraId="1B12C7E8" w14:textId="77777777" w:rsidR="00352CC7" w:rsidRPr="00352CC7" w:rsidRDefault="00352CC7" w:rsidP="00352CC7">
      <w:pPr>
        <w:rPr>
          <w:rFonts w:ascii="Arial" w:hAnsi="Arial" w:cs="Arial"/>
        </w:rPr>
      </w:pPr>
    </w:p>
    <w:p w14:paraId="3A8BBEB6" w14:textId="77777777" w:rsidR="00352CC7" w:rsidRPr="00352CC7" w:rsidRDefault="00352CC7" w:rsidP="00352CC7">
      <w:pPr>
        <w:rPr>
          <w:rFonts w:ascii="Arial" w:hAnsi="Arial" w:cs="Arial"/>
        </w:rPr>
      </w:pPr>
    </w:p>
    <w:p w14:paraId="1E202522" w14:textId="77777777" w:rsidR="00352CC7" w:rsidRPr="00352CC7" w:rsidRDefault="00352CC7" w:rsidP="00352CC7">
      <w:pPr>
        <w:rPr>
          <w:rFonts w:ascii="Arial" w:hAnsi="Arial" w:cs="Arial"/>
        </w:rPr>
        <w:sectPr w:rsidR="00352CC7" w:rsidRPr="00352CC7" w:rsidSect="00D0609F">
          <w:type w:val="nextColumn"/>
          <w:pgSz w:w="16838" w:h="11906" w:orient="landscape"/>
          <w:pgMar w:top="1134" w:right="1134" w:bottom="1134" w:left="1134" w:header="709" w:footer="709" w:gutter="0"/>
          <w:cols w:space="708"/>
          <w:docGrid w:linePitch="360"/>
        </w:sectPr>
      </w:pPr>
      <w:r w:rsidRPr="00352CC7">
        <w:rPr>
          <w:rFonts w:ascii="Arial" w:hAnsi="Arial" w:cs="Arial"/>
        </w:rPr>
        <w:br w:type="page"/>
      </w:r>
    </w:p>
    <w:p w14:paraId="523D5B19" w14:textId="77777777" w:rsidR="00352CC7" w:rsidRPr="00352CC7" w:rsidRDefault="00352CC7" w:rsidP="00352CC7">
      <w:pPr>
        <w:pStyle w:val="ImageCaption"/>
        <w:keepNext/>
        <w:pBdr>
          <w:top w:val="none" w:sz="0" w:space="0" w:color="000000"/>
          <w:left w:val="none" w:sz="0" w:space="0" w:color="000000"/>
          <w:bottom w:val="none" w:sz="0" w:space="0" w:color="000000"/>
          <w:right w:val="none" w:sz="0" w:space="0" w:color="000000"/>
        </w:pBdr>
        <w:spacing w:before="60" w:after="60"/>
        <w:ind w:left="60" w:right="60"/>
        <w:rPr>
          <w:rFonts w:ascii="Arial" w:hAnsi="Arial" w:cs="Arial"/>
          <w:sz w:val="20"/>
          <w:szCs w:val="20"/>
        </w:rPr>
      </w:pPr>
      <w:r w:rsidRPr="00352CC7">
        <w:rPr>
          <w:rFonts w:ascii="Arial" w:hAnsi="Arial" w:cs="Arial"/>
          <w:b/>
          <w:sz w:val="20"/>
          <w:szCs w:val="20"/>
        </w:rPr>
        <w:lastRenderedPageBreak/>
        <w:t xml:space="preserve">Table </w:t>
      </w:r>
      <w:bookmarkStart w:id="2" w:name="tab3"/>
      <w:r w:rsidRPr="00352CC7">
        <w:rPr>
          <w:rFonts w:ascii="Arial" w:hAnsi="Arial" w:cs="Arial"/>
          <w:b/>
          <w:sz w:val="20"/>
          <w:szCs w:val="20"/>
        </w:rPr>
        <w:fldChar w:fldCharType="begin"/>
      </w:r>
      <w:r w:rsidRPr="00352CC7">
        <w:rPr>
          <w:rFonts w:ascii="Arial" w:hAnsi="Arial" w:cs="Arial"/>
          <w:b/>
          <w:sz w:val="20"/>
          <w:szCs w:val="20"/>
        </w:rPr>
        <w:instrText>SEQ tab \* Arabic</w:instrText>
      </w:r>
      <w:r w:rsidRPr="00352CC7">
        <w:rPr>
          <w:rFonts w:ascii="Arial" w:hAnsi="Arial" w:cs="Arial"/>
          <w:b/>
          <w:sz w:val="20"/>
          <w:szCs w:val="20"/>
        </w:rPr>
        <w:fldChar w:fldCharType="separate"/>
      </w:r>
      <w:r w:rsidRPr="00352CC7">
        <w:rPr>
          <w:rFonts w:ascii="Arial" w:hAnsi="Arial" w:cs="Arial"/>
          <w:b/>
          <w:sz w:val="20"/>
          <w:szCs w:val="20"/>
        </w:rPr>
        <w:t>3</w:t>
      </w:r>
      <w:r w:rsidRPr="00352CC7">
        <w:rPr>
          <w:rFonts w:ascii="Arial" w:hAnsi="Arial" w:cs="Arial"/>
          <w:b/>
          <w:sz w:val="20"/>
          <w:szCs w:val="20"/>
        </w:rPr>
        <w:fldChar w:fldCharType="end"/>
      </w:r>
      <w:bookmarkEnd w:id="2"/>
      <w:r w:rsidRPr="00352CC7">
        <w:rPr>
          <w:rFonts w:ascii="Arial" w:hAnsi="Arial" w:cs="Arial"/>
          <w:b/>
          <w:sz w:val="20"/>
          <w:szCs w:val="20"/>
        </w:rPr>
        <w:t xml:space="preserve">: </w:t>
      </w:r>
      <w:r w:rsidRPr="00352CC7">
        <w:rPr>
          <w:rFonts w:ascii="Arial" w:hAnsi="Arial" w:cs="Arial"/>
          <w:sz w:val="20"/>
          <w:szCs w:val="20"/>
        </w:rPr>
        <w:t>Potential predictors of preventable drug related incidents (PDRI) that changed over time by week of hospital admission.</w:t>
      </w:r>
    </w:p>
    <w:tbl>
      <w:tblPr>
        <w:tblW w:w="0" w:type="auto"/>
        <w:jc w:val="center"/>
        <w:tblLayout w:type="fixed"/>
        <w:tblLook w:val="0600" w:firstRow="0" w:lastRow="0" w:firstColumn="0" w:lastColumn="0" w:noHBand="1" w:noVBand="1"/>
      </w:tblPr>
      <w:tblGrid>
        <w:gridCol w:w="1567"/>
        <w:gridCol w:w="2311"/>
        <w:gridCol w:w="1567"/>
        <w:gridCol w:w="1362"/>
        <w:gridCol w:w="1567"/>
        <w:gridCol w:w="1567"/>
        <w:gridCol w:w="1567"/>
        <w:gridCol w:w="1362"/>
        <w:gridCol w:w="1567"/>
      </w:tblGrid>
      <w:tr w:rsidR="00352CC7" w:rsidRPr="00352CC7" w14:paraId="162F8C14" w14:textId="77777777" w:rsidTr="0017407A">
        <w:trPr>
          <w:gridAfter w:val="1"/>
          <w:wAfter w:w="1567" w:type="dxa"/>
          <w:trHeight w:val="283"/>
          <w:tblHeader/>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16DCAE71"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b/>
                <w:color w:val="000000"/>
                <w:sz w:val="16"/>
                <w:szCs w:val="16"/>
              </w:rPr>
              <w:softHyphen/>
            </w:r>
            <w:r w:rsidRPr="00352CC7">
              <w:rPr>
                <w:rFonts w:ascii="Arial" w:eastAsia="Arial" w:hAnsi="Arial" w:cs="Arial"/>
                <w:b/>
                <w:color w:val="000000"/>
                <w:sz w:val="16"/>
                <w:szCs w:val="16"/>
              </w:rPr>
              <w:softHyphen/>
            </w:r>
            <w:r w:rsidRPr="00352CC7">
              <w:rPr>
                <w:rFonts w:ascii="Arial" w:eastAsia="Arial" w:hAnsi="Arial" w:cs="Arial"/>
                <w:b/>
                <w:color w:val="000000"/>
                <w:sz w:val="16"/>
                <w:szCs w:val="16"/>
              </w:rPr>
              <w:softHyphen/>
            </w:r>
            <w:r w:rsidRPr="00352CC7">
              <w:rPr>
                <w:rFonts w:ascii="Arial" w:eastAsia="Arial" w:hAnsi="Arial" w:cs="Arial"/>
                <w:b/>
                <w:color w:val="000000"/>
                <w:sz w:val="16"/>
                <w:szCs w:val="16"/>
              </w:rPr>
              <w:softHyphen/>
            </w:r>
            <w:r w:rsidRPr="00352CC7">
              <w:rPr>
                <w:rFonts w:ascii="Arial" w:eastAsia="Arial" w:hAnsi="Arial" w:cs="Arial"/>
                <w:b/>
                <w:color w:val="000000"/>
                <w:sz w:val="16"/>
                <w:szCs w:val="16"/>
              </w:rPr>
              <w:softHyphen/>
            </w:r>
            <w:r w:rsidRPr="00352CC7">
              <w:rPr>
                <w:rFonts w:ascii="Arial" w:eastAsia="Arial" w:hAnsi="Arial" w:cs="Arial"/>
                <w:b/>
                <w:color w:val="000000"/>
                <w:sz w:val="16"/>
                <w:szCs w:val="16"/>
              </w:rPr>
              <w:softHyphen/>
            </w:r>
            <w:r w:rsidRPr="00352CC7">
              <w:rPr>
                <w:rFonts w:ascii="Arial" w:eastAsia="Arial" w:hAnsi="Arial" w:cs="Arial"/>
                <w:b/>
                <w:color w:val="000000"/>
                <w:sz w:val="16"/>
                <w:szCs w:val="16"/>
              </w:rPr>
              <w:softHyphen/>
            </w:r>
            <w:r w:rsidRPr="00352CC7">
              <w:rPr>
                <w:rFonts w:ascii="Arial" w:eastAsia="Arial" w:hAnsi="Arial" w:cs="Arial"/>
                <w:b/>
                <w:color w:val="000000"/>
                <w:sz w:val="16"/>
                <w:szCs w:val="16"/>
              </w:rPr>
              <w:softHyphen/>
            </w:r>
            <w:r w:rsidRPr="00352CC7">
              <w:rPr>
                <w:rFonts w:ascii="Arial" w:eastAsia="Arial" w:hAnsi="Arial" w:cs="Arial"/>
                <w:b/>
                <w:color w:val="000000"/>
                <w:sz w:val="16"/>
                <w:szCs w:val="16"/>
              </w:rPr>
              <w:softHyphen/>
            </w:r>
            <w:r w:rsidRPr="00352CC7">
              <w:rPr>
                <w:rFonts w:ascii="Arial" w:eastAsia="Arial" w:hAnsi="Arial" w:cs="Arial"/>
                <w:b/>
                <w:color w:val="000000"/>
                <w:sz w:val="16"/>
                <w:szCs w:val="16"/>
              </w:rPr>
              <w:softHyphen/>
            </w:r>
            <w:r w:rsidRPr="00352CC7">
              <w:rPr>
                <w:rFonts w:ascii="Arial" w:eastAsia="Arial" w:hAnsi="Arial" w:cs="Arial"/>
                <w:b/>
                <w:color w:val="000000"/>
                <w:sz w:val="16"/>
                <w:szCs w:val="16"/>
              </w:rPr>
              <w:softHyphen/>
            </w:r>
            <w:r w:rsidRPr="00352CC7">
              <w:rPr>
                <w:rFonts w:ascii="Arial" w:eastAsia="Arial" w:hAnsi="Arial" w:cs="Arial"/>
                <w:b/>
                <w:color w:val="000000"/>
                <w:sz w:val="16"/>
                <w:szCs w:val="16"/>
              </w:rPr>
              <w:softHyphen/>
            </w:r>
            <w:r w:rsidRPr="00352CC7">
              <w:rPr>
                <w:rFonts w:ascii="Arial" w:eastAsia="Arial" w:hAnsi="Arial" w:cs="Arial"/>
                <w:b/>
                <w:color w:val="000000"/>
                <w:sz w:val="16"/>
                <w:szCs w:val="16"/>
              </w:rPr>
              <w:softHyphen/>
            </w:r>
            <w:r w:rsidRPr="00352CC7">
              <w:rPr>
                <w:rFonts w:ascii="Arial" w:eastAsia="Arial" w:hAnsi="Arial" w:cs="Arial"/>
                <w:b/>
                <w:color w:val="000000"/>
                <w:sz w:val="16"/>
                <w:szCs w:val="16"/>
              </w:rPr>
              <w:softHyphen/>
            </w:r>
            <w:r w:rsidRPr="00352CC7">
              <w:rPr>
                <w:rFonts w:ascii="Arial" w:eastAsia="Arial" w:hAnsi="Arial" w:cs="Arial"/>
                <w:b/>
                <w:color w:val="000000"/>
                <w:sz w:val="16"/>
                <w:szCs w:val="16"/>
              </w:rPr>
              <w:softHyphen/>
            </w:r>
            <w:r w:rsidRPr="00352CC7">
              <w:rPr>
                <w:rFonts w:ascii="Arial" w:eastAsia="Arial" w:hAnsi="Arial" w:cs="Arial"/>
                <w:b/>
                <w:color w:val="000000"/>
                <w:sz w:val="16"/>
                <w:szCs w:val="16"/>
              </w:rPr>
              <w:softHyphen/>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2B1CEF2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b/>
                <w:color w:val="000000" w:themeColor="text1"/>
                <w:sz w:val="16"/>
                <w:szCs w:val="16"/>
              </w:rPr>
              <w:t>1</w:t>
            </w:r>
            <w:r w:rsidRPr="00352CC7">
              <w:rPr>
                <w:rFonts w:ascii="Arial" w:hAnsi="Arial" w:cs="Arial"/>
              </w:rPr>
              <w:br/>
            </w:r>
            <w:r w:rsidRPr="00352CC7">
              <w:rPr>
                <w:rFonts w:ascii="Arial" w:eastAsia="Arial" w:hAnsi="Arial" w:cs="Arial"/>
                <w:b/>
                <w:color w:val="000000" w:themeColor="text1"/>
                <w:sz w:val="16"/>
                <w:szCs w:val="16"/>
              </w:rPr>
              <w:t>(N=212)</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100F9DA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b/>
                <w:color w:val="000000" w:themeColor="text1"/>
                <w:sz w:val="16"/>
                <w:szCs w:val="16"/>
              </w:rPr>
              <w:t>2</w:t>
            </w:r>
            <w:r w:rsidRPr="00352CC7">
              <w:rPr>
                <w:rFonts w:ascii="Arial" w:hAnsi="Arial" w:cs="Arial"/>
              </w:rPr>
              <w:br/>
            </w:r>
            <w:r w:rsidRPr="00352CC7">
              <w:rPr>
                <w:rFonts w:ascii="Arial" w:eastAsia="Arial" w:hAnsi="Arial" w:cs="Arial"/>
                <w:b/>
                <w:color w:val="000000" w:themeColor="text1"/>
                <w:sz w:val="16"/>
                <w:szCs w:val="16"/>
              </w:rPr>
              <w:t>(N=135)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422024D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b/>
                <w:color w:val="000000" w:themeColor="text1"/>
                <w:sz w:val="16"/>
                <w:szCs w:val="16"/>
              </w:rPr>
              <w:t>3</w:t>
            </w:r>
            <w:r w:rsidRPr="00352CC7">
              <w:rPr>
                <w:rFonts w:ascii="Arial" w:hAnsi="Arial" w:cs="Arial"/>
              </w:rPr>
              <w:br/>
            </w:r>
            <w:r w:rsidRPr="00352CC7">
              <w:rPr>
                <w:rFonts w:ascii="Arial" w:eastAsia="Arial" w:hAnsi="Arial" w:cs="Arial"/>
                <w:b/>
                <w:color w:val="000000" w:themeColor="text1"/>
                <w:sz w:val="16"/>
                <w:szCs w:val="16"/>
              </w:rPr>
              <w:t>(N=69)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66328B7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b/>
                <w:color w:val="000000" w:themeColor="text1"/>
                <w:sz w:val="16"/>
                <w:szCs w:val="16"/>
              </w:rPr>
              <w:t>4</w:t>
            </w:r>
            <w:r w:rsidRPr="00352CC7">
              <w:rPr>
                <w:rFonts w:ascii="Arial" w:hAnsi="Arial" w:cs="Arial"/>
              </w:rPr>
              <w:br/>
            </w:r>
            <w:r w:rsidRPr="00352CC7">
              <w:rPr>
                <w:rFonts w:ascii="Arial" w:eastAsia="Arial" w:hAnsi="Arial" w:cs="Arial"/>
                <w:b/>
                <w:color w:val="000000" w:themeColor="text1"/>
                <w:sz w:val="16"/>
                <w:szCs w:val="16"/>
              </w:rPr>
              <w:t>(N=33)</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3C1D775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b/>
                <w:color w:val="000000" w:themeColor="text1"/>
                <w:sz w:val="16"/>
                <w:szCs w:val="16"/>
              </w:rPr>
              <w:t>&gt;=5</w:t>
            </w:r>
            <w:r w:rsidRPr="00352CC7">
              <w:rPr>
                <w:rFonts w:ascii="Arial" w:hAnsi="Arial" w:cs="Arial"/>
              </w:rPr>
              <w:br/>
            </w:r>
            <w:r w:rsidRPr="00352CC7">
              <w:rPr>
                <w:rFonts w:ascii="Arial" w:eastAsia="Arial" w:hAnsi="Arial" w:cs="Arial"/>
                <w:b/>
                <w:color w:val="000000" w:themeColor="text1"/>
                <w:sz w:val="16"/>
                <w:szCs w:val="16"/>
              </w:rPr>
              <w:t>(N=24)</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51787BBB"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b/>
                <w:color w:val="000000" w:themeColor="text1"/>
                <w:sz w:val="16"/>
                <w:szCs w:val="16"/>
              </w:rPr>
              <w:t>Overall</w:t>
            </w:r>
          </w:p>
        </w:tc>
      </w:tr>
      <w:tr w:rsidR="00352CC7" w:rsidRPr="00352CC7" w14:paraId="35825E2C"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91D9842"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b/>
                <w:color w:val="000000" w:themeColor="text1"/>
                <w:sz w:val="16"/>
                <w:szCs w:val="16"/>
              </w:rPr>
              <w:t>Number of prescribed medicines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F66F045"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B1C6E2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CBB3F1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66F21C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06EB3E5"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1F81675"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r>
      <w:tr w:rsidR="00352CC7" w:rsidRPr="00352CC7" w14:paraId="68ABFD85"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563856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Mean (SD)</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6012B2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7.95 (3.43)</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5E0C77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8.99 (3.91)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B4FF8D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9.58 (4.10)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60A323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11.1 (4.37)</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0342C7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13.0 (3.72)</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C9985B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8.96 (3.96)</w:t>
            </w:r>
          </w:p>
        </w:tc>
      </w:tr>
      <w:tr w:rsidR="00352CC7" w:rsidRPr="00352CC7" w14:paraId="621C833B"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929C61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Median [Min, Max]</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2A0191F"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8.00 [1.00, 19.0]</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2F094C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9.00 [0, 19.0]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28859F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9.00 [1.00, 20.0]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3EFC04E"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11.0 [2.00, 18.0]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FB141F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13.0 [6.00, 19.0]</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E3B403F"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9.00 [0, 20.0]</w:t>
            </w:r>
          </w:p>
        </w:tc>
      </w:tr>
      <w:tr w:rsidR="00352CC7" w:rsidRPr="00352CC7" w14:paraId="427249E5"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AE3602C"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b/>
                <w:color w:val="000000" w:themeColor="text1"/>
                <w:sz w:val="16"/>
                <w:szCs w:val="16"/>
              </w:rPr>
              <w:t>IV medication</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FED6DD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29BED0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2E1259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26C2251"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96D5F0F"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3E48FEE"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r>
      <w:tr w:rsidR="00352CC7" w:rsidRPr="00352CC7" w14:paraId="7ACF791A"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589A50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C8C679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31 (14.6%)</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16EDD3B"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43 (31.9%)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529DE1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27 (39.1%)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23A51BB"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16 (48.5%)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25E34F3"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10 (41.7%)</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32202B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127 (26.8%)</w:t>
            </w:r>
          </w:p>
        </w:tc>
      </w:tr>
      <w:tr w:rsidR="00352CC7" w:rsidRPr="00352CC7" w14:paraId="44DC2983"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465E1FF"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39B976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181 (85.4%)</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30B305E"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92 (68.1%)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F4B4E9B"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42 (60.9%)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7135C95"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17 (51.5%)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CD3BCE3"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14 (58.3%)</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202149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346 (73.2%)</w:t>
            </w:r>
          </w:p>
        </w:tc>
      </w:tr>
      <w:tr w:rsidR="00352CC7" w:rsidRPr="00352CC7" w14:paraId="3A27154C"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D3165D3"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b/>
                <w:color w:val="000000" w:themeColor="text1"/>
                <w:sz w:val="16"/>
                <w:szCs w:val="16"/>
              </w:rPr>
              <w:t>Medication through tubes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B1C2451"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1AA415F"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B9A9C6B"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56FBCF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AB0498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801DA7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r>
      <w:tr w:rsidR="00352CC7" w:rsidRPr="00352CC7" w14:paraId="109AE993"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868C713"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6A9DBCD"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207 (97.6%)</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D620E4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129 (95.6%)</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5CAAC9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67 (97.1%)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B4BB475"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29 (87.9%)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256CEA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22 (91.7%)</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743016F"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454 (96.0%)</w:t>
            </w:r>
          </w:p>
        </w:tc>
      </w:tr>
      <w:tr w:rsidR="00352CC7" w:rsidRPr="00352CC7" w14:paraId="73BB5D8F"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1FF759C"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04FA6E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5 (2.4%)</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AC2E5D3"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6 (4.4%)</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1F7BDCC"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 (2.9%)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839156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4 (12.1%)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0F6BF2D"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 (8.3%)</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510E20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19 (4.0%)</w:t>
            </w:r>
          </w:p>
        </w:tc>
      </w:tr>
      <w:tr w:rsidR="00352CC7" w:rsidRPr="00352CC7" w14:paraId="4E9C1E70"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6013A4C"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b/>
                <w:color w:val="000000" w:themeColor="text1"/>
                <w:sz w:val="16"/>
                <w:szCs w:val="16"/>
              </w:rPr>
              <w:t>Potentially dangerous medication</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8265F7C"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329E4D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93D39A3"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CD91622"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F32C9C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A72BBD1"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r>
      <w:tr w:rsidR="00352CC7" w:rsidRPr="00352CC7" w14:paraId="36FF5FAD"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6487C8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5DE896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81 (38.2%)</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54A3B5D"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31 (23.0%)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BD43DC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13 (18.8%)</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8537AE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7 (21.2%)</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59DAD0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3 (12.5%)</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D03D49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135 (28.5%)</w:t>
            </w:r>
          </w:p>
        </w:tc>
      </w:tr>
      <w:tr w:rsidR="00352CC7" w:rsidRPr="00352CC7" w14:paraId="088B4F46"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E0639E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FE731E5"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131 (61.8%)</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372113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104 (77.0%)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A0AF11F"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56 (81.2%)</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0D12E92"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26 (78.8%)</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3F457B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21 (87.5%)</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FD564DE"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338 (71.5%)</w:t>
            </w:r>
          </w:p>
        </w:tc>
      </w:tr>
      <w:tr w:rsidR="00352CC7" w:rsidRPr="00352CC7" w14:paraId="2C3E5836"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36CF3DD"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b/>
                <w:color w:val="000000" w:themeColor="text1"/>
                <w:sz w:val="16"/>
                <w:szCs w:val="16"/>
              </w:rPr>
              <w:t>Parenteral nutrition</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5D4516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D43E0BE"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011AA52"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0BFE8B3"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D4EFDDB"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A6DAACE"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r>
      <w:tr w:rsidR="00352CC7" w:rsidRPr="00352CC7" w14:paraId="1A171281"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ECACC02"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50151FF"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211 (99.5%)</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EB3ABC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133 (98.5%)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DD1F32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66 (95.7%)</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A69A3F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32 (97.0%)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1C4062F"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24 (100%)</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82E0F8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466 (98.5%)</w:t>
            </w:r>
          </w:p>
        </w:tc>
      </w:tr>
      <w:tr w:rsidR="00352CC7" w:rsidRPr="00352CC7" w14:paraId="41B582BF"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22D8B9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85130EB"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 (0.5%)</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DCE740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 (1.5%)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445F40F"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3 (4.3%)</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AB089D1"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 (3.0%)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1A3CA6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0 (0%)</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398A31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7 (1.5%)</w:t>
            </w:r>
          </w:p>
        </w:tc>
      </w:tr>
      <w:tr w:rsidR="00352CC7" w:rsidRPr="00352CC7" w14:paraId="4B28C115"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B65A7AF" w14:textId="15C5DE5D"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b/>
                <w:color w:val="000000" w:themeColor="text1"/>
                <w:sz w:val="16"/>
                <w:szCs w:val="16"/>
              </w:rPr>
              <w:t xml:space="preserve">Medication </w:t>
            </w:r>
            <w:r w:rsidR="005C43D9">
              <w:rPr>
                <w:rFonts w:ascii="Arial" w:eastAsia="Arial" w:hAnsi="Arial" w:cs="Arial"/>
                <w:b/>
                <w:color w:val="000000" w:themeColor="text1"/>
                <w:sz w:val="16"/>
                <w:szCs w:val="16"/>
              </w:rPr>
              <w:t>conciliation</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5DEDDA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1EA644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814CC81"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0F6683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8093A1B"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507112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r>
      <w:tr w:rsidR="00352CC7" w:rsidRPr="00352CC7" w14:paraId="6CE0A213"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5840EE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63CB0AC"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166 (78.3%)</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152A0F5"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129 (95.6%)</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9F5B51E"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65 (94.2%)</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231F8C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32 (97.0%)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221723C"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22 (91.7%)</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8284B6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414 (87.5%)</w:t>
            </w:r>
          </w:p>
        </w:tc>
      </w:tr>
      <w:tr w:rsidR="00352CC7" w:rsidRPr="00352CC7" w14:paraId="19835C3C"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0B6AAF1"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AC892B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46 (21.7%)</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BB1C5BB"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6 (4.4%)</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DFB8C5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4 (5.8%)</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643FE15"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 (3.0%)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9775E0B"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 (8.3%)</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35FB3D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59 (12.5%)</w:t>
            </w:r>
          </w:p>
        </w:tc>
      </w:tr>
      <w:tr w:rsidR="00352CC7" w:rsidRPr="00352CC7" w14:paraId="0689BB13"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F761973"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b/>
                <w:color w:val="000000" w:themeColor="text1"/>
                <w:sz w:val="16"/>
                <w:szCs w:val="16"/>
              </w:rPr>
              <w:t>Prescribing professional</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0BB3EB2"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A611E6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AD883A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F3E770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A692295"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E607C3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r>
      <w:tr w:rsidR="00352CC7" w:rsidRPr="00352CC7" w14:paraId="292DA8F2"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CDA75D5"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Resident</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3E7537C"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176 (83.0%)</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C7A6D2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112 (83.0%)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FB93D7D"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62 (89.9%)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078CE9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23 (69.7%)</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59A12CE"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17 (70.8%)</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2D0392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390 (82.5%)</w:t>
            </w:r>
          </w:p>
        </w:tc>
      </w:tr>
      <w:tr w:rsidR="00352CC7" w:rsidRPr="00352CC7" w14:paraId="72D67AF9"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7B7179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Staff</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610E73B"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36 (17.0%)</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1838112"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23 (17.0%)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CFB8A0C"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7 (10.1%)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8EBC79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10 (30.3%)</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8551F3C"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7 (29.2%)</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49C14CC"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83 (17.5%)</w:t>
            </w:r>
          </w:p>
        </w:tc>
      </w:tr>
      <w:tr w:rsidR="00352CC7" w:rsidRPr="00352CC7" w14:paraId="23C74014"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9388A62"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b/>
                <w:color w:val="000000" w:themeColor="text1"/>
                <w:sz w:val="16"/>
                <w:szCs w:val="16"/>
              </w:rPr>
              <w:t>Prescription with addition: same professional</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921A90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B5EE3DD"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258593F"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264961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7DDA4ED"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D0CEC0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r>
      <w:tr w:rsidR="00352CC7" w:rsidRPr="00352CC7" w14:paraId="20A28A3B"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DF2050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8B7952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212 (100%)</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5E1575F"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115 (85.2%)</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0E1DAC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63 (91.3%)</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39333D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30 (90.9%)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138FC13"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22 (91.7%)</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22B427E"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442 (93.4%)</w:t>
            </w:r>
          </w:p>
        </w:tc>
      </w:tr>
      <w:tr w:rsidR="00352CC7" w:rsidRPr="00352CC7" w14:paraId="385B211C"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69DC49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D8B8F73"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0 (0%)</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E0B0A4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20 (14.8%)</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895A43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6 (8.7%)</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FCA108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3 (9.1%)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5E8BB3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 (8.3%)</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C634BAD"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31 (6.6%)</w:t>
            </w:r>
          </w:p>
        </w:tc>
      </w:tr>
      <w:tr w:rsidR="00352CC7" w:rsidRPr="00352CC7" w14:paraId="16260F0B"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B12135B"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b/>
                <w:color w:val="000000" w:themeColor="text1"/>
                <w:sz w:val="16"/>
                <w:szCs w:val="16"/>
              </w:rPr>
              <w:t>Prescription with addition: other staff</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F7D37EB"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1D6EC25"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D2DFCA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841F811"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5D691E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3A6EED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r>
      <w:tr w:rsidR="00352CC7" w:rsidRPr="00352CC7" w14:paraId="2DC1E91B"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D1BD76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023BCBF"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212 (100%)</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60CD0E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133 (98.5%)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4B77F92"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68 (98.6%)</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EA5C05C"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32 (97.0%)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7D1455E"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23 (95.8%)</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25EE69D"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468 (98.9%)</w:t>
            </w:r>
          </w:p>
        </w:tc>
      </w:tr>
      <w:tr w:rsidR="00352CC7" w:rsidRPr="00352CC7" w14:paraId="21602726"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3188302"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E66A12B"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0 (0%)</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241C65E"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 (1.5%)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063C32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 (1.4%)</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E42F2E2"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 (3.0%)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96C8CA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 (4.2%)</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45D10F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5 (1.1%)</w:t>
            </w:r>
          </w:p>
        </w:tc>
      </w:tr>
      <w:tr w:rsidR="00352CC7" w:rsidRPr="00352CC7" w14:paraId="225BFE6B"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0CAB3B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b/>
                <w:color w:val="000000" w:themeColor="text1"/>
                <w:sz w:val="16"/>
                <w:szCs w:val="16"/>
              </w:rPr>
              <w:t xml:space="preserve">Prescription with addition: </w:t>
            </w:r>
            <w:proofErr w:type="gramStart"/>
            <w:r w:rsidRPr="00352CC7">
              <w:rPr>
                <w:rFonts w:ascii="Arial" w:eastAsia="Arial" w:hAnsi="Arial" w:cs="Arial"/>
                <w:b/>
                <w:color w:val="000000" w:themeColor="text1"/>
                <w:sz w:val="16"/>
                <w:szCs w:val="16"/>
              </w:rPr>
              <w:t>other</w:t>
            </w:r>
            <w:proofErr w:type="gramEnd"/>
            <w:r w:rsidRPr="00352CC7">
              <w:rPr>
                <w:rFonts w:ascii="Arial" w:eastAsia="Arial" w:hAnsi="Arial" w:cs="Arial"/>
                <w:b/>
                <w:color w:val="000000" w:themeColor="text1"/>
                <w:sz w:val="16"/>
                <w:szCs w:val="16"/>
              </w:rPr>
              <w:t xml:space="preserve"> resident</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B5D8EA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F36A3B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E328873"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3A9AB1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F15B9B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F82A761"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r>
      <w:tr w:rsidR="00352CC7" w:rsidRPr="00352CC7" w14:paraId="11334D26"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E3C21F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3EFEB6E"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212 (100%)</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627A79D"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120 (88.9%)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A5604E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65 (94.2%)</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1070E13"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30 (90.9%)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6B3C7FF"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19 (79.2%)</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A0C33FE"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446 (94.3%)</w:t>
            </w:r>
          </w:p>
        </w:tc>
      </w:tr>
      <w:tr w:rsidR="00352CC7" w:rsidRPr="00352CC7" w14:paraId="1727835B"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823754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3573A21"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0 (0%)</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45DB7E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15 (11.1%)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A65612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4 (5.8%)</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E4BEFA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3 (9.1%)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235AA2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5 (20.8%)</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FCD043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27 (5.7%)</w:t>
            </w:r>
          </w:p>
        </w:tc>
      </w:tr>
      <w:tr w:rsidR="00352CC7" w:rsidRPr="00352CC7" w14:paraId="2B844BB6"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1E6F793"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b/>
                <w:color w:val="000000" w:themeColor="text1"/>
                <w:sz w:val="16"/>
                <w:szCs w:val="16"/>
              </w:rPr>
              <w:t>Charlson score</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4B4A11C"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0959FC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71FE28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D41F5DD"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681E831"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0B56F8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r>
      <w:tr w:rsidR="00352CC7" w:rsidRPr="00352CC7" w14:paraId="6BE6B094"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D594B6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lastRenderedPageBreak/>
              <w:t>  Mean (SD)</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5AE706E"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5.19 (2.91)</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01C06C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5.17 (2.87)</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E3CB97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5.33 (2.96)</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AA3D46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5.24 (2.89)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A18A1A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4.33 (2.84)</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DFD5D0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5.17 (2.90)</w:t>
            </w:r>
          </w:p>
        </w:tc>
      </w:tr>
      <w:tr w:rsidR="00352CC7" w:rsidRPr="00352CC7" w14:paraId="41239E22"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C111235"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Median [Min, Max]</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5F4393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6.00 [0, 14.0]</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543FB81"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6.00 [0, 14.0]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C143565"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6.00 [0, 14.0]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E5119A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6.00 [0, 12.0]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8517A0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5.50 [0, 8.00]</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8C3230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6.00 [0, 14.0]</w:t>
            </w:r>
          </w:p>
        </w:tc>
      </w:tr>
      <w:tr w:rsidR="00352CC7" w:rsidRPr="00352CC7" w14:paraId="64BCF717"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E7648FC"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b/>
                <w:color w:val="000000" w:themeColor="text1"/>
                <w:sz w:val="16"/>
                <w:szCs w:val="16"/>
              </w:rPr>
              <w:t>Modified SOFA score</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ADA9BB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F95008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242A38B"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188FD8B"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F735C4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7A875D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r>
      <w:tr w:rsidR="00352CC7" w:rsidRPr="00352CC7" w14:paraId="2E9A2302"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0602C9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Mean (SD)</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49B3A4D"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1.35 (1.74)</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2188493"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1.22 (1.74)</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1A2C4C2"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1.29 (1.74)</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C6319A5"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1.27 (1.81)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0DBC09C"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1.13 (1.26)</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978E94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1.29 (1.72)</w:t>
            </w:r>
          </w:p>
        </w:tc>
      </w:tr>
      <w:tr w:rsidR="00352CC7" w:rsidRPr="00352CC7" w14:paraId="6C55B95E"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A3DD1E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Median [Min, Max]</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0A96985"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1.00 [0, 8.00]</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E4209C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1.00 [0, 8.00]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67DF7CD"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1.00 [0, 8.00]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9984B83"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1.00 [0, 8.00]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295CAD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1.00 [0, 4.00]</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793634F"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1.00 [0, 8.00]</w:t>
            </w:r>
          </w:p>
        </w:tc>
      </w:tr>
      <w:tr w:rsidR="00352CC7" w:rsidRPr="00243B85" w14:paraId="6CB72B50" w14:textId="77777777" w:rsidTr="0017407A">
        <w:trPr>
          <w:trHeight w:val="283"/>
          <w:jc w:val="center"/>
        </w:trPr>
        <w:tc>
          <w:tcPr>
            <w:tcW w:w="1567" w:type="dxa"/>
            <w:tcBorders>
              <w:top w:val="none" w:sz="0" w:space="0" w:color="000000" w:themeColor="text1"/>
              <w:left w:val="none" w:sz="0" w:space="0" w:color="FFFFFF" w:themeColor="background1"/>
              <w:bottom w:val="none" w:sz="0" w:space="0" w:color="FFFFFF" w:themeColor="background1"/>
              <w:right w:val="none" w:sz="0" w:space="0" w:color="FFFFFF" w:themeColor="background1"/>
            </w:tcBorders>
            <w:shd w:val="clear" w:color="auto" w:fill="FFFFFF" w:themeFill="background1"/>
          </w:tcPr>
          <w:p w14:paraId="2FB54C1A" w14:textId="77777777" w:rsidR="00352CC7" w:rsidRPr="00243B85"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eastAsia="Arial" w:hAnsi="Arial" w:cs="Arial"/>
                <w:color w:val="000000"/>
                <w:sz w:val="18"/>
                <w:szCs w:val="18"/>
              </w:rPr>
            </w:pPr>
          </w:p>
        </w:tc>
        <w:tc>
          <w:tcPr>
            <w:tcW w:w="12870" w:type="dxa"/>
            <w:gridSpan w:val="8"/>
            <w:tcBorders>
              <w:top w:val="none" w:sz="0" w:space="0" w:color="000000" w:themeColor="text1"/>
              <w:left w:val="none" w:sz="0" w:space="0" w:color="FFFFFF" w:themeColor="background1"/>
              <w:bottom w:val="none" w:sz="0" w:space="0" w:color="FFFFFF" w:themeColor="background1"/>
              <w:right w:val="none" w:sz="0" w:space="0" w:color="FFFFFF" w:themeColor="background1"/>
            </w:tcBorders>
            <w:shd w:val="clear" w:color="auto" w:fill="FFFFFF" w:themeFill="background1"/>
            <w:tcMar>
              <w:top w:w="0" w:type="dxa"/>
              <w:left w:w="0" w:type="dxa"/>
              <w:bottom w:w="0" w:type="dxa"/>
              <w:right w:w="0" w:type="dxa"/>
            </w:tcMar>
            <w:vAlign w:val="center"/>
          </w:tcPr>
          <w:p w14:paraId="59354C26" w14:textId="77777777" w:rsidR="00352CC7" w:rsidRPr="00243B85"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8"/>
                <w:szCs w:val="18"/>
              </w:rPr>
            </w:pPr>
            <w:r w:rsidRPr="00243B85">
              <w:rPr>
                <w:rFonts w:ascii="Arial" w:eastAsia="Arial" w:hAnsi="Arial" w:cs="Arial"/>
                <w:color w:val="000000" w:themeColor="text1"/>
                <w:sz w:val="18"/>
                <w:szCs w:val="18"/>
              </w:rPr>
              <w:t>Max=Maximum; Min=Minimum; SD=Standard Deviation</w:t>
            </w:r>
          </w:p>
        </w:tc>
      </w:tr>
    </w:tbl>
    <w:p w14:paraId="4A059047" w14:textId="77777777" w:rsidR="00352CC7" w:rsidRPr="00352CC7" w:rsidRDefault="00352CC7" w:rsidP="00352CC7">
      <w:pPr>
        <w:rPr>
          <w:rFonts w:ascii="Arial" w:hAnsi="Arial" w:cs="Arial"/>
        </w:rPr>
        <w:sectPr w:rsidR="00352CC7" w:rsidRPr="00352CC7" w:rsidSect="00D0609F">
          <w:type w:val="nextColumn"/>
          <w:pgSz w:w="16838" w:h="11906" w:orient="landscape"/>
          <w:pgMar w:top="1134" w:right="1134" w:bottom="1134" w:left="1134" w:header="709" w:footer="709" w:gutter="0"/>
          <w:cols w:space="708"/>
          <w:docGrid w:linePitch="360"/>
        </w:sectPr>
      </w:pPr>
    </w:p>
    <w:p w14:paraId="527CC324" w14:textId="37DE1983" w:rsidR="00352CC7" w:rsidRPr="00243B85" w:rsidRDefault="00352CC7" w:rsidP="00352CC7">
      <w:pPr>
        <w:jc w:val="both"/>
        <w:rPr>
          <w:rFonts w:ascii="Arial" w:hAnsi="Arial" w:cs="Arial"/>
        </w:rPr>
      </w:pPr>
      <w:r w:rsidRPr="00243B85">
        <w:rPr>
          <w:rFonts w:ascii="Arial" w:hAnsi="Arial" w:cs="Arial"/>
        </w:rPr>
        <w:lastRenderedPageBreak/>
        <w:t xml:space="preserve">The number of prescribed medications was highly variable, and most prescriptions had intravenous medications. Very few participants received medication through tubes or parenteral nutrition. Resident physicians performed most prescriptions, and the original prescribing physician performed most prescription additions. Charlson and modified SOFA scores were reasonably stable throughout hospitalization. Additionally, medication </w:t>
      </w:r>
      <w:r w:rsidR="005C43D9">
        <w:rPr>
          <w:rFonts w:ascii="Arial" w:hAnsi="Arial" w:cs="Arial"/>
        </w:rPr>
        <w:t>conciliation</w:t>
      </w:r>
      <w:r w:rsidRPr="00243B85">
        <w:rPr>
          <w:rFonts w:ascii="Arial" w:hAnsi="Arial" w:cs="Arial"/>
        </w:rPr>
        <w:t xml:space="preserve"> was seldom performed, either at admission or at follow-up. (Table 3) </w:t>
      </w:r>
    </w:p>
    <w:p w14:paraId="175723A2" w14:textId="2152249C" w:rsidR="00352CC7" w:rsidRPr="00243B85" w:rsidRDefault="00352CC7" w:rsidP="00352CC7">
      <w:pPr>
        <w:jc w:val="both"/>
        <w:rPr>
          <w:rFonts w:ascii="Arial" w:hAnsi="Arial" w:cs="Arial"/>
        </w:rPr>
      </w:pPr>
      <w:r w:rsidRPr="00243B85">
        <w:rPr>
          <w:rFonts w:ascii="Arial" w:hAnsi="Arial" w:cs="Arial"/>
        </w:rPr>
        <w:t xml:space="preserve">The results of the final model highlighted the number of prescribed medications, the use of potentially dangerous medications, medication </w:t>
      </w:r>
      <w:r w:rsidR="005C43D9">
        <w:rPr>
          <w:rFonts w:ascii="Arial" w:hAnsi="Arial" w:cs="Arial"/>
        </w:rPr>
        <w:t>conciliation</w:t>
      </w:r>
      <w:r w:rsidRPr="00243B85">
        <w:rPr>
          <w:rFonts w:ascii="Arial" w:hAnsi="Arial" w:cs="Arial"/>
        </w:rPr>
        <w:t xml:space="preserve">, sex at birth, medication through tubes, modified SOFA score, and time of hospitalization, with an additional interaction term between modified SOFA and medication </w:t>
      </w:r>
      <w:r w:rsidR="005C43D9">
        <w:rPr>
          <w:rFonts w:ascii="Arial" w:hAnsi="Arial" w:cs="Arial"/>
        </w:rPr>
        <w:t>conciliation</w:t>
      </w:r>
      <w:r w:rsidRPr="00243B85">
        <w:rPr>
          <w:rFonts w:ascii="Arial" w:hAnsi="Arial" w:cs="Arial"/>
        </w:rPr>
        <w:t xml:space="preserve"> as PDRI predictors. (Table 4) The use of potentially dangerous medications, present in 71.5% of cases, was one of the main predictors of PDRI, highlighting the importance of close supervision in patients requiring therapies with high risks of drug interactions and toxicity. (Table 4) </w:t>
      </w:r>
    </w:p>
    <w:p w14:paraId="04FEB261" w14:textId="77777777" w:rsidR="00352CC7" w:rsidRPr="00243B85" w:rsidRDefault="00352CC7" w:rsidP="00352CC7">
      <w:pPr>
        <w:jc w:val="both"/>
        <w:rPr>
          <w:rFonts w:ascii="Arial" w:hAnsi="Arial" w:cs="Arial"/>
        </w:rPr>
      </w:pPr>
      <w:r w:rsidRPr="00243B85">
        <w:rPr>
          <w:rFonts w:ascii="Arial" w:hAnsi="Arial" w:cs="Arial"/>
        </w:rPr>
        <w:t>The number of prescribed medications was the weakest predictor, showing that drug polytherapy, a common characteristic in patients with multiple comorbidities and infections, increases the risk of PDRI very little if one medication is added. However, one must remember that the relative risk with polytherapy may be high, as the number of drugs may be as high as 20. Changing the number of drugs from 3 to 8 increases it by approximately 10%; similarly, increasing from 8 to 13, there is another 10% increase in the estimated PDRI risk. (Table 4)</w:t>
      </w:r>
    </w:p>
    <w:p w14:paraId="3A0DF361" w14:textId="0890C17C" w:rsidR="00352CC7" w:rsidRPr="00243B85" w:rsidRDefault="00352CC7" w:rsidP="00352CC7">
      <w:pPr>
        <w:jc w:val="both"/>
        <w:rPr>
          <w:rFonts w:ascii="Arial" w:hAnsi="Arial" w:cs="Arial"/>
        </w:rPr>
      </w:pPr>
      <w:r w:rsidRPr="00243B85">
        <w:rPr>
          <w:rFonts w:ascii="Arial" w:hAnsi="Arial" w:cs="Arial"/>
        </w:rPr>
        <w:t xml:space="preserve">An interaction term between modified SOFA and medication </w:t>
      </w:r>
      <w:r w:rsidR="005C43D9">
        <w:rPr>
          <w:rFonts w:ascii="Arial" w:hAnsi="Arial" w:cs="Arial"/>
        </w:rPr>
        <w:t>conciliation</w:t>
      </w:r>
      <w:r w:rsidRPr="00243B85">
        <w:rPr>
          <w:rFonts w:ascii="Arial" w:hAnsi="Arial" w:cs="Arial"/>
        </w:rPr>
        <w:t xml:space="preserve"> means that the modified SOFA score’s effect is different depending on the presence or absence of medication </w:t>
      </w:r>
      <w:r w:rsidR="005C43D9">
        <w:rPr>
          <w:rFonts w:ascii="Arial" w:hAnsi="Arial" w:cs="Arial"/>
        </w:rPr>
        <w:t>conciliation</w:t>
      </w:r>
      <w:r w:rsidRPr="00243B85">
        <w:rPr>
          <w:rFonts w:ascii="Arial" w:hAnsi="Arial" w:cs="Arial"/>
        </w:rPr>
        <w:t xml:space="preserve">. When medication </w:t>
      </w:r>
      <w:r w:rsidR="005C43D9">
        <w:rPr>
          <w:rFonts w:ascii="Arial" w:hAnsi="Arial" w:cs="Arial"/>
        </w:rPr>
        <w:t>conciliation</w:t>
      </w:r>
      <w:r w:rsidRPr="00243B85">
        <w:rPr>
          <w:rFonts w:ascii="Arial" w:hAnsi="Arial" w:cs="Arial"/>
        </w:rPr>
        <w:t xml:space="preserve"> is absent, higher modified SOFA values return lower PDRI risk predictions. If medication </w:t>
      </w:r>
      <w:r w:rsidR="005C43D9">
        <w:rPr>
          <w:rFonts w:ascii="Arial" w:hAnsi="Arial" w:cs="Arial"/>
        </w:rPr>
        <w:t>conciliation</w:t>
      </w:r>
      <w:r w:rsidRPr="00243B85">
        <w:rPr>
          <w:rFonts w:ascii="Arial" w:hAnsi="Arial" w:cs="Arial"/>
        </w:rPr>
        <w:t xml:space="preserve"> is present, then the overall modified SOFA effect is higher (about 25 percentage points higher), and in the opposite direction, </w:t>
      </w:r>
      <w:r w:rsidRPr="00243B85">
        <w:rPr>
          <w:rFonts w:ascii="Arial" w:hAnsi="Arial" w:cs="Arial"/>
          <w:i/>
          <w:iCs/>
        </w:rPr>
        <w:t>i.e.,</w:t>
      </w:r>
      <w:r w:rsidRPr="00243B85">
        <w:rPr>
          <w:rFonts w:ascii="Arial" w:hAnsi="Arial" w:cs="Arial"/>
        </w:rPr>
        <w:t xml:space="preserve"> higher modified SOFA scores return higher prediction values, and the distance between the predictions among lower SOFA values and higher SOFA values is bigger. </w:t>
      </w:r>
    </w:p>
    <w:p w14:paraId="443E964C" w14:textId="77777777" w:rsidR="00352CC7" w:rsidRPr="00243B85" w:rsidRDefault="00352CC7" w:rsidP="00352CC7">
      <w:pPr>
        <w:rPr>
          <w:rFonts w:ascii="Arial" w:hAnsi="Arial" w:cs="Arial"/>
        </w:rPr>
      </w:pPr>
      <w:r w:rsidRPr="00243B85">
        <w:rPr>
          <w:rFonts w:ascii="Arial" w:hAnsi="Arial" w:cs="Arial"/>
        </w:rPr>
        <w:br w:type="page"/>
      </w:r>
    </w:p>
    <w:p w14:paraId="3018B515" w14:textId="77777777" w:rsidR="00352CC7" w:rsidRPr="00243B85" w:rsidRDefault="00352CC7" w:rsidP="00352CC7">
      <w:pPr>
        <w:rPr>
          <w:rFonts w:ascii="Arial" w:hAnsi="Arial" w:cs="Arial"/>
        </w:rPr>
        <w:sectPr w:rsidR="00352CC7" w:rsidRPr="00243B85" w:rsidSect="00D0609F">
          <w:type w:val="nextColumn"/>
          <w:pgSz w:w="11906" w:h="16838"/>
          <w:pgMar w:top="1440" w:right="1440" w:bottom="1440" w:left="1440" w:header="709" w:footer="709" w:gutter="0"/>
          <w:cols w:space="708"/>
          <w:docGrid w:linePitch="360"/>
        </w:sectPr>
      </w:pPr>
    </w:p>
    <w:p w14:paraId="3EE7A771" w14:textId="77777777" w:rsidR="00352CC7" w:rsidRPr="00352CC7" w:rsidRDefault="00352CC7" w:rsidP="00352CC7">
      <w:pPr>
        <w:pStyle w:val="Caption"/>
        <w:keepNext/>
        <w:jc w:val="center"/>
        <w:rPr>
          <w:rFonts w:ascii="Arial" w:hAnsi="Arial" w:cs="Arial"/>
          <w:sz w:val="20"/>
          <w:szCs w:val="20"/>
        </w:rPr>
      </w:pPr>
      <w:r w:rsidRPr="00352CC7">
        <w:rPr>
          <w:rFonts w:ascii="Arial" w:hAnsi="Arial" w:cs="Arial"/>
          <w:b/>
          <w:bCs/>
          <w:sz w:val="20"/>
          <w:szCs w:val="20"/>
        </w:rPr>
        <w:lastRenderedPageBreak/>
        <w:t>Table 4:</w:t>
      </w:r>
      <w:r w:rsidRPr="00352CC7">
        <w:rPr>
          <w:rFonts w:ascii="Arial" w:hAnsi="Arial" w:cs="Arial"/>
          <w:sz w:val="20"/>
          <w:szCs w:val="20"/>
        </w:rPr>
        <w:t xml:space="preserve"> Final correlation-adjusted GEE regression model to predict preventable prescription incident (PDRI).</w:t>
      </w:r>
    </w:p>
    <w:tbl>
      <w:tblPr>
        <w:tblStyle w:val="ListTable1Light"/>
        <w:tblW w:w="0" w:type="auto"/>
        <w:jc w:val="center"/>
        <w:tblLook w:val="0600" w:firstRow="0" w:lastRow="0" w:firstColumn="0" w:lastColumn="0" w:noHBand="1" w:noVBand="1"/>
      </w:tblPr>
      <w:tblGrid>
        <w:gridCol w:w="2265"/>
        <w:gridCol w:w="1047"/>
        <w:gridCol w:w="1136"/>
        <w:gridCol w:w="947"/>
        <w:gridCol w:w="993"/>
        <w:gridCol w:w="852"/>
        <w:gridCol w:w="852"/>
        <w:gridCol w:w="992"/>
        <w:gridCol w:w="1134"/>
        <w:gridCol w:w="1274"/>
        <w:gridCol w:w="1266"/>
      </w:tblGrid>
      <w:tr w:rsidR="00352CC7" w:rsidRPr="00352CC7" w14:paraId="7565DFA7" w14:textId="77777777" w:rsidTr="00DD08F0">
        <w:trPr>
          <w:trHeight w:val="283"/>
          <w:jc w:val="center"/>
        </w:trPr>
        <w:tc>
          <w:tcPr>
            <w:tcW w:w="2265" w:type="dxa"/>
            <w:tcBorders>
              <w:top w:val="single" w:sz="18" w:space="0" w:color="auto"/>
              <w:bottom w:val="single" w:sz="8" w:space="0" w:color="auto"/>
            </w:tcBorders>
            <w:shd w:val="clear" w:color="auto" w:fill="7F7F7F" w:themeFill="text1" w:themeFillTint="80"/>
            <w:vAlign w:val="center"/>
          </w:tcPr>
          <w:p w14:paraId="580F7876"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6"/>
                <w:szCs w:val="16"/>
              </w:rPr>
            </w:pPr>
            <w:r w:rsidRPr="00352CC7">
              <w:rPr>
                <w:rFonts w:ascii="Arial" w:eastAsia="Arial" w:hAnsi="Arial" w:cs="Arial"/>
                <w:b/>
                <w:color w:val="000000" w:themeColor="text1"/>
                <w:sz w:val="16"/>
                <w:szCs w:val="16"/>
              </w:rPr>
              <w:t>Variables</w:t>
            </w:r>
          </w:p>
        </w:tc>
        <w:tc>
          <w:tcPr>
            <w:tcW w:w="1047" w:type="dxa"/>
            <w:tcBorders>
              <w:top w:val="single" w:sz="18" w:space="0" w:color="auto"/>
              <w:bottom w:val="single" w:sz="8" w:space="0" w:color="auto"/>
            </w:tcBorders>
            <w:shd w:val="clear" w:color="auto" w:fill="7F7F7F" w:themeFill="text1" w:themeFillTint="80"/>
            <w:vAlign w:val="center"/>
          </w:tcPr>
          <w:p w14:paraId="648D1B9C"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6"/>
                <w:szCs w:val="16"/>
              </w:rPr>
            </w:pPr>
            <w:r w:rsidRPr="00352CC7">
              <w:rPr>
                <w:rFonts w:ascii="Arial" w:eastAsia="Arial" w:hAnsi="Arial" w:cs="Arial"/>
                <w:b/>
                <w:color w:val="000000" w:themeColor="text1"/>
                <w:sz w:val="16"/>
                <w:szCs w:val="16"/>
              </w:rPr>
              <w:t>Categories</w:t>
            </w:r>
          </w:p>
        </w:tc>
        <w:tc>
          <w:tcPr>
            <w:tcW w:w="1136" w:type="dxa"/>
            <w:tcBorders>
              <w:top w:val="single" w:sz="18" w:space="0" w:color="auto"/>
              <w:bottom w:val="single" w:sz="8" w:space="0" w:color="auto"/>
            </w:tcBorders>
            <w:shd w:val="clear" w:color="auto" w:fill="7F7F7F" w:themeFill="text1" w:themeFillTint="80"/>
            <w:vAlign w:val="center"/>
          </w:tcPr>
          <w:p w14:paraId="14691A39"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6"/>
                <w:szCs w:val="16"/>
              </w:rPr>
            </w:pPr>
            <w:r w:rsidRPr="00352CC7">
              <w:rPr>
                <w:rFonts w:ascii="Arial" w:eastAsia="Arial" w:hAnsi="Arial" w:cs="Arial"/>
                <w:b/>
                <w:color w:val="000000" w:themeColor="text1"/>
                <w:sz w:val="16"/>
                <w:szCs w:val="16"/>
              </w:rPr>
              <w:t>Coefficients</w:t>
            </w:r>
          </w:p>
        </w:tc>
        <w:tc>
          <w:tcPr>
            <w:tcW w:w="947" w:type="dxa"/>
            <w:tcBorders>
              <w:top w:val="single" w:sz="18" w:space="0" w:color="auto"/>
              <w:bottom w:val="single" w:sz="8" w:space="0" w:color="auto"/>
            </w:tcBorders>
            <w:shd w:val="clear" w:color="auto" w:fill="7F7F7F" w:themeFill="text1" w:themeFillTint="80"/>
            <w:vAlign w:val="center"/>
          </w:tcPr>
          <w:p w14:paraId="1F1FBB6D"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6"/>
                <w:szCs w:val="16"/>
              </w:rPr>
            </w:pPr>
            <w:r w:rsidRPr="00352CC7">
              <w:rPr>
                <w:rFonts w:ascii="Arial" w:eastAsia="Arial" w:hAnsi="Arial" w:cs="Arial"/>
                <w:b/>
                <w:color w:val="000000" w:themeColor="text1"/>
                <w:sz w:val="16"/>
                <w:szCs w:val="16"/>
              </w:rPr>
              <w:t>Standard error</w:t>
            </w:r>
          </w:p>
        </w:tc>
        <w:tc>
          <w:tcPr>
            <w:tcW w:w="993" w:type="dxa"/>
            <w:tcBorders>
              <w:top w:val="single" w:sz="18" w:space="0" w:color="auto"/>
              <w:bottom w:val="single" w:sz="8" w:space="0" w:color="auto"/>
            </w:tcBorders>
            <w:shd w:val="clear" w:color="auto" w:fill="7F7F7F" w:themeFill="text1" w:themeFillTint="80"/>
            <w:vAlign w:val="center"/>
          </w:tcPr>
          <w:p w14:paraId="1F65F959"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6"/>
                <w:szCs w:val="16"/>
              </w:rPr>
            </w:pPr>
            <w:r w:rsidRPr="00352CC7">
              <w:rPr>
                <w:rFonts w:ascii="Arial" w:eastAsia="Arial" w:hAnsi="Arial" w:cs="Arial"/>
                <w:b/>
                <w:color w:val="000000" w:themeColor="text1"/>
                <w:sz w:val="16"/>
                <w:szCs w:val="16"/>
              </w:rPr>
              <w:t>Wald statistic</w:t>
            </w:r>
          </w:p>
        </w:tc>
        <w:tc>
          <w:tcPr>
            <w:tcW w:w="852" w:type="dxa"/>
            <w:tcBorders>
              <w:top w:val="single" w:sz="18" w:space="0" w:color="auto"/>
              <w:bottom w:val="single" w:sz="8" w:space="0" w:color="auto"/>
            </w:tcBorders>
            <w:shd w:val="clear" w:color="auto" w:fill="7F7F7F" w:themeFill="text1" w:themeFillTint="80"/>
            <w:vAlign w:val="center"/>
          </w:tcPr>
          <w:p w14:paraId="261BA061"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6"/>
                <w:szCs w:val="16"/>
              </w:rPr>
            </w:pPr>
            <w:r w:rsidRPr="00352CC7">
              <w:rPr>
                <w:rFonts w:ascii="Arial" w:eastAsia="Arial" w:hAnsi="Arial" w:cs="Arial"/>
                <w:b/>
                <w:color w:val="000000" w:themeColor="text1"/>
                <w:sz w:val="16"/>
                <w:szCs w:val="16"/>
              </w:rPr>
              <w:t>p value</w:t>
            </w:r>
          </w:p>
        </w:tc>
        <w:tc>
          <w:tcPr>
            <w:tcW w:w="852" w:type="dxa"/>
            <w:tcBorders>
              <w:top w:val="single" w:sz="18" w:space="0" w:color="auto"/>
              <w:bottom w:val="single" w:sz="8" w:space="0" w:color="auto"/>
            </w:tcBorders>
            <w:shd w:val="clear" w:color="auto" w:fill="7F7F7F" w:themeFill="text1" w:themeFillTint="80"/>
            <w:vAlign w:val="center"/>
          </w:tcPr>
          <w:p w14:paraId="0CE462F0"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6"/>
                <w:szCs w:val="16"/>
              </w:rPr>
            </w:pPr>
            <w:r w:rsidRPr="00352CC7">
              <w:rPr>
                <w:rFonts w:ascii="Arial" w:eastAsia="Arial" w:hAnsi="Arial" w:cs="Arial"/>
                <w:b/>
                <w:color w:val="000000" w:themeColor="text1"/>
                <w:sz w:val="16"/>
                <w:szCs w:val="16"/>
              </w:rPr>
              <w:t>Lower 95% CL</w:t>
            </w:r>
          </w:p>
        </w:tc>
        <w:tc>
          <w:tcPr>
            <w:tcW w:w="992" w:type="dxa"/>
            <w:tcBorders>
              <w:top w:val="single" w:sz="18" w:space="0" w:color="auto"/>
              <w:bottom w:val="single" w:sz="8" w:space="0" w:color="auto"/>
            </w:tcBorders>
            <w:shd w:val="clear" w:color="auto" w:fill="7F7F7F" w:themeFill="text1" w:themeFillTint="80"/>
            <w:vAlign w:val="center"/>
          </w:tcPr>
          <w:p w14:paraId="30B43F6B"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6"/>
                <w:szCs w:val="16"/>
              </w:rPr>
            </w:pPr>
            <w:r w:rsidRPr="00352CC7">
              <w:rPr>
                <w:rFonts w:ascii="Arial" w:eastAsia="Arial" w:hAnsi="Arial" w:cs="Arial"/>
                <w:b/>
                <w:color w:val="000000" w:themeColor="text1"/>
                <w:sz w:val="16"/>
                <w:szCs w:val="16"/>
              </w:rPr>
              <w:t>Higher 95% CL</w:t>
            </w:r>
          </w:p>
        </w:tc>
        <w:tc>
          <w:tcPr>
            <w:tcW w:w="1134" w:type="dxa"/>
            <w:tcBorders>
              <w:top w:val="single" w:sz="18" w:space="0" w:color="auto"/>
              <w:bottom w:val="single" w:sz="8" w:space="0" w:color="auto"/>
            </w:tcBorders>
            <w:shd w:val="clear" w:color="auto" w:fill="7F7F7F" w:themeFill="text1" w:themeFillTint="80"/>
            <w:vAlign w:val="center"/>
          </w:tcPr>
          <w:p w14:paraId="0DF1C87C"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6"/>
                <w:szCs w:val="16"/>
              </w:rPr>
            </w:pPr>
            <w:r w:rsidRPr="00352CC7">
              <w:rPr>
                <w:rFonts w:ascii="Arial" w:eastAsia="Arial" w:hAnsi="Arial" w:cs="Arial"/>
                <w:b/>
                <w:color w:val="000000" w:themeColor="text1"/>
                <w:sz w:val="16"/>
                <w:szCs w:val="16"/>
              </w:rPr>
              <w:t>Odds Ratio</w:t>
            </w:r>
          </w:p>
        </w:tc>
        <w:tc>
          <w:tcPr>
            <w:tcW w:w="1274" w:type="dxa"/>
            <w:tcBorders>
              <w:top w:val="single" w:sz="18" w:space="0" w:color="auto"/>
              <w:bottom w:val="single" w:sz="8" w:space="0" w:color="auto"/>
            </w:tcBorders>
            <w:shd w:val="clear" w:color="auto" w:fill="7F7F7F" w:themeFill="text1" w:themeFillTint="80"/>
            <w:vAlign w:val="center"/>
          </w:tcPr>
          <w:p w14:paraId="0FA50402"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6"/>
                <w:szCs w:val="16"/>
              </w:rPr>
            </w:pPr>
            <w:r w:rsidRPr="00352CC7">
              <w:rPr>
                <w:rFonts w:ascii="Arial" w:eastAsia="Arial" w:hAnsi="Arial" w:cs="Arial"/>
                <w:b/>
                <w:color w:val="000000" w:themeColor="text1"/>
                <w:sz w:val="16"/>
                <w:szCs w:val="16"/>
              </w:rPr>
              <w:t>OR Lower 95% CL</w:t>
            </w:r>
          </w:p>
        </w:tc>
        <w:tc>
          <w:tcPr>
            <w:tcW w:w="1266" w:type="dxa"/>
            <w:tcBorders>
              <w:top w:val="single" w:sz="18" w:space="0" w:color="auto"/>
              <w:bottom w:val="single" w:sz="8" w:space="0" w:color="auto"/>
            </w:tcBorders>
            <w:shd w:val="clear" w:color="auto" w:fill="7F7F7F" w:themeFill="text1" w:themeFillTint="80"/>
            <w:vAlign w:val="center"/>
          </w:tcPr>
          <w:p w14:paraId="489774BA"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6"/>
                <w:szCs w:val="16"/>
              </w:rPr>
            </w:pPr>
            <w:r w:rsidRPr="00352CC7">
              <w:rPr>
                <w:rFonts w:ascii="Arial" w:eastAsia="Arial" w:hAnsi="Arial" w:cs="Arial"/>
                <w:b/>
                <w:color w:val="000000" w:themeColor="text1"/>
                <w:sz w:val="16"/>
                <w:szCs w:val="16"/>
              </w:rPr>
              <w:t>OR Higher 95% CL</w:t>
            </w:r>
          </w:p>
        </w:tc>
      </w:tr>
      <w:tr w:rsidR="00352CC7" w:rsidRPr="00352CC7" w14:paraId="168F6958" w14:textId="77777777" w:rsidTr="00DD08F0">
        <w:trPr>
          <w:trHeight w:val="283"/>
          <w:jc w:val="center"/>
        </w:trPr>
        <w:tc>
          <w:tcPr>
            <w:tcW w:w="2265" w:type="dxa"/>
            <w:tcBorders>
              <w:top w:val="single" w:sz="8" w:space="0" w:color="auto"/>
            </w:tcBorders>
            <w:shd w:val="clear" w:color="auto" w:fill="D9D9D9" w:themeFill="background1" w:themeFillShade="D9"/>
            <w:vAlign w:val="center"/>
          </w:tcPr>
          <w:p w14:paraId="604212EF"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8"/>
                <w:szCs w:val="18"/>
              </w:rPr>
            </w:pPr>
            <w:r w:rsidRPr="00352CC7">
              <w:rPr>
                <w:rFonts w:ascii="Arial" w:hAnsi="Arial" w:cs="Arial"/>
                <w:b/>
                <w:bCs/>
                <w:sz w:val="18"/>
                <w:szCs w:val="18"/>
              </w:rPr>
              <w:t>(Intercept)</w:t>
            </w:r>
          </w:p>
        </w:tc>
        <w:tc>
          <w:tcPr>
            <w:tcW w:w="1047" w:type="dxa"/>
            <w:tcBorders>
              <w:top w:val="single" w:sz="8" w:space="0" w:color="auto"/>
            </w:tcBorders>
            <w:shd w:val="clear" w:color="auto" w:fill="D9D9D9" w:themeFill="background1" w:themeFillShade="D9"/>
            <w:vAlign w:val="center"/>
          </w:tcPr>
          <w:p w14:paraId="61DD5209"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w:t>
            </w:r>
          </w:p>
        </w:tc>
        <w:tc>
          <w:tcPr>
            <w:tcW w:w="1136" w:type="dxa"/>
            <w:tcBorders>
              <w:top w:val="single" w:sz="8" w:space="0" w:color="auto"/>
            </w:tcBorders>
            <w:shd w:val="clear" w:color="auto" w:fill="D9D9D9" w:themeFill="background1" w:themeFillShade="D9"/>
            <w:vAlign w:val="center"/>
          </w:tcPr>
          <w:p w14:paraId="02A0FCBD"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-0.333</w:t>
            </w:r>
          </w:p>
        </w:tc>
        <w:tc>
          <w:tcPr>
            <w:tcW w:w="947" w:type="dxa"/>
            <w:tcBorders>
              <w:top w:val="single" w:sz="8" w:space="0" w:color="auto"/>
            </w:tcBorders>
            <w:shd w:val="clear" w:color="auto" w:fill="D9D9D9" w:themeFill="background1" w:themeFillShade="D9"/>
            <w:vAlign w:val="center"/>
          </w:tcPr>
          <w:p w14:paraId="750C8D7D"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0.377</w:t>
            </w:r>
          </w:p>
        </w:tc>
        <w:tc>
          <w:tcPr>
            <w:tcW w:w="993" w:type="dxa"/>
            <w:tcBorders>
              <w:top w:val="single" w:sz="8" w:space="0" w:color="auto"/>
            </w:tcBorders>
            <w:shd w:val="clear" w:color="auto" w:fill="D9D9D9" w:themeFill="background1" w:themeFillShade="D9"/>
            <w:vAlign w:val="center"/>
          </w:tcPr>
          <w:p w14:paraId="7D9CE267"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0.777</w:t>
            </w:r>
          </w:p>
        </w:tc>
        <w:tc>
          <w:tcPr>
            <w:tcW w:w="852" w:type="dxa"/>
            <w:tcBorders>
              <w:top w:val="single" w:sz="8" w:space="0" w:color="auto"/>
            </w:tcBorders>
            <w:shd w:val="clear" w:color="auto" w:fill="D9D9D9" w:themeFill="background1" w:themeFillShade="D9"/>
            <w:vAlign w:val="center"/>
          </w:tcPr>
          <w:p w14:paraId="06A69337"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0.378</w:t>
            </w:r>
          </w:p>
        </w:tc>
        <w:tc>
          <w:tcPr>
            <w:tcW w:w="852" w:type="dxa"/>
            <w:tcBorders>
              <w:top w:val="single" w:sz="8" w:space="0" w:color="auto"/>
            </w:tcBorders>
            <w:shd w:val="clear" w:color="auto" w:fill="D9D9D9" w:themeFill="background1" w:themeFillShade="D9"/>
            <w:vAlign w:val="center"/>
          </w:tcPr>
          <w:p w14:paraId="3F6A59F5"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-1.072</w:t>
            </w:r>
          </w:p>
        </w:tc>
        <w:tc>
          <w:tcPr>
            <w:tcW w:w="992" w:type="dxa"/>
            <w:tcBorders>
              <w:top w:val="single" w:sz="8" w:space="0" w:color="auto"/>
            </w:tcBorders>
            <w:shd w:val="clear" w:color="auto" w:fill="D9D9D9" w:themeFill="background1" w:themeFillShade="D9"/>
            <w:vAlign w:val="center"/>
          </w:tcPr>
          <w:p w14:paraId="6E09CF96"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0.407</w:t>
            </w:r>
          </w:p>
        </w:tc>
        <w:tc>
          <w:tcPr>
            <w:tcW w:w="1134" w:type="dxa"/>
            <w:tcBorders>
              <w:top w:val="single" w:sz="8" w:space="0" w:color="auto"/>
            </w:tcBorders>
            <w:shd w:val="clear" w:color="auto" w:fill="D9D9D9" w:themeFill="background1" w:themeFillShade="D9"/>
            <w:vAlign w:val="center"/>
          </w:tcPr>
          <w:p w14:paraId="096DA78E"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0.717</w:t>
            </w:r>
          </w:p>
        </w:tc>
        <w:tc>
          <w:tcPr>
            <w:tcW w:w="1274" w:type="dxa"/>
            <w:tcBorders>
              <w:top w:val="single" w:sz="8" w:space="0" w:color="auto"/>
            </w:tcBorders>
            <w:shd w:val="clear" w:color="auto" w:fill="D9D9D9" w:themeFill="background1" w:themeFillShade="D9"/>
            <w:vAlign w:val="center"/>
          </w:tcPr>
          <w:p w14:paraId="4EC1A204"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0.342</w:t>
            </w:r>
          </w:p>
        </w:tc>
        <w:tc>
          <w:tcPr>
            <w:tcW w:w="1266" w:type="dxa"/>
            <w:tcBorders>
              <w:top w:val="single" w:sz="8" w:space="0" w:color="auto"/>
            </w:tcBorders>
            <w:shd w:val="clear" w:color="auto" w:fill="D9D9D9" w:themeFill="background1" w:themeFillShade="D9"/>
            <w:vAlign w:val="center"/>
          </w:tcPr>
          <w:p w14:paraId="75714C77"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1.502</w:t>
            </w:r>
          </w:p>
        </w:tc>
      </w:tr>
      <w:tr w:rsidR="00352CC7" w:rsidRPr="00352CC7" w14:paraId="5D16157D" w14:textId="77777777" w:rsidTr="00DD08F0">
        <w:trPr>
          <w:trHeight w:val="283"/>
          <w:jc w:val="center"/>
        </w:trPr>
        <w:tc>
          <w:tcPr>
            <w:tcW w:w="2265" w:type="dxa"/>
            <w:vAlign w:val="center"/>
          </w:tcPr>
          <w:p w14:paraId="16C90F0B"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8"/>
                <w:szCs w:val="18"/>
              </w:rPr>
            </w:pPr>
            <w:r w:rsidRPr="00352CC7">
              <w:rPr>
                <w:rFonts w:ascii="Arial" w:hAnsi="Arial" w:cs="Arial"/>
                <w:b/>
                <w:bCs/>
                <w:sz w:val="18"/>
                <w:szCs w:val="18"/>
              </w:rPr>
              <w:t>Sex</w:t>
            </w:r>
          </w:p>
        </w:tc>
        <w:tc>
          <w:tcPr>
            <w:tcW w:w="1047" w:type="dxa"/>
            <w:vAlign w:val="center"/>
          </w:tcPr>
          <w:p w14:paraId="3A52C3B5"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Male</w:t>
            </w:r>
          </w:p>
        </w:tc>
        <w:tc>
          <w:tcPr>
            <w:tcW w:w="1136" w:type="dxa"/>
            <w:vAlign w:val="center"/>
          </w:tcPr>
          <w:p w14:paraId="142ABEC3"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-0.553</w:t>
            </w:r>
          </w:p>
        </w:tc>
        <w:tc>
          <w:tcPr>
            <w:tcW w:w="947" w:type="dxa"/>
            <w:vAlign w:val="center"/>
          </w:tcPr>
          <w:p w14:paraId="46E507AC"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0.245</w:t>
            </w:r>
          </w:p>
        </w:tc>
        <w:tc>
          <w:tcPr>
            <w:tcW w:w="993" w:type="dxa"/>
            <w:vAlign w:val="center"/>
          </w:tcPr>
          <w:p w14:paraId="5B641A3D"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5.097</w:t>
            </w:r>
          </w:p>
        </w:tc>
        <w:tc>
          <w:tcPr>
            <w:tcW w:w="852" w:type="dxa"/>
            <w:vAlign w:val="center"/>
          </w:tcPr>
          <w:p w14:paraId="2A4F7E50"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0.024</w:t>
            </w:r>
          </w:p>
        </w:tc>
        <w:tc>
          <w:tcPr>
            <w:tcW w:w="852" w:type="dxa"/>
            <w:vAlign w:val="center"/>
          </w:tcPr>
          <w:p w14:paraId="46AD88F8"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-1.032</w:t>
            </w:r>
          </w:p>
        </w:tc>
        <w:tc>
          <w:tcPr>
            <w:tcW w:w="992" w:type="dxa"/>
            <w:vAlign w:val="center"/>
          </w:tcPr>
          <w:p w14:paraId="0A6C7DFE"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-0.073</w:t>
            </w:r>
          </w:p>
        </w:tc>
        <w:tc>
          <w:tcPr>
            <w:tcW w:w="1134" w:type="dxa"/>
            <w:vAlign w:val="center"/>
          </w:tcPr>
          <w:p w14:paraId="7F2A4253"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0.575</w:t>
            </w:r>
          </w:p>
        </w:tc>
        <w:tc>
          <w:tcPr>
            <w:tcW w:w="1274" w:type="dxa"/>
            <w:vAlign w:val="center"/>
          </w:tcPr>
          <w:p w14:paraId="133F6E2E"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0.356</w:t>
            </w:r>
          </w:p>
        </w:tc>
        <w:tc>
          <w:tcPr>
            <w:tcW w:w="1266" w:type="dxa"/>
            <w:vAlign w:val="center"/>
          </w:tcPr>
          <w:p w14:paraId="0372904A"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0.930</w:t>
            </w:r>
          </w:p>
        </w:tc>
      </w:tr>
      <w:tr w:rsidR="00352CC7" w:rsidRPr="00352CC7" w14:paraId="44C17D96" w14:textId="77777777" w:rsidTr="00DD08F0">
        <w:trPr>
          <w:trHeight w:val="283"/>
          <w:jc w:val="center"/>
        </w:trPr>
        <w:tc>
          <w:tcPr>
            <w:tcW w:w="2265" w:type="dxa"/>
            <w:shd w:val="clear" w:color="auto" w:fill="D9D9D9" w:themeFill="background1" w:themeFillShade="D9"/>
            <w:vAlign w:val="center"/>
          </w:tcPr>
          <w:p w14:paraId="33433580"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8"/>
                <w:szCs w:val="18"/>
              </w:rPr>
            </w:pPr>
            <w:r w:rsidRPr="00352CC7">
              <w:rPr>
                <w:rFonts w:ascii="Arial" w:hAnsi="Arial" w:cs="Arial"/>
                <w:b/>
                <w:bCs/>
                <w:sz w:val="18"/>
                <w:szCs w:val="18"/>
              </w:rPr>
              <w:t>Number of prescribed medicines</w:t>
            </w:r>
          </w:p>
        </w:tc>
        <w:tc>
          <w:tcPr>
            <w:tcW w:w="1047" w:type="dxa"/>
            <w:shd w:val="clear" w:color="auto" w:fill="D9D9D9" w:themeFill="background1" w:themeFillShade="D9"/>
            <w:vAlign w:val="center"/>
          </w:tcPr>
          <w:p w14:paraId="34684837"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w:t>
            </w:r>
          </w:p>
        </w:tc>
        <w:tc>
          <w:tcPr>
            <w:tcW w:w="1136" w:type="dxa"/>
            <w:shd w:val="clear" w:color="auto" w:fill="D9D9D9" w:themeFill="background1" w:themeFillShade="D9"/>
            <w:vAlign w:val="center"/>
          </w:tcPr>
          <w:p w14:paraId="1FA74238"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0.108</w:t>
            </w:r>
          </w:p>
        </w:tc>
        <w:tc>
          <w:tcPr>
            <w:tcW w:w="947" w:type="dxa"/>
            <w:shd w:val="clear" w:color="auto" w:fill="D9D9D9" w:themeFill="background1" w:themeFillShade="D9"/>
            <w:vAlign w:val="center"/>
          </w:tcPr>
          <w:p w14:paraId="6EA428D2"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0.035</w:t>
            </w:r>
          </w:p>
        </w:tc>
        <w:tc>
          <w:tcPr>
            <w:tcW w:w="993" w:type="dxa"/>
            <w:shd w:val="clear" w:color="auto" w:fill="D9D9D9" w:themeFill="background1" w:themeFillShade="D9"/>
            <w:vAlign w:val="center"/>
          </w:tcPr>
          <w:p w14:paraId="2ABEEF42"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9.600</w:t>
            </w:r>
          </w:p>
        </w:tc>
        <w:tc>
          <w:tcPr>
            <w:tcW w:w="852" w:type="dxa"/>
            <w:shd w:val="clear" w:color="auto" w:fill="D9D9D9" w:themeFill="background1" w:themeFillShade="D9"/>
            <w:vAlign w:val="center"/>
          </w:tcPr>
          <w:p w14:paraId="79ED9143"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0.002</w:t>
            </w:r>
          </w:p>
        </w:tc>
        <w:tc>
          <w:tcPr>
            <w:tcW w:w="852" w:type="dxa"/>
            <w:shd w:val="clear" w:color="auto" w:fill="D9D9D9" w:themeFill="background1" w:themeFillShade="D9"/>
            <w:vAlign w:val="center"/>
          </w:tcPr>
          <w:p w14:paraId="29EAB2D3"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0.040</w:t>
            </w:r>
          </w:p>
        </w:tc>
        <w:tc>
          <w:tcPr>
            <w:tcW w:w="992" w:type="dxa"/>
            <w:shd w:val="clear" w:color="auto" w:fill="D9D9D9" w:themeFill="background1" w:themeFillShade="D9"/>
            <w:vAlign w:val="center"/>
          </w:tcPr>
          <w:p w14:paraId="2BDB0951"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0.176</w:t>
            </w:r>
          </w:p>
        </w:tc>
        <w:tc>
          <w:tcPr>
            <w:tcW w:w="1134" w:type="dxa"/>
            <w:shd w:val="clear" w:color="auto" w:fill="D9D9D9" w:themeFill="background1" w:themeFillShade="D9"/>
            <w:vAlign w:val="center"/>
          </w:tcPr>
          <w:p w14:paraId="0D0138E7"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1.114</w:t>
            </w:r>
          </w:p>
        </w:tc>
        <w:tc>
          <w:tcPr>
            <w:tcW w:w="1274" w:type="dxa"/>
            <w:shd w:val="clear" w:color="auto" w:fill="D9D9D9" w:themeFill="background1" w:themeFillShade="D9"/>
            <w:vAlign w:val="center"/>
          </w:tcPr>
          <w:p w14:paraId="02F0AC8B"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1.040</w:t>
            </w:r>
          </w:p>
        </w:tc>
        <w:tc>
          <w:tcPr>
            <w:tcW w:w="1266" w:type="dxa"/>
            <w:shd w:val="clear" w:color="auto" w:fill="D9D9D9" w:themeFill="background1" w:themeFillShade="D9"/>
            <w:vAlign w:val="center"/>
          </w:tcPr>
          <w:p w14:paraId="661813EE"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1.192</w:t>
            </w:r>
          </w:p>
        </w:tc>
      </w:tr>
      <w:tr w:rsidR="00352CC7" w:rsidRPr="00352CC7" w14:paraId="515C0A0B" w14:textId="77777777" w:rsidTr="00DD08F0">
        <w:trPr>
          <w:trHeight w:val="283"/>
          <w:jc w:val="center"/>
        </w:trPr>
        <w:tc>
          <w:tcPr>
            <w:tcW w:w="2265" w:type="dxa"/>
            <w:vAlign w:val="center"/>
          </w:tcPr>
          <w:p w14:paraId="4DFBB217"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8"/>
                <w:szCs w:val="18"/>
              </w:rPr>
            </w:pPr>
            <w:r w:rsidRPr="00352CC7">
              <w:rPr>
                <w:rFonts w:ascii="Arial" w:hAnsi="Arial" w:cs="Arial"/>
                <w:b/>
                <w:bCs/>
                <w:sz w:val="18"/>
                <w:szCs w:val="18"/>
              </w:rPr>
              <w:t>Medication through tubes</w:t>
            </w:r>
          </w:p>
        </w:tc>
        <w:tc>
          <w:tcPr>
            <w:tcW w:w="1047" w:type="dxa"/>
            <w:vAlign w:val="center"/>
          </w:tcPr>
          <w:p w14:paraId="4BEC0AF3"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Yes</w:t>
            </w:r>
          </w:p>
        </w:tc>
        <w:tc>
          <w:tcPr>
            <w:tcW w:w="1136" w:type="dxa"/>
            <w:vAlign w:val="center"/>
          </w:tcPr>
          <w:p w14:paraId="396CEA03"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1.258</w:t>
            </w:r>
          </w:p>
        </w:tc>
        <w:tc>
          <w:tcPr>
            <w:tcW w:w="947" w:type="dxa"/>
            <w:vAlign w:val="center"/>
          </w:tcPr>
          <w:p w14:paraId="225A57D9"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0.704</w:t>
            </w:r>
          </w:p>
        </w:tc>
        <w:tc>
          <w:tcPr>
            <w:tcW w:w="993" w:type="dxa"/>
            <w:vAlign w:val="center"/>
          </w:tcPr>
          <w:p w14:paraId="7EE8E2BD"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3.194</w:t>
            </w:r>
          </w:p>
        </w:tc>
        <w:tc>
          <w:tcPr>
            <w:tcW w:w="852" w:type="dxa"/>
            <w:vAlign w:val="center"/>
          </w:tcPr>
          <w:p w14:paraId="474F74BB"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0.074</w:t>
            </w:r>
          </w:p>
        </w:tc>
        <w:tc>
          <w:tcPr>
            <w:tcW w:w="852" w:type="dxa"/>
            <w:vAlign w:val="center"/>
          </w:tcPr>
          <w:p w14:paraId="4E3DFE61"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-0.122</w:t>
            </w:r>
          </w:p>
        </w:tc>
        <w:tc>
          <w:tcPr>
            <w:tcW w:w="992" w:type="dxa"/>
            <w:vAlign w:val="center"/>
          </w:tcPr>
          <w:p w14:paraId="3B549DEA"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2.637</w:t>
            </w:r>
          </w:p>
        </w:tc>
        <w:tc>
          <w:tcPr>
            <w:tcW w:w="1134" w:type="dxa"/>
            <w:vAlign w:val="center"/>
          </w:tcPr>
          <w:p w14:paraId="383AE935"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3.517</w:t>
            </w:r>
          </w:p>
        </w:tc>
        <w:tc>
          <w:tcPr>
            <w:tcW w:w="1274" w:type="dxa"/>
            <w:vAlign w:val="center"/>
          </w:tcPr>
          <w:p w14:paraId="47116FDE"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0.885</w:t>
            </w:r>
          </w:p>
        </w:tc>
        <w:tc>
          <w:tcPr>
            <w:tcW w:w="1266" w:type="dxa"/>
            <w:vAlign w:val="center"/>
          </w:tcPr>
          <w:p w14:paraId="02FD7AC8"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13.968</w:t>
            </w:r>
          </w:p>
        </w:tc>
      </w:tr>
      <w:tr w:rsidR="00352CC7" w:rsidRPr="00352CC7" w14:paraId="496718AC" w14:textId="77777777" w:rsidTr="00DD08F0">
        <w:trPr>
          <w:trHeight w:val="283"/>
          <w:jc w:val="center"/>
        </w:trPr>
        <w:tc>
          <w:tcPr>
            <w:tcW w:w="2265" w:type="dxa"/>
            <w:shd w:val="clear" w:color="auto" w:fill="D9D9D9" w:themeFill="background1" w:themeFillShade="D9"/>
            <w:vAlign w:val="center"/>
          </w:tcPr>
          <w:p w14:paraId="52FA3B76"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8"/>
                <w:szCs w:val="18"/>
              </w:rPr>
            </w:pPr>
            <w:r w:rsidRPr="00352CC7">
              <w:rPr>
                <w:rFonts w:ascii="Arial" w:hAnsi="Arial" w:cs="Arial"/>
                <w:b/>
                <w:bCs/>
                <w:sz w:val="18"/>
                <w:szCs w:val="18"/>
              </w:rPr>
              <w:t>Potentially dangerous medication</w:t>
            </w:r>
          </w:p>
        </w:tc>
        <w:tc>
          <w:tcPr>
            <w:tcW w:w="1047" w:type="dxa"/>
            <w:shd w:val="clear" w:color="auto" w:fill="D9D9D9" w:themeFill="background1" w:themeFillShade="D9"/>
            <w:vAlign w:val="center"/>
          </w:tcPr>
          <w:p w14:paraId="64C80B30"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Yes</w:t>
            </w:r>
          </w:p>
        </w:tc>
        <w:tc>
          <w:tcPr>
            <w:tcW w:w="1136" w:type="dxa"/>
            <w:shd w:val="clear" w:color="auto" w:fill="D9D9D9" w:themeFill="background1" w:themeFillShade="D9"/>
            <w:vAlign w:val="center"/>
          </w:tcPr>
          <w:p w14:paraId="69620ACC"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0.718</w:t>
            </w:r>
          </w:p>
        </w:tc>
        <w:tc>
          <w:tcPr>
            <w:tcW w:w="947" w:type="dxa"/>
            <w:shd w:val="clear" w:color="auto" w:fill="D9D9D9" w:themeFill="background1" w:themeFillShade="D9"/>
            <w:vAlign w:val="center"/>
          </w:tcPr>
          <w:p w14:paraId="7145368F"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0.262</w:t>
            </w:r>
          </w:p>
        </w:tc>
        <w:tc>
          <w:tcPr>
            <w:tcW w:w="993" w:type="dxa"/>
            <w:shd w:val="clear" w:color="auto" w:fill="D9D9D9" w:themeFill="background1" w:themeFillShade="D9"/>
            <w:vAlign w:val="center"/>
          </w:tcPr>
          <w:p w14:paraId="074AEEDC"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7.511</w:t>
            </w:r>
          </w:p>
        </w:tc>
        <w:tc>
          <w:tcPr>
            <w:tcW w:w="852" w:type="dxa"/>
            <w:shd w:val="clear" w:color="auto" w:fill="D9D9D9" w:themeFill="background1" w:themeFillShade="D9"/>
            <w:vAlign w:val="center"/>
          </w:tcPr>
          <w:p w14:paraId="60BA1868"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0.006</w:t>
            </w:r>
          </w:p>
        </w:tc>
        <w:tc>
          <w:tcPr>
            <w:tcW w:w="852" w:type="dxa"/>
            <w:shd w:val="clear" w:color="auto" w:fill="D9D9D9" w:themeFill="background1" w:themeFillShade="D9"/>
            <w:vAlign w:val="center"/>
          </w:tcPr>
          <w:p w14:paraId="5E47273E"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0.205</w:t>
            </w:r>
          </w:p>
        </w:tc>
        <w:tc>
          <w:tcPr>
            <w:tcW w:w="992" w:type="dxa"/>
            <w:shd w:val="clear" w:color="auto" w:fill="D9D9D9" w:themeFill="background1" w:themeFillShade="D9"/>
            <w:vAlign w:val="center"/>
          </w:tcPr>
          <w:p w14:paraId="6AB97114"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1.232</w:t>
            </w:r>
          </w:p>
        </w:tc>
        <w:tc>
          <w:tcPr>
            <w:tcW w:w="1134" w:type="dxa"/>
            <w:shd w:val="clear" w:color="auto" w:fill="D9D9D9" w:themeFill="background1" w:themeFillShade="D9"/>
            <w:vAlign w:val="center"/>
          </w:tcPr>
          <w:p w14:paraId="6733FA42"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2.051</w:t>
            </w:r>
          </w:p>
        </w:tc>
        <w:tc>
          <w:tcPr>
            <w:tcW w:w="1274" w:type="dxa"/>
            <w:shd w:val="clear" w:color="auto" w:fill="D9D9D9" w:themeFill="background1" w:themeFillShade="D9"/>
            <w:vAlign w:val="center"/>
          </w:tcPr>
          <w:p w14:paraId="5014A8B1"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1.227</w:t>
            </w:r>
          </w:p>
        </w:tc>
        <w:tc>
          <w:tcPr>
            <w:tcW w:w="1266" w:type="dxa"/>
            <w:shd w:val="clear" w:color="auto" w:fill="D9D9D9" w:themeFill="background1" w:themeFillShade="D9"/>
            <w:vAlign w:val="center"/>
          </w:tcPr>
          <w:p w14:paraId="43986BA9"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3.429</w:t>
            </w:r>
          </w:p>
        </w:tc>
      </w:tr>
      <w:tr w:rsidR="00352CC7" w:rsidRPr="00352CC7" w14:paraId="48EA3A6B" w14:textId="77777777" w:rsidTr="00DD08F0">
        <w:trPr>
          <w:trHeight w:val="283"/>
          <w:jc w:val="center"/>
        </w:trPr>
        <w:tc>
          <w:tcPr>
            <w:tcW w:w="2265" w:type="dxa"/>
            <w:vAlign w:val="center"/>
          </w:tcPr>
          <w:p w14:paraId="132A5601" w14:textId="300AE619"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8"/>
                <w:szCs w:val="18"/>
              </w:rPr>
            </w:pPr>
            <w:r w:rsidRPr="00352CC7">
              <w:rPr>
                <w:rFonts w:ascii="Arial" w:hAnsi="Arial" w:cs="Arial"/>
                <w:b/>
                <w:bCs/>
                <w:sz w:val="18"/>
                <w:szCs w:val="18"/>
              </w:rPr>
              <w:t xml:space="preserve">Medication </w:t>
            </w:r>
            <w:r w:rsidR="005C43D9">
              <w:rPr>
                <w:rFonts w:ascii="Arial" w:hAnsi="Arial" w:cs="Arial"/>
                <w:b/>
                <w:bCs/>
                <w:sz w:val="18"/>
                <w:szCs w:val="18"/>
              </w:rPr>
              <w:t>conciliation</w:t>
            </w:r>
          </w:p>
        </w:tc>
        <w:tc>
          <w:tcPr>
            <w:tcW w:w="1047" w:type="dxa"/>
            <w:vAlign w:val="center"/>
          </w:tcPr>
          <w:p w14:paraId="5A321DD5"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Yes</w:t>
            </w:r>
          </w:p>
        </w:tc>
        <w:tc>
          <w:tcPr>
            <w:tcW w:w="1136" w:type="dxa"/>
            <w:vAlign w:val="center"/>
          </w:tcPr>
          <w:p w14:paraId="4FAF5A6E"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0.276</w:t>
            </w:r>
          </w:p>
        </w:tc>
        <w:tc>
          <w:tcPr>
            <w:tcW w:w="947" w:type="dxa"/>
            <w:vAlign w:val="center"/>
          </w:tcPr>
          <w:p w14:paraId="152D16F0"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0.429</w:t>
            </w:r>
          </w:p>
        </w:tc>
        <w:tc>
          <w:tcPr>
            <w:tcW w:w="993" w:type="dxa"/>
            <w:vAlign w:val="center"/>
          </w:tcPr>
          <w:p w14:paraId="7DD5BB04"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0.413</w:t>
            </w:r>
          </w:p>
        </w:tc>
        <w:tc>
          <w:tcPr>
            <w:tcW w:w="852" w:type="dxa"/>
            <w:vAlign w:val="center"/>
          </w:tcPr>
          <w:p w14:paraId="0B7493C0"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0.520</w:t>
            </w:r>
          </w:p>
        </w:tc>
        <w:tc>
          <w:tcPr>
            <w:tcW w:w="852" w:type="dxa"/>
            <w:vAlign w:val="center"/>
          </w:tcPr>
          <w:p w14:paraId="1254D3A4"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-0.565</w:t>
            </w:r>
          </w:p>
        </w:tc>
        <w:tc>
          <w:tcPr>
            <w:tcW w:w="992" w:type="dxa"/>
            <w:vAlign w:val="center"/>
          </w:tcPr>
          <w:p w14:paraId="5B47F878"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1.116</w:t>
            </w:r>
          </w:p>
        </w:tc>
        <w:tc>
          <w:tcPr>
            <w:tcW w:w="1134" w:type="dxa"/>
            <w:vAlign w:val="center"/>
          </w:tcPr>
          <w:p w14:paraId="7313EEC7"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1.318</w:t>
            </w:r>
          </w:p>
        </w:tc>
        <w:tc>
          <w:tcPr>
            <w:tcW w:w="1274" w:type="dxa"/>
            <w:vAlign w:val="center"/>
          </w:tcPr>
          <w:p w14:paraId="5EBC4AAB"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0.568</w:t>
            </w:r>
          </w:p>
        </w:tc>
        <w:tc>
          <w:tcPr>
            <w:tcW w:w="1266" w:type="dxa"/>
            <w:vAlign w:val="center"/>
          </w:tcPr>
          <w:p w14:paraId="78895E0E"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3.054</w:t>
            </w:r>
          </w:p>
        </w:tc>
      </w:tr>
      <w:tr w:rsidR="00352CC7" w:rsidRPr="00352CC7" w14:paraId="1D06C932" w14:textId="77777777" w:rsidTr="00DD08F0">
        <w:trPr>
          <w:trHeight w:val="283"/>
          <w:jc w:val="center"/>
        </w:trPr>
        <w:tc>
          <w:tcPr>
            <w:tcW w:w="2265" w:type="dxa"/>
            <w:shd w:val="clear" w:color="auto" w:fill="D9D9D9" w:themeFill="background1" w:themeFillShade="D9"/>
            <w:vAlign w:val="center"/>
          </w:tcPr>
          <w:p w14:paraId="5CCFF41C"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8"/>
                <w:szCs w:val="18"/>
              </w:rPr>
            </w:pPr>
            <w:r w:rsidRPr="00352CC7">
              <w:rPr>
                <w:rFonts w:ascii="Arial" w:hAnsi="Arial" w:cs="Arial"/>
                <w:b/>
                <w:bCs/>
                <w:sz w:val="18"/>
                <w:szCs w:val="18"/>
              </w:rPr>
              <w:t>Modified SOFA score</w:t>
            </w:r>
          </w:p>
        </w:tc>
        <w:tc>
          <w:tcPr>
            <w:tcW w:w="1047" w:type="dxa"/>
            <w:shd w:val="clear" w:color="auto" w:fill="D9D9D9" w:themeFill="background1" w:themeFillShade="D9"/>
            <w:vAlign w:val="center"/>
          </w:tcPr>
          <w:p w14:paraId="30D4BCD3"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w:t>
            </w:r>
          </w:p>
        </w:tc>
        <w:tc>
          <w:tcPr>
            <w:tcW w:w="1136" w:type="dxa"/>
            <w:shd w:val="clear" w:color="auto" w:fill="D9D9D9" w:themeFill="background1" w:themeFillShade="D9"/>
            <w:vAlign w:val="center"/>
          </w:tcPr>
          <w:p w14:paraId="6C5CBEA5"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-0.159</w:t>
            </w:r>
          </w:p>
        </w:tc>
        <w:tc>
          <w:tcPr>
            <w:tcW w:w="947" w:type="dxa"/>
            <w:shd w:val="clear" w:color="auto" w:fill="D9D9D9" w:themeFill="background1" w:themeFillShade="D9"/>
            <w:vAlign w:val="center"/>
          </w:tcPr>
          <w:p w14:paraId="3D0AB188"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0.067</w:t>
            </w:r>
          </w:p>
        </w:tc>
        <w:tc>
          <w:tcPr>
            <w:tcW w:w="993" w:type="dxa"/>
            <w:shd w:val="clear" w:color="auto" w:fill="D9D9D9" w:themeFill="background1" w:themeFillShade="D9"/>
            <w:vAlign w:val="center"/>
          </w:tcPr>
          <w:p w14:paraId="5E499655"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5.585</w:t>
            </w:r>
          </w:p>
        </w:tc>
        <w:tc>
          <w:tcPr>
            <w:tcW w:w="852" w:type="dxa"/>
            <w:shd w:val="clear" w:color="auto" w:fill="D9D9D9" w:themeFill="background1" w:themeFillShade="D9"/>
            <w:vAlign w:val="center"/>
          </w:tcPr>
          <w:p w14:paraId="4819123F"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0.018</w:t>
            </w:r>
          </w:p>
        </w:tc>
        <w:tc>
          <w:tcPr>
            <w:tcW w:w="852" w:type="dxa"/>
            <w:shd w:val="clear" w:color="auto" w:fill="D9D9D9" w:themeFill="background1" w:themeFillShade="D9"/>
            <w:vAlign w:val="center"/>
          </w:tcPr>
          <w:p w14:paraId="04DDCCCA"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-0.291</w:t>
            </w:r>
          </w:p>
        </w:tc>
        <w:tc>
          <w:tcPr>
            <w:tcW w:w="992" w:type="dxa"/>
            <w:shd w:val="clear" w:color="auto" w:fill="D9D9D9" w:themeFill="background1" w:themeFillShade="D9"/>
            <w:vAlign w:val="center"/>
          </w:tcPr>
          <w:p w14:paraId="4C0602F3"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-0.027</w:t>
            </w:r>
          </w:p>
        </w:tc>
        <w:tc>
          <w:tcPr>
            <w:tcW w:w="1134" w:type="dxa"/>
            <w:shd w:val="clear" w:color="auto" w:fill="D9D9D9" w:themeFill="background1" w:themeFillShade="D9"/>
            <w:vAlign w:val="center"/>
          </w:tcPr>
          <w:p w14:paraId="1DAC0C81"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0.853</w:t>
            </w:r>
          </w:p>
        </w:tc>
        <w:tc>
          <w:tcPr>
            <w:tcW w:w="1274" w:type="dxa"/>
            <w:shd w:val="clear" w:color="auto" w:fill="D9D9D9" w:themeFill="background1" w:themeFillShade="D9"/>
            <w:vAlign w:val="center"/>
          </w:tcPr>
          <w:p w14:paraId="6C687DBD"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0.747</w:t>
            </w:r>
          </w:p>
        </w:tc>
        <w:tc>
          <w:tcPr>
            <w:tcW w:w="1266" w:type="dxa"/>
            <w:shd w:val="clear" w:color="auto" w:fill="D9D9D9" w:themeFill="background1" w:themeFillShade="D9"/>
            <w:vAlign w:val="center"/>
          </w:tcPr>
          <w:p w14:paraId="7FACA36F"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0.973</w:t>
            </w:r>
          </w:p>
        </w:tc>
      </w:tr>
      <w:tr w:rsidR="00352CC7" w:rsidRPr="00352CC7" w14:paraId="75971849" w14:textId="77777777" w:rsidTr="00DD08F0">
        <w:trPr>
          <w:trHeight w:val="283"/>
          <w:jc w:val="center"/>
        </w:trPr>
        <w:tc>
          <w:tcPr>
            <w:tcW w:w="2265" w:type="dxa"/>
            <w:vAlign w:val="center"/>
          </w:tcPr>
          <w:p w14:paraId="28613DFC"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8"/>
                <w:szCs w:val="18"/>
              </w:rPr>
            </w:pPr>
            <w:r w:rsidRPr="00352CC7">
              <w:rPr>
                <w:rFonts w:ascii="Arial" w:hAnsi="Arial" w:cs="Arial"/>
                <w:b/>
                <w:bCs/>
                <w:sz w:val="18"/>
                <w:szCs w:val="18"/>
              </w:rPr>
              <w:t>Weeks of admission</w:t>
            </w:r>
          </w:p>
        </w:tc>
        <w:tc>
          <w:tcPr>
            <w:tcW w:w="1047" w:type="dxa"/>
            <w:vAlign w:val="center"/>
          </w:tcPr>
          <w:p w14:paraId="3593B694"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poly(, 3)1</w:t>
            </w:r>
          </w:p>
        </w:tc>
        <w:tc>
          <w:tcPr>
            <w:tcW w:w="1136" w:type="dxa"/>
            <w:vAlign w:val="center"/>
          </w:tcPr>
          <w:p w14:paraId="7ED010EC"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-10.774</w:t>
            </w:r>
          </w:p>
        </w:tc>
        <w:tc>
          <w:tcPr>
            <w:tcW w:w="947" w:type="dxa"/>
            <w:vAlign w:val="center"/>
          </w:tcPr>
          <w:p w14:paraId="0F2620AD"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2.832</w:t>
            </w:r>
          </w:p>
        </w:tc>
        <w:tc>
          <w:tcPr>
            <w:tcW w:w="993" w:type="dxa"/>
            <w:vAlign w:val="center"/>
          </w:tcPr>
          <w:p w14:paraId="44C058E6"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14.473</w:t>
            </w:r>
          </w:p>
        </w:tc>
        <w:tc>
          <w:tcPr>
            <w:tcW w:w="852" w:type="dxa"/>
            <w:vAlign w:val="center"/>
          </w:tcPr>
          <w:p w14:paraId="221F5768"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0.000</w:t>
            </w:r>
          </w:p>
        </w:tc>
        <w:tc>
          <w:tcPr>
            <w:tcW w:w="852" w:type="dxa"/>
            <w:vAlign w:val="center"/>
          </w:tcPr>
          <w:p w14:paraId="2769012E"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-16.324</w:t>
            </w:r>
          </w:p>
        </w:tc>
        <w:tc>
          <w:tcPr>
            <w:tcW w:w="992" w:type="dxa"/>
            <w:vAlign w:val="center"/>
          </w:tcPr>
          <w:p w14:paraId="025F17BC"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-5.223</w:t>
            </w:r>
          </w:p>
        </w:tc>
        <w:tc>
          <w:tcPr>
            <w:tcW w:w="1134" w:type="dxa"/>
            <w:vAlign w:val="center"/>
          </w:tcPr>
          <w:p w14:paraId="151E287E"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0.000</w:t>
            </w:r>
          </w:p>
        </w:tc>
        <w:tc>
          <w:tcPr>
            <w:tcW w:w="1274" w:type="dxa"/>
            <w:vAlign w:val="center"/>
          </w:tcPr>
          <w:p w14:paraId="41042F29"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0.000</w:t>
            </w:r>
          </w:p>
        </w:tc>
        <w:tc>
          <w:tcPr>
            <w:tcW w:w="1266" w:type="dxa"/>
            <w:vAlign w:val="center"/>
          </w:tcPr>
          <w:p w14:paraId="58920A04"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0.005</w:t>
            </w:r>
          </w:p>
        </w:tc>
      </w:tr>
      <w:tr w:rsidR="00352CC7" w:rsidRPr="00352CC7" w14:paraId="170B66AC" w14:textId="77777777" w:rsidTr="00DD08F0">
        <w:trPr>
          <w:trHeight w:val="283"/>
          <w:jc w:val="center"/>
        </w:trPr>
        <w:tc>
          <w:tcPr>
            <w:tcW w:w="2265" w:type="dxa"/>
            <w:shd w:val="clear" w:color="auto" w:fill="D9D9D9" w:themeFill="background1" w:themeFillShade="D9"/>
            <w:vAlign w:val="center"/>
          </w:tcPr>
          <w:p w14:paraId="408BAABF"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8"/>
                <w:szCs w:val="18"/>
              </w:rPr>
            </w:pPr>
            <w:r w:rsidRPr="00352CC7">
              <w:rPr>
                <w:rFonts w:ascii="Arial" w:hAnsi="Arial" w:cs="Arial"/>
                <w:b/>
                <w:bCs/>
                <w:sz w:val="18"/>
                <w:szCs w:val="18"/>
              </w:rPr>
              <w:t>-</w:t>
            </w:r>
          </w:p>
        </w:tc>
        <w:tc>
          <w:tcPr>
            <w:tcW w:w="1047" w:type="dxa"/>
            <w:shd w:val="clear" w:color="auto" w:fill="D9D9D9" w:themeFill="background1" w:themeFillShade="D9"/>
            <w:vAlign w:val="center"/>
          </w:tcPr>
          <w:p w14:paraId="49222F89"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poly(, 3)2</w:t>
            </w:r>
          </w:p>
        </w:tc>
        <w:tc>
          <w:tcPr>
            <w:tcW w:w="1136" w:type="dxa"/>
            <w:shd w:val="clear" w:color="auto" w:fill="D9D9D9" w:themeFill="background1" w:themeFillShade="D9"/>
            <w:vAlign w:val="center"/>
          </w:tcPr>
          <w:p w14:paraId="3F8685EB"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3.894</w:t>
            </w:r>
          </w:p>
        </w:tc>
        <w:tc>
          <w:tcPr>
            <w:tcW w:w="947" w:type="dxa"/>
            <w:shd w:val="clear" w:color="auto" w:fill="D9D9D9" w:themeFill="background1" w:themeFillShade="D9"/>
            <w:vAlign w:val="center"/>
          </w:tcPr>
          <w:p w14:paraId="26CC5879"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3.151</w:t>
            </w:r>
          </w:p>
        </w:tc>
        <w:tc>
          <w:tcPr>
            <w:tcW w:w="993" w:type="dxa"/>
            <w:shd w:val="clear" w:color="auto" w:fill="D9D9D9" w:themeFill="background1" w:themeFillShade="D9"/>
            <w:vAlign w:val="center"/>
          </w:tcPr>
          <w:p w14:paraId="086AD41B"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1.527</w:t>
            </w:r>
          </w:p>
        </w:tc>
        <w:tc>
          <w:tcPr>
            <w:tcW w:w="852" w:type="dxa"/>
            <w:shd w:val="clear" w:color="auto" w:fill="D9D9D9" w:themeFill="background1" w:themeFillShade="D9"/>
            <w:vAlign w:val="center"/>
          </w:tcPr>
          <w:p w14:paraId="0557C17D"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0.217</w:t>
            </w:r>
          </w:p>
        </w:tc>
        <w:tc>
          <w:tcPr>
            <w:tcW w:w="852" w:type="dxa"/>
            <w:shd w:val="clear" w:color="auto" w:fill="D9D9D9" w:themeFill="background1" w:themeFillShade="D9"/>
            <w:vAlign w:val="center"/>
          </w:tcPr>
          <w:p w14:paraId="12A69C4C"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-2.283</w:t>
            </w:r>
          </w:p>
        </w:tc>
        <w:tc>
          <w:tcPr>
            <w:tcW w:w="992" w:type="dxa"/>
            <w:shd w:val="clear" w:color="auto" w:fill="D9D9D9" w:themeFill="background1" w:themeFillShade="D9"/>
            <w:vAlign w:val="center"/>
          </w:tcPr>
          <w:p w14:paraId="1CC6D8D1"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10.070</w:t>
            </w:r>
          </w:p>
        </w:tc>
        <w:tc>
          <w:tcPr>
            <w:tcW w:w="1134" w:type="dxa"/>
            <w:shd w:val="clear" w:color="auto" w:fill="D9D9D9" w:themeFill="background1" w:themeFillShade="D9"/>
            <w:vAlign w:val="center"/>
          </w:tcPr>
          <w:p w14:paraId="13788F2A"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49.098</w:t>
            </w:r>
          </w:p>
        </w:tc>
        <w:tc>
          <w:tcPr>
            <w:tcW w:w="1274" w:type="dxa"/>
            <w:shd w:val="clear" w:color="auto" w:fill="D9D9D9" w:themeFill="background1" w:themeFillShade="D9"/>
            <w:vAlign w:val="center"/>
          </w:tcPr>
          <w:p w14:paraId="1318EB71"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0.102</w:t>
            </w:r>
          </w:p>
        </w:tc>
        <w:tc>
          <w:tcPr>
            <w:tcW w:w="1266" w:type="dxa"/>
            <w:shd w:val="clear" w:color="auto" w:fill="D9D9D9" w:themeFill="background1" w:themeFillShade="D9"/>
            <w:vAlign w:val="center"/>
          </w:tcPr>
          <w:p w14:paraId="3E0D15D5"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23,630.163</w:t>
            </w:r>
          </w:p>
        </w:tc>
      </w:tr>
      <w:tr w:rsidR="00352CC7" w:rsidRPr="00352CC7" w14:paraId="7B412595" w14:textId="77777777" w:rsidTr="00DD08F0">
        <w:trPr>
          <w:trHeight w:val="283"/>
          <w:jc w:val="center"/>
        </w:trPr>
        <w:tc>
          <w:tcPr>
            <w:tcW w:w="2265" w:type="dxa"/>
            <w:vAlign w:val="center"/>
          </w:tcPr>
          <w:p w14:paraId="2B6E833E"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8"/>
                <w:szCs w:val="18"/>
              </w:rPr>
            </w:pPr>
            <w:r w:rsidRPr="00352CC7">
              <w:rPr>
                <w:rFonts w:ascii="Arial" w:hAnsi="Arial" w:cs="Arial"/>
                <w:b/>
                <w:bCs/>
                <w:sz w:val="18"/>
                <w:szCs w:val="18"/>
              </w:rPr>
              <w:t>-</w:t>
            </w:r>
          </w:p>
        </w:tc>
        <w:tc>
          <w:tcPr>
            <w:tcW w:w="1047" w:type="dxa"/>
            <w:vAlign w:val="center"/>
          </w:tcPr>
          <w:p w14:paraId="49ADA230"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poly(, 3)3</w:t>
            </w:r>
          </w:p>
        </w:tc>
        <w:tc>
          <w:tcPr>
            <w:tcW w:w="1136" w:type="dxa"/>
            <w:vAlign w:val="center"/>
          </w:tcPr>
          <w:p w14:paraId="2533DBEA"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-4.907</w:t>
            </w:r>
          </w:p>
        </w:tc>
        <w:tc>
          <w:tcPr>
            <w:tcW w:w="947" w:type="dxa"/>
            <w:vAlign w:val="center"/>
          </w:tcPr>
          <w:p w14:paraId="518856A1"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2.831</w:t>
            </w:r>
          </w:p>
        </w:tc>
        <w:tc>
          <w:tcPr>
            <w:tcW w:w="993" w:type="dxa"/>
            <w:vAlign w:val="center"/>
          </w:tcPr>
          <w:p w14:paraId="76704849"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3.005</w:t>
            </w:r>
          </w:p>
        </w:tc>
        <w:tc>
          <w:tcPr>
            <w:tcW w:w="852" w:type="dxa"/>
            <w:vAlign w:val="center"/>
          </w:tcPr>
          <w:p w14:paraId="4C9204A4"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0.083</w:t>
            </w:r>
          </w:p>
        </w:tc>
        <w:tc>
          <w:tcPr>
            <w:tcW w:w="852" w:type="dxa"/>
            <w:vAlign w:val="center"/>
          </w:tcPr>
          <w:p w14:paraId="18C8E59E"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-10.456</w:t>
            </w:r>
          </w:p>
        </w:tc>
        <w:tc>
          <w:tcPr>
            <w:tcW w:w="992" w:type="dxa"/>
            <w:vAlign w:val="center"/>
          </w:tcPr>
          <w:p w14:paraId="6E1D904C"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0.641</w:t>
            </w:r>
          </w:p>
        </w:tc>
        <w:tc>
          <w:tcPr>
            <w:tcW w:w="1134" w:type="dxa"/>
            <w:vAlign w:val="center"/>
          </w:tcPr>
          <w:p w14:paraId="7F35B2C2"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0.007</w:t>
            </w:r>
          </w:p>
        </w:tc>
        <w:tc>
          <w:tcPr>
            <w:tcW w:w="1274" w:type="dxa"/>
            <w:vAlign w:val="center"/>
          </w:tcPr>
          <w:p w14:paraId="4A17C61F"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0.000</w:t>
            </w:r>
          </w:p>
        </w:tc>
        <w:tc>
          <w:tcPr>
            <w:tcW w:w="1266" w:type="dxa"/>
            <w:vAlign w:val="center"/>
          </w:tcPr>
          <w:p w14:paraId="0D1860AB"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1.899</w:t>
            </w:r>
          </w:p>
        </w:tc>
      </w:tr>
      <w:tr w:rsidR="00352CC7" w:rsidRPr="00352CC7" w14:paraId="747B2460" w14:textId="77777777" w:rsidTr="00DD08F0">
        <w:trPr>
          <w:trHeight w:val="283"/>
          <w:jc w:val="center"/>
        </w:trPr>
        <w:tc>
          <w:tcPr>
            <w:tcW w:w="2265" w:type="dxa"/>
            <w:tcBorders>
              <w:bottom w:val="single" w:sz="18" w:space="0" w:color="auto"/>
            </w:tcBorders>
            <w:shd w:val="clear" w:color="auto" w:fill="D9D9D9" w:themeFill="background1" w:themeFillShade="D9"/>
            <w:vAlign w:val="center"/>
          </w:tcPr>
          <w:p w14:paraId="0D4BBE71" w14:textId="40BD301A"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eastAsia="Arial" w:hAnsi="Arial" w:cs="Arial"/>
                <w:b/>
                <w:bCs/>
                <w:color w:val="000000" w:themeColor="text1"/>
                <w:sz w:val="18"/>
                <w:szCs w:val="18"/>
              </w:rPr>
            </w:pPr>
            <w:r w:rsidRPr="00352CC7">
              <w:rPr>
                <w:rFonts w:ascii="Arial" w:hAnsi="Arial" w:cs="Arial"/>
                <w:b/>
                <w:bCs/>
                <w:sz w:val="18"/>
                <w:szCs w:val="18"/>
              </w:rPr>
              <w:t xml:space="preserve">Medication </w:t>
            </w:r>
            <w:r w:rsidR="005C43D9">
              <w:rPr>
                <w:rFonts w:ascii="Arial" w:hAnsi="Arial" w:cs="Arial"/>
                <w:b/>
                <w:bCs/>
                <w:sz w:val="18"/>
                <w:szCs w:val="18"/>
              </w:rPr>
              <w:t>conciliation</w:t>
            </w:r>
            <w:r w:rsidRPr="00352CC7">
              <w:rPr>
                <w:rFonts w:ascii="Arial" w:hAnsi="Arial" w:cs="Arial"/>
                <w:b/>
                <w:bCs/>
                <w:sz w:val="18"/>
                <w:szCs w:val="18"/>
              </w:rPr>
              <w:t>: Modified SOFA score</w:t>
            </w:r>
          </w:p>
        </w:tc>
        <w:tc>
          <w:tcPr>
            <w:tcW w:w="1047" w:type="dxa"/>
            <w:tcBorders>
              <w:bottom w:val="single" w:sz="18" w:space="0" w:color="auto"/>
            </w:tcBorders>
            <w:shd w:val="clear" w:color="auto" w:fill="D9D9D9" w:themeFill="background1" w:themeFillShade="D9"/>
            <w:vAlign w:val="center"/>
          </w:tcPr>
          <w:p w14:paraId="2DD5AB86"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eastAsia="Arial" w:hAnsi="Arial" w:cs="Arial"/>
                <w:color w:val="000000" w:themeColor="text1"/>
                <w:sz w:val="18"/>
                <w:szCs w:val="18"/>
              </w:rPr>
            </w:pPr>
            <w:r w:rsidRPr="00352CC7">
              <w:rPr>
                <w:rFonts w:ascii="Arial" w:hAnsi="Arial" w:cs="Arial"/>
                <w:sz w:val="18"/>
                <w:szCs w:val="18"/>
              </w:rPr>
              <w:t>-</w:t>
            </w:r>
          </w:p>
        </w:tc>
        <w:tc>
          <w:tcPr>
            <w:tcW w:w="1136" w:type="dxa"/>
            <w:tcBorders>
              <w:bottom w:val="single" w:sz="18" w:space="0" w:color="auto"/>
            </w:tcBorders>
            <w:shd w:val="clear" w:color="auto" w:fill="D9D9D9" w:themeFill="background1" w:themeFillShade="D9"/>
            <w:vAlign w:val="center"/>
          </w:tcPr>
          <w:p w14:paraId="79220F8A"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eastAsia="Arial" w:hAnsi="Arial" w:cs="Arial"/>
                <w:color w:val="000000" w:themeColor="text1"/>
                <w:sz w:val="18"/>
                <w:szCs w:val="18"/>
              </w:rPr>
            </w:pPr>
            <w:r w:rsidRPr="00352CC7">
              <w:rPr>
                <w:rFonts w:ascii="Arial" w:hAnsi="Arial" w:cs="Arial"/>
                <w:sz w:val="18"/>
                <w:szCs w:val="18"/>
              </w:rPr>
              <w:t>0.417</w:t>
            </w:r>
          </w:p>
        </w:tc>
        <w:tc>
          <w:tcPr>
            <w:tcW w:w="947" w:type="dxa"/>
            <w:tcBorders>
              <w:bottom w:val="single" w:sz="18" w:space="0" w:color="auto"/>
            </w:tcBorders>
            <w:shd w:val="clear" w:color="auto" w:fill="D9D9D9" w:themeFill="background1" w:themeFillShade="D9"/>
            <w:vAlign w:val="center"/>
          </w:tcPr>
          <w:p w14:paraId="2ABB1580"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eastAsia="Arial" w:hAnsi="Arial" w:cs="Arial"/>
                <w:color w:val="000000" w:themeColor="text1"/>
                <w:sz w:val="18"/>
                <w:szCs w:val="18"/>
              </w:rPr>
            </w:pPr>
            <w:r w:rsidRPr="00352CC7">
              <w:rPr>
                <w:rFonts w:ascii="Arial" w:hAnsi="Arial" w:cs="Arial"/>
                <w:sz w:val="18"/>
                <w:szCs w:val="18"/>
              </w:rPr>
              <w:t>0.197</w:t>
            </w:r>
          </w:p>
        </w:tc>
        <w:tc>
          <w:tcPr>
            <w:tcW w:w="993" w:type="dxa"/>
            <w:tcBorders>
              <w:bottom w:val="single" w:sz="18" w:space="0" w:color="auto"/>
            </w:tcBorders>
            <w:shd w:val="clear" w:color="auto" w:fill="D9D9D9" w:themeFill="background1" w:themeFillShade="D9"/>
            <w:vAlign w:val="center"/>
          </w:tcPr>
          <w:p w14:paraId="6634866C"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eastAsia="Arial" w:hAnsi="Arial" w:cs="Arial"/>
                <w:color w:val="000000" w:themeColor="text1"/>
                <w:sz w:val="18"/>
                <w:szCs w:val="18"/>
              </w:rPr>
            </w:pPr>
            <w:r w:rsidRPr="00352CC7">
              <w:rPr>
                <w:rFonts w:ascii="Arial" w:hAnsi="Arial" w:cs="Arial"/>
                <w:sz w:val="18"/>
                <w:szCs w:val="18"/>
              </w:rPr>
              <w:t>4.464</w:t>
            </w:r>
          </w:p>
        </w:tc>
        <w:tc>
          <w:tcPr>
            <w:tcW w:w="852" w:type="dxa"/>
            <w:tcBorders>
              <w:bottom w:val="single" w:sz="18" w:space="0" w:color="auto"/>
            </w:tcBorders>
            <w:shd w:val="clear" w:color="auto" w:fill="D9D9D9" w:themeFill="background1" w:themeFillShade="D9"/>
            <w:vAlign w:val="center"/>
          </w:tcPr>
          <w:p w14:paraId="0815BC8C"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eastAsia="Arial" w:hAnsi="Arial" w:cs="Arial"/>
                <w:color w:val="000000" w:themeColor="text1"/>
                <w:sz w:val="18"/>
                <w:szCs w:val="18"/>
              </w:rPr>
            </w:pPr>
            <w:r w:rsidRPr="00352CC7">
              <w:rPr>
                <w:rFonts w:ascii="Arial" w:hAnsi="Arial" w:cs="Arial"/>
                <w:sz w:val="18"/>
                <w:szCs w:val="18"/>
              </w:rPr>
              <w:t>0.035</w:t>
            </w:r>
          </w:p>
        </w:tc>
        <w:tc>
          <w:tcPr>
            <w:tcW w:w="852" w:type="dxa"/>
            <w:tcBorders>
              <w:bottom w:val="single" w:sz="18" w:space="0" w:color="auto"/>
            </w:tcBorders>
            <w:shd w:val="clear" w:color="auto" w:fill="D9D9D9" w:themeFill="background1" w:themeFillShade="D9"/>
            <w:vAlign w:val="center"/>
          </w:tcPr>
          <w:p w14:paraId="44EEFC22"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eastAsia="Arial" w:hAnsi="Arial" w:cs="Arial"/>
                <w:color w:val="000000" w:themeColor="text1"/>
                <w:sz w:val="18"/>
                <w:szCs w:val="18"/>
              </w:rPr>
            </w:pPr>
            <w:r w:rsidRPr="00352CC7">
              <w:rPr>
                <w:rFonts w:ascii="Arial" w:hAnsi="Arial" w:cs="Arial"/>
                <w:sz w:val="18"/>
                <w:szCs w:val="18"/>
              </w:rPr>
              <w:t>0.030</w:t>
            </w:r>
          </w:p>
        </w:tc>
        <w:tc>
          <w:tcPr>
            <w:tcW w:w="992" w:type="dxa"/>
            <w:tcBorders>
              <w:bottom w:val="single" w:sz="18" w:space="0" w:color="auto"/>
            </w:tcBorders>
            <w:shd w:val="clear" w:color="auto" w:fill="D9D9D9" w:themeFill="background1" w:themeFillShade="D9"/>
            <w:vAlign w:val="center"/>
          </w:tcPr>
          <w:p w14:paraId="1F4B83D0"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eastAsia="Arial" w:hAnsi="Arial" w:cs="Arial"/>
                <w:color w:val="000000" w:themeColor="text1"/>
                <w:sz w:val="18"/>
                <w:szCs w:val="18"/>
              </w:rPr>
            </w:pPr>
            <w:r w:rsidRPr="00352CC7">
              <w:rPr>
                <w:rFonts w:ascii="Arial" w:hAnsi="Arial" w:cs="Arial"/>
                <w:sz w:val="18"/>
                <w:szCs w:val="18"/>
              </w:rPr>
              <w:t>0.804</w:t>
            </w:r>
          </w:p>
        </w:tc>
        <w:tc>
          <w:tcPr>
            <w:tcW w:w="1134" w:type="dxa"/>
            <w:tcBorders>
              <w:bottom w:val="single" w:sz="18" w:space="0" w:color="auto"/>
            </w:tcBorders>
            <w:shd w:val="clear" w:color="auto" w:fill="D9D9D9" w:themeFill="background1" w:themeFillShade="D9"/>
            <w:vAlign w:val="center"/>
          </w:tcPr>
          <w:p w14:paraId="2F0C85C6"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eastAsia="Arial" w:hAnsi="Arial" w:cs="Arial"/>
                <w:color w:val="000000" w:themeColor="text1"/>
                <w:sz w:val="18"/>
                <w:szCs w:val="18"/>
              </w:rPr>
            </w:pPr>
            <w:r w:rsidRPr="00352CC7">
              <w:rPr>
                <w:rFonts w:ascii="Arial" w:hAnsi="Arial" w:cs="Arial"/>
                <w:sz w:val="18"/>
                <w:szCs w:val="18"/>
              </w:rPr>
              <w:t>1.518</w:t>
            </w:r>
          </w:p>
        </w:tc>
        <w:tc>
          <w:tcPr>
            <w:tcW w:w="1274" w:type="dxa"/>
            <w:tcBorders>
              <w:bottom w:val="single" w:sz="18" w:space="0" w:color="auto"/>
            </w:tcBorders>
            <w:shd w:val="clear" w:color="auto" w:fill="D9D9D9" w:themeFill="background1" w:themeFillShade="D9"/>
            <w:vAlign w:val="center"/>
          </w:tcPr>
          <w:p w14:paraId="0E74D426"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eastAsia="Arial" w:hAnsi="Arial" w:cs="Arial"/>
                <w:color w:val="000000" w:themeColor="text1"/>
                <w:sz w:val="18"/>
                <w:szCs w:val="18"/>
              </w:rPr>
            </w:pPr>
            <w:r w:rsidRPr="00352CC7">
              <w:rPr>
                <w:rFonts w:ascii="Arial" w:hAnsi="Arial" w:cs="Arial"/>
                <w:sz w:val="18"/>
                <w:szCs w:val="18"/>
              </w:rPr>
              <w:t>1.031</w:t>
            </w:r>
          </w:p>
        </w:tc>
        <w:tc>
          <w:tcPr>
            <w:tcW w:w="1266" w:type="dxa"/>
            <w:tcBorders>
              <w:bottom w:val="single" w:sz="18" w:space="0" w:color="auto"/>
            </w:tcBorders>
            <w:shd w:val="clear" w:color="auto" w:fill="D9D9D9" w:themeFill="background1" w:themeFillShade="D9"/>
            <w:vAlign w:val="center"/>
          </w:tcPr>
          <w:p w14:paraId="32FB79C4"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eastAsia="Arial" w:hAnsi="Arial" w:cs="Arial"/>
                <w:color w:val="000000" w:themeColor="text1"/>
                <w:sz w:val="18"/>
                <w:szCs w:val="18"/>
              </w:rPr>
            </w:pPr>
            <w:r w:rsidRPr="00352CC7">
              <w:rPr>
                <w:rFonts w:ascii="Arial" w:hAnsi="Arial" w:cs="Arial"/>
                <w:sz w:val="18"/>
                <w:szCs w:val="18"/>
              </w:rPr>
              <w:t>2.235</w:t>
            </w:r>
          </w:p>
        </w:tc>
      </w:tr>
      <w:tr w:rsidR="00352CC7" w:rsidRPr="00243B85" w14:paraId="3B4376B1" w14:textId="77777777" w:rsidTr="00DD08F0">
        <w:trPr>
          <w:trHeight w:val="283"/>
          <w:jc w:val="center"/>
        </w:trPr>
        <w:tc>
          <w:tcPr>
            <w:tcW w:w="12758" w:type="dxa"/>
            <w:gridSpan w:val="11"/>
            <w:tcBorders>
              <w:top w:val="single" w:sz="18" w:space="0" w:color="auto"/>
              <w:bottom w:val="single" w:sz="18" w:space="0" w:color="auto"/>
            </w:tcBorders>
            <w:vAlign w:val="center"/>
          </w:tcPr>
          <w:p w14:paraId="332F5E5A" w14:textId="77777777" w:rsidR="00352CC7" w:rsidRPr="00243B85" w:rsidRDefault="00352CC7" w:rsidP="0017407A">
            <w:pPr>
              <w:pBdr>
                <w:top w:val="none" w:sz="0" w:space="0" w:color="000000"/>
                <w:left w:val="none" w:sz="0" w:space="0" w:color="000000"/>
                <w:bottom w:val="none" w:sz="0" w:space="0" w:color="000000"/>
                <w:right w:val="none" w:sz="0" w:space="0" w:color="000000"/>
              </w:pBdr>
              <w:jc w:val="center"/>
              <w:rPr>
                <w:rFonts w:ascii="Arial" w:eastAsia="Arial" w:hAnsi="Arial" w:cs="Arial"/>
                <w:color w:val="000000"/>
                <w:sz w:val="18"/>
                <w:szCs w:val="18"/>
              </w:rPr>
            </w:pPr>
            <w:r w:rsidRPr="00243B85">
              <w:rPr>
                <w:rFonts w:ascii="Arial" w:eastAsia="Arial" w:hAnsi="Arial" w:cs="Arial"/>
                <w:color w:val="000000" w:themeColor="text1"/>
                <w:sz w:val="18"/>
                <w:szCs w:val="18"/>
              </w:rPr>
              <w:t>CL = Confidence limit; poly = Polynomial transformation; Correlation structure = independence; Number of clusters: 212; Maximum cluster size: 8; Estimated Scale Parameters: Intercept =  1.002, Standard error = 0.1511</w:t>
            </w:r>
          </w:p>
        </w:tc>
      </w:tr>
    </w:tbl>
    <w:p w14:paraId="283AC665" w14:textId="77777777" w:rsidR="00DD08F0" w:rsidRDefault="00DD08F0" w:rsidP="0017407A">
      <w:pPr>
        <w:pBdr>
          <w:top w:val="none" w:sz="0" w:space="0" w:color="000000"/>
          <w:left w:val="none" w:sz="0" w:space="0" w:color="000000"/>
          <w:bottom w:val="none" w:sz="0" w:space="0" w:color="000000"/>
          <w:right w:val="none" w:sz="0" w:space="0" w:color="000000"/>
        </w:pBdr>
        <w:jc w:val="center"/>
        <w:rPr>
          <w:rFonts w:ascii="Arial" w:eastAsia="Arial" w:hAnsi="Arial" w:cs="Arial"/>
          <w:color w:val="000000" w:themeColor="text1"/>
          <w:sz w:val="16"/>
          <w:szCs w:val="16"/>
        </w:rPr>
        <w:sectPr w:rsidR="00DD08F0" w:rsidSect="00D0609F">
          <w:type w:val="nextColumn"/>
          <w:pgSz w:w="16838" w:h="11906" w:orient="landscape"/>
          <w:pgMar w:top="1134" w:right="1134" w:bottom="1134" w:left="1134" w:header="709" w:footer="709" w:gutter="0"/>
          <w:cols w:space="708"/>
          <w:docGrid w:linePitch="360"/>
        </w:sectPr>
      </w:pPr>
    </w:p>
    <w:p w14:paraId="52267AC3" w14:textId="4EF1D0BD" w:rsidR="00352CC7" w:rsidRPr="00243B85" w:rsidRDefault="00352CC7" w:rsidP="00DD08F0">
      <w:pPr>
        <w:jc w:val="both"/>
        <w:rPr>
          <w:rFonts w:ascii="Arial" w:hAnsi="Arial" w:cs="Arial"/>
        </w:rPr>
      </w:pPr>
      <w:r w:rsidRPr="00243B85">
        <w:rPr>
          <w:rFonts w:ascii="Arial" w:hAnsi="Arial" w:cs="Arial"/>
        </w:rPr>
        <w:lastRenderedPageBreak/>
        <w:t>Patients with infectious diseases often undergo initial therapeutic adjustments, such as drug substitutions, dose adjustments, and medication management that can temporarily increase the risk of incidents. Monitoring throughout the hospitalization process provided important insights into variations in the PDRI risk over the weeks of hospitalization. The risk was highest in the first week, with a downward trend over time, although increasing variation was observed over subsequent weeks. (Figure 2) PDRI predicted probabilities and observed incidence had reasonable correspondence over time throughout the patients' hospitalization time, and this gives the idea of reasonable calibration during all hospitalization periods. (Figure 2)</w:t>
      </w:r>
    </w:p>
    <w:p w14:paraId="1EABF747" w14:textId="77777777" w:rsidR="00DD08F0" w:rsidRDefault="00DD08F0" w:rsidP="00DD08F0">
      <w:pPr>
        <w:jc w:val="both"/>
        <w:rPr>
          <w:rFonts w:ascii="Arial" w:hAnsi="Arial" w:cs="Arial"/>
          <w:sz w:val="22"/>
          <w:szCs w:val="22"/>
        </w:rPr>
      </w:pPr>
    </w:p>
    <w:p w14:paraId="11352EFE" w14:textId="6C323BE3" w:rsidR="00DD08F0" w:rsidRPr="00243B85" w:rsidRDefault="00243B85" w:rsidP="00DD08F0">
      <w:pPr>
        <w:jc w:val="both"/>
        <w:rPr>
          <w:rFonts w:ascii="Arial" w:hAnsi="Arial" w:cs="Arial"/>
        </w:rPr>
      </w:pPr>
      <w:r w:rsidRPr="00243B85">
        <w:rPr>
          <w:rFonts w:ascii="Arial" w:hAnsi="Arial" w:cs="Arial"/>
          <w:noProof/>
        </w:rPr>
        <mc:AlternateContent>
          <mc:Choice Requires="wps">
            <w:drawing>
              <wp:anchor distT="0" distB="0" distL="114300" distR="114300" simplePos="0" relativeHeight="251663360" behindDoc="0" locked="0" layoutInCell="1" allowOverlap="1" wp14:anchorId="0906A86E" wp14:editId="5E307431">
                <wp:simplePos x="0" y="0"/>
                <wp:positionH relativeFrom="margin">
                  <wp:align>left</wp:align>
                </wp:positionH>
                <wp:positionV relativeFrom="paragraph">
                  <wp:posOffset>3763010</wp:posOffset>
                </wp:positionV>
                <wp:extent cx="6177915" cy="635"/>
                <wp:effectExtent l="0" t="0" r="0" b="8890"/>
                <wp:wrapTopAndBottom/>
                <wp:docPr id="12648174" name="Caixa de Texto 1"/>
                <wp:cNvGraphicFramePr/>
                <a:graphic xmlns:a="http://schemas.openxmlformats.org/drawingml/2006/main">
                  <a:graphicData uri="http://schemas.microsoft.com/office/word/2010/wordprocessingShape">
                    <wps:wsp>
                      <wps:cNvSpPr txBox="1"/>
                      <wps:spPr>
                        <a:xfrm>
                          <a:off x="0" y="0"/>
                          <a:ext cx="6177915" cy="635"/>
                        </a:xfrm>
                        <a:prstGeom prst="rect">
                          <a:avLst/>
                        </a:prstGeom>
                        <a:solidFill>
                          <a:prstClr val="white"/>
                        </a:solidFill>
                        <a:ln>
                          <a:noFill/>
                        </a:ln>
                      </wps:spPr>
                      <wps:txbx>
                        <w:txbxContent>
                          <w:p w14:paraId="7EBE83C0" w14:textId="77777777" w:rsidR="00352CC7" w:rsidRPr="00243B85" w:rsidRDefault="00352CC7" w:rsidP="00352CC7">
                            <w:pPr>
                              <w:pStyle w:val="Caption"/>
                              <w:jc w:val="center"/>
                              <w:rPr>
                                <w:rFonts w:ascii="Arial" w:hAnsi="Arial" w:cs="Arial"/>
                                <w:sz w:val="20"/>
                                <w:szCs w:val="20"/>
                              </w:rPr>
                            </w:pPr>
                            <w:r w:rsidRPr="00243B85">
                              <w:rPr>
                                <w:rFonts w:ascii="Arial" w:hAnsi="Arial" w:cs="Arial"/>
                                <w:b/>
                                <w:bCs/>
                                <w:sz w:val="20"/>
                                <w:szCs w:val="20"/>
                              </w:rPr>
                              <w:t xml:space="preserve">Figure </w:t>
                            </w:r>
                            <w:r w:rsidRPr="00243B85">
                              <w:rPr>
                                <w:rFonts w:ascii="Arial" w:hAnsi="Arial" w:cs="Arial"/>
                                <w:b/>
                                <w:bCs/>
                                <w:sz w:val="20"/>
                                <w:szCs w:val="20"/>
                              </w:rPr>
                              <w:fldChar w:fldCharType="begin"/>
                            </w:r>
                            <w:r w:rsidRPr="00243B85">
                              <w:rPr>
                                <w:rFonts w:ascii="Arial" w:hAnsi="Arial" w:cs="Arial"/>
                                <w:b/>
                                <w:bCs/>
                                <w:sz w:val="20"/>
                                <w:szCs w:val="20"/>
                              </w:rPr>
                              <w:instrText xml:space="preserve"> SEQ Figure \* ARABIC </w:instrText>
                            </w:r>
                            <w:r w:rsidRPr="00243B85">
                              <w:rPr>
                                <w:rFonts w:ascii="Arial" w:hAnsi="Arial" w:cs="Arial"/>
                                <w:b/>
                                <w:bCs/>
                                <w:sz w:val="20"/>
                                <w:szCs w:val="20"/>
                              </w:rPr>
                              <w:fldChar w:fldCharType="separate"/>
                            </w:r>
                            <w:r w:rsidRPr="00243B85">
                              <w:rPr>
                                <w:rFonts w:ascii="Arial" w:hAnsi="Arial" w:cs="Arial"/>
                                <w:b/>
                                <w:bCs/>
                                <w:sz w:val="20"/>
                                <w:szCs w:val="20"/>
                              </w:rPr>
                              <w:t>2</w:t>
                            </w:r>
                            <w:r w:rsidRPr="00243B85">
                              <w:rPr>
                                <w:rFonts w:ascii="Arial" w:hAnsi="Arial" w:cs="Arial"/>
                                <w:b/>
                                <w:bCs/>
                                <w:sz w:val="20"/>
                                <w:szCs w:val="20"/>
                              </w:rPr>
                              <w:fldChar w:fldCharType="end"/>
                            </w:r>
                            <w:r w:rsidRPr="00243B85">
                              <w:rPr>
                                <w:rFonts w:ascii="Arial" w:hAnsi="Arial" w:cs="Arial"/>
                                <w:sz w:val="20"/>
                                <w:szCs w:val="20"/>
                              </w:rPr>
                              <w:t xml:space="preserve"> Observed incidence of preventable drug related incidents (PDRI) and its 95% confidence intervals and predicted PDRI risk over of weeks of admission.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906A86E" id="_x0000_t202" coordsize="21600,21600" o:spt="202" path="m,l,21600r21600,l21600,xe">
                <v:stroke joinstyle="miter"/>
                <v:path gradientshapeok="t" o:connecttype="rect"/>
              </v:shapetype>
              <v:shape id="Caixa de Texto 1" o:spid="_x0000_s1026" type="#_x0000_t202" style="position:absolute;left:0;text-align:left;margin-left:0;margin-top:296.3pt;width:486.45pt;height:.05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rNqFgIAADgEAAAOAAAAZHJzL2Uyb0RvYy54bWysU8Fu2zAMvQ/YPwi6L046NF2NOEWWIsOA&#10;oi2QDj0rshQbkEWNUmJnXz9KtpOt22nYRaZF6lF872lx1zWGHRX6GmzBZ5MpZ8pKKGu7L/i3l82H&#10;T5z5IGwpDFhV8JPy/G75/t2idbm6ggpMqZARiPV56wpeheDyLPOyUo3wE3DKUlIDNiLQL+6zEkVL&#10;6I3JrqbTedYClg5BKu9p975P8mXC11rJ8KS1V4GZgtPdQloxrbu4ZsuFyPcoXFXL4RriH27RiNpS&#10;0zPUvQiCHbD+A6qpJYIHHSYSmgy0rqVKM9A0s+mbabaVcCrNQuR4d6bJ/z9Y+XjcumdkofsMHQkY&#10;CWmdzz1txnk6jU380k0Z5YnC05k21QUmaXM+u7m5nV1zJik3/3gdMbLLUYc+fFHQsBgUHEmTRJU4&#10;PvjQl44lsZMHU5eb2pj4ExNrg+woSL+2qoMawH+rMjbWWoinesC4k13miFHodt0w3A7KE82M0NvB&#10;O7mpqdGD8OFZIOlPY5KnwxMt2kBbcBgizirAH3/bj/UkC2U5a8lPBfffDwIVZ+arJcGi+cYAx2A3&#10;BvbQrIFGnNFrcTKFdACDGUON0LyS1VexC6WEldSr4GEM16F3NT0VqVarVEQWcyI82K2TEXok9KV7&#10;FegGOQKp+Aij00T+RpW+NuniVodAFCfJIqE9iwPPZM8k+vCUov9//U9Vlwe//AkAAP//AwBQSwME&#10;FAAGAAgAAAAhAH857NXfAAAACAEAAA8AAABkcnMvZG93bnJldi54bWxMj8FOwzAQRO9I/IO1SFwQ&#10;dQglJSFOVVVwgEtF2ktvbryNA/E6sp02/D2GCxxnZzXzplxOpmcndL6zJOBulgBDaqzqqBWw277c&#10;PgLzQZKSvSUU8IUeltXlRSkLZc/0jqc6tCyGkC+kAB3CUHDuG41G+pkdkKJ3tM7IEKVruXLyHMNN&#10;z9MkybiRHcUGLQdca2w+69EI2Mz3G30zHp/fVvN797ob19lHWwtxfTWtnoAFnMLfM/zgR3SoItPB&#10;jqQ86wXEIUHAQ55mwKKdL9Ic2OH3sgBelfz/gOobAAD//wMAUEsBAi0AFAAGAAgAAAAhALaDOJL+&#10;AAAA4QEAABMAAAAAAAAAAAAAAAAAAAAAAFtDb250ZW50X1R5cGVzXS54bWxQSwECLQAUAAYACAAA&#10;ACEAOP0h/9YAAACUAQAACwAAAAAAAAAAAAAAAAAvAQAAX3JlbHMvLnJlbHNQSwECLQAUAAYACAAA&#10;ACEAHCazahYCAAA4BAAADgAAAAAAAAAAAAAAAAAuAgAAZHJzL2Uyb0RvYy54bWxQSwECLQAUAAYA&#10;CAAAACEAfzns1d8AAAAIAQAADwAAAAAAAAAAAAAAAABwBAAAZHJzL2Rvd25yZXYueG1sUEsFBgAA&#10;AAAEAAQA8wAAAHwFAAAAAA==&#10;" stroked="f">
                <v:textbox style="mso-fit-shape-to-text:t" inset="0,0,0,0">
                  <w:txbxContent>
                    <w:p w14:paraId="7EBE83C0" w14:textId="77777777" w:rsidR="00352CC7" w:rsidRPr="00243B85" w:rsidRDefault="00352CC7" w:rsidP="00352CC7">
                      <w:pPr>
                        <w:pStyle w:val="Legenda"/>
                        <w:jc w:val="center"/>
                        <w:rPr>
                          <w:rFonts w:ascii="Arial" w:hAnsi="Arial" w:cs="Arial"/>
                          <w:sz w:val="20"/>
                          <w:szCs w:val="20"/>
                        </w:rPr>
                      </w:pPr>
                      <w:r w:rsidRPr="00243B85">
                        <w:rPr>
                          <w:rFonts w:ascii="Arial" w:hAnsi="Arial" w:cs="Arial"/>
                          <w:b/>
                          <w:bCs/>
                          <w:sz w:val="20"/>
                          <w:szCs w:val="20"/>
                        </w:rPr>
                        <w:t xml:space="preserve">Figure </w:t>
                      </w:r>
                      <w:r w:rsidRPr="00243B85">
                        <w:rPr>
                          <w:rFonts w:ascii="Arial" w:hAnsi="Arial" w:cs="Arial"/>
                          <w:b/>
                          <w:bCs/>
                          <w:sz w:val="20"/>
                          <w:szCs w:val="20"/>
                        </w:rPr>
                        <w:fldChar w:fldCharType="begin"/>
                      </w:r>
                      <w:r w:rsidRPr="00243B85">
                        <w:rPr>
                          <w:rFonts w:ascii="Arial" w:hAnsi="Arial" w:cs="Arial"/>
                          <w:b/>
                          <w:bCs/>
                          <w:sz w:val="20"/>
                          <w:szCs w:val="20"/>
                        </w:rPr>
                        <w:instrText xml:space="preserve"> SEQ Figure \* ARABIC </w:instrText>
                      </w:r>
                      <w:r w:rsidRPr="00243B85">
                        <w:rPr>
                          <w:rFonts w:ascii="Arial" w:hAnsi="Arial" w:cs="Arial"/>
                          <w:b/>
                          <w:bCs/>
                          <w:sz w:val="20"/>
                          <w:szCs w:val="20"/>
                        </w:rPr>
                        <w:fldChar w:fldCharType="separate"/>
                      </w:r>
                      <w:r w:rsidRPr="00243B85">
                        <w:rPr>
                          <w:rFonts w:ascii="Arial" w:hAnsi="Arial" w:cs="Arial"/>
                          <w:b/>
                          <w:bCs/>
                          <w:sz w:val="20"/>
                          <w:szCs w:val="20"/>
                        </w:rPr>
                        <w:t>2</w:t>
                      </w:r>
                      <w:r w:rsidRPr="00243B85">
                        <w:rPr>
                          <w:rFonts w:ascii="Arial" w:hAnsi="Arial" w:cs="Arial"/>
                          <w:b/>
                          <w:bCs/>
                          <w:sz w:val="20"/>
                          <w:szCs w:val="20"/>
                        </w:rPr>
                        <w:fldChar w:fldCharType="end"/>
                      </w:r>
                      <w:r w:rsidRPr="00243B85">
                        <w:rPr>
                          <w:rFonts w:ascii="Arial" w:hAnsi="Arial" w:cs="Arial"/>
                          <w:sz w:val="20"/>
                          <w:szCs w:val="20"/>
                        </w:rPr>
                        <w:t xml:space="preserve"> Observed incidence of preventable drug related incidents (PDRI) and its 95% confidence intervals and predicted PDRI risk over of weeks of admission.</w:t>
                      </w:r>
                    </w:p>
                  </w:txbxContent>
                </v:textbox>
                <w10:wrap type="topAndBottom" anchorx="margin"/>
              </v:shape>
            </w:pict>
          </mc:Fallback>
        </mc:AlternateContent>
      </w:r>
      <w:r w:rsidRPr="00243B85">
        <w:rPr>
          <w:rFonts w:ascii="Arial" w:hAnsi="Arial" w:cs="Arial"/>
          <w:noProof/>
        </w:rPr>
        <w:drawing>
          <wp:anchor distT="0" distB="0" distL="114300" distR="114300" simplePos="0" relativeHeight="251665408" behindDoc="0" locked="0" layoutInCell="1" allowOverlap="1" wp14:anchorId="249CD6B6" wp14:editId="2B4BA71F">
            <wp:simplePos x="0" y="0"/>
            <wp:positionH relativeFrom="margin">
              <wp:align>center</wp:align>
            </wp:positionH>
            <wp:positionV relativeFrom="paragraph">
              <wp:posOffset>302895</wp:posOffset>
            </wp:positionV>
            <wp:extent cx="4136400" cy="3448800"/>
            <wp:effectExtent l="0" t="0" r="0" b="0"/>
            <wp:wrapTopAndBottom/>
            <wp:docPr id="1569819728" name="Imagem 4" descr="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819728" name="Imagem 4" descr="Gráfico&#10;&#10;O conteúdo gerado por IA pode estar incorret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36400" cy="344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EB9BEF" w14:textId="415E2CD2" w:rsidR="00DD08F0" w:rsidRDefault="00DD08F0" w:rsidP="00DD08F0">
      <w:pPr>
        <w:jc w:val="both"/>
        <w:rPr>
          <w:rFonts w:ascii="Arial" w:hAnsi="Arial" w:cs="Arial"/>
          <w:sz w:val="22"/>
          <w:szCs w:val="22"/>
        </w:rPr>
      </w:pPr>
    </w:p>
    <w:p w14:paraId="4D7A4BB2" w14:textId="7139F706" w:rsidR="00DD08F0" w:rsidRDefault="00DD08F0" w:rsidP="00DD08F0">
      <w:pPr>
        <w:jc w:val="both"/>
        <w:rPr>
          <w:rFonts w:ascii="Arial" w:hAnsi="Arial" w:cs="Arial"/>
          <w:sz w:val="22"/>
          <w:szCs w:val="22"/>
        </w:rPr>
      </w:pPr>
    </w:p>
    <w:p w14:paraId="60A0FBA4" w14:textId="3F3B0404" w:rsidR="00352CC7" w:rsidRPr="00352CC7" w:rsidRDefault="00352CC7" w:rsidP="00352CC7">
      <w:pPr>
        <w:spacing w:line="360" w:lineRule="auto"/>
        <w:jc w:val="both"/>
        <w:rPr>
          <w:rFonts w:ascii="Arial" w:hAnsi="Arial" w:cs="Arial"/>
        </w:rPr>
      </w:pPr>
    </w:p>
    <w:p w14:paraId="1AE2AA5B" w14:textId="531FE733" w:rsidR="00352CC7" w:rsidRPr="00243B85" w:rsidRDefault="00352CC7" w:rsidP="00352CC7">
      <w:pPr>
        <w:jc w:val="both"/>
        <w:rPr>
          <w:rFonts w:ascii="Arial" w:hAnsi="Arial" w:cs="Arial"/>
        </w:rPr>
      </w:pPr>
      <w:r w:rsidRPr="00243B85">
        <w:rPr>
          <w:rFonts w:ascii="Arial" w:hAnsi="Arial" w:cs="Arial"/>
        </w:rPr>
        <w:t xml:space="preserve">The model's performance was tested at different times during hospitalization, demonstrating the model's ability to adapt over time and capture the clinical dynamics that influence the risk of PDRI. (Table 5, Figure 3, and Figure 4) During the first week of hospitalization, the results demonstrated a reasonably smaller average prediction error (calibration) when compared to later periods. Maximal error is more pronounced in the first week, and the intercept is further from 0, which may reflect the difficulty in accurately making predictions during the treatment adjustment phase. (Table 5) </w:t>
      </w:r>
    </w:p>
    <w:p w14:paraId="04AE2E7E" w14:textId="77777777" w:rsidR="00352CC7" w:rsidRPr="00243B85" w:rsidRDefault="00352CC7" w:rsidP="00352CC7">
      <w:pPr>
        <w:jc w:val="both"/>
        <w:rPr>
          <w:rFonts w:ascii="Arial" w:hAnsi="Arial" w:cs="Arial"/>
        </w:rPr>
      </w:pPr>
      <w:r w:rsidRPr="00243B85">
        <w:rPr>
          <w:rFonts w:ascii="Arial" w:hAnsi="Arial" w:cs="Arial"/>
        </w:rPr>
        <w:t>Overall, there seems to be a small trade-off between the error and discrimination over the weeks of admission, pointing to a model able to adjust to changes in the clinical status of patients during hospitalization. (Table 5) The overall calibration assessment through the calibration belts confirmed that the model maintained an adequate correspondence between predictions and actual events, within the confidence intervals. (Figure 3 and Figure 4) The C-</w:t>
      </w:r>
      <w:r w:rsidRPr="00243B85">
        <w:rPr>
          <w:rFonts w:ascii="Arial" w:hAnsi="Arial" w:cs="Arial"/>
        </w:rPr>
        <w:lastRenderedPageBreak/>
        <w:t>statistics (AUC ROC) varied between 0.669 and 0.742 over the weeks of hospitalization, demonstrating moderate discrimination between patients with and without PDRI, both overall and in each week of hospitalization. (Table 5)</w:t>
      </w:r>
    </w:p>
    <w:p w14:paraId="293A4B8D" w14:textId="77777777" w:rsidR="00352CC7" w:rsidRPr="00243B85" w:rsidRDefault="00352CC7" w:rsidP="00352CC7">
      <w:pPr>
        <w:spacing w:line="360" w:lineRule="auto"/>
        <w:jc w:val="both"/>
        <w:rPr>
          <w:rFonts w:ascii="Arial" w:hAnsi="Arial" w:cs="Arial"/>
        </w:rPr>
      </w:pPr>
    </w:p>
    <w:p w14:paraId="3C712768" w14:textId="77777777" w:rsidR="00352CC7" w:rsidRPr="00243B85" w:rsidRDefault="00352CC7" w:rsidP="00352CC7">
      <w:pPr>
        <w:pStyle w:val="Caption"/>
        <w:keepNext/>
        <w:jc w:val="center"/>
        <w:rPr>
          <w:rFonts w:ascii="Arial" w:hAnsi="Arial" w:cs="Arial"/>
          <w:sz w:val="20"/>
          <w:szCs w:val="20"/>
        </w:rPr>
      </w:pPr>
      <w:r w:rsidRPr="00243B85">
        <w:rPr>
          <w:rFonts w:ascii="Arial" w:hAnsi="Arial" w:cs="Arial"/>
          <w:b/>
          <w:bCs/>
          <w:sz w:val="20"/>
          <w:szCs w:val="20"/>
        </w:rPr>
        <w:t>Table 5:</w:t>
      </w:r>
      <w:r w:rsidRPr="00243B85">
        <w:rPr>
          <w:rFonts w:ascii="Arial" w:hAnsi="Arial" w:cs="Arial"/>
          <w:sz w:val="20"/>
          <w:szCs w:val="20"/>
        </w:rPr>
        <w:t xml:space="preserve"> Overall and by each week GEE final model discrimination and calibration performance.</w:t>
      </w:r>
    </w:p>
    <w:tbl>
      <w:tblPr>
        <w:tblStyle w:val="Zebra"/>
        <w:tblW w:w="10031" w:type="dxa"/>
        <w:jc w:val="center"/>
        <w:tblLayout w:type="fixed"/>
        <w:tblLook w:val="0600" w:firstRow="0" w:lastRow="0" w:firstColumn="0" w:lastColumn="0" w:noHBand="1" w:noVBand="1"/>
      </w:tblPr>
      <w:tblGrid>
        <w:gridCol w:w="1732"/>
        <w:gridCol w:w="1242"/>
        <w:gridCol w:w="961"/>
        <w:gridCol w:w="961"/>
        <w:gridCol w:w="1267"/>
        <w:gridCol w:w="973"/>
        <w:gridCol w:w="973"/>
        <w:gridCol w:w="961"/>
        <w:gridCol w:w="961"/>
      </w:tblGrid>
      <w:tr w:rsidR="00352CC7" w:rsidRPr="00352CC7" w14:paraId="69BFB8DE" w14:textId="77777777" w:rsidTr="0017407A">
        <w:trPr>
          <w:trHeight w:val="283"/>
          <w:jc w:val="center"/>
        </w:trPr>
        <w:tc>
          <w:tcPr>
            <w:tcW w:w="1732" w:type="dxa"/>
            <w:tcBorders>
              <w:top w:val="single" w:sz="18" w:space="0" w:color="auto"/>
              <w:bottom w:val="single" w:sz="8" w:space="0" w:color="auto"/>
            </w:tcBorders>
            <w:shd w:val="clear" w:color="auto" w:fill="7F7F7F" w:themeFill="text1" w:themeFillTint="80"/>
          </w:tcPr>
          <w:p w14:paraId="5C0189A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b/>
                <w:szCs w:val="20"/>
              </w:rPr>
            </w:pPr>
            <w:r w:rsidRPr="00352CC7">
              <w:rPr>
                <w:rFonts w:ascii="Arial" w:eastAsia="Arial" w:hAnsi="Arial" w:cs="Arial"/>
                <w:b/>
                <w:color w:val="000000" w:themeColor="text1"/>
                <w:szCs w:val="20"/>
              </w:rPr>
              <w:t>Subset</w:t>
            </w:r>
          </w:p>
        </w:tc>
        <w:tc>
          <w:tcPr>
            <w:tcW w:w="1242" w:type="dxa"/>
            <w:tcBorders>
              <w:top w:val="single" w:sz="18" w:space="0" w:color="auto"/>
              <w:bottom w:val="single" w:sz="8" w:space="0" w:color="auto"/>
            </w:tcBorders>
            <w:shd w:val="clear" w:color="auto" w:fill="7F7F7F" w:themeFill="text1" w:themeFillTint="80"/>
          </w:tcPr>
          <w:p w14:paraId="420BF4A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b/>
                <w:szCs w:val="20"/>
              </w:rPr>
            </w:pPr>
            <w:r w:rsidRPr="00352CC7">
              <w:rPr>
                <w:rFonts w:ascii="Arial" w:eastAsia="Arial" w:hAnsi="Arial" w:cs="Arial"/>
                <w:b/>
                <w:color w:val="000000" w:themeColor="text1"/>
                <w:szCs w:val="20"/>
              </w:rPr>
              <w:t>AUC ROC</w:t>
            </w:r>
          </w:p>
        </w:tc>
        <w:tc>
          <w:tcPr>
            <w:tcW w:w="961" w:type="dxa"/>
            <w:tcBorders>
              <w:top w:val="single" w:sz="18" w:space="0" w:color="auto"/>
              <w:bottom w:val="single" w:sz="8" w:space="0" w:color="auto"/>
            </w:tcBorders>
            <w:shd w:val="clear" w:color="auto" w:fill="7F7F7F" w:themeFill="text1" w:themeFillTint="80"/>
          </w:tcPr>
          <w:p w14:paraId="5FB5DB6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b/>
                <w:szCs w:val="20"/>
              </w:rPr>
            </w:pPr>
            <w:r w:rsidRPr="00352CC7">
              <w:rPr>
                <w:rFonts w:ascii="Arial" w:eastAsia="Arial" w:hAnsi="Arial" w:cs="Arial"/>
                <w:b/>
                <w:color w:val="000000" w:themeColor="text1"/>
                <w:szCs w:val="20"/>
              </w:rPr>
              <w:t>R²</w:t>
            </w:r>
          </w:p>
        </w:tc>
        <w:tc>
          <w:tcPr>
            <w:tcW w:w="961" w:type="dxa"/>
            <w:tcBorders>
              <w:top w:val="single" w:sz="18" w:space="0" w:color="auto"/>
              <w:bottom w:val="single" w:sz="8" w:space="0" w:color="auto"/>
            </w:tcBorders>
            <w:shd w:val="clear" w:color="auto" w:fill="7F7F7F" w:themeFill="text1" w:themeFillTint="80"/>
          </w:tcPr>
          <w:p w14:paraId="5EAFAAE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b/>
                <w:szCs w:val="20"/>
              </w:rPr>
            </w:pPr>
            <w:r w:rsidRPr="00352CC7">
              <w:rPr>
                <w:rFonts w:ascii="Arial" w:eastAsia="Arial" w:hAnsi="Arial" w:cs="Arial"/>
                <w:b/>
                <w:color w:val="000000" w:themeColor="text1"/>
                <w:szCs w:val="20"/>
              </w:rPr>
              <w:t>Brier</w:t>
            </w:r>
          </w:p>
        </w:tc>
        <w:tc>
          <w:tcPr>
            <w:tcW w:w="1267" w:type="dxa"/>
            <w:tcBorders>
              <w:top w:val="single" w:sz="18" w:space="0" w:color="auto"/>
              <w:bottom w:val="single" w:sz="8" w:space="0" w:color="auto"/>
            </w:tcBorders>
            <w:shd w:val="clear" w:color="auto" w:fill="7F7F7F" w:themeFill="text1" w:themeFillTint="80"/>
          </w:tcPr>
          <w:p w14:paraId="143B621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b/>
                <w:szCs w:val="20"/>
              </w:rPr>
            </w:pPr>
            <w:r w:rsidRPr="00352CC7">
              <w:rPr>
                <w:rFonts w:ascii="Arial" w:eastAsia="Arial" w:hAnsi="Arial" w:cs="Arial"/>
                <w:b/>
                <w:color w:val="000000" w:themeColor="text1"/>
                <w:szCs w:val="20"/>
              </w:rPr>
              <w:t>Intercept</w:t>
            </w:r>
          </w:p>
        </w:tc>
        <w:tc>
          <w:tcPr>
            <w:tcW w:w="973" w:type="dxa"/>
            <w:tcBorders>
              <w:top w:val="single" w:sz="18" w:space="0" w:color="auto"/>
              <w:bottom w:val="single" w:sz="8" w:space="0" w:color="auto"/>
            </w:tcBorders>
            <w:shd w:val="clear" w:color="auto" w:fill="7F7F7F" w:themeFill="text1" w:themeFillTint="80"/>
          </w:tcPr>
          <w:p w14:paraId="452FCD5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b/>
                <w:szCs w:val="20"/>
              </w:rPr>
            </w:pPr>
            <w:r w:rsidRPr="00352CC7">
              <w:rPr>
                <w:rFonts w:ascii="Arial" w:eastAsia="Arial" w:hAnsi="Arial" w:cs="Arial"/>
                <w:b/>
                <w:color w:val="000000" w:themeColor="text1"/>
                <w:szCs w:val="20"/>
              </w:rPr>
              <w:t>Slope</w:t>
            </w:r>
          </w:p>
        </w:tc>
        <w:tc>
          <w:tcPr>
            <w:tcW w:w="973" w:type="dxa"/>
            <w:tcBorders>
              <w:top w:val="single" w:sz="18" w:space="0" w:color="auto"/>
              <w:bottom w:val="single" w:sz="8" w:space="0" w:color="auto"/>
            </w:tcBorders>
            <w:shd w:val="clear" w:color="auto" w:fill="7F7F7F" w:themeFill="text1" w:themeFillTint="80"/>
          </w:tcPr>
          <w:p w14:paraId="55E5AED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b/>
                <w:szCs w:val="20"/>
              </w:rPr>
            </w:pPr>
            <w:r w:rsidRPr="00352CC7">
              <w:rPr>
                <w:rFonts w:ascii="Arial" w:eastAsia="Arial" w:hAnsi="Arial" w:cs="Arial"/>
                <w:b/>
                <w:color w:val="000000" w:themeColor="text1"/>
                <w:szCs w:val="20"/>
              </w:rPr>
              <w:t>Emax</w:t>
            </w:r>
          </w:p>
        </w:tc>
        <w:tc>
          <w:tcPr>
            <w:tcW w:w="961" w:type="dxa"/>
            <w:tcBorders>
              <w:top w:val="single" w:sz="18" w:space="0" w:color="auto"/>
              <w:bottom w:val="single" w:sz="8" w:space="0" w:color="auto"/>
            </w:tcBorders>
            <w:shd w:val="clear" w:color="auto" w:fill="7F7F7F" w:themeFill="text1" w:themeFillTint="80"/>
          </w:tcPr>
          <w:p w14:paraId="677244D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b/>
                <w:szCs w:val="20"/>
              </w:rPr>
            </w:pPr>
            <w:r w:rsidRPr="00352CC7">
              <w:rPr>
                <w:rFonts w:ascii="Arial" w:eastAsia="Arial" w:hAnsi="Arial" w:cs="Arial"/>
                <w:b/>
                <w:color w:val="000000" w:themeColor="text1"/>
                <w:szCs w:val="20"/>
              </w:rPr>
              <w:t>E90</w:t>
            </w:r>
          </w:p>
        </w:tc>
        <w:tc>
          <w:tcPr>
            <w:tcW w:w="961" w:type="dxa"/>
            <w:tcBorders>
              <w:top w:val="single" w:sz="18" w:space="0" w:color="auto"/>
              <w:bottom w:val="single" w:sz="8" w:space="0" w:color="auto"/>
            </w:tcBorders>
            <w:shd w:val="clear" w:color="auto" w:fill="7F7F7F" w:themeFill="text1" w:themeFillTint="80"/>
          </w:tcPr>
          <w:p w14:paraId="25C74C1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b/>
                <w:szCs w:val="20"/>
              </w:rPr>
            </w:pPr>
            <w:r w:rsidRPr="00352CC7">
              <w:rPr>
                <w:rFonts w:ascii="Arial" w:eastAsia="Arial" w:hAnsi="Arial" w:cs="Arial"/>
                <w:b/>
                <w:color w:val="000000" w:themeColor="text1"/>
                <w:szCs w:val="20"/>
              </w:rPr>
              <w:t>Eavg</w:t>
            </w:r>
          </w:p>
        </w:tc>
      </w:tr>
      <w:tr w:rsidR="00352CC7" w:rsidRPr="00352CC7" w14:paraId="19C2A14C" w14:textId="77777777" w:rsidTr="0017407A">
        <w:trPr>
          <w:trHeight w:val="283"/>
          <w:jc w:val="center"/>
        </w:trPr>
        <w:tc>
          <w:tcPr>
            <w:tcW w:w="1732" w:type="dxa"/>
            <w:tcBorders>
              <w:top w:val="single" w:sz="8" w:space="0" w:color="auto"/>
            </w:tcBorders>
            <w:shd w:val="clear" w:color="auto" w:fill="D9D9D9" w:themeFill="background1" w:themeFillShade="D9"/>
          </w:tcPr>
          <w:p w14:paraId="7B240FA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b/>
                <w:szCs w:val="20"/>
              </w:rPr>
            </w:pPr>
            <w:r w:rsidRPr="00352CC7">
              <w:rPr>
                <w:rFonts w:ascii="Arial" w:eastAsia="Arial" w:hAnsi="Arial" w:cs="Arial"/>
                <w:b/>
                <w:color w:val="000000" w:themeColor="text1"/>
                <w:szCs w:val="20"/>
              </w:rPr>
              <w:t>Overall</w:t>
            </w:r>
          </w:p>
        </w:tc>
        <w:tc>
          <w:tcPr>
            <w:tcW w:w="1242" w:type="dxa"/>
            <w:tcBorders>
              <w:top w:val="single" w:sz="8" w:space="0" w:color="auto"/>
            </w:tcBorders>
            <w:shd w:val="clear" w:color="auto" w:fill="D9D9D9" w:themeFill="background1" w:themeFillShade="D9"/>
          </w:tcPr>
          <w:p w14:paraId="3179BFA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0.725</w:t>
            </w:r>
          </w:p>
        </w:tc>
        <w:tc>
          <w:tcPr>
            <w:tcW w:w="961" w:type="dxa"/>
            <w:tcBorders>
              <w:top w:val="single" w:sz="8" w:space="0" w:color="auto"/>
            </w:tcBorders>
            <w:shd w:val="clear" w:color="auto" w:fill="D9D9D9" w:themeFill="background1" w:themeFillShade="D9"/>
          </w:tcPr>
          <w:p w14:paraId="26B9596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0.199</w:t>
            </w:r>
          </w:p>
        </w:tc>
        <w:tc>
          <w:tcPr>
            <w:tcW w:w="961" w:type="dxa"/>
            <w:tcBorders>
              <w:top w:val="single" w:sz="8" w:space="0" w:color="auto"/>
            </w:tcBorders>
            <w:shd w:val="clear" w:color="auto" w:fill="D9D9D9" w:themeFill="background1" w:themeFillShade="D9"/>
          </w:tcPr>
          <w:p w14:paraId="2FA8B7E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0.193</w:t>
            </w:r>
          </w:p>
        </w:tc>
        <w:tc>
          <w:tcPr>
            <w:tcW w:w="1267" w:type="dxa"/>
            <w:tcBorders>
              <w:top w:val="single" w:sz="8" w:space="0" w:color="auto"/>
            </w:tcBorders>
            <w:shd w:val="clear" w:color="auto" w:fill="D9D9D9" w:themeFill="background1" w:themeFillShade="D9"/>
          </w:tcPr>
          <w:p w14:paraId="76A4558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0.000</w:t>
            </w:r>
          </w:p>
        </w:tc>
        <w:tc>
          <w:tcPr>
            <w:tcW w:w="973" w:type="dxa"/>
            <w:tcBorders>
              <w:top w:val="single" w:sz="8" w:space="0" w:color="auto"/>
            </w:tcBorders>
            <w:shd w:val="clear" w:color="auto" w:fill="D9D9D9" w:themeFill="background1" w:themeFillShade="D9"/>
          </w:tcPr>
          <w:p w14:paraId="197163B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1.000</w:t>
            </w:r>
          </w:p>
        </w:tc>
        <w:tc>
          <w:tcPr>
            <w:tcW w:w="973" w:type="dxa"/>
            <w:tcBorders>
              <w:top w:val="single" w:sz="8" w:space="0" w:color="auto"/>
            </w:tcBorders>
            <w:shd w:val="clear" w:color="auto" w:fill="D9D9D9" w:themeFill="background1" w:themeFillShade="D9"/>
          </w:tcPr>
          <w:p w14:paraId="2E0A8D1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0.056</w:t>
            </w:r>
          </w:p>
        </w:tc>
        <w:tc>
          <w:tcPr>
            <w:tcW w:w="961" w:type="dxa"/>
            <w:tcBorders>
              <w:top w:val="single" w:sz="8" w:space="0" w:color="auto"/>
            </w:tcBorders>
            <w:shd w:val="clear" w:color="auto" w:fill="D9D9D9" w:themeFill="background1" w:themeFillShade="D9"/>
          </w:tcPr>
          <w:p w14:paraId="65D374A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0.015</w:t>
            </w:r>
          </w:p>
        </w:tc>
        <w:tc>
          <w:tcPr>
            <w:tcW w:w="961" w:type="dxa"/>
            <w:tcBorders>
              <w:top w:val="single" w:sz="8" w:space="0" w:color="auto"/>
            </w:tcBorders>
            <w:shd w:val="clear" w:color="auto" w:fill="D9D9D9" w:themeFill="background1" w:themeFillShade="D9"/>
          </w:tcPr>
          <w:p w14:paraId="7C2E5D6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0.007</w:t>
            </w:r>
          </w:p>
        </w:tc>
      </w:tr>
      <w:tr w:rsidR="00352CC7" w:rsidRPr="00352CC7" w14:paraId="7BA826A1" w14:textId="77777777" w:rsidTr="0017407A">
        <w:trPr>
          <w:trHeight w:val="283"/>
          <w:jc w:val="center"/>
        </w:trPr>
        <w:tc>
          <w:tcPr>
            <w:tcW w:w="1732" w:type="dxa"/>
          </w:tcPr>
          <w:p w14:paraId="5AB2A8C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b/>
                <w:szCs w:val="20"/>
              </w:rPr>
            </w:pPr>
            <w:r w:rsidRPr="00352CC7">
              <w:rPr>
                <w:rFonts w:ascii="Arial" w:eastAsia="Arial" w:hAnsi="Arial" w:cs="Arial"/>
                <w:b/>
                <w:color w:val="000000" w:themeColor="text1"/>
                <w:szCs w:val="20"/>
              </w:rPr>
              <w:t>First week</w:t>
            </w:r>
          </w:p>
        </w:tc>
        <w:tc>
          <w:tcPr>
            <w:tcW w:w="1242" w:type="dxa"/>
          </w:tcPr>
          <w:p w14:paraId="13013DF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0.669</w:t>
            </w:r>
          </w:p>
        </w:tc>
        <w:tc>
          <w:tcPr>
            <w:tcW w:w="961" w:type="dxa"/>
          </w:tcPr>
          <w:p w14:paraId="31B339F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0.083</w:t>
            </w:r>
          </w:p>
        </w:tc>
        <w:tc>
          <w:tcPr>
            <w:tcW w:w="961" w:type="dxa"/>
          </w:tcPr>
          <w:p w14:paraId="43C3C7F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0.178</w:t>
            </w:r>
          </w:p>
        </w:tc>
        <w:tc>
          <w:tcPr>
            <w:tcW w:w="1267" w:type="dxa"/>
          </w:tcPr>
          <w:p w14:paraId="48DC408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0.274</w:t>
            </w:r>
          </w:p>
        </w:tc>
        <w:tc>
          <w:tcPr>
            <w:tcW w:w="973" w:type="dxa"/>
          </w:tcPr>
          <w:p w14:paraId="44A3578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0.738</w:t>
            </w:r>
          </w:p>
        </w:tc>
        <w:tc>
          <w:tcPr>
            <w:tcW w:w="973" w:type="dxa"/>
          </w:tcPr>
          <w:p w14:paraId="4962890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0.281</w:t>
            </w:r>
          </w:p>
        </w:tc>
        <w:tc>
          <w:tcPr>
            <w:tcW w:w="961" w:type="dxa"/>
          </w:tcPr>
          <w:p w14:paraId="642F8BF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0.065</w:t>
            </w:r>
          </w:p>
        </w:tc>
        <w:tc>
          <w:tcPr>
            <w:tcW w:w="961" w:type="dxa"/>
          </w:tcPr>
          <w:p w14:paraId="0F1A367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0.030</w:t>
            </w:r>
          </w:p>
        </w:tc>
      </w:tr>
      <w:tr w:rsidR="00352CC7" w:rsidRPr="00352CC7" w14:paraId="4C0A33CA" w14:textId="77777777" w:rsidTr="0017407A">
        <w:trPr>
          <w:trHeight w:val="283"/>
          <w:jc w:val="center"/>
        </w:trPr>
        <w:tc>
          <w:tcPr>
            <w:tcW w:w="1732" w:type="dxa"/>
            <w:shd w:val="clear" w:color="auto" w:fill="D9D9D9" w:themeFill="background1" w:themeFillShade="D9"/>
          </w:tcPr>
          <w:p w14:paraId="7CDEDF8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b/>
                <w:szCs w:val="20"/>
              </w:rPr>
            </w:pPr>
            <w:r w:rsidRPr="00352CC7">
              <w:rPr>
                <w:rFonts w:ascii="Arial" w:eastAsia="Arial" w:hAnsi="Arial" w:cs="Arial"/>
                <w:b/>
                <w:color w:val="000000" w:themeColor="text1"/>
                <w:szCs w:val="20"/>
              </w:rPr>
              <w:t>Second week</w:t>
            </w:r>
          </w:p>
        </w:tc>
        <w:tc>
          <w:tcPr>
            <w:tcW w:w="1242" w:type="dxa"/>
            <w:shd w:val="clear" w:color="auto" w:fill="D9D9D9" w:themeFill="background1" w:themeFillShade="D9"/>
          </w:tcPr>
          <w:p w14:paraId="0D33282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0.723</w:t>
            </w:r>
          </w:p>
        </w:tc>
        <w:tc>
          <w:tcPr>
            <w:tcW w:w="961" w:type="dxa"/>
            <w:shd w:val="clear" w:color="auto" w:fill="D9D9D9" w:themeFill="background1" w:themeFillShade="D9"/>
          </w:tcPr>
          <w:p w14:paraId="7E98F4E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0.216</w:t>
            </w:r>
          </w:p>
        </w:tc>
        <w:tc>
          <w:tcPr>
            <w:tcW w:w="961" w:type="dxa"/>
            <w:shd w:val="clear" w:color="auto" w:fill="D9D9D9" w:themeFill="background1" w:themeFillShade="D9"/>
          </w:tcPr>
          <w:p w14:paraId="4CF72DD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0.206</w:t>
            </w:r>
          </w:p>
        </w:tc>
        <w:tc>
          <w:tcPr>
            <w:tcW w:w="1267" w:type="dxa"/>
            <w:shd w:val="clear" w:color="auto" w:fill="D9D9D9" w:themeFill="background1" w:themeFillShade="D9"/>
          </w:tcPr>
          <w:p w14:paraId="41A72DC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-0.170</w:t>
            </w:r>
          </w:p>
        </w:tc>
        <w:tc>
          <w:tcPr>
            <w:tcW w:w="973" w:type="dxa"/>
            <w:shd w:val="clear" w:color="auto" w:fill="D9D9D9" w:themeFill="background1" w:themeFillShade="D9"/>
          </w:tcPr>
          <w:p w14:paraId="4593475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1.278</w:t>
            </w:r>
          </w:p>
        </w:tc>
        <w:tc>
          <w:tcPr>
            <w:tcW w:w="973" w:type="dxa"/>
            <w:shd w:val="clear" w:color="auto" w:fill="D9D9D9" w:themeFill="background1" w:themeFillShade="D9"/>
          </w:tcPr>
          <w:p w14:paraId="3E24A29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0.172</w:t>
            </w:r>
          </w:p>
        </w:tc>
        <w:tc>
          <w:tcPr>
            <w:tcW w:w="961" w:type="dxa"/>
            <w:shd w:val="clear" w:color="auto" w:fill="D9D9D9" w:themeFill="background1" w:themeFillShade="D9"/>
          </w:tcPr>
          <w:p w14:paraId="1E7EF18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0.063</w:t>
            </w:r>
          </w:p>
        </w:tc>
        <w:tc>
          <w:tcPr>
            <w:tcW w:w="961" w:type="dxa"/>
            <w:shd w:val="clear" w:color="auto" w:fill="D9D9D9" w:themeFill="background1" w:themeFillShade="D9"/>
          </w:tcPr>
          <w:p w14:paraId="070453A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0.031</w:t>
            </w:r>
          </w:p>
        </w:tc>
      </w:tr>
      <w:tr w:rsidR="00352CC7" w:rsidRPr="00352CC7" w14:paraId="7B3C1727" w14:textId="77777777" w:rsidTr="0017407A">
        <w:trPr>
          <w:trHeight w:val="283"/>
          <w:jc w:val="center"/>
        </w:trPr>
        <w:tc>
          <w:tcPr>
            <w:tcW w:w="1732" w:type="dxa"/>
          </w:tcPr>
          <w:p w14:paraId="3E71AB7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b/>
                <w:szCs w:val="20"/>
              </w:rPr>
            </w:pPr>
            <w:r w:rsidRPr="00352CC7">
              <w:rPr>
                <w:rFonts w:ascii="Arial" w:eastAsia="Arial" w:hAnsi="Arial" w:cs="Arial"/>
                <w:b/>
                <w:color w:val="000000" w:themeColor="text1"/>
                <w:szCs w:val="20"/>
              </w:rPr>
              <w:t>Third week</w:t>
            </w:r>
          </w:p>
        </w:tc>
        <w:tc>
          <w:tcPr>
            <w:tcW w:w="1242" w:type="dxa"/>
          </w:tcPr>
          <w:p w14:paraId="29CBE15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0.759</w:t>
            </w:r>
          </w:p>
        </w:tc>
        <w:tc>
          <w:tcPr>
            <w:tcW w:w="961" w:type="dxa"/>
          </w:tcPr>
          <w:p w14:paraId="0D9018F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0.235</w:t>
            </w:r>
          </w:p>
        </w:tc>
        <w:tc>
          <w:tcPr>
            <w:tcW w:w="961" w:type="dxa"/>
          </w:tcPr>
          <w:p w14:paraId="6C1AF0E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0.200</w:t>
            </w:r>
          </w:p>
        </w:tc>
        <w:tc>
          <w:tcPr>
            <w:tcW w:w="1267" w:type="dxa"/>
          </w:tcPr>
          <w:p w14:paraId="6098D61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0.137</w:t>
            </w:r>
          </w:p>
        </w:tc>
        <w:tc>
          <w:tcPr>
            <w:tcW w:w="973" w:type="dxa"/>
          </w:tcPr>
          <w:p w14:paraId="6258FF4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1.410</w:t>
            </w:r>
          </w:p>
        </w:tc>
        <w:tc>
          <w:tcPr>
            <w:tcW w:w="973" w:type="dxa"/>
          </w:tcPr>
          <w:p w14:paraId="0B46FE8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0.226</w:t>
            </w:r>
          </w:p>
        </w:tc>
        <w:tc>
          <w:tcPr>
            <w:tcW w:w="961" w:type="dxa"/>
          </w:tcPr>
          <w:p w14:paraId="3D9E199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0.134</w:t>
            </w:r>
          </w:p>
        </w:tc>
        <w:tc>
          <w:tcPr>
            <w:tcW w:w="961" w:type="dxa"/>
          </w:tcPr>
          <w:p w14:paraId="75488C5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0.053</w:t>
            </w:r>
          </w:p>
        </w:tc>
      </w:tr>
      <w:tr w:rsidR="00352CC7" w:rsidRPr="00352CC7" w14:paraId="0EFD2548" w14:textId="77777777" w:rsidTr="0017407A">
        <w:trPr>
          <w:trHeight w:val="283"/>
          <w:jc w:val="center"/>
        </w:trPr>
        <w:tc>
          <w:tcPr>
            <w:tcW w:w="1732" w:type="dxa"/>
            <w:shd w:val="clear" w:color="auto" w:fill="D9D9D9" w:themeFill="background1" w:themeFillShade="D9"/>
          </w:tcPr>
          <w:p w14:paraId="4B512CA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b/>
                <w:szCs w:val="20"/>
              </w:rPr>
            </w:pPr>
            <w:r w:rsidRPr="00352CC7">
              <w:rPr>
                <w:rFonts w:ascii="Arial" w:eastAsia="Arial" w:hAnsi="Arial" w:cs="Arial"/>
                <w:b/>
                <w:color w:val="000000" w:themeColor="text1"/>
                <w:szCs w:val="20"/>
              </w:rPr>
              <w:t>Fourth week</w:t>
            </w:r>
          </w:p>
        </w:tc>
        <w:tc>
          <w:tcPr>
            <w:tcW w:w="1242" w:type="dxa"/>
            <w:shd w:val="clear" w:color="auto" w:fill="D9D9D9" w:themeFill="background1" w:themeFillShade="D9"/>
          </w:tcPr>
          <w:p w14:paraId="0429E0E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0.695</w:t>
            </w:r>
          </w:p>
        </w:tc>
        <w:tc>
          <w:tcPr>
            <w:tcW w:w="961" w:type="dxa"/>
            <w:shd w:val="clear" w:color="auto" w:fill="D9D9D9" w:themeFill="background1" w:themeFillShade="D9"/>
          </w:tcPr>
          <w:p w14:paraId="55A5AB2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0.131</w:t>
            </w:r>
          </w:p>
        </w:tc>
        <w:tc>
          <w:tcPr>
            <w:tcW w:w="961" w:type="dxa"/>
            <w:shd w:val="clear" w:color="auto" w:fill="D9D9D9" w:themeFill="background1" w:themeFillShade="D9"/>
          </w:tcPr>
          <w:p w14:paraId="4FA4AC1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0.217</w:t>
            </w:r>
          </w:p>
        </w:tc>
        <w:tc>
          <w:tcPr>
            <w:tcW w:w="1267" w:type="dxa"/>
            <w:shd w:val="clear" w:color="auto" w:fill="D9D9D9" w:themeFill="background1" w:themeFillShade="D9"/>
          </w:tcPr>
          <w:p w14:paraId="7B6B113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-0.029</w:t>
            </w:r>
          </w:p>
        </w:tc>
        <w:tc>
          <w:tcPr>
            <w:tcW w:w="973" w:type="dxa"/>
            <w:shd w:val="clear" w:color="auto" w:fill="D9D9D9" w:themeFill="background1" w:themeFillShade="D9"/>
          </w:tcPr>
          <w:p w14:paraId="558199B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0.794</w:t>
            </w:r>
          </w:p>
        </w:tc>
        <w:tc>
          <w:tcPr>
            <w:tcW w:w="973" w:type="dxa"/>
            <w:shd w:val="clear" w:color="auto" w:fill="D9D9D9" w:themeFill="background1" w:themeFillShade="D9"/>
          </w:tcPr>
          <w:p w14:paraId="67F3F19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0.108</w:t>
            </w:r>
          </w:p>
        </w:tc>
        <w:tc>
          <w:tcPr>
            <w:tcW w:w="961" w:type="dxa"/>
            <w:shd w:val="clear" w:color="auto" w:fill="D9D9D9" w:themeFill="background1" w:themeFillShade="D9"/>
          </w:tcPr>
          <w:p w14:paraId="14888A2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0.068</w:t>
            </w:r>
          </w:p>
        </w:tc>
        <w:tc>
          <w:tcPr>
            <w:tcW w:w="961" w:type="dxa"/>
            <w:shd w:val="clear" w:color="auto" w:fill="D9D9D9" w:themeFill="background1" w:themeFillShade="D9"/>
          </w:tcPr>
          <w:p w14:paraId="5528882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0.050</w:t>
            </w:r>
          </w:p>
        </w:tc>
      </w:tr>
      <w:tr w:rsidR="00352CC7" w:rsidRPr="00243B85" w14:paraId="3193E271" w14:textId="77777777" w:rsidTr="0017407A">
        <w:trPr>
          <w:trHeight w:val="283"/>
          <w:jc w:val="center"/>
        </w:trPr>
        <w:tc>
          <w:tcPr>
            <w:tcW w:w="10031" w:type="dxa"/>
            <w:gridSpan w:val="9"/>
          </w:tcPr>
          <w:p w14:paraId="208BE318" w14:textId="77777777" w:rsidR="00352CC7" w:rsidRPr="00243B85"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themeColor="text1"/>
                <w:sz w:val="18"/>
                <w:szCs w:val="18"/>
              </w:rPr>
            </w:pPr>
            <w:r w:rsidRPr="00243B85">
              <w:rPr>
                <w:rFonts w:ascii="Arial" w:eastAsia="Arial" w:hAnsi="Arial" w:cs="Arial"/>
                <w:color w:val="000000" w:themeColor="text1"/>
                <w:sz w:val="18"/>
                <w:szCs w:val="18"/>
              </w:rPr>
              <w:t>AUC ROC = area under the Receiver Operating Characteristic curve; Emax = maximum error; E90 = error 0.90 quantile; Eavg = average error.</w:t>
            </w:r>
          </w:p>
        </w:tc>
      </w:tr>
    </w:tbl>
    <w:p w14:paraId="1162D0E9" w14:textId="77777777" w:rsidR="00352CC7" w:rsidRPr="00352CC7" w:rsidRDefault="00352CC7" w:rsidP="00352CC7">
      <w:pPr>
        <w:rPr>
          <w:rFonts w:ascii="Arial" w:hAnsi="Arial" w:cs="Arial"/>
        </w:rPr>
      </w:pPr>
    </w:p>
    <w:p w14:paraId="16F5358A" w14:textId="77777777" w:rsidR="00352CC7" w:rsidRPr="00352CC7" w:rsidRDefault="00352CC7" w:rsidP="00352CC7">
      <w:pPr>
        <w:rPr>
          <w:rFonts w:ascii="Arial" w:hAnsi="Arial" w:cs="Arial"/>
        </w:rPr>
      </w:pPr>
    </w:p>
    <w:p w14:paraId="5813C021" w14:textId="77777777" w:rsidR="00352CC7" w:rsidRPr="00352CC7" w:rsidRDefault="00352CC7" w:rsidP="00352CC7">
      <w:pPr>
        <w:rPr>
          <w:rFonts w:ascii="Arial" w:hAnsi="Arial" w:cs="Arial"/>
        </w:rPr>
      </w:pPr>
    </w:p>
    <w:p w14:paraId="08BE9965" w14:textId="77777777" w:rsidR="00352CC7" w:rsidRPr="00352CC7" w:rsidRDefault="00352CC7" w:rsidP="00352CC7">
      <w:pPr>
        <w:rPr>
          <w:rFonts w:ascii="Arial" w:hAnsi="Arial" w:cs="Arial"/>
        </w:rPr>
      </w:pPr>
      <w:r w:rsidRPr="00352CC7">
        <w:rPr>
          <w:rFonts w:ascii="Arial" w:hAnsi="Arial" w:cs="Arial"/>
        </w:rPr>
        <w:br w:type="page"/>
      </w:r>
    </w:p>
    <w:p w14:paraId="130F5E48" w14:textId="3BAB7FC5" w:rsidR="00352CC7" w:rsidRPr="00352CC7" w:rsidRDefault="00243B85" w:rsidP="00352CC7">
      <w:pPr>
        <w:rPr>
          <w:rFonts w:ascii="Arial" w:hAnsi="Arial" w:cs="Arial"/>
        </w:rPr>
      </w:pPr>
      <w:r w:rsidRPr="00352CC7">
        <w:rPr>
          <w:rFonts w:ascii="Arial" w:hAnsi="Arial" w:cs="Arial"/>
          <w:noProof/>
        </w:rPr>
        <w:lastRenderedPageBreak/>
        <mc:AlternateContent>
          <mc:Choice Requires="wps">
            <w:drawing>
              <wp:anchor distT="0" distB="0" distL="114300" distR="114300" simplePos="0" relativeHeight="251662336" behindDoc="0" locked="0" layoutInCell="1" allowOverlap="1" wp14:anchorId="45083309" wp14:editId="782E21F5">
                <wp:simplePos x="0" y="0"/>
                <wp:positionH relativeFrom="margin">
                  <wp:align>center</wp:align>
                </wp:positionH>
                <wp:positionV relativeFrom="paragraph">
                  <wp:posOffset>7633970</wp:posOffset>
                </wp:positionV>
                <wp:extent cx="6130290" cy="635"/>
                <wp:effectExtent l="0" t="0" r="3810" b="6350"/>
                <wp:wrapTopAndBottom/>
                <wp:docPr id="710733527" name="Caixa de Texto 1"/>
                <wp:cNvGraphicFramePr/>
                <a:graphic xmlns:a="http://schemas.openxmlformats.org/drawingml/2006/main">
                  <a:graphicData uri="http://schemas.microsoft.com/office/word/2010/wordprocessingShape">
                    <wps:wsp>
                      <wps:cNvSpPr txBox="1"/>
                      <wps:spPr>
                        <a:xfrm>
                          <a:off x="0" y="0"/>
                          <a:ext cx="6130290" cy="635"/>
                        </a:xfrm>
                        <a:prstGeom prst="rect">
                          <a:avLst/>
                        </a:prstGeom>
                        <a:solidFill>
                          <a:prstClr val="white"/>
                        </a:solidFill>
                        <a:ln>
                          <a:noFill/>
                        </a:ln>
                      </wps:spPr>
                      <wps:txbx>
                        <w:txbxContent>
                          <w:p w14:paraId="11780A87" w14:textId="77777777" w:rsidR="00352CC7" w:rsidRPr="00352CC7" w:rsidRDefault="00352CC7" w:rsidP="00352CC7">
                            <w:pPr>
                              <w:pStyle w:val="Caption"/>
                              <w:jc w:val="center"/>
                              <w:rPr>
                                <w:rFonts w:ascii="Arial" w:hAnsi="Arial" w:cs="Arial"/>
                                <w:sz w:val="20"/>
                                <w:szCs w:val="20"/>
                              </w:rPr>
                            </w:pPr>
                            <w:r w:rsidRPr="00352CC7">
                              <w:rPr>
                                <w:rFonts w:ascii="Arial" w:hAnsi="Arial" w:cs="Arial"/>
                                <w:b/>
                                <w:bCs/>
                                <w:sz w:val="20"/>
                                <w:szCs w:val="20"/>
                              </w:rPr>
                              <w:t xml:space="preserve">Figure </w:t>
                            </w:r>
                            <w:r w:rsidRPr="00352CC7">
                              <w:rPr>
                                <w:rFonts w:ascii="Arial" w:hAnsi="Arial" w:cs="Arial"/>
                                <w:b/>
                                <w:bCs/>
                                <w:sz w:val="20"/>
                                <w:szCs w:val="20"/>
                              </w:rPr>
                              <w:fldChar w:fldCharType="begin"/>
                            </w:r>
                            <w:r w:rsidRPr="00352CC7">
                              <w:rPr>
                                <w:rFonts w:ascii="Arial" w:hAnsi="Arial" w:cs="Arial"/>
                                <w:b/>
                                <w:bCs/>
                                <w:sz w:val="20"/>
                                <w:szCs w:val="20"/>
                              </w:rPr>
                              <w:instrText xml:space="preserve"> SEQ Figure \* ARABIC </w:instrText>
                            </w:r>
                            <w:r w:rsidRPr="00352CC7">
                              <w:rPr>
                                <w:rFonts w:ascii="Arial" w:hAnsi="Arial" w:cs="Arial"/>
                                <w:b/>
                                <w:bCs/>
                                <w:sz w:val="20"/>
                                <w:szCs w:val="20"/>
                              </w:rPr>
                              <w:fldChar w:fldCharType="separate"/>
                            </w:r>
                            <w:r w:rsidRPr="00352CC7">
                              <w:rPr>
                                <w:rFonts w:ascii="Arial" w:hAnsi="Arial" w:cs="Arial"/>
                                <w:b/>
                                <w:bCs/>
                                <w:sz w:val="20"/>
                                <w:szCs w:val="20"/>
                              </w:rPr>
                              <w:t>4</w:t>
                            </w:r>
                            <w:r w:rsidRPr="00352CC7">
                              <w:rPr>
                                <w:rFonts w:ascii="Arial" w:hAnsi="Arial" w:cs="Arial"/>
                                <w:b/>
                                <w:bCs/>
                                <w:sz w:val="20"/>
                                <w:szCs w:val="20"/>
                              </w:rPr>
                              <w:fldChar w:fldCharType="end"/>
                            </w:r>
                            <w:r w:rsidRPr="00352CC7">
                              <w:rPr>
                                <w:rFonts w:ascii="Arial" w:hAnsi="Arial" w:cs="Arial"/>
                                <w:b/>
                                <w:bCs/>
                                <w:sz w:val="20"/>
                                <w:szCs w:val="20"/>
                              </w:rPr>
                              <w:t>:</w:t>
                            </w:r>
                            <w:r w:rsidRPr="00352CC7">
                              <w:rPr>
                                <w:rFonts w:ascii="Arial" w:hAnsi="Arial" w:cs="Arial"/>
                                <w:sz w:val="20"/>
                                <w:szCs w:val="20"/>
                              </w:rPr>
                              <w:t xml:space="preserve"> Calibration plot for the final GEE model for each week of hospital admission week.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5083309" id="_x0000_s1027" type="#_x0000_t202" style="position:absolute;margin-left:0;margin-top:601.1pt;width:482.7pt;height:.0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2kiGAIAAD8EAAAOAAAAZHJzL2Uyb0RvYy54bWysU8Fu2zAMvQ/YPwi6L05SLNiMOEWWIsOA&#10;oC2QDj0rshwLkEWNUmJ3Xz9KtpOu22nYRaZJihTfe1zedo1hZ4Vegy34bDLlTFkJpbbHgn9/2n74&#10;xJkPwpbCgFUFf1Ge367ev1u2LldzqMGUChkVsT5vXcHrEFyeZV7WqhF+Ak5ZClaAjQj0i8esRNFS&#10;9cZk8+l0kbWApUOQynvy3vVBvkr1q0rJ8FBVXgVmCk5vC+nEdB7ima2WIj+icLWWwzPEP7yiEdpS&#10;00upOxEEO6H+o1SjJYKHKkwkNBlUlZYqzUDTzKZvptnXwqk0C4Hj3QUm///Kyvvz3j0iC90X6IjA&#10;CEjrfO7JGefpKmzil17KKE4QvlxgU11gkpyL2c10/plCkmKLm4+xRna96tCHrwoaFo2CI3GSoBLn&#10;nQ996pgSO3kwutxqY+JPDGwMsrMg/tpaBzUU/y3L2JhrId7qC0ZPdp0jWqE7dEyXr2Y8QPlCoyP0&#10;qvBObjX12wkfHgWSDGgkknZ4oKMy0BYcBouzGvDn3/wxn9ihKGctyarg/sdJoOLMfLPEW9TgaOBo&#10;HEbDnpoN0KQzWhonk0kXMJjRrBCaZ1L8OnahkLCSehU8jOYm9OKmjZFqvU5JpDQnws7unYylR1yf&#10;umeBbmAlEJn3MApO5G/I6XMTPW59CoR0Yi7i2qM4wE0qTdwPGxXX4PV/yrru/eoXAAAA//8DAFBL&#10;AwQUAAYACAAAACEAamKLId8AAAAKAQAADwAAAGRycy9kb3ducmV2LnhtbEyPwU7DMBBE70j8g7VI&#10;XBB1SEMEIU5VVXCAS0XohZsbb+NAvI5ipw1/zyIOcNyZ0eybcjW7XhxxDJ0nBTeLBARS401HrYLd&#10;29P1HYgQNRnde0IFXxhgVZ2flbow/kSveKxjK7iEQqEV2BiHQsrQWHQ6LPyAxN7Bj05HPsdWmlGf&#10;uNz1Mk2SXDrdEX+wesCNxeaznpyCbfa+tVfT4fFlnS3H5920yT/aWqnLi3n9ACLiHP/C8IPP6FAx&#10;095PZILoFfCQyGqapCkI9u/z2wzE/ldagqxK+X9C9Q0AAP//AwBQSwECLQAUAAYACAAAACEAtoM4&#10;kv4AAADhAQAAEwAAAAAAAAAAAAAAAAAAAAAAW0NvbnRlbnRfVHlwZXNdLnhtbFBLAQItABQABgAI&#10;AAAAIQA4/SH/1gAAAJQBAAALAAAAAAAAAAAAAAAAAC8BAABfcmVscy8ucmVsc1BLAQItABQABgAI&#10;AAAAIQBNS2kiGAIAAD8EAAAOAAAAAAAAAAAAAAAAAC4CAABkcnMvZTJvRG9jLnhtbFBLAQItABQA&#10;BgAIAAAAIQBqYosh3wAAAAoBAAAPAAAAAAAAAAAAAAAAAHIEAABkcnMvZG93bnJldi54bWxQSwUG&#10;AAAAAAQABADzAAAAfgUAAAAA&#10;" stroked="f">
                <v:textbox style="mso-fit-shape-to-text:t" inset="0,0,0,0">
                  <w:txbxContent>
                    <w:p w14:paraId="11780A87" w14:textId="77777777" w:rsidR="00352CC7" w:rsidRPr="00352CC7" w:rsidRDefault="00352CC7" w:rsidP="00352CC7">
                      <w:pPr>
                        <w:pStyle w:val="Legenda"/>
                        <w:jc w:val="center"/>
                        <w:rPr>
                          <w:rFonts w:ascii="Arial" w:hAnsi="Arial" w:cs="Arial"/>
                          <w:sz w:val="20"/>
                          <w:szCs w:val="20"/>
                        </w:rPr>
                      </w:pPr>
                      <w:r w:rsidRPr="00352CC7">
                        <w:rPr>
                          <w:rFonts w:ascii="Arial" w:hAnsi="Arial" w:cs="Arial"/>
                          <w:b/>
                          <w:bCs/>
                          <w:sz w:val="20"/>
                          <w:szCs w:val="20"/>
                        </w:rPr>
                        <w:t xml:space="preserve">Figure </w:t>
                      </w:r>
                      <w:r w:rsidRPr="00352CC7">
                        <w:rPr>
                          <w:rFonts w:ascii="Arial" w:hAnsi="Arial" w:cs="Arial"/>
                          <w:b/>
                          <w:bCs/>
                          <w:sz w:val="20"/>
                          <w:szCs w:val="20"/>
                        </w:rPr>
                        <w:fldChar w:fldCharType="begin"/>
                      </w:r>
                      <w:r w:rsidRPr="00352CC7">
                        <w:rPr>
                          <w:rFonts w:ascii="Arial" w:hAnsi="Arial" w:cs="Arial"/>
                          <w:b/>
                          <w:bCs/>
                          <w:sz w:val="20"/>
                          <w:szCs w:val="20"/>
                        </w:rPr>
                        <w:instrText xml:space="preserve"> SEQ Figure \* ARABIC </w:instrText>
                      </w:r>
                      <w:r w:rsidRPr="00352CC7">
                        <w:rPr>
                          <w:rFonts w:ascii="Arial" w:hAnsi="Arial" w:cs="Arial"/>
                          <w:b/>
                          <w:bCs/>
                          <w:sz w:val="20"/>
                          <w:szCs w:val="20"/>
                        </w:rPr>
                        <w:fldChar w:fldCharType="separate"/>
                      </w:r>
                      <w:r w:rsidRPr="00352CC7">
                        <w:rPr>
                          <w:rFonts w:ascii="Arial" w:hAnsi="Arial" w:cs="Arial"/>
                          <w:b/>
                          <w:bCs/>
                          <w:sz w:val="20"/>
                          <w:szCs w:val="20"/>
                        </w:rPr>
                        <w:t>4</w:t>
                      </w:r>
                      <w:r w:rsidRPr="00352CC7">
                        <w:rPr>
                          <w:rFonts w:ascii="Arial" w:hAnsi="Arial" w:cs="Arial"/>
                          <w:b/>
                          <w:bCs/>
                          <w:sz w:val="20"/>
                          <w:szCs w:val="20"/>
                        </w:rPr>
                        <w:fldChar w:fldCharType="end"/>
                      </w:r>
                      <w:r w:rsidRPr="00352CC7">
                        <w:rPr>
                          <w:rFonts w:ascii="Arial" w:hAnsi="Arial" w:cs="Arial"/>
                          <w:b/>
                          <w:bCs/>
                          <w:sz w:val="20"/>
                          <w:szCs w:val="20"/>
                        </w:rPr>
                        <w:t>:</w:t>
                      </w:r>
                      <w:r w:rsidRPr="00352CC7">
                        <w:rPr>
                          <w:rFonts w:ascii="Arial" w:hAnsi="Arial" w:cs="Arial"/>
                          <w:sz w:val="20"/>
                          <w:szCs w:val="20"/>
                        </w:rPr>
                        <w:t xml:space="preserve"> Calibration plot for the final GEE model for each week of hospital admission week.</w:t>
                      </w:r>
                    </w:p>
                  </w:txbxContent>
                </v:textbox>
                <w10:wrap type="topAndBottom" anchorx="margin"/>
              </v:shape>
            </w:pict>
          </mc:Fallback>
        </mc:AlternateContent>
      </w:r>
      <w:r w:rsidRPr="00352CC7">
        <w:rPr>
          <w:rFonts w:ascii="Arial" w:hAnsi="Arial" w:cs="Arial"/>
          <w:noProof/>
        </w:rPr>
        <w:drawing>
          <wp:anchor distT="0" distB="0" distL="114300" distR="114300" simplePos="0" relativeHeight="251660288" behindDoc="0" locked="0" layoutInCell="1" allowOverlap="1" wp14:anchorId="6D6B605E" wp14:editId="7F23A4DD">
            <wp:simplePos x="0" y="0"/>
            <wp:positionH relativeFrom="margin">
              <wp:align>center</wp:align>
            </wp:positionH>
            <wp:positionV relativeFrom="paragraph">
              <wp:posOffset>3215640</wp:posOffset>
            </wp:positionV>
            <wp:extent cx="4429125" cy="4429125"/>
            <wp:effectExtent l="0" t="0" r="9525" b="9525"/>
            <wp:wrapTopAndBottom/>
            <wp:docPr id="1563664068" name="Imagem 4" descr="Uma imagem contend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664068" name="Imagem 4" descr="Uma imagem contendo Aplicativo&#10;&#10;O conteúdo gerado por IA pode estar incorreto."/>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4429125" cy="442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2CC7">
        <w:rPr>
          <w:rFonts w:ascii="Arial" w:hAnsi="Arial" w:cs="Arial"/>
          <w:noProof/>
        </w:rPr>
        <mc:AlternateContent>
          <mc:Choice Requires="wps">
            <w:drawing>
              <wp:anchor distT="0" distB="0" distL="114300" distR="114300" simplePos="0" relativeHeight="251661312" behindDoc="0" locked="0" layoutInCell="1" allowOverlap="1" wp14:anchorId="2D297885" wp14:editId="209CB83D">
                <wp:simplePos x="0" y="0"/>
                <wp:positionH relativeFrom="margin">
                  <wp:align>center</wp:align>
                </wp:positionH>
                <wp:positionV relativeFrom="paragraph">
                  <wp:posOffset>2844165</wp:posOffset>
                </wp:positionV>
                <wp:extent cx="6082030" cy="635"/>
                <wp:effectExtent l="0" t="0" r="0" b="6350"/>
                <wp:wrapTopAndBottom/>
                <wp:docPr id="309936522" name="Caixa de Texto 1"/>
                <wp:cNvGraphicFramePr/>
                <a:graphic xmlns:a="http://schemas.openxmlformats.org/drawingml/2006/main">
                  <a:graphicData uri="http://schemas.microsoft.com/office/word/2010/wordprocessingShape">
                    <wps:wsp>
                      <wps:cNvSpPr txBox="1"/>
                      <wps:spPr>
                        <a:xfrm>
                          <a:off x="0" y="0"/>
                          <a:ext cx="6082030" cy="635"/>
                        </a:xfrm>
                        <a:prstGeom prst="rect">
                          <a:avLst/>
                        </a:prstGeom>
                        <a:solidFill>
                          <a:prstClr val="white"/>
                        </a:solidFill>
                        <a:ln>
                          <a:noFill/>
                        </a:ln>
                      </wps:spPr>
                      <wps:txbx>
                        <w:txbxContent>
                          <w:p w14:paraId="6DD14CB1" w14:textId="77777777" w:rsidR="00352CC7" w:rsidRPr="00243B85" w:rsidRDefault="00352CC7" w:rsidP="00352CC7">
                            <w:pPr>
                              <w:pStyle w:val="Caption"/>
                              <w:jc w:val="center"/>
                              <w:rPr>
                                <w:rFonts w:ascii="Arial" w:hAnsi="Arial" w:cs="Arial"/>
                                <w:sz w:val="20"/>
                                <w:szCs w:val="20"/>
                              </w:rPr>
                            </w:pPr>
                            <w:r w:rsidRPr="00243B85">
                              <w:rPr>
                                <w:rFonts w:ascii="Arial" w:hAnsi="Arial" w:cs="Arial"/>
                                <w:b/>
                                <w:bCs/>
                                <w:sz w:val="20"/>
                                <w:szCs w:val="20"/>
                              </w:rPr>
                              <w:t xml:space="preserve">Figure </w:t>
                            </w:r>
                            <w:r w:rsidRPr="00243B85">
                              <w:rPr>
                                <w:rFonts w:ascii="Arial" w:hAnsi="Arial" w:cs="Arial"/>
                                <w:b/>
                                <w:bCs/>
                                <w:sz w:val="20"/>
                                <w:szCs w:val="20"/>
                              </w:rPr>
                              <w:fldChar w:fldCharType="begin"/>
                            </w:r>
                            <w:r w:rsidRPr="00243B85">
                              <w:rPr>
                                <w:rFonts w:ascii="Arial" w:hAnsi="Arial" w:cs="Arial"/>
                                <w:b/>
                                <w:bCs/>
                                <w:sz w:val="20"/>
                                <w:szCs w:val="20"/>
                              </w:rPr>
                              <w:instrText xml:space="preserve"> SEQ Figure \* ARABIC </w:instrText>
                            </w:r>
                            <w:r w:rsidRPr="00243B85">
                              <w:rPr>
                                <w:rFonts w:ascii="Arial" w:hAnsi="Arial" w:cs="Arial"/>
                                <w:b/>
                                <w:bCs/>
                                <w:sz w:val="20"/>
                                <w:szCs w:val="20"/>
                              </w:rPr>
                              <w:fldChar w:fldCharType="separate"/>
                            </w:r>
                            <w:r w:rsidRPr="00243B85">
                              <w:rPr>
                                <w:rFonts w:ascii="Arial" w:hAnsi="Arial" w:cs="Arial"/>
                                <w:b/>
                                <w:bCs/>
                                <w:sz w:val="20"/>
                                <w:szCs w:val="20"/>
                              </w:rPr>
                              <w:t>3</w:t>
                            </w:r>
                            <w:r w:rsidRPr="00243B85">
                              <w:rPr>
                                <w:rFonts w:ascii="Arial" w:hAnsi="Arial" w:cs="Arial"/>
                                <w:b/>
                                <w:bCs/>
                                <w:sz w:val="20"/>
                                <w:szCs w:val="20"/>
                              </w:rPr>
                              <w:fldChar w:fldCharType="end"/>
                            </w:r>
                            <w:r w:rsidRPr="00243B85">
                              <w:rPr>
                                <w:rFonts w:ascii="Arial" w:hAnsi="Arial" w:cs="Arial"/>
                                <w:b/>
                                <w:bCs/>
                                <w:sz w:val="20"/>
                                <w:szCs w:val="20"/>
                              </w:rPr>
                              <w:t>:</w:t>
                            </w:r>
                            <w:r w:rsidRPr="00243B85">
                              <w:rPr>
                                <w:rFonts w:ascii="Arial" w:hAnsi="Arial" w:cs="Arial"/>
                                <w:sz w:val="20"/>
                                <w:szCs w:val="20"/>
                              </w:rPr>
                              <w:t xml:space="preserve"> Calibration plot for the final GEE model overall predictions.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D297885" id="_x0000_s1028" type="#_x0000_t202" style="position:absolute;margin-left:0;margin-top:223.95pt;width:478.9pt;height:.0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qh/GQIAAD8EAAAOAAAAZHJzL2Uyb0RvYy54bWysU8Fu2zAMvQ/YPwi6L3ZSLCiCOEWWIsOA&#10;oC3QFj0rshwLkEWNUmJnXz9KtpOt22nYRaZJihTfe1zedY1hJ4Vegy34dJJzpqyEUttDwV9ftp9u&#10;OfNB2FIYsKrgZ+X53erjh2XrFmoGNZhSIaMi1i9aV/A6BLfIMi9r1Qg/AacsBSvARgT6xUNWomip&#10;emOyWZ7PsxawdAhSeU/e+z7IV6l+VSkZHqvKq8BMweltIZ2Yzn08s9VSLA4oXK3l8AzxD69ohLbU&#10;9FLqXgTBjqj/KNVoieChChMJTQZVpaVKM9A00/zdNM+1cCrNQuB4d4HJ/7+y8uH07J6Qhe4LdERg&#10;BKR1fuHJGefpKmzil17KKE4Qni+wqS4wSc55fjvLbygkKTa/+RxrZNerDn34qqBh0Sg4EicJKnHa&#10;+dCnjimxkwejy602Jv7EwMYgOwnir611UEPx37KMjbkW4q2+YPRk1zmiFbp9x3RZ8Nk44x7KM42O&#10;0KvCO7nV1G8nfHgSSDKgkUja4ZGOykBbcBgszmrAH3/zx3xih6KctSSrgvvvR4GKM/PNEm9Rg6OB&#10;o7EfDXtsNkCTTmlpnEwmXcBgRrNCaN5I8evYhULCSupV8DCam9CLmzZGqvU6JZHSnAg7++xkLD3i&#10;+tK9CXQDK4HIfIBRcGLxjpw+N9Hj1sdASCfmIq49igPcpNLE/bBRcQ1+/U9Z171f/QQAAP//AwBQ&#10;SwMEFAAGAAgAAAAhAOlazB3gAAAACAEAAA8AAABkcnMvZG93bnJldi54bWxMj01PwzAMhu9I/IfI&#10;SFwQS4Gyj67pNE1wgMtE2WW3rPGaQuNUTbqVf493gqP9Wq+fJ1+NrhUn7EPjScHDJAGBVHnTUK1g&#10;9/l6PwcRoiajW0+o4AcDrIrrq1xnxp/pA09lrAWXUMi0Ahtjl0kZKotOh4nvkDg7+t7pyGNfS9Pr&#10;M5e7Vj4myVQ63RB/sLrDjcXquxycgm2639q74fjyvk6f+rfdsJl+1aVStzfjegki4hj/juGCz+hQ&#10;MNPBD2SCaBWwSFSQprMFCI4XzzM2OVw28wRkkcv/AsUvAAAA//8DAFBLAQItABQABgAIAAAAIQC2&#10;gziS/gAAAOEBAAATAAAAAAAAAAAAAAAAAAAAAABbQ29udGVudF9UeXBlc10ueG1sUEsBAi0AFAAG&#10;AAgAAAAhADj9If/WAAAAlAEAAAsAAAAAAAAAAAAAAAAALwEAAF9yZWxzLy5yZWxzUEsBAi0AFAAG&#10;AAgAAAAhALg+qH8ZAgAAPwQAAA4AAAAAAAAAAAAAAAAALgIAAGRycy9lMm9Eb2MueG1sUEsBAi0A&#10;FAAGAAgAAAAhAOlazB3gAAAACAEAAA8AAAAAAAAAAAAAAAAAcwQAAGRycy9kb3ducmV2LnhtbFBL&#10;BQYAAAAABAAEAPMAAACABQAAAAA=&#10;" stroked="f">
                <v:textbox style="mso-fit-shape-to-text:t" inset="0,0,0,0">
                  <w:txbxContent>
                    <w:p w14:paraId="6DD14CB1" w14:textId="77777777" w:rsidR="00352CC7" w:rsidRPr="00243B85" w:rsidRDefault="00352CC7" w:rsidP="00352CC7">
                      <w:pPr>
                        <w:pStyle w:val="Legenda"/>
                        <w:jc w:val="center"/>
                        <w:rPr>
                          <w:rFonts w:ascii="Arial" w:hAnsi="Arial" w:cs="Arial"/>
                          <w:sz w:val="20"/>
                          <w:szCs w:val="20"/>
                        </w:rPr>
                      </w:pPr>
                      <w:r w:rsidRPr="00243B85">
                        <w:rPr>
                          <w:rFonts w:ascii="Arial" w:hAnsi="Arial" w:cs="Arial"/>
                          <w:b/>
                          <w:bCs/>
                          <w:sz w:val="20"/>
                          <w:szCs w:val="20"/>
                        </w:rPr>
                        <w:t xml:space="preserve">Figure </w:t>
                      </w:r>
                      <w:r w:rsidRPr="00243B85">
                        <w:rPr>
                          <w:rFonts w:ascii="Arial" w:hAnsi="Arial" w:cs="Arial"/>
                          <w:b/>
                          <w:bCs/>
                          <w:sz w:val="20"/>
                          <w:szCs w:val="20"/>
                        </w:rPr>
                        <w:fldChar w:fldCharType="begin"/>
                      </w:r>
                      <w:r w:rsidRPr="00243B85">
                        <w:rPr>
                          <w:rFonts w:ascii="Arial" w:hAnsi="Arial" w:cs="Arial"/>
                          <w:b/>
                          <w:bCs/>
                          <w:sz w:val="20"/>
                          <w:szCs w:val="20"/>
                        </w:rPr>
                        <w:instrText xml:space="preserve"> SEQ Figure \* ARABIC </w:instrText>
                      </w:r>
                      <w:r w:rsidRPr="00243B85">
                        <w:rPr>
                          <w:rFonts w:ascii="Arial" w:hAnsi="Arial" w:cs="Arial"/>
                          <w:b/>
                          <w:bCs/>
                          <w:sz w:val="20"/>
                          <w:szCs w:val="20"/>
                        </w:rPr>
                        <w:fldChar w:fldCharType="separate"/>
                      </w:r>
                      <w:r w:rsidRPr="00243B85">
                        <w:rPr>
                          <w:rFonts w:ascii="Arial" w:hAnsi="Arial" w:cs="Arial"/>
                          <w:b/>
                          <w:bCs/>
                          <w:sz w:val="20"/>
                          <w:szCs w:val="20"/>
                        </w:rPr>
                        <w:t>3</w:t>
                      </w:r>
                      <w:r w:rsidRPr="00243B85">
                        <w:rPr>
                          <w:rFonts w:ascii="Arial" w:hAnsi="Arial" w:cs="Arial"/>
                          <w:b/>
                          <w:bCs/>
                          <w:sz w:val="20"/>
                          <w:szCs w:val="20"/>
                        </w:rPr>
                        <w:fldChar w:fldCharType="end"/>
                      </w:r>
                      <w:r w:rsidRPr="00243B85">
                        <w:rPr>
                          <w:rFonts w:ascii="Arial" w:hAnsi="Arial" w:cs="Arial"/>
                          <w:b/>
                          <w:bCs/>
                          <w:sz w:val="20"/>
                          <w:szCs w:val="20"/>
                        </w:rPr>
                        <w:t>:</w:t>
                      </w:r>
                      <w:r w:rsidRPr="00243B85">
                        <w:rPr>
                          <w:rFonts w:ascii="Arial" w:hAnsi="Arial" w:cs="Arial"/>
                          <w:sz w:val="20"/>
                          <w:szCs w:val="20"/>
                        </w:rPr>
                        <w:t xml:space="preserve"> Calibration plot for the final GEE model overall predictions.</w:t>
                      </w:r>
                    </w:p>
                  </w:txbxContent>
                </v:textbox>
                <w10:wrap type="topAndBottom" anchorx="margin"/>
              </v:shape>
            </w:pict>
          </mc:Fallback>
        </mc:AlternateContent>
      </w:r>
      <w:r w:rsidRPr="00352CC7">
        <w:rPr>
          <w:rFonts w:ascii="Arial" w:hAnsi="Arial" w:cs="Arial"/>
          <w:noProof/>
        </w:rPr>
        <w:drawing>
          <wp:anchor distT="0" distB="0" distL="114300" distR="114300" simplePos="0" relativeHeight="251659264" behindDoc="0" locked="0" layoutInCell="1" allowOverlap="1" wp14:anchorId="1DCC10D8" wp14:editId="5F5251F2">
            <wp:simplePos x="0" y="0"/>
            <wp:positionH relativeFrom="margin">
              <wp:align>center</wp:align>
            </wp:positionH>
            <wp:positionV relativeFrom="margin">
              <wp:align>top</wp:align>
            </wp:positionV>
            <wp:extent cx="2819400" cy="2819400"/>
            <wp:effectExtent l="0" t="0" r="0" b="0"/>
            <wp:wrapTopAndBottom/>
            <wp:docPr id="430394906" name="Imagem 2" descr="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394906" name="Imagem 2" descr="Gráfico&#10;&#10;O conteúdo gerado por IA pode estar incorreto."/>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81940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A0B889" w14:textId="5BC5D983" w:rsidR="00352CC7" w:rsidRPr="00352CC7" w:rsidRDefault="00352CC7" w:rsidP="00352CC7">
      <w:pPr>
        <w:rPr>
          <w:rFonts w:ascii="Arial" w:hAnsi="Arial" w:cs="Arial"/>
        </w:rPr>
      </w:pPr>
    </w:p>
    <w:p w14:paraId="4F36DCFF" w14:textId="55CF7140" w:rsidR="00DD08F0" w:rsidRDefault="00DD08F0" w:rsidP="00352CC7">
      <w:pPr>
        <w:rPr>
          <w:rFonts w:ascii="Arial" w:hAnsi="Arial" w:cs="Arial"/>
          <w:noProof/>
        </w:rPr>
      </w:pPr>
    </w:p>
    <w:p w14:paraId="63D44B71" w14:textId="6C9F707E" w:rsidR="00352CC7" w:rsidRPr="00352CC7" w:rsidRDefault="00352CC7" w:rsidP="00352CC7">
      <w:pPr>
        <w:rPr>
          <w:rFonts w:ascii="Arial" w:hAnsi="Arial" w:cs="Arial"/>
        </w:rPr>
      </w:pPr>
    </w:p>
    <w:p w14:paraId="625F0890" w14:textId="42962AF5" w:rsidR="00352CC7" w:rsidRPr="00352CC7" w:rsidRDefault="00352CC7" w:rsidP="00352CC7">
      <w:pPr>
        <w:ind w:left="-709"/>
        <w:rPr>
          <w:rFonts w:ascii="Arial" w:hAnsi="Arial" w:cs="Arial"/>
        </w:rPr>
      </w:pPr>
    </w:p>
    <w:p w14:paraId="72D86655" w14:textId="0487086E" w:rsidR="00352CC7" w:rsidRPr="00352CC7" w:rsidRDefault="00352CC7" w:rsidP="00352CC7">
      <w:pPr>
        <w:pStyle w:val="Caption"/>
        <w:keepNext/>
        <w:jc w:val="center"/>
        <w:rPr>
          <w:rFonts w:ascii="Arial" w:hAnsi="Arial" w:cs="Arial"/>
          <w:sz w:val="20"/>
          <w:szCs w:val="20"/>
        </w:rPr>
      </w:pPr>
      <w:r w:rsidRPr="00352CC7">
        <w:rPr>
          <w:rFonts w:ascii="Arial" w:hAnsi="Arial" w:cs="Arial"/>
          <w:b/>
          <w:bCs/>
          <w:sz w:val="20"/>
          <w:szCs w:val="20"/>
        </w:rPr>
        <w:t>Table 6:</w:t>
      </w:r>
      <w:r w:rsidRPr="00352CC7">
        <w:rPr>
          <w:rFonts w:ascii="Arial" w:hAnsi="Arial" w:cs="Arial"/>
          <w:sz w:val="20"/>
          <w:szCs w:val="20"/>
        </w:rPr>
        <w:t xml:space="preserve"> Limits of estimated risk of groups of low, intermediate and high risk.</w:t>
      </w:r>
    </w:p>
    <w:tbl>
      <w:tblPr>
        <w:tblW w:w="0" w:type="auto"/>
        <w:jc w:val="center"/>
        <w:tblLayout w:type="fixed"/>
        <w:tblLook w:val="0420" w:firstRow="1" w:lastRow="0" w:firstColumn="0" w:lastColumn="0" w:noHBand="0" w:noVBand="1"/>
      </w:tblPr>
      <w:tblGrid>
        <w:gridCol w:w="2697"/>
        <w:gridCol w:w="1108"/>
        <w:gridCol w:w="961"/>
        <w:gridCol w:w="961"/>
        <w:gridCol w:w="961"/>
        <w:gridCol w:w="961"/>
        <w:gridCol w:w="961"/>
      </w:tblGrid>
      <w:tr w:rsidR="00352CC7" w:rsidRPr="00352CC7" w14:paraId="3643CDFA" w14:textId="77777777" w:rsidTr="0017407A">
        <w:trPr>
          <w:tblHeader/>
          <w:jc w:val="center"/>
        </w:trPr>
        <w:tc>
          <w:tcPr>
            <w:tcW w:w="3805" w:type="dxa"/>
            <w:gridSpan w:val="2"/>
            <w:tcBorders>
              <w:top w:val="single" w:sz="12" w:space="0" w:color="666666"/>
              <w:left w:val="none" w:sz="0" w:space="0" w:color="000000" w:themeColor="text1"/>
              <w:bottom w:val="single" w:sz="12" w:space="0" w:color="666666"/>
              <w:right w:val="none" w:sz="0" w:space="0" w:color="000000" w:themeColor="text1"/>
            </w:tcBorders>
            <w:shd w:val="clear" w:color="auto" w:fill="7F7F7F" w:themeFill="text1" w:themeFillTint="80"/>
            <w:tcMar>
              <w:top w:w="0" w:type="dxa"/>
              <w:left w:w="0" w:type="dxa"/>
              <w:bottom w:w="0" w:type="dxa"/>
              <w:right w:w="0" w:type="dxa"/>
            </w:tcMar>
            <w:vAlign w:val="center"/>
          </w:tcPr>
          <w:p w14:paraId="72DACBE7" w14:textId="34EC0349"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b/>
                <w:bCs/>
              </w:rPr>
            </w:pPr>
          </w:p>
        </w:tc>
        <w:tc>
          <w:tcPr>
            <w:tcW w:w="4805" w:type="dxa"/>
            <w:gridSpan w:val="5"/>
            <w:tcBorders>
              <w:top w:val="single" w:sz="12" w:space="0" w:color="666666"/>
              <w:left w:val="none" w:sz="0" w:space="0" w:color="000000" w:themeColor="text1"/>
              <w:bottom w:val="single" w:sz="12" w:space="0" w:color="666666"/>
              <w:right w:val="none" w:sz="0" w:space="0" w:color="000000" w:themeColor="text1"/>
            </w:tcBorders>
            <w:shd w:val="clear" w:color="auto" w:fill="7F7F7F" w:themeFill="text1" w:themeFillTint="80"/>
            <w:tcMar>
              <w:top w:w="0" w:type="dxa"/>
              <w:left w:w="0" w:type="dxa"/>
              <w:bottom w:w="0" w:type="dxa"/>
              <w:right w:w="0" w:type="dxa"/>
            </w:tcMar>
            <w:vAlign w:val="center"/>
          </w:tcPr>
          <w:p w14:paraId="4ECD550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b/>
                <w:bCs/>
              </w:rPr>
            </w:pPr>
            <w:r w:rsidRPr="00352CC7">
              <w:rPr>
                <w:rFonts w:ascii="Arial" w:eastAsia="Arial" w:hAnsi="Arial" w:cs="Arial"/>
                <w:b/>
                <w:color w:val="000000" w:themeColor="text1"/>
              </w:rPr>
              <w:t>Weeks of admission</w:t>
            </w:r>
          </w:p>
        </w:tc>
      </w:tr>
      <w:tr w:rsidR="00352CC7" w:rsidRPr="00352CC7" w14:paraId="4DE6D744" w14:textId="77777777" w:rsidTr="0017407A">
        <w:trPr>
          <w:tblHeader/>
          <w:jc w:val="center"/>
        </w:trPr>
        <w:tc>
          <w:tcPr>
            <w:tcW w:w="2697" w:type="dxa"/>
            <w:tcBorders>
              <w:top w:val="single" w:sz="12" w:space="0" w:color="666666"/>
              <w:left w:val="none" w:sz="0" w:space="0" w:color="000000" w:themeColor="text1"/>
              <w:bottom w:val="single" w:sz="12" w:space="0" w:color="666666"/>
              <w:right w:val="none" w:sz="0" w:space="0" w:color="000000" w:themeColor="text1"/>
            </w:tcBorders>
            <w:shd w:val="clear" w:color="auto" w:fill="7F7F7F" w:themeFill="text1" w:themeFillTint="80"/>
            <w:tcMar>
              <w:top w:w="0" w:type="dxa"/>
              <w:left w:w="0" w:type="dxa"/>
              <w:bottom w:w="0" w:type="dxa"/>
              <w:right w:w="0" w:type="dxa"/>
            </w:tcMar>
            <w:vAlign w:val="center"/>
          </w:tcPr>
          <w:p w14:paraId="6241C0E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b/>
                <w:bCs/>
              </w:rPr>
            </w:pPr>
            <w:r w:rsidRPr="00352CC7">
              <w:rPr>
                <w:rFonts w:ascii="Arial" w:eastAsia="Arial" w:hAnsi="Arial" w:cs="Arial"/>
                <w:b/>
                <w:color w:val="000000" w:themeColor="text1"/>
              </w:rPr>
              <w:t>Limits</w:t>
            </w:r>
          </w:p>
        </w:tc>
        <w:tc>
          <w:tcPr>
            <w:tcW w:w="1108" w:type="dxa"/>
            <w:tcBorders>
              <w:top w:val="single" w:sz="12" w:space="0" w:color="666666"/>
              <w:left w:val="none" w:sz="0" w:space="0" w:color="000000" w:themeColor="text1"/>
              <w:bottom w:val="single" w:sz="12" w:space="0" w:color="666666"/>
              <w:right w:val="none" w:sz="0" w:space="0" w:color="000000" w:themeColor="text1"/>
            </w:tcBorders>
            <w:shd w:val="clear" w:color="auto" w:fill="7F7F7F" w:themeFill="text1" w:themeFillTint="80"/>
            <w:tcMar>
              <w:top w:w="0" w:type="dxa"/>
              <w:left w:w="0" w:type="dxa"/>
              <w:bottom w:w="0" w:type="dxa"/>
              <w:right w:w="0" w:type="dxa"/>
            </w:tcMar>
            <w:vAlign w:val="center"/>
          </w:tcPr>
          <w:p w14:paraId="0F91D933" w14:textId="607ABF3A"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b/>
                <w:bCs/>
              </w:rPr>
            </w:pPr>
            <w:r w:rsidRPr="00352CC7">
              <w:rPr>
                <w:rFonts w:ascii="Arial" w:eastAsia="Arial" w:hAnsi="Arial" w:cs="Arial"/>
                <w:b/>
                <w:color w:val="000000" w:themeColor="text1"/>
              </w:rPr>
              <w:t>Overall</w:t>
            </w:r>
          </w:p>
        </w:tc>
        <w:tc>
          <w:tcPr>
            <w:tcW w:w="961" w:type="dxa"/>
            <w:tcBorders>
              <w:top w:val="single" w:sz="12" w:space="0" w:color="666666"/>
              <w:left w:val="none" w:sz="0" w:space="0" w:color="000000" w:themeColor="text1"/>
              <w:bottom w:val="single" w:sz="12" w:space="0" w:color="666666"/>
              <w:right w:val="none" w:sz="0" w:space="0" w:color="000000" w:themeColor="text1"/>
            </w:tcBorders>
            <w:shd w:val="clear" w:color="auto" w:fill="7F7F7F" w:themeFill="text1" w:themeFillTint="80"/>
            <w:tcMar>
              <w:top w:w="0" w:type="dxa"/>
              <w:left w:w="0" w:type="dxa"/>
              <w:bottom w:w="0" w:type="dxa"/>
              <w:right w:w="0" w:type="dxa"/>
            </w:tcMar>
            <w:vAlign w:val="center"/>
          </w:tcPr>
          <w:p w14:paraId="6946425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b/>
                <w:bCs/>
              </w:rPr>
            </w:pPr>
            <w:r w:rsidRPr="00352CC7">
              <w:rPr>
                <w:rFonts w:ascii="Arial" w:eastAsia="Arial" w:hAnsi="Arial" w:cs="Arial"/>
                <w:b/>
                <w:color w:val="000000" w:themeColor="text1"/>
              </w:rPr>
              <w:t>1</w:t>
            </w:r>
          </w:p>
        </w:tc>
        <w:tc>
          <w:tcPr>
            <w:tcW w:w="961" w:type="dxa"/>
            <w:tcBorders>
              <w:top w:val="single" w:sz="12" w:space="0" w:color="666666"/>
              <w:left w:val="none" w:sz="0" w:space="0" w:color="000000" w:themeColor="text1"/>
              <w:bottom w:val="single" w:sz="12" w:space="0" w:color="666666"/>
              <w:right w:val="none" w:sz="0" w:space="0" w:color="000000" w:themeColor="text1"/>
            </w:tcBorders>
            <w:shd w:val="clear" w:color="auto" w:fill="7F7F7F" w:themeFill="text1" w:themeFillTint="80"/>
            <w:tcMar>
              <w:top w:w="0" w:type="dxa"/>
              <w:left w:w="0" w:type="dxa"/>
              <w:bottom w:w="0" w:type="dxa"/>
              <w:right w:w="0" w:type="dxa"/>
            </w:tcMar>
            <w:vAlign w:val="center"/>
          </w:tcPr>
          <w:p w14:paraId="476C8C2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b/>
                <w:bCs/>
              </w:rPr>
            </w:pPr>
            <w:r w:rsidRPr="00352CC7">
              <w:rPr>
                <w:rFonts w:ascii="Arial" w:eastAsia="Arial" w:hAnsi="Arial" w:cs="Arial"/>
                <w:b/>
                <w:color w:val="000000" w:themeColor="text1"/>
              </w:rPr>
              <w:t>2</w:t>
            </w:r>
          </w:p>
        </w:tc>
        <w:tc>
          <w:tcPr>
            <w:tcW w:w="961" w:type="dxa"/>
            <w:tcBorders>
              <w:top w:val="single" w:sz="12" w:space="0" w:color="666666"/>
              <w:left w:val="none" w:sz="0" w:space="0" w:color="000000" w:themeColor="text1"/>
              <w:bottom w:val="single" w:sz="12" w:space="0" w:color="666666"/>
              <w:right w:val="none" w:sz="0" w:space="0" w:color="000000" w:themeColor="text1"/>
            </w:tcBorders>
            <w:shd w:val="clear" w:color="auto" w:fill="7F7F7F" w:themeFill="text1" w:themeFillTint="80"/>
            <w:tcMar>
              <w:top w:w="0" w:type="dxa"/>
              <w:left w:w="0" w:type="dxa"/>
              <w:bottom w:w="0" w:type="dxa"/>
              <w:right w:w="0" w:type="dxa"/>
            </w:tcMar>
            <w:vAlign w:val="center"/>
          </w:tcPr>
          <w:p w14:paraId="2A4A828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b/>
                <w:bCs/>
              </w:rPr>
            </w:pPr>
            <w:r w:rsidRPr="00352CC7">
              <w:rPr>
                <w:rFonts w:ascii="Arial" w:eastAsia="Arial" w:hAnsi="Arial" w:cs="Arial"/>
                <w:b/>
                <w:color w:val="000000" w:themeColor="text1"/>
              </w:rPr>
              <w:t>3</w:t>
            </w:r>
          </w:p>
        </w:tc>
        <w:tc>
          <w:tcPr>
            <w:tcW w:w="961" w:type="dxa"/>
            <w:tcBorders>
              <w:top w:val="single" w:sz="12" w:space="0" w:color="666666"/>
              <w:left w:val="none" w:sz="0" w:space="0" w:color="000000" w:themeColor="text1"/>
              <w:bottom w:val="single" w:sz="12" w:space="0" w:color="666666"/>
              <w:right w:val="none" w:sz="0" w:space="0" w:color="000000" w:themeColor="text1"/>
            </w:tcBorders>
            <w:shd w:val="clear" w:color="auto" w:fill="7F7F7F" w:themeFill="text1" w:themeFillTint="80"/>
            <w:tcMar>
              <w:top w:w="0" w:type="dxa"/>
              <w:left w:w="0" w:type="dxa"/>
              <w:bottom w:w="0" w:type="dxa"/>
              <w:right w:w="0" w:type="dxa"/>
            </w:tcMar>
            <w:vAlign w:val="center"/>
          </w:tcPr>
          <w:p w14:paraId="077D2E6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b/>
                <w:bCs/>
              </w:rPr>
            </w:pPr>
            <w:r w:rsidRPr="00352CC7">
              <w:rPr>
                <w:rFonts w:ascii="Arial" w:eastAsia="Arial" w:hAnsi="Arial" w:cs="Arial"/>
                <w:b/>
                <w:color w:val="000000" w:themeColor="text1"/>
              </w:rPr>
              <w:t>4</w:t>
            </w:r>
          </w:p>
        </w:tc>
        <w:tc>
          <w:tcPr>
            <w:tcW w:w="961" w:type="dxa"/>
            <w:tcBorders>
              <w:top w:val="single" w:sz="12" w:space="0" w:color="666666"/>
              <w:left w:val="none" w:sz="0" w:space="0" w:color="000000" w:themeColor="text1"/>
              <w:bottom w:val="single" w:sz="12" w:space="0" w:color="666666"/>
              <w:right w:val="none" w:sz="0" w:space="0" w:color="000000" w:themeColor="text1"/>
            </w:tcBorders>
            <w:shd w:val="clear" w:color="auto" w:fill="7F7F7F" w:themeFill="text1" w:themeFillTint="80"/>
            <w:tcMar>
              <w:top w:w="0" w:type="dxa"/>
              <w:left w:w="0" w:type="dxa"/>
              <w:bottom w:w="0" w:type="dxa"/>
              <w:right w:w="0" w:type="dxa"/>
            </w:tcMar>
            <w:vAlign w:val="center"/>
          </w:tcPr>
          <w:p w14:paraId="686A37A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b/>
                <w:bCs/>
              </w:rPr>
            </w:pPr>
            <w:r w:rsidRPr="00352CC7">
              <w:rPr>
                <w:rFonts w:ascii="Arial" w:eastAsia="Arial" w:hAnsi="Arial" w:cs="Arial"/>
                <w:b/>
                <w:color w:val="000000" w:themeColor="text1"/>
              </w:rPr>
              <w:t>&gt;=5</w:t>
            </w:r>
          </w:p>
        </w:tc>
      </w:tr>
      <w:tr w:rsidR="00352CC7" w:rsidRPr="00352CC7" w14:paraId="2E4999E3" w14:textId="77777777" w:rsidTr="0017407A">
        <w:trPr>
          <w:jc w:val="center"/>
        </w:trPr>
        <w:tc>
          <w:tcPr>
            <w:tcW w:w="2697" w:type="dxa"/>
            <w:tcBorders>
              <w:top w:val="single" w:sz="12" w:space="0" w:color="666666"/>
              <w:left w:val="none" w:sz="0" w:space="0" w:color="000000" w:themeColor="text1"/>
              <w:bottom w:val="none" w:sz="0" w:space="0" w:color="000000" w:themeColor="text1"/>
              <w:right w:val="none" w:sz="0" w:space="0" w:color="000000" w:themeColor="text1"/>
            </w:tcBorders>
            <w:shd w:val="clear" w:color="auto" w:fill="D9D9D9" w:themeFill="background1" w:themeFillShade="D9"/>
            <w:tcMar>
              <w:top w:w="0" w:type="dxa"/>
              <w:left w:w="0" w:type="dxa"/>
              <w:bottom w:w="0" w:type="dxa"/>
              <w:right w:w="0" w:type="dxa"/>
            </w:tcMar>
            <w:vAlign w:val="center"/>
          </w:tcPr>
          <w:p w14:paraId="2BDD295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b/>
                <w:bCs/>
              </w:rPr>
            </w:pPr>
            <w:r w:rsidRPr="00352CC7">
              <w:rPr>
                <w:rFonts w:ascii="Arial" w:eastAsia="Arial" w:hAnsi="Arial" w:cs="Arial"/>
                <w:b/>
                <w:color w:val="000000" w:themeColor="text1"/>
              </w:rPr>
              <w:t>Lower limit</w:t>
            </w:r>
          </w:p>
        </w:tc>
        <w:tc>
          <w:tcPr>
            <w:tcW w:w="1108" w:type="dxa"/>
            <w:tcBorders>
              <w:top w:val="single" w:sz="12" w:space="0" w:color="666666"/>
              <w:left w:val="none" w:sz="0" w:space="0" w:color="000000" w:themeColor="text1"/>
              <w:bottom w:val="none" w:sz="0" w:space="0" w:color="000000" w:themeColor="text1"/>
              <w:right w:val="none" w:sz="0" w:space="0" w:color="000000" w:themeColor="text1"/>
            </w:tcBorders>
            <w:shd w:val="clear" w:color="auto" w:fill="D9D9D9" w:themeFill="background1" w:themeFillShade="D9"/>
            <w:tcMar>
              <w:top w:w="0" w:type="dxa"/>
              <w:left w:w="0" w:type="dxa"/>
              <w:bottom w:w="0" w:type="dxa"/>
              <w:right w:w="0" w:type="dxa"/>
            </w:tcMar>
          </w:tcPr>
          <w:p w14:paraId="5E88B092" w14:textId="30555400"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0.529</w:t>
            </w:r>
          </w:p>
        </w:tc>
        <w:tc>
          <w:tcPr>
            <w:tcW w:w="961" w:type="dxa"/>
            <w:tcBorders>
              <w:top w:val="single" w:sz="12" w:space="0" w:color="666666"/>
              <w:left w:val="none" w:sz="0" w:space="0" w:color="000000" w:themeColor="text1"/>
              <w:bottom w:val="none" w:sz="0" w:space="0" w:color="000000" w:themeColor="text1"/>
              <w:right w:val="none" w:sz="0" w:space="0" w:color="000000" w:themeColor="text1"/>
            </w:tcBorders>
            <w:shd w:val="clear" w:color="auto" w:fill="D9D9D9" w:themeFill="background1" w:themeFillShade="D9"/>
            <w:tcMar>
              <w:top w:w="0" w:type="dxa"/>
              <w:left w:w="0" w:type="dxa"/>
              <w:bottom w:w="0" w:type="dxa"/>
              <w:right w:w="0" w:type="dxa"/>
            </w:tcMar>
          </w:tcPr>
          <w:p w14:paraId="3CEABE6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0.620</w:t>
            </w:r>
          </w:p>
        </w:tc>
        <w:tc>
          <w:tcPr>
            <w:tcW w:w="961" w:type="dxa"/>
            <w:tcBorders>
              <w:top w:val="single" w:sz="12" w:space="0" w:color="666666"/>
              <w:left w:val="none" w:sz="0" w:space="0" w:color="000000" w:themeColor="text1"/>
              <w:bottom w:val="none" w:sz="0" w:space="0" w:color="000000" w:themeColor="text1"/>
              <w:right w:val="none" w:sz="0" w:space="0" w:color="000000" w:themeColor="text1"/>
            </w:tcBorders>
            <w:shd w:val="clear" w:color="auto" w:fill="D9D9D9" w:themeFill="background1" w:themeFillShade="D9"/>
            <w:tcMar>
              <w:top w:w="0" w:type="dxa"/>
              <w:left w:w="0" w:type="dxa"/>
              <w:bottom w:w="0" w:type="dxa"/>
              <w:right w:w="0" w:type="dxa"/>
            </w:tcMar>
          </w:tcPr>
          <w:p w14:paraId="149889A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0.491</w:t>
            </w:r>
          </w:p>
        </w:tc>
        <w:tc>
          <w:tcPr>
            <w:tcW w:w="961" w:type="dxa"/>
            <w:tcBorders>
              <w:top w:val="single" w:sz="12" w:space="0" w:color="666666"/>
              <w:left w:val="none" w:sz="0" w:space="0" w:color="000000" w:themeColor="text1"/>
              <w:bottom w:val="none" w:sz="0" w:space="0" w:color="000000" w:themeColor="text1"/>
              <w:right w:val="none" w:sz="0" w:space="0" w:color="000000" w:themeColor="text1"/>
            </w:tcBorders>
            <w:shd w:val="clear" w:color="auto" w:fill="D9D9D9" w:themeFill="background1" w:themeFillShade="D9"/>
            <w:tcMar>
              <w:top w:w="0" w:type="dxa"/>
              <w:left w:w="0" w:type="dxa"/>
              <w:bottom w:w="0" w:type="dxa"/>
              <w:right w:w="0" w:type="dxa"/>
            </w:tcMar>
          </w:tcPr>
          <w:p w14:paraId="3AE5C9F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0.482</w:t>
            </w:r>
          </w:p>
        </w:tc>
        <w:tc>
          <w:tcPr>
            <w:tcW w:w="961" w:type="dxa"/>
            <w:tcBorders>
              <w:top w:val="single" w:sz="12" w:space="0" w:color="666666"/>
              <w:left w:val="none" w:sz="0" w:space="0" w:color="000000" w:themeColor="text1"/>
              <w:bottom w:val="none" w:sz="0" w:space="0" w:color="000000" w:themeColor="text1"/>
              <w:right w:val="none" w:sz="0" w:space="0" w:color="000000" w:themeColor="text1"/>
            </w:tcBorders>
            <w:shd w:val="clear" w:color="auto" w:fill="D9D9D9" w:themeFill="background1" w:themeFillShade="D9"/>
            <w:tcMar>
              <w:top w:w="0" w:type="dxa"/>
              <w:left w:w="0" w:type="dxa"/>
              <w:bottom w:w="0" w:type="dxa"/>
              <w:right w:w="0" w:type="dxa"/>
            </w:tcMar>
          </w:tcPr>
          <w:p w14:paraId="1C831EE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0.444</w:t>
            </w:r>
          </w:p>
        </w:tc>
        <w:tc>
          <w:tcPr>
            <w:tcW w:w="961" w:type="dxa"/>
            <w:tcBorders>
              <w:top w:val="single" w:sz="12" w:space="0" w:color="666666"/>
              <w:left w:val="none" w:sz="0" w:space="0" w:color="000000" w:themeColor="text1"/>
              <w:bottom w:val="none" w:sz="0" w:space="0" w:color="000000" w:themeColor="text1"/>
              <w:right w:val="none" w:sz="0" w:space="0" w:color="000000" w:themeColor="text1"/>
            </w:tcBorders>
            <w:shd w:val="clear" w:color="auto" w:fill="D9D9D9" w:themeFill="background1" w:themeFillShade="D9"/>
            <w:tcMar>
              <w:top w:w="0" w:type="dxa"/>
              <w:left w:w="0" w:type="dxa"/>
              <w:bottom w:w="0" w:type="dxa"/>
              <w:right w:w="0" w:type="dxa"/>
            </w:tcMar>
          </w:tcPr>
          <w:p w14:paraId="6D45EAB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0.493</w:t>
            </w:r>
          </w:p>
        </w:tc>
      </w:tr>
      <w:tr w:rsidR="00352CC7" w:rsidRPr="00352CC7" w14:paraId="76D5CD9C" w14:textId="77777777" w:rsidTr="0017407A">
        <w:trPr>
          <w:jc w:val="center"/>
        </w:trPr>
        <w:tc>
          <w:tcPr>
            <w:tcW w:w="269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8A1709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b/>
                <w:bCs/>
              </w:rPr>
            </w:pPr>
            <w:r w:rsidRPr="00352CC7">
              <w:rPr>
                <w:rFonts w:ascii="Arial" w:eastAsia="Arial" w:hAnsi="Arial" w:cs="Arial"/>
                <w:b/>
                <w:color w:val="000000" w:themeColor="text1"/>
              </w:rPr>
              <w:t>Upper limit</w:t>
            </w:r>
          </w:p>
        </w:tc>
        <w:tc>
          <w:tcPr>
            <w:tcW w:w="11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tcPr>
          <w:p w14:paraId="4469CDAA" w14:textId="70B744D9"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0.684</w:t>
            </w:r>
          </w:p>
        </w:tc>
        <w:tc>
          <w:tcPr>
            <w:tcW w:w="96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tcPr>
          <w:p w14:paraId="2A03C70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0.824</w:t>
            </w:r>
          </w:p>
        </w:tc>
        <w:tc>
          <w:tcPr>
            <w:tcW w:w="96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tcPr>
          <w:p w14:paraId="6DF824D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0.630</w:t>
            </w:r>
          </w:p>
        </w:tc>
        <w:tc>
          <w:tcPr>
            <w:tcW w:w="96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tcPr>
          <w:p w14:paraId="63A98A1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0.607</w:t>
            </w:r>
          </w:p>
        </w:tc>
        <w:tc>
          <w:tcPr>
            <w:tcW w:w="96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tcPr>
          <w:p w14:paraId="7A2393A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0.632</w:t>
            </w:r>
          </w:p>
        </w:tc>
        <w:tc>
          <w:tcPr>
            <w:tcW w:w="96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tcPr>
          <w:p w14:paraId="41E4852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0.624</w:t>
            </w:r>
          </w:p>
        </w:tc>
      </w:tr>
      <w:tr w:rsidR="00352CC7" w:rsidRPr="00352CC7" w14:paraId="7671842C" w14:textId="77777777" w:rsidTr="0017407A">
        <w:trPr>
          <w:jc w:val="center"/>
        </w:trPr>
        <w:tc>
          <w:tcPr>
            <w:tcW w:w="2697" w:type="dxa"/>
            <w:tcBorders>
              <w:top w:val="none" w:sz="0" w:space="0" w:color="000000" w:themeColor="text1"/>
              <w:left w:val="none" w:sz="0" w:space="0" w:color="000000" w:themeColor="text1"/>
              <w:bottom w:val="single" w:sz="12" w:space="0" w:color="666666"/>
              <w:right w:val="none" w:sz="0" w:space="0" w:color="000000" w:themeColor="text1"/>
            </w:tcBorders>
            <w:shd w:val="clear" w:color="auto" w:fill="D9D9D9" w:themeFill="background1" w:themeFillShade="D9"/>
            <w:tcMar>
              <w:top w:w="0" w:type="dxa"/>
              <w:left w:w="0" w:type="dxa"/>
              <w:bottom w:w="0" w:type="dxa"/>
              <w:right w:w="0" w:type="dxa"/>
            </w:tcMar>
            <w:vAlign w:val="center"/>
          </w:tcPr>
          <w:p w14:paraId="033DD7B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b/>
                <w:bCs/>
              </w:rPr>
            </w:pPr>
            <w:r w:rsidRPr="00352CC7">
              <w:rPr>
                <w:rFonts w:ascii="Arial" w:eastAsia="Arial" w:hAnsi="Arial" w:cs="Arial"/>
                <w:b/>
                <w:color w:val="000000" w:themeColor="text1"/>
              </w:rPr>
              <w:t>Distribution intersection</w:t>
            </w:r>
          </w:p>
        </w:tc>
        <w:tc>
          <w:tcPr>
            <w:tcW w:w="1108" w:type="dxa"/>
            <w:tcBorders>
              <w:top w:val="none" w:sz="0" w:space="0" w:color="000000" w:themeColor="text1"/>
              <w:left w:val="none" w:sz="0" w:space="0" w:color="000000" w:themeColor="text1"/>
              <w:bottom w:val="single" w:sz="12" w:space="0" w:color="666666"/>
              <w:right w:val="none" w:sz="0" w:space="0" w:color="000000" w:themeColor="text1"/>
            </w:tcBorders>
            <w:shd w:val="clear" w:color="auto" w:fill="D9D9D9" w:themeFill="background1" w:themeFillShade="D9"/>
            <w:tcMar>
              <w:top w:w="0" w:type="dxa"/>
              <w:left w:w="0" w:type="dxa"/>
              <w:bottom w:w="0" w:type="dxa"/>
              <w:right w:w="0" w:type="dxa"/>
            </w:tcMar>
          </w:tcPr>
          <w:p w14:paraId="7688DBF2" w14:textId="1C67248B"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0.610</w:t>
            </w:r>
          </w:p>
        </w:tc>
        <w:tc>
          <w:tcPr>
            <w:tcW w:w="961" w:type="dxa"/>
            <w:tcBorders>
              <w:top w:val="none" w:sz="0" w:space="0" w:color="000000" w:themeColor="text1"/>
              <w:left w:val="none" w:sz="0" w:space="0" w:color="000000" w:themeColor="text1"/>
              <w:bottom w:val="single" w:sz="12" w:space="0" w:color="666666"/>
              <w:right w:val="none" w:sz="0" w:space="0" w:color="000000" w:themeColor="text1"/>
            </w:tcBorders>
            <w:shd w:val="clear" w:color="auto" w:fill="D9D9D9" w:themeFill="background1" w:themeFillShade="D9"/>
            <w:tcMar>
              <w:top w:w="0" w:type="dxa"/>
              <w:left w:w="0" w:type="dxa"/>
              <w:bottom w:w="0" w:type="dxa"/>
              <w:right w:w="0" w:type="dxa"/>
            </w:tcMar>
          </w:tcPr>
          <w:p w14:paraId="7B6ABEA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0.723</w:t>
            </w:r>
          </w:p>
        </w:tc>
        <w:tc>
          <w:tcPr>
            <w:tcW w:w="961" w:type="dxa"/>
            <w:tcBorders>
              <w:top w:val="none" w:sz="0" w:space="0" w:color="000000" w:themeColor="text1"/>
              <w:left w:val="none" w:sz="0" w:space="0" w:color="000000" w:themeColor="text1"/>
              <w:bottom w:val="single" w:sz="12" w:space="0" w:color="666666"/>
              <w:right w:val="none" w:sz="0" w:space="0" w:color="000000" w:themeColor="text1"/>
            </w:tcBorders>
            <w:shd w:val="clear" w:color="auto" w:fill="D9D9D9" w:themeFill="background1" w:themeFillShade="D9"/>
            <w:tcMar>
              <w:top w:w="0" w:type="dxa"/>
              <w:left w:w="0" w:type="dxa"/>
              <w:bottom w:w="0" w:type="dxa"/>
              <w:right w:w="0" w:type="dxa"/>
            </w:tcMar>
          </w:tcPr>
          <w:p w14:paraId="492151F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0.563</w:t>
            </w:r>
          </w:p>
        </w:tc>
        <w:tc>
          <w:tcPr>
            <w:tcW w:w="961" w:type="dxa"/>
            <w:tcBorders>
              <w:top w:val="none" w:sz="0" w:space="0" w:color="000000" w:themeColor="text1"/>
              <w:left w:val="none" w:sz="0" w:space="0" w:color="000000" w:themeColor="text1"/>
              <w:bottom w:val="single" w:sz="12" w:space="0" w:color="666666"/>
              <w:right w:val="none" w:sz="0" w:space="0" w:color="000000" w:themeColor="text1"/>
            </w:tcBorders>
            <w:shd w:val="clear" w:color="auto" w:fill="D9D9D9" w:themeFill="background1" w:themeFillShade="D9"/>
            <w:tcMar>
              <w:top w:w="0" w:type="dxa"/>
              <w:left w:w="0" w:type="dxa"/>
              <w:bottom w:w="0" w:type="dxa"/>
              <w:right w:w="0" w:type="dxa"/>
            </w:tcMar>
          </w:tcPr>
          <w:p w14:paraId="1E51E18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0.543</w:t>
            </w:r>
          </w:p>
        </w:tc>
        <w:tc>
          <w:tcPr>
            <w:tcW w:w="961" w:type="dxa"/>
            <w:tcBorders>
              <w:top w:val="none" w:sz="0" w:space="0" w:color="000000" w:themeColor="text1"/>
              <w:left w:val="none" w:sz="0" w:space="0" w:color="000000" w:themeColor="text1"/>
              <w:bottom w:val="single" w:sz="12" w:space="0" w:color="666666"/>
              <w:right w:val="none" w:sz="0" w:space="0" w:color="000000" w:themeColor="text1"/>
            </w:tcBorders>
            <w:shd w:val="clear" w:color="auto" w:fill="D9D9D9" w:themeFill="background1" w:themeFillShade="D9"/>
            <w:tcMar>
              <w:top w:w="0" w:type="dxa"/>
              <w:left w:w="0" w:type="dxa"/>
              <w:bottom w:w="0" w:type="dxa"/>
              <w:right w:w="0" w:type="dxa"/>
            </w:tcMar>
          </w:tcPr>
          <w:p w14:paraId="46458A0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0.546</w:t>
            </w:r>
          </w:p>
        </w:tc>
        <w:tc>
          <w:tcPr>
            <w:tcW w:w="961" w:type="dxa"/>
            <w:tcBorders>
              <w:top w:val="none" w:sz="0" w:space="0" w:color="000000" w:themeColor="text1"/>
              <w:left w:val="none" w:sz="0" w:space="0" w:color="000000" w:themeColor="text1"/>
              <w:bottom w:val="single" w:sz="12" w:space="0" w:color="666666"/>
              <w:right w:val="none" w:sz="0" w:space="0" w:color="000000" w:themeColor="text1"/>
            </w:tcBorders>
            <w:shd w:val="clear" w:color="auto" w:fill="D9D9D9" w:themeFill="background1" w:themeFillShade="D9"/>
            <w:tcMar>
              <w:top w:w="0" w:type="dxa"/>
              <w:left w:w="0" w:type="dxa"/>
              <w:bottom w:w="0" w:type="dxa"/>
              <w:right w:w="0" w:type="dxa"/>
            </w:tcMar>
          </w:tcPr>
          <w:p w14:paraId="74CCF8C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0.563</w:t>
            </w:r>
          </w:p>
        </w:tc>
      </w:tr>
      <w:tr w:rsidR="00352CC7" w:rsidRPr="00352CC7" w14:paraId="61384BAE" w14:textId="77777777" w:rsidTr="0017407A">
        <w:trPr>
          <w:jc w:val="center"/>
        </w:trPr>
        <w:tc>
          <w:tcPr>
            <w:tcW w:w="8610" w:type="dxa"/>
            <w:gridSpan w:val="7"/>
            <w:tcBorders>
              <w:top w:val="single" w:sz="12" w:space="0" w:color="666666"/>
              <w:left w:val="none" w:sz="0" w:space="0" w:color="FFFFFF" w:themeColor="background1"/>
              <w:bottom w:val="none" w:sz="0" w:space="0" w:color="FFFFFF" w:themeColor="background1"/>
              <w:right w:val="none" w:sz="0" w:space="0" w:color="FFFFFF" w:themeColor="background1"/>
            </w:tcBorders>
            <w:shd w:val="clear" w:color="auto" w:fill="FFFFFF" w:themeFill="background1"/>
            <w:tcMar>
              <w:top w:w="0" w:type="dxa"/>
              <w:left w:w="0" w:type="dxa"/>
              <w:bottom w:w="0" w:type="dxa"/>
              <w:right w:w="0" w:type="dxa"/>
            </w:tcMar>
            <w:vAlign w:val="center"/>
          </w:tcPr>
          <w:p w14:paraId="7BE872B5" w14:textId="7EA7844A"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sidRPr="00352CC7">
              <w:rPr>
                <w:rFonts w:ascii="Arial" w:eastAsia="Arial" w:hAnsi="Arial" w:cs="Arial"/>
                <w:color w:val="000000" w:themeColor="text1"/>
              </w:rPr>
              <w:t>Limits estimated using the Uncertain interval method with binormal distribution.</w:t>
            </w:r>
          </w:p>
          <w:p w14:paraId="1F858B2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rPr>
            </w:pPr>
          </w:p>
        </w:tc>
      </w:tr>
    </w:tbl>
    <w:p w14:paraId="47BC3D5C" w14:textId="77777777" w:rsidR="00352CC7" w:rsidRPr="00352CC7" w:rsidRDefault="00352CC7" w:rsidP="00352CC7">
      <w:pPr>
        <w:rPr>
          <w:rFonts w:ascii="Arial" w:hAnsi="Arial" w:cs="Arial"/>
          <w:b/>
          <w:bCs/>
          <w:color w:val="FF0000"/>
        </w:rPr>
      </w:pPr>
    </w:p>
    <w:p w14:paraId="1B8AC286" w14:textId="4E9A9633" w:rsidR="00352CC7" w:rsidRPr="00243B85" w:rsidRDefault="00352CC7" w:rsidP="00352CC7">
      <w:pPr>
        <w:jc w:val="both"/>
        <w:rPr>
          <w:rFonts w:ascii="Arial" w:hAnsi="Arial" w:cs="Arial"/>
        </w:rPr>
      </w:pPr>
      <w:r w:rsidRPr="00243B85">
        <w:rPr>
          <w:rFonts w:ascii="Arial" w:hAnsi="Arial" w:cs="Arial"/>
        </w:rPr>
        <w:t xml:space="preserve">The thresholds estimated by the Uncertain interval method assume that around the intersection of the distributions, the frequency of values from those with and without PDRI are so similar that it is not possible to distinguish which class is more likely. One may see that the intersections and the threshold boundaries decrease from the first to the second week, and then they become stable. One may also see that the first week’s boundaries are higher than the remaining weeks’ intersections and some of the remaining boundaries. Therefore, it would be reasonable to understand that the overall limits to classify as low, moderate, or high risk should be different over time. In our data, this would work differently for the first week of admission, but the overall limits could work equally well for the remaining weeks. (Table 6) With this approach, 83 (39.1%) of participants in the first week were classified as high risk. This proportion remains relatively similar up to the fourth week, when the proportion of participants in the “High risk” group increased steeply. </w:t>
      </w:r>
    </w:p>
    <w:p w14:paraId="4A31C1BA" w14:textId="7C8F07EB" w:rsidR="00352CC7" w:rsidRPr="00243B85" w:rsidRDefault="00352CC7" w:rsidP="00352CC7">
      <w:pPr>
        <w:pStyle w:val="Body"/>
        <w:rPr>
          <w:rFonts w:ascii="Arial" w:hAnsi="Arial" w:cs="Arial"/>
          <w:lang w:val="pt-BR"/>
        </w:rPr>
      </w:pPr>
      <w:r w:rsidRPr="00243B85">
        <w:rPr>
          <w:rFonts w:ascii="Arial" w:hAnsi="Arial" w:cs="Arial"/>
        </w:rPr>
        <w:t xml:space="preserve">As part of the results achieved in this study, a web-based calculator, named “INI's score to predict preventable drug related incidents (PDRI)”, was developed based on the predictive model. This tool allows users to input clinical data and automatically generates an estimate of the risk of PDRI. The calculator is available at </w:t>
      </w:r>
      <w:hyperlink r:id="rId21" w:history="1">
        <w:r w:rsidRPr="00243B85">
          <w:rPr>
            <w:rStyle w:val="Hyperlink"/>
            <w:rFonts w:ascii="Arial" w:hAnsi="Arial" w:cs="Arial"/>
            <w:color w:val="auto"/>
          </w:rPr>
          <w:t>https://pedrobrasil.shinyapps.io/INDWELL/,</w:t>
        </w:r>
      </w:hyperlink>
      <w:r w:rsidRPr="00243B85">
        <w:rPr>
          <w:rFonts w:ascii="Arial" w:hAnsi="Arial" w:cs="Arial"/>
        </w:rPr>
        <w:t xml:space="preserve"> providing an intuitive interface for the practical application of the model in various clinical settings.</w:t>
      </w:r>
    </w:p>
    <w:p w14:paraId="4B8BFD64" w14:textId="1758F84A" w:rsidR="00E15D09" w:rsidRDefault="00E15D09">
      <w:pPr>
        <w:rPr>
          <w:rFonts w:ascii="Arial" w:hAnsi="Arial" w:cs="Arial"/>
          <w:lang w:val="pt-BR"/>
        </w:rPr>
        <w:sectPr w:rsidR="00E15D09" w:rsidSect="00D0609F">
          <w:headerReference w:type="even" r:id="rId22"/>
          <w:headerReference w:type="default" r:id="rId23"/>
          <w:footerReference w:type="default" r:id="rId24"/>
          <w:headerReference w:type="first" r:id="rId25"/>
          <w:type w:val="nextColumn"/>
          <w:pgSz w:w="12240" w:h="15840"/>
          <w:pgMar w:top="1440" w:right="2016" w:bottom="2016" w:left="2016" w:header="720" w:footer="1123" w:gutter="0"/>
          <w:cols w:space="720"/>
          <w:docGrid w:linePitch="272"/>
        </w:sectPr>
      </w:pPr>
      <w:r w:rsidRPr="57C345FF">
        <w:rPr>
          <w:rFonts w:ascii="Arial" w:hAnsi="Arial" w:cs="Arial"/>
          <w:lang w:val="pt-BR"/>
        </w:rPr>
        <w:br w:type="page"/>
      </w:r>
    </w:p>
    <w:p w14:paraId="49F9C5E0" w14:textId="0835B164" w:rsidR="00E15D09" w:rsidRPr="00E15D09" w:rsidRDefault="00E15D09" w:rsidP="00E15D09">
      <w:pPr>
        <w:rPr>
          <w:rFonts w:ascii="Arial" w:hAnsi="Arial" w:cs="Arial"/>
          <w:lang w:val="pt-BR"/>
        </w:rPr>
      </w:pPr>
      <w:r>
        <w:rPr>
          <w:rFonts w:ascii="Arial" w:hAnsi="Arial" w:cs="Arial"/>
          <w:b/>
          <w:bCs/>
        </w:rPr>
        <w:lastRenderedPageBreak/>
        <w:t xml:space="preserve">3.2 </w:t>
      </w:r>
      <w:r w:rsidRPr="00E15D09">
        <w:rPr>
          <w:rFonts w:ascii="Arial" w:hAnsi="Arial" w:cs="Arial"/>
          <w:b/>
          <w:bCs/>
        </w:rPr>
        <w:t>Discussion</w:t>
      </w:r>
      <w:r w:rsidRPr="00E15D09">
        <w:rPr>
          <w:rFonts w:ascii="Arial" w:hAnsi="Arial" w:cs="Arial"/>
          <w:lang w:val="pt-BR"/>
        </w:rPr>
        <w:t> </w:t>
      </w:r>
    </w:p>
    <w:p w14:paraId="0E28F493" w14:textId="77777777" w:rsidR="00E15D09" w:rsidRPr="00E15D09" w:rsidRDefault="00E15D09" w:rsidP="00E15D09">
      <w:pPr>
        <w:rPr>
          <w:rFonts w:ascii="Arial" w:hAnsi="Arial" w:cs="Arial"/>
          <w:lang w:val="pt-BR"/>
        </w:rPr>
      </w:pPr>
      <w:r w:rsidRPr="00E15D09">
        <w:rPr>
          <w:rFonts w:ascii="Arial" w:hAnsi="Arial" w:cs="Arial"/>
          <w:lang w:val="pt-BR"/>
        </w:rPr>
        <w:t> </w:t>
      </w:r>
    </w:p>
    <w:p w14:paraId="195F8D52" w14:textId="77777777" w:rsidR="001F7E8E" w:rsidRPr="00243B85" w:rsidRDefault="001F7E8E" w:rsidP="001F7E8E">
      <w:pPr>
        <w:jc w:val="both"/>
        <w:rPr>
          <w:rFonts w:ascii="Arial" w:hAnsi="Arial" w:cs="Arial"/>
        </w:rPr>
      </w:pPr>
      <w:r w:rsidRPr="00243B85">
        <w:rPr>
          <w:rFonts w:ascii="Arial" w:hAnsi="Arial" w:cs="Arial"/>
        </w:rPr>
        <w:t>The main findings of this study include: (a) we were able to develop a specific clinical pharmacy tool in a setting of infectious disease hospitalized patients to predict PDRI with reasonable performance; (b) with this model it is possible for the clinical pharmacist to sort the PDRI risk in infectious diseases patients, and give priority to higher risk patients; (c) polypharmacy is a significant predictor, but it is less important than prescription composition and others predictors that indicate individual characteristics and severity; (d) the risk varied throughout the hospitalization, and the model here presented is able to estimate and update the risk estimation during hospitalization weeks with the potential to optimize pharmaceutical intervention along all length of stay.</w:t>
      </w:r>
    </w:p>
    <w:p w14:paraId="01BD5238" w14:textId="37F7F1CB" w:rsidR="001F7E8E" w:rsidRPr="00243B85" w:rsidRDefault="001F7E8E" w:rsidP="001F7E8E">
      <w:pPr>
        <w:jc w:val="both"/>
        <w:rPr>
          <w:rFonts w:ascii="Arial" w:hAnsi="Arial" w:cs="Arial"/>
          <w:color w:val="0070C0"/>
        </w:rPr>
      </w:pPr>
      <w:r w:rsidRPr="00243B85">
        <w:rPr>
          <w:rFonts w:ascii="Arial" w:hAnsi="Arial" w:cs="Arial"/>
        </w:rPr>
        <w:t xml:space="preserve">The prediction of adverse drug events has been extensively researched. However, the majority of existing models were designed for broad populations, such as </w:t>
      </w:r>
      <w:proofErr w:type="spellStart"/>
      <w:r w:rsidRPr="00243B85">
        <w:rPr>
          <w:rFonts w:ascii="Arial" w:hAnsi="Arial" w:cs="Arial"/>
        </w:rPr>
        <w:t>MedSafety</w:t>
      </w:r>
      <w:proofErr w:type="spellEnd"/>
      <w:r w:rsidRPr="00243B85">
        <w:rPr>
          <w:rFonts w:ascii="Arial" w:hAnsi="Arial" w:cs="Arial"/>
        </w:rPr>
        <w:t xml:space="preserve"> Scan </w:t>
      </w:r>
      <w:r w:rsidRPr="00243B85">
        <w:rPr>
          <w:rFonts w:ascii="Arial" w:hAnsi="Arial" w:cs="Arial"/>
        </w:rPr>
        <w:fldChar w:fldCharType="begin"/>
      </w:r>
      <w:r w:rsidR="006F7A63" w:rsidRPr="00243B85">
        <w:rPr>
          <w:rFonts w:ascii="Arial" w:hAnsi="Arial" w:cs="Arial"/>
        </w:rPr>
        <w:instrText xml:space="preserve"> ADDIN ZOTERO_ITEM CSL_CITATION {"citationID":"iKQ1y2Cu","properties":{"formattedCitation":"(Woosley, 2022)","plainCitation":"(Woosley, 2022)","noteIndex":0},"citationItems":[{"id":1116,"uris":["http://zotero.org/groups/2246203/items/65BB3ASF"],"itemData":{"id":1116,"type":"article-journal","abstract":"Too often, adverse events due to prescription medications are a cause of death and disability. Many of these events could be prevented, but most efforts to do so have had limited success, mainly due to the challenges of having the information that is necessary for safe prescribing available at the time when prescriptions are being written. Hospital-based Clinical Decision Support (CDS) systems are being developed to manage this information, identify at- risk patients, and help mitigate their risk of medication-induced harm. AZCERT, a non-profit created in 1999 with federal funding has helped hospitals develop these systems and has released an internet-based CDS program to assist in the safe prescribing of medications. This CDS program, MedSafety Scan, can be customized for any clinical venue and is available as an open-source program for all healthcare providers at www.medsafetyscan.org.","container-title":"Trends in Cardiovascular Medicine","DOI":"10.1016/j.tcm.2020.11.002","ISSN":"1873-2615","issue":"1","journalAbbreviation":"Trends Cardiovasc Med","language":"eng","note":"PMID: 33181333","page":"44-49","source":"PubMed","title":"Assisted prescribing: Clinical decision support with MedSafety Scan now available","title-short":"Assisted prescribing","volume":"32","author":[{"family":"Woosley","given":"Raymond L."}],"issued":{"date-parts":[["2022",1]]}}}],"schema":"https://github.com/citation-style-language/schema/raw/master/csl-citation.json"} </w:instrText>
      </w:r>
      <w:r w:rsidRPr="00243B85">
        <w:rPr>
          <w:rFonts w:ascii="Arial" w:hAnsi="Arial" w:cs="Arial"/>
        </w:rPr>
        <w:fldChar w:fldCharType="separate"/>
      </w:r>
      <w:r w:rsidRPr="00243B85">
        <w:rPr>
          <w:rFonts w:ascii="Arial" w:hAnsi="Arial" w:cs="Arial"/>
        </w:rPr>
        <w:t>(Woosley, 2022)</w:t>
      </w:r>
      <w:r w:rsidRPr="00243B85">
        <w:rPr>
          <w:rFonts w:ascii="Arial" w:hAnsi="Arial" w:cs="Arial"/>
        </w:rPr>
        <w:fldChar w:fldCharType="end"/>
      </w:r>
      <w:r w:rsidRPr="00243B85">
        <w:rPr>
          <w:rFonts w:ascii="Arial" w:hAnsi="Arial" w:cs="Arial"/>
        </w:rPr>
        <w:t xml:space="preserve"> and MERIS </w:t>
      </w:r>
      <w:r w:rsidRPr="00243B85">
        <w:rPr>
          <w:rFonts w:ascii="Arial" w:hAnsi="Arial" w:cs="Arial"/>
        </w:rPr>
        <w:fldChar w:fldCharType="begin"/>
      </w:r>
      <w:r w:rsidR="006F7A63" w:rsidRPr="00243B85">
        <w:rPr>
          <w:rFonts w:ascii="Arial" w:hAnsi="Arial" w:cs="Arial"/>
        </w:rPr>
        <w:instrText xml:space="preserve"> ADDIN ZOTERO_ITEM CSL_CITATION {"citationID":"4teGQ5b8","properties":{"formattedCitation":"(Saedder et al., 2016)","plainCitation":"(Saedder et al., 2016)","noteIndex":0},"citationItems":[{"id":1115,"uris":["http://zotero.org/groups/2246203/items/R9ZWHK6K","http://zotero.org/groups/2246203/items/3BANUM7X"],"itemData":{"id":1115,"type":"article-journal","abstract":"Medication errors (MEs) are preventable and can result in patient harm and increased expenses in the healthcare system in terms of hospitalization, prolonged hospitalizations and even death. We aimed to develop a screening tool to detect acutely admitted patients at low or high risk of MEs comprised by items found by literature search and the use of theoretical weighting. Predictive variables used for the development of the risk score were found by the literature search. Three retrospective patient populations and one prospective pilot population were used for modelling. The final risk score was evaluated for precision by the use of sensitivity, specificity and area under the ROC (receiver operating characteristic) curves. The variables used in the final risk score were reduced renal function, the total number of drugs and the risk of individual drugs to cause harm and drug-drug interactions. We found a risk score in the prospective population with an area under the ROC curve of 0.76. The final risk score was found to be quite robust as it showed an area under the ROC curve of 0.87 in a recent patient population, 0.74 in a population of internal medicine and 0.66 in an orthopaedic population. We developed a simple and robust score, MERIS, with the ability to detect patients and divide them according to low and high risk of MEs in a general population admitted at acute admissions unit. The accuracy of the risk score was at least as good as other models reported using multiple regression analysis.","container-title":"Basic &amp; Clinical Pharmacology &amp; Toxicology","DOI":"10.1111/bcpt.12473","ISSN":"1742-7843","issue":"2","journalAbbreviation":"Basic Clin Pharmacol Toxicol","language":"eng","note":"PMID: 26299815","page":"143-149","source":"PubMed","title":"Detection of Patients at High Risk of Medication Errors: Development and Validation of an Algorithm","title-short":"Detection of Patients at High Risk of Medication Errors","volume":"118","author":[{"family":"Saedder","given":"Eva Aggerholm"},{"family":"Lisby","given":"Marianne"},{"family":"Nielsen","given":"Lars Peter"},{"family":"Rungby","given":"Jørgen"},{"family":"Andersen","given":"Ljubica Vukelic"},{"family":"Bonnerup","given":"Dorthe Krogsgaard"},{"family":"Brock","given":"Birgitte"}],"issued":{"date-parts":[["2016",2]]}}}],"schema":"https://github.com/citation-style-language/schema/raw/master/csl-citation.json"} </w:instrText>
      </w:r>
      <w:r w:rsidRPr="00243B85">
        <w:rPr>
          <w:rFonts w:ascii="Arial" w:hAnsi="Arial" w:cs="Arial"/>
        </w:rPr>
        <w:fldChar w:fldCharType="separate"/>
      </w:r>
      <w:r w:rsidRPr="00243B85">
        <w:rPr>
          <w:rFonts w:ascii="Arial" w:hAnsi="Arial" w:cs="Arial"/>
        </w:rPr>
        <w:t>(Saedder et al., 2016)</w:t>
      </w:r>
      <w:r w:rsidRPr="00243B85">
        <w:rPr>
          <w:rFonts w:ascii="Arial" w:hAnsi="Arial" w:cs="Arial"/>
        </w:rPr>
        <w:fldChar w:fldCharType="end"/>
      </w:r>
      <w:r w:rsidRPr="00243B85">
        <w:rPr>
          <w:rFonts w:ascii="Arial" w:hAnsi="Arial" w:cs="Arial"/>
        </w:rPr>
        <w:t>. These usually incorporate predictors such as age and medication count, yet neglect the particularities of the infectious disease population, including the administration of highly toxic antimicrobials and the recurrent necessity for therapeutic modifications. Addressing specifically infectious disease patients, this model attempts to capture specific effects of clinical and pharmacotherapeutic characteristics, hence offering a more tailored strategy. These approaches increase the clinical applicability of the proposed model for this population when compared to alternative tools.</w:t>
      </w:r>
    </w:p>
    <w:p w14:paraId="5707D023" w14:textId="0B0475D7" w:rsidR="001F7E8E" w:rsidRPr="00243B85" w:rsidRDefault="001F7E8E" w:rsidP="001F7E8E">
      <w:pPr>
        <w:jc w:val="both"/>
        <w:rPr>
          <w:rFonts w:ascii="Arial" w:hAnsi="Arial" w:cs="Arial"/>
        </w:rPr>
      </w:pPr>
      <w:r w:rsidRPr="00243B85">
        <w:rPr>
          <w:rFonts w:ascii="Arial" w:hAnsi="Arial" w:cs="Arial"/>
        </w:rPr>
        <w:t xml:space="preserve">INI’s model has moderate discrimination and good calibration, similar to the one described by Silva et al also developed specifically for a population with tropical disease </w:t>
      </w:r>
      <w:r w:rsidRPr="00243B85">
        <w:rPr>
          <w:rFonts w:ascii="Arial" w:hAnsi="Arial" w:cs="Arial"/>
        </w:rPr>
        <w:fldChar w:fldCharType="begin"/>
      </w:r>
      <w:r w:rsidR="006F7A63" w:rsidRPr="00243B85">
        <w:rPr>
          <w:rFonts w:ascii="Arial" w:hAnsi="Arial" w:cs="Arial"/>
        </w:rPr>
        <w:instrText xml:space="preserve"> ADDIN ZOTERO_ITEM CSL_CITATION {"citationID":"fxs9vFo8","properties":{"formattedCitation":"(Sperandio da Silva et al., 2014)","plainCitation":"(Sperandio da Silva et al., 2014)","noteIndex":0},"citationItems":[{"id":1114,"uris":["http://zotero.org/groups/2246203/items/JXS9FJXD","http://zotero.org/groups/2246203/items/BH8BWVTS"],"itemData":{"id":1114,"type":"article-journal","abstract":"Benznidazole (BZN) is the main trypanocidal drug used to treat Chagas disease, and the evidence supporting the benefits of BZN use during the chronic phase of the disease will favor its use in millions of individuals. However, more than 30% of patients treated with BZN may suffer adverse drug reactions (ADRs), and the development of tools to identify those patients at risk is highly desirable. In the present study, we aimed to identify predictive factors for ADRs in Chagas disease patients treated with BZN. Among 195 patients included in the study, 48.7% experienced ADRs and 31.3% had ADRs that caused BZN treatment discontinuation. Overall ADRs and ADRs that caused BZN treatment discontinuation were more common among women and in those who graduated from elementary school. Overall ADRs were also less frequent among black individuals. Based on logistic regression analysis, female sex (odds ratio [OR], 2.9; 95% confidence interval [CI], 1.5 to 5.4), graduation from elementary school (OR, 2.0; 95% CI, 1.1 to 3.8), and white (OR, 5.0; 95% CI, 1.0 to 24.1) and mulatto (OR, 5.6; 95% CI, 1.1 to 28.7) races were considered to predict overall ADRs, and female sex (OR, 2.3; 95% CI, 1.2 to 4.3) was considered to predict ADRs that caused BZN treatment discontinuation. Graduation from elementary school also presented a tendency to predict ADRs that caused BZN treatment discontinuation (OR, 1.8; 95% CI, 0.9 to 3.6). The logistic regression (LR) models to predict ADRs to BZN described in this study may become important tools to minimize ADRs and improve patients' compliance and thus assist physicians treating patients with Chagas disease with BZN.","container-title":"Antimicrobial Agents and Chemotherapy","DOI":"10.1128/AAC.02842-14","ISSN":"1098-6596","issue":"11","journalAbbreviation":"Antimicrob Agents Chemother","language":"eng","note":"PMID: 25114135\nPMCID: PMC4249401","page":"6371-6377","source":"PubMed","title":"A clinical adverse drug reaction prediction model for patients with chagas disease treated with benznidazole","volume":"58","author":[{"family":"Sperandio da Silva","given":"Gilberto Marcelo"},{"family":"Mediano","given":"Mauro Felippe Felix"},{"family":"Alvarenga Americano do Brasil","given":"Pedro Emmanuel"},{"family":"Costa Chambela","given":"Mayara","non-dropping-particle":"da"},{"family":"Silva","given":"Joyce Almeida","non-dropping-particle":"da"},{"family":"Sousa","given":"Andrea Silvestre","non-dropping-particle":"de"},{"family":"Xavier","given":"Sergio Salles"},{"family":"Rodrigues da Costa","given":"Andrea"},{"family":"Magalhães Saraiva","given":"Roberto"},{"family":"Hasslocher-Moreno","given":"Alejandro Marcel"}],"issued":{"date-parts":[["2014",11]]}}}],"schema":"https://github.com/citation-style-language/schema/raw/master/csl-citation.json"} </w:instrText>
      </w:r>
      <w:r w:rsidRPr="00243B85">
        <w:rPr>
          <w:rFonts w:ascii="Arial" w:hAnsi="Arial" w:cs="Arial"/>
        </w:rPr>
        <w:fldChar w:fldCharType="separate"/>
      </w:r>
      <w:r w:rsidRPr="00243B85">
        <w:rPr>
          <w:rFonts w:ascii="Arial" w:hAnsi="Arial" w:cs="Arial"/>
        </w:rPr>
        <w:t>(Sperandio da Silva et al., 2014)</w:t>
      </w:r>
      <w:r w:rsidRPr="00243B85">
        <w:rPr>
          <w:rFonts w:ascii="Arial" w:hAnsi="Arial" w:cs="Arial"/>
        </w:rPr>
        <w:fldChar w:fldCharType="end"/>
      </w:r>
      <w:r w:rsidRPr="00243B85">
        <w:rPr>
          <w:rFonts w:ascii="Arial" w:hAnsi="Arial" w:cs="Arial"/>
        </w:rPr>
        <w:t xml:space="preserve">. However, general models usually have poor to moderate performance with infectious disease populations and tend to group most of the patients in the same risk strata </w:t>
      </w:r>
      <w:r w:rsidRPr="00243B85">
        <w:rPr>
          <w:rFonts w:ascii="Arial" w:hAnsi="Arial" w:cs="Arial"/>
        </w:rPr>
        <w:fldChar w:fldCharType="begin"/>
      </w:r>
      <w:r w:rsidR="006F7A63" w:rsidRPr="00243B85">
        <w:rPr>
          <w:rFonts w:ascii="Arial" w:hAnsi="Arial" w:cs="Arial"/>
        </w:rPr>
        <w:instrText xml:space="preserve"> ADDIN ZOTERO_ITEM CSL_CITATION {"citationID":"5cFpLbnF","properties":{"formattedCitation":"(Rezende et al., 2025; Wynants et al., 2020)","plainCitation":"(Rezende et al., 2025; Wynants et al., 2020)","noteIndex":0},"citationItems":[{"id":1267,"uris":["http://zotero.org/groups/2246203/items/WYSP53DB"],"itemData":{"id":1267,"type":"article-journal","container-title":"Brazilian Journal of Pharmaceutical Sciences","DOI":"http://dx.doi.org/10.1590/s2175-97902025e24722","title":"Fully independent validation of the Matrix-INI, MERIS, and IMEPAG-group instruments for predicting preventable drug-related incidents of hospitalized patients with infectious diseases","author":[{"literal":"Rezende"},{"literal":"Eduardo Corsino Freire"},{"literal":"Paula Gabriela dos Santos Barreto"},{"literal":"André Luiz dos Santos"},{"literal":"Fernando de Oliveira Silva"},{"literal":"Vanessa Rodrigues Bezerra"},{"literal":"Juliana Arruda de Matos"},{"literal":"Pedro Emmanuel Alvarenga Americano do Brasil"}],"issued":{"date-parts":[["2025"]]}}},{"id":1101,"uris":["http://zotero.org/groups/2246203/items/EI3EC7JW"],"itemData":{"id":1101,"type":"article-journal","abstract":"Objective To review and appraise the validity and usefulness of published and preprint reports of prediction models for prognosis of patients with covid-19, and for detecting people in the general population at increased risk of covid-19 infection or being admitted to hospital or dying with the disease.\nDesign Living systematic review and critical appraisal by the covid-PRECISE (Precise Risk Estimation to optimise covid-19 Care for Infected or Suspected patients in diverse sEttings) group.\nData sources PubMed and Embase through Ovid, up to 17 February 2021, supplemented with arXiv, medRxiv, and bioRxiv up to 5 May 2020.\nStudy selection Studies that developed or validated a multivariable covid-19 related prediction model.\nData extraction At least two authors independently extracted data using the CHARMS (critical appraisal and data extraction for systematic reviews of prediction modelling studies) checklist; risk of bias was assessed using PROBAST (prediction model risk of bias assessment tool).\nResults 126 978 titles were screened, and 412 studies describing 731 new prediction models or validations were included. Of these 731, 125 were diagnostic models (including 75 based on medical imaging) and the remaining 606 were prognostic models for either identifying those at risk of covid-19 in the general population (13 models) or predicting diverse outcomes in those individuals with confirmed covid-19 (593 models). Owing to the widespread availability of diagnostic testing capacity after the summer of 2020, this living review has now focused on the prognostic models. Of these, 29 had low risk of bias, 32 had unclear risk of bias, and 545 had high risk of bias. The most common causes for high risk of bias were inadequate sample sizes (n=408, 67%) and inappropriate or incomplete evaluation of model performance (n=338, 56%). 381 models were newly developed, and 225 were external validations of existing models. The reported C indexes varied between 0.77 and 0.93 in development studies with low risk of bias, and between 0.56 and 0.78 in external validations with low risk of bias. The Qcovid models, the PRIEST score, Carr’s model, the ISARIC4C Deterioration model, and the Xie model showed adequate predictive performance in studies at low risk of bias. Details on all reviewed models are publicly available at https://www.covprecise.org/.\nConclusion Prediction models for covid-19 entered the academic literature to support medical decision making at unprecedented speed and in large numbers. Most published prediction model studies were poorly reported and at high risk of bias such that their reported predictive performances are probably optimistic. Models with low risk of bias should be validated before clinical implementation, preferably through collaborative efforts to also allow an investigation of the heterogeneity in their performance across various populations and settings. Methodological guidance, as provided in this paper, should be followed because unreliable predictions could cause more harm than benefit in guiding clinical decisions. Finally, prediction modellers should adhere to the TRIPOD (transparent reporting of a multivariable prediction model for individual prognosis or diagnosis) reporting guideline.\nSystematic review registration Protocol https://osf.io/ehc47/, registration https://osf.io/wy245.\nReaders’ note This article is the final version of a living systematic review that has been updated over the past two years to reflect emerging evidence. This version is update 4 of the original article published on 7 April 2020 (BMJ 2020;369:m1328). Previous updates can be found as data supplements (https://www.bmj.com/content/369/bmj.m1328/related#datasupp). When citing this paper please consider adding the update number and date of access for clarity.","container-title":"BMJ","DOI":"10.1136/bmj.m1328","ISSN":"1756-1833","journalAbbreviation":"BMJ","language":"en","license":"© Author(s) (or their employer(s)) 2019. Re-use permitted under CC BY. No commercial re-use. See rights and permissions. Published by BMJ.. http://creativecommons.org/licenses/by/4.0/This is an Open Access article distributed in accordance with the terms of the Creative Commons Attribution (CC BY 4.0) license, which permits others to distribute, remix, adapt and build upon this work, for commercial use, provided the original work is properly cited. See: http://creativecommons.org/licenses/by/4.0/.","note":"publisher: British Medical Journal Publishing Group\nsection: Research\nPMID: 32265220","page":"m1328","source":"www.bmj.com","title":"Prediction models for diagnosis and prognosis of covid-19: systematic review and critical appraisal","title-short":"Prediction models for diagnosis and prognosis of covid-19","volume":"369","author":[{"family":"Wynants","given":"Laure"},{"family":"Calster","given":"Ben Van"},{"family":"Collins","given":"Gary S."},{"family":"Riley","given":"Richard D."},{"family":"Heinze","given":"Georg"},{"family":"Schuit","given":"Ewoud"},{"family":"Albu","given":"Elena"},{"family":"Arshi","given":"Banafsheh"},{"family":"Bellou","given":"Vanesa"},{"family":"Bonten","given":"Marc M. J."},{"family":"Dahly","given":"Darren L."},{"family":"Damen","given":"Johanna A."},{"family":"Debray","given":"Thomas P. A."},{"family":"Jong","given":"Valentijn M. T.","dropping-particle":"de"},{"family":"Vos","given":"Maarten De"},{"family":"Dhiman","given":"Paula"},{"family":"Ensor","given":"Joie"},{"family":"Gao","given":"Shan"},{"family":"Haller","given":"Maria C."},{"family":"Harhay","given":"Michael O."},{"family":"Henckaerts","given":"Liesbet"},{"family":"Heus","given":"Pauline"},{"family":"Hoogland","given":"Jeroen"},{"family":"Hudda","given":"Mohammed"},{"family":"Jenniskens","given":"Kevin"},{"family":"Kammer","given":"Michael"},{"family":"Kreuzberger","given":"Nina"},{"family":"Lohmann","given":"Anna"},{"family":"Levis","given":"Brooke"},{"family":"Luijken","given":"Kim"},{"family":"Ma","given":"Jie"},{"family":"Martin","given":"Glen P."},{"family":"McLernon","given":"David J."},{"family":"Navarro","given":"Constanza L. Andaur"},{"family":"Reitsma","given":"Johannes B."},{"family":"Sergeant","given":"Jamie C."},{"family":"Shi","given":"Chunhu"},{"family":"Skoetz","given":"Nicole"},{"family":"Smits","given":"Luc J. M."},{"family":"Snell","given":"Kym I. E."},{"family":"Sperrin","given":"Matthew"},{"family":"Spijker","given":"René"},{"family":"Steyerberg","given":"Ewout W."},{"family":"Takada","given":"Toshihiko"},{"family":"Tzoulaki","given":"Ioanna"},{"family":"Kuijk","given":"Sander M. J.","dropping-particle":"van"},{"family":"Bussel","given":"Bas C. T.","dropping-particle":"van"},{"family":"Horst","given":"Iwan C. C.","dropping-particle":"van der"},{"family":"Reeve","given":"Kelly"},{"family":"Royen","given":"Florien S.","dropping-particle":"van"},{"family":"Verbakel","given":"Jan Y."},{"family":"Wallisch","given":"Christine"},{"family":"Wilkinson","given":"Jack"},{"family":"Wolff","given":"Robert"},{"family":"Hooft","given":"Lotty"},{"family":"Moons","given":"Karel G. M."},{"family":"Smeden","given":"Maarten","dropping-particle":"van"}],"issued":{"date-parts":[["2020",4,7]]}}}],"schema":"https://github.com/citation-style-language/schema/raw/master/csl-citation.json"} </w:instrText>
      </w:r>
      <w:r w:rsidRPr="00243B85">
        <w:rPr>
          <w:rFonts w:ascii="Arial" w:hAnsi="Arial" w:cs="Arial"/>
        </w:rPr>
        <w:fldChar w:fldCharType="separate"/>
      </w:r>
      <w:r w:rsidRPr="00243B85">
        <w:rPr>
          <w:rFonts w:ascii="Arial" w:hAnsi="Arial" w:cs="Arial"/>
        </w:rPr>
        <w:t>(Rezende et al., 2025; Wynants et al., 2020)</w:t>
      </w:r>
      <w:r w:rsidRPr="00243B85">
        <w:rPr>
          <w:rFonts w:ascii="Arial" w:hAnsi="Arial" w:cs="Arial"/>
        </w:rPr>
        <w:fldChar w:fldCharType="end"/>
      </w:r>
      <w:r w:rsidRPr="00243B85">
        <w:rPr>
          <w:rFonts w:ascii="Arial" w:hAnsi="Arial" w:cs="Arial"/>
        </w:rPr>
        <w:t xml:space="preserve">. Therefore, there is indirect evidence that INI’s model is better than these general models when applied to infectious diseases populations.  </w:t>
      </w:r>
    </w:p>
    <w:p w14:paraId="61C8A57B" w14:textId="18447F30" w:rsidR="001F7E8E" w:rsidRPr="00243B85" w:rsidRDefault="001F7E8E" w:rsidP="001F7E8E">
      <w:pPr>
        <w:jc w:val="both"/>
        <w:rPr>
          <w:rFonts w:ascii="Arial" w:hAnsi="Arial" w:cs="Arial"/>
        </w:rPr>
      </w:pPr>
      <w:r w:rsidRPr="00243B85">
        <w:rPr>
          <w:rFonts w:ascii="Arial" w:hAnsi="Arial" w:cs="Arial"/>
        </w:rPr>
        <w:t xml:space="preserve">Despite slight fluctuations in the model performance between weeks, the model effectively identifies patients at higher risk of PDRI, allowing the strategic prioritization of pharmaceutical intervention. This is particularly relevant in scenarios with few professionals, where work overload prevents continuous monitoring of all patients. Classification into risk groups or sorting patients from higher to lower risks allows the optimization of time and resources of the pharmaceutical service, improving efficiency in care </w:t>
      </w:r>
      <w:r w:rsidRPr="00243B85">
        <w:rPr>
          <w:rFonts w:ascii="Arial" w:hAnsi="Arial" w:cs="Arial"/>
        </w:rPr>
        <w:fldChar w:fldCharType="begin"/>
      </w:r>
      <w:r w:rsidR="006F7A63" w:rsidRPr="00243B85">
        <w:rPr>
          <w:rFonts w:ascii="Arial" w:hAnsi="Arial" w:cs="Arial"/>
        </w:rPr>
        <w:instrText xml:space="preserve"> ADDIN ZOTERO_ITEM CSL_CITATION {"citationID":"RsGqWGaK","properties":{"formattedCitation":"(Morillo-Verdugo et al., 2017)","plainCitation":"(Morillo-Verdugo et al., 2017)","noteIndex":0},"citationItems":[{"id":1082,"uris":["http://zotero.org/groups/2246203/items/2JKL9S8C"],"itemData":{"id":1082,"type":"article-journal","abstract":"Background: The increasing number of HIV-patients and their complexity makes it necessary to develop risk classification tools to improve the optimization of resources.\nObjective: To design a risk-stratified model for pharmaceutical care (PC) in HIV-patients.\nMethods: A cross-sectional, multicenter study. An expert panel was created by Hospital Pharmacist experienced in PC for HIV-patients. The study was designed in 4 phases. The first phase included a review of literature and the development of a summary of the scientific evidence available. According to their score, patients were stratified into three levels of PC. In the second and third phases, a sample of patients was assessed and data information was recorded. The overall analysis also allowed pharmacists to define the actions to be applied at each level of priority.  Finally, each stratification model was applied to a new sample of patients to verify their applicability and usefulness.\nResults: All variables included in the model were weighted in terms of their relative relevance compared to the rest. A sample of 215 patients was evaluated to obtain their score and distribution: Priority-1: score ≥ 32 and 10% of the sample; Priority-2: 18-31.9 and 30%; Priority-3: ≤ 17 and 60%.  The PC interventions corresponding to each level of priority were classified into “pharmacotherapeutic monitoring”, “training, education and patient tracking” and “coordination of all the healthcare team members”.\nConclusions: This study supported the design and adaptation of a selection and stratification model for PC in HIV-patients","DOI":"10.7399/fh.2017.41.3.10655","language":"en","source":"Zotero","title":"Development of a risk stratification model for pharmaceutical care in HIV patients","URL":"https://scielo.isciii.es/pdf/fh/v41n3/2171-8695-fh-41-03-00346.pdf","author":[{"family":"Morillo-Verdugo","given":"Ramón"},{"family":"Martínez-Sesmero","given":"José Manuel"},{"family":"Lázaro-López","given":"Alicia"},{"family":"Sánchez-Rubio","given":"Javier"},{"family":"Navarro-Aznárez","given":"Herminia"}],"issued":{"date-parts":[["2017"]]}}}],"schema":"https://github.com/citation-style-language/schema/raw/master/csl-citation.json"} </w:instrText>
      </w:r>
      <w:r w:rsidRPr="00243B85">
        <w:rPr>
          <w:rFonts w:ascii="Arial" w:hAnsi="Arial" w:cs="Arial"/>
        </w:rPr>
        <w:fldChar w:fldCharType="separate"/>
      </w:r>
      <w:r w:rsidRPr="00243B85">
        <w:rPr>
          <w:rFonts w:ascii="Arial" w:hAnsi="Arial" w:cs="Arial"/>
        </w:rPr>
        <w:t>(Morillo-Verdugo et al., 2017)</w:t>
      </w:r>
      <w:r w:rsidRPr="00243B85">
        <w:rPr>
          <w:rFonts w:ascii="Arial" w:hAnsi="Arial" w:cs="Arial"/>
        </w:rPr>
        <w:fldChar w:fldCharType="end"/>
      </w:r>
      <w:r w:rsidRPr="00243B85">
        <w:rPr>
          <w:rFonts w:ascii="Arial" w:hAnsi="Arial" w:cs="Arial"/>
        </w:rPr>
        <w:t>.</w:t>
      </w:r>
    </w:p>
    <w:p w14:paraId="69815D90" w14:textId="3E118EBA" w:rsidR="001F7E8E" w:rsidRPr="00243B85" w:rsidRDefault="001F7E8E" w:rsidP="001F7E8E">
      <w:pPr>
        <w:jc w:val="both"/>
        <w:rPr>
          <w:rFonts w:ascii="Arial" w:hAnsi="Arial" w:cs="Arial"/>
        </w:rPr>
      </w:pPr>
      <w:r w:rsidRPr="00243B85">
        <w:rPr>
          <w:rFonts w:ascii="Arial" w:hAnsi="Arial" w:cs="Arial"/>
        </w:rPr>
        <w:t xml:space="preserve">The total number of prescribed medications, a persistent ADR predictor in the literature, was a weak predictor, although statistically significant in the model. The National Study on Adverse Effects Linked to Hospitalization in Spain (ENEAS), for example, indicated that the rate of patients experiencing adverse effects associated with hospital treatment was 8.4%, and polytherapy was identified as a contributing factor </w:t>
      </w:r>
      <w:r w:rsidRPr="00243B85">
        <w:rPr>
          <w:rFonts w:ascii="Arial" w:hAnsi="Arial" w:cs="Arial"/>
        </w:rPr>
        <w:fldChar w:fldCharType="begin"/>
      </w:r>
      <w:r w:rsidR="006F7A63" w:rsidRPr="00243B85">
        <w:rPr>
          <w:rFonts w:ascii="Arial" w:hAnsi="Arial" w:cs="Arial"/>
        </w:rPr>
        <w:instrText xml:space="preserve"> ADDIN ZOTERO_ITEM CSL_CITATION {"citationID":"UGJAkIO4","properties":{"formattedCitation":"(\\uc0\\u8220{}Estudio nacional sobre los efectos adversos ligados a la hospitalizaci\\uc0\\u243{}n (ENEAS)\\uc0\\u8221{}, 2006)","plainCitation":"(“Estudio nacional sobre los efectos adversos ligados a la hospitalización (ENEAS)”, 2006)","noteIndex":0},"citationItems":[{"id":1081,"uris":["http://zotero.org/groups/2246203/items/ZANEM7WF"],"itemData":{"id":1081,"type":"article-journal","language":"es","source":"Zotero","title":"Estudio nacional sobre los efectos adversos ligados a la hospitalización (ENEAS)","URL":"https://seguridaddelpaciente.sanidad.gob.es/proyectos/financiacionEstudios/estudiosEpidemiologicos/docs/ENEAS.pdf","issued":{"date-parts":[["2006"]]}}}],"schema":"https://github.com/citation-style-language/schema/raw/master/csl-citation.json"} </w:instrText>
      </w:r>
      <w:r w:rsidRPr="00243B85">
        <w:rPr>
          <w:rFonts w:ascii="Arial" w:hAnsi="Arial" w:cs="Arial"/>
        </w:rPr>
        <w:fldChar w:fldCharType="separate"/>
      </w:r>
      <w:r w:rsidRPr="00243B85">
        <w:rPr>
          <w:rFonts w:ascii="Arial" w:hAnsi="Arial" w:cs="Arial"/>
        </w:rPr>
        <w:t>(“Estudio nacional sobre los efectos adversos ligados a la hospitalización (ENEAS)”, 2006)</w:t>
      </w:r>
      <w:r w:rsidRPr="00243B85">
        <w:rPr>
          <w:rFonts w:ascii="Arial" w:hAnsi="Arial" w:cs="Arial"/>
        </w:rPr>
        <w:fldChar w:fldCharType="end"/>
      </w:r>
      <w:r w:rsidRPr="00243B85">
        <w:rPr>
          <w:rFonts w:ascii="Arial" w:hAnsi="Arial" w:cs="Arial"/>
        </w:rPr>
        <w:t xml:space="preserve">. This is somehow intuitive, as the number of medications increases, the chance of interactions, adverse events, and errors related to them also increases. However, in the model presented here, the polypharmacy effect was smaller than that of other factors, such as the administration of potentially hazardous medications and medication </w:t>
      </w:r>
      <w:r w:rsidR="005C43D9">
        <w:rPr>
          <w:rFonts w:ascii="Arial" w:hAnsi="Arial" w:cs="Arial"/>
        </w:rPr>
        <w:t>conciliation</w:t>
      </w:r>
      <w:r w:rsidRPr="00243B85">
        <w:rPr>
          <w:rFonts w:ascii="Arial" w:hAnsi="Arial" w:cs="Arial"/>
        </w:rPr>
        <w:t>. This suggests that prescription composition and management are likely to have a critical role in patient safety and should always be explored beyond polypharmacy.</w:t>
      </w:r>
    </w:p>
    <w:p w14:paraId="22EF3D26" w14:textId="0C5B906F" w:rsidR="001F7E8E" w:rsidRPr="00243B85" w:rsidRDefault="001F7E8E" w:rsidP="001F7E8E">
      <w:pPr>
        <w:jc w:val="both"/>
        <w:rPr>
          <w:rFonts w:ascii="Arial" w:hAnsi="Arial" w:cs="Arial"/>
        </w:rPr>
      </w:pPr>
      <w:r w:rsidRPr="00243B85">
        <w:rPr>
          <w:rFonts w:ascii="Arial" w:hAnsi="Arial" w:cs="Arial"/>
        </w:rPr>
        <w:t xml:space="preserve">Medication administration via </w:t>
      </w:r>
      <w:proofErr w:type="spellStart"/>
      <w:r w:rsidRPr="00243B85">
        <w:rPr>
          <w:rFonts w:ascii="Arial" w:hAnsi="Arial" w:cs="Arial"/>
        </w:rPr>
        <w:t>nasoenteral</w:t>
      </w:r>
      <w:proofErr w:type="spellEnd"/>
      <w:r w:rsidRPr="00243B85">
        <w:rPr>
          <w:rFonts w:ascii="Arial" w:hAnsi="Arial" w:cs="Arial"/>
        </w:rPr>
        <w:t xml:space="preserve"> tube emerged as a significant PDRI predictor. The use of such a tube indicates the inability to take medication </w:t>
      </w:r>
      <w:proofErr w:type="gramStart"/>
      <w:r w:rsidRPr="00243B85">
        <w:rPr>
          <w:rFonts w:ascii="Arial" w:hAnsi="Arial" w:cs="Arial"/>
        </w:rPr>
        <w:t>orally,</w:t>
      </w:r>
      <w:proofErr w:type="gramEnd"/>
      <w:r w:rsidRPr="00243B85">
        <w:rPr>
          <w:rFonts w:ascii="Arial" w:hAnsi="Arial" w:cs="Arial"/>
        </w:rPr>
        <w:t xml:space="preserve"> thus, it is likely an index of condition severity. Additionally, dose adjustments, dilution-specific conditions, and interactions are often associated with this administration route. Many solid oral dosage forms need to be crushed for administration by this route, a process that can compromise the drug stability, bioavailability, and therapeutic efficacy. In addition. solid forms increase the risk of drug interactions and obstruction of the tube. Extended-release drugs or those with gastroprotective coatings, for example, should not be crushed, since the destruction of their dosage form can </w:t>
      </w:r>
      <w:r w:rsidRPr="00243B85">
        <w:rPr>
          <w:rFonts w:ascii="Arial" w:hAnsi="Arial" w:cs="Arial"/>
        </w:rPr>
        <w:lastRenderedPageBreak/>
        <w:t xml:space="preserve">result in uncontrolled release of the active ingredient, altering absorption and increasing the risk of toxicity </w:t>
      </w:r>
      <w:r w:rsidRPr="00243B85">
        <w:rPr>
          <w:rFonts w:ascii="Arial" w:hAnsi="Arial" w:cs="Arial"/>
        </w:rPr>
        <w:fldChar w:fldCharType="begin"/>
      </w:r>
      <w:r w:rsidR="006F7A63" w:rsidRPr="00243B85">
        <w:rPr>
          <w:rFonts w:ascii="Arial" w:hAnsi="Arial" w:cs="Arial"/>
        </w:rPr>
        <w:instrText xml:space="preserve"> ADDIN ZOTERO_ITEM CSL_CITATION {"citationID":"Oe9La8p0","properties":{"formattedCitation":"(Madden, 2007)","plainCitation":"(Madden, 2007)","noteIndex":0},"citationItems":[{"id":1080,"uris":["http://zotero.org/groups/2246203/items/ZN7FDQV8"],"itemData":{"id":1080,"type":"article-journal","container-title":"Journal of Human Nutrition and Dietetics","DOI":"10.1111/j.1365-277X.2007.00753.x","ISSN":"0952-3871, 1365-277X","issue":"2","journalAbbreviation":"J Human Nutrition Diet","language":"en","page":"136-136","source":"DOI.org (Crossref)","title":"Handbook of drug administration via enteral feeding tubes","volume":"20","author":[{"family":"Madden","given":"Angela"}],"issued":{"date-parts":[["2007",4]]}}}],"schema":"https://github.com/citation-style-language/schema/raw/master/csl-citation.json"} </w:instrText>
      </w:r>
      <w:r w:rsidRPr="00243B85">
        <w:rPr>
          <w:rFonts w:ascii="Arial" w:hAnsi="Arial" w:cs="Arial"/>
        </w:rPr>
        <w:fldChar w:fldCharType="separate"/>
      </w:r>
      <w:r w:rsidRPr="00243B85">
        <w:rPr>
          <w:rFonts w:ascii="Arial" w:hAnsi="Arial" w:cs="Arial"/>
        </w:rPr>
        <w:t>(Madden, 2007)</w:t>
      </w:r>
      <w:r w:rsidRPr="00243B85">
        <w:rPr>
          <w:rFonts w:ascii="Arial" w:hAnsi="Arial" w:cs="Arial"/>
        </w:rPr>
        <w:fldChar w:fldCharType="end"/>
      </w:r>
      <w:r w:rsidRPr="00243B85">
        <w:rPr>
          <w:rFonts w:ascii="Arial" w:hAnsi="Arial" w:cs="Arial"/>
        </w:rPr>
        <w:t xml:space="preserve">. </w:t>
      </w:r>
    </w:p>
    <w:p w14:paraId="4F099A7E" w14:textId="28793AEC" w:rsidR="001F7E8E" w:rsidRPr="00243B85" w:rsidRDefault="001F7E8E" w:rsidP="001F7E8E">
      <w:pPr>
        <w:jc w:val="both"/>
        <w:rPr>
          <w:rFonts w:ascii="Arial" w:hAnsi="Arial" w:cs="Arial"/>
        </w:rPr>
      </w:pPr>
      <w:r w:rsidRPr="00243B85">
        <w:rPr>
          <w:rFonts w:ascii="Arial" w:hAnsi="Arial" w:cs="Arial"/>
        </w:rPr>
        <w:t xml:space="preserve">Additionally, the concomitant administration of several drugs through the tube can favor chemical interactions and incompatibilities, especially when the drugs are mixed in the same dilution vehicle. These concerns underscore the need for rigorous procedures for the handling and administration of medications using </w:t>
      </w:r>
      <w:proofErr w:type="spellStart"/>
      <w:r w:rsidRPr="00243B85">
        <w:rPr>
          <w:rFonts w:ascii="Arial" w:hAnsi="Arial" w:cs="Arial"/>
        </w:rPr>
        <w:t>nasoenteral</w:t>
      </w:r>
      <w:proofErr w:type="spellEnd"/>
      <w:r w:rsidRPr="00243B85">
        <w:rPr>
          <w:rFonts w:ascii="Arial" w:hAnsi="Arial" w:cs="Arial"/>
        </w:rPr>
        <w:t xml:space="preserve"> tubes, including previous evaluation of drug compatibility, selection of a suitable dilution medium, cleansing of the tube between administrations, and ongoing clinical supervision. There must be standardized guidelines and ongoing training of the healthcare team to minimize these risks and contribute to patient safety, reducing the incidence of preventable adverse events </w:t>
      </w:r>
      <w:r w:rsidRPr="00243B85">
        <w:rPr>
          <w:rFonts w:ascii="Arial" w:hAnsi="Arial" w:cs="Arial"/>
        </w:rPr>
        <w:fldChar w:fldCharType="begin"/>
      </w:r>
      <w:r w:rsidR="006F7A63" w:rsidRPr="00243B85">
        <w:rPr>
          <w:rFonts w:ascii="Arial" w:hAnsi="Arial" w:cs="Arial"/>
        </w:rPr>
        <w:instrText xml:space="preserve"> ADDIN ZOTERO_ITEM CSL_CITATION {"citationID":"AZYWwuEM","properties":{"formattedCitation":"(Gimenes et al., 2019)","plainCitation":"(Gimenes et al., 2019)","noteIndex":0},"citationItems":[{"id":1079,"uris":["http://zotero.org/groups/2246203/items/PNKT9STT"],"itemData":{"id":1079,"type":"article-journal","container-title":"PLOS ONE","DOI":"10.1371/journal.pone.0220248","ISSN":"1932-6203","issue":"7","journalAbbreviation":"PLoS ONE","language":"en","page":"e0220248","source":"DOI.org (Crossref)","title":"Are patients with a nasally placed feeding tube at risk of potential drug-drug interactions? A multicentre cross-sectional study","title-short":"Are patients with a nasally placed feeding tube at risk of potential drug-drug interactions?","volume":"14","author":[{"family":"Gimenes","given":"Fernanda Raphael Escobar"},{"family":"Baysari","given":"Melissa"},{"family":"Walter","given":"Scott"},{"family":"Moreira","given":"Leticia Alves"},{"family":"Carvalho","given":"Rhanna Emanuela Fontenele Lima De"},{"family":"Miasso","given":"Adriana Inocenti"},{"family":"Faleiros","given":"Fabiana"},{"family":"Westbrook","given":"Johanna"}],"editor":[{"family":"Patman","given":"Shane"}],"issued":{"date-parts":[["2019",7,31]]}}}],"schema":"https://github.com/citation-style-language/schema/raw/master/csl-citation.json"} </w:instrText>
      </w:r>
      <w:r w:rsidRPr="00243B85">
        <w:rPr>
          <w:rFonts w:ascii="Arial" w:hAnsi="Arial" w:cs="Arial"/>
        </w:rPr>
        <w:fldChar w:fldCharType="separate"/>
      </w:r>
      <w:r w:rsidRPr="00243B85">
        <w:rPr>
          <w:rFonts w:ascii="Arial" w:hAnsi="Arial" w:cs="Arial"/>
        </w:rPr>
        <w:t>(Gimenes et al., 2019)</w:t>
      </w:r>
      <w:r w:rsidRPr="00243B85">
        <w:rPr>
          <w:rFonts w:ascii="Arial" w:hAnsi="Arial" w:cs="Arial"/>
        </w:rPr>
        <w:fldChar w:fldCharType="end"/>
      </w:r>
      <w:r w:rsidRPr="00243B85">
        <w:rPr>
          <w:rFonts w:ascii="Arial" w:hAnsi="Arial" w:cs="Arial"/>
        </w:rPr>
        <w:t>.</w:t>
      </w:r>
    </w:p>
    <w:p w14:paraId="3E78BCC0" w14:textId="2B76076D" w:rsidR="001F7E8E" w:rsidRPr="00243B85" w:rsidRDefault="001F7E8E" w:rsidP="001F7E8E">
      <w:pPr>
        <w:jc w:val="both"/>
        <w:rPr>
          <w:rFonts w:ascii="Arial" w:hAnsi="Arial" w:cs="Arial"/>
        </w:rPr>
      </w:pPr>
      <w:r w:rsidRPr="00243B85">
        <w:rPr>
          <w:rFonts w:ascii="Arial" w:hAnsi="Arial" w:cs="Arial"/>
        </w:rPr>
        <w:t xml:space="preserve">Potentially dangerous medications were one of the most relevant predictors in this model, showing that prescription composition also plays a role beyond polypharmacy. The delivery of drugs, including anticoagulants, immunosuppressants, and vasoactive agents, needs rigorous monitoring, since little fluctuations in dosage may lead to significant side effects </w:t>
      </w:r>
      <w:r w:rsidRPr="00243B85">
        <w:rPr>
          <w:rFonts w:ascii="Arial" w:hAnsi="Arial" w:cs="Arial"/>
        </w:rPr>
        <w:fldChar w:fldCharType="begin"/>
      </w:r>
      <w:r w:rsidR="006F7A63" w:rsidRPr="00243B85">
        <w:rPr>
          <w:rFonts w:ascii="Arial" w:hAnsi="Arial" w:cs="Arial"/>
        </w:rPr>
        <w:instrText xml:space="preserve"> ADDIN ZOTERO_ITEM CSL_CITATION {"citationID":"adB0QulC","properties":{"formattedCitation":"(Funk, 2012; Gupta et al., 2007; Nagao, 2009)","plainCitation":"(Funk, 2012; Gupta et al., 2007; Nagao, 2009)","noteIndex":0},"citationItems":[{"id":1077,"uris":["http://zotero.org/groups/2246203/items/592GD26B"],"itemData":{"id":1077,"type":"article-journal","abstract":"Abstract\n            Anticoagulant therapy, including conventional agents and a variety of new oral, fast-acting drugs, is prescribed for millions of patients annually. Each anticoagulant varies in its effect on routine and specialty coagulation assays and each drug may require distinct laboratory assay(s) to measure drug concentration or activity. This review provides an overview of the assorted assays that can measure anticoagulant drug concentration or activity and includes key assay interferences. The effect of these conventional and new anticoagulant agents on specialty coagulation assays used to evaluate for bleeding or clotting disorders, and whether this impact is physiological or factitious, is included. Also provided is a short review of superwarfarin poisoning and features distinguishing this from warfarin overdose. Knowledge of clinically significant pearls and pitfalls pertinent to coagulation assays in relation to anticoagulant therapy are important to optimize patient care.","container-title":"Hematology","DOI":"10.1182/asheducation.V2012.1.460.3798662","ISSN":"1520-4391, 1520-4383","issue":"1","language":"en","page":"460-465","source":"DOI.org (Crossref)","title":"Coagulation assays and anticoagulant monitoring","volume":"2012","author":[{"family":"Funk","given":"Dorothy M. (Adcock)"}],"issued":{"date-parts":[["2012",12,8]]}}},{"id":1078,"uris":["http://zotero.org/groups/2246203/items/GPUR5MKE"],"itemData":{"id":1078,"type":"article-journal","abstract":"What is already known about this subject? • Current therapy for hepatitis C typically consists of pegylated interferon (PEG-IFN) alfa in combination with ribavirin. • Pegylation of IFN alfa-2b confers a 10-fold increase in elimination half-life and a 30% reduction in volume of distribution compared with non-PEG-IFN alfa-2b. • A single-dose pharmacokinetic study conducted in patients with chronic renal dysfunction has shown that renal elimination accounts for 30% of total PEG-IFN alfa-2b clearance and that PEG-IFN alfa-2b exposure increases with severity of renal insufficiency. What this study adds • Because the primary mechanism of IFN clearance is catabolism in the kidney, appropriate dosing of IFN-based therapies in patients with renal insufficiency is an important issue. • This multiple-dose pharmacokinetic study shows that exposure to PEG-IFN alfa-2b is increased in patients with renal insufficiency, suggesting that doses of the drug should be reduced by 50% in patients with severe renal insufficiency and by 25% in those with moderate insufficiency. • PEG-IFN alfa-2b was well tolerated in all patient groups during the 4-week treatment period, with similar adverse events occurring in patients with renal insufficiency and in those with normal renal function. Aim To evaluate the safety, tolerability and multiple-dose pharmacokinetics of pegylated interferon (PEG-IFN) alfa-2b in patients with moderate or severe renal insufficiency and in those with normal renal function. Methods In an open-label study, subjects with normal renal function (creatinine clearance &gt;80 ml min−1 per 1.73 m2) and patients with moderate (30–50 ml min−1 per 1.73 m2) or severe (10–29 ml−1 min−1 per 1.73 m2) renal impairment received weekly injections of PEG-IFN alfa-2b (1.0 µg kg−1) for 4 weeks. Safety assessments were made before each injection and blood samples were taken up to 168 h after the final dose. Results Renal insufficiency increased PEG-IFN alfa-2b exposure. Area under the curve for 0–τ (dosing interval of 168 h), AUCτ, was increased 30% and 120% in patients with moderate or severe renal insufficiency, respectively. Mean maximum serum concentration was almost doubled in patients with severe insufficiency [1305.8 pg ml−1; 95% confidence interval (CI) 825, 1786] compared with subjects with normal renal function (731.4 pg ml−1; 95% CI 407, 1056), whereas the apparent volume of distribution was reduced (0.80 l kg−1vs. 1.28 l kg−1, respectively). Elimination half-life was extended in patients with moderate and severe renal insufficiency (65.6 h and 64.9 h, respectively) compared with subjects with normal renal function (51.5 h). Significant differences were observed in the AUC and Cmax values of patients with severe renal dysfunction, compared with those who had normal renal function (P &lt; 0.05; Kruskal–Wallis test). PEG-IFN alfa-2b was well tolerated and adverse events were similar in both treatment groups. Conclusions Exposure to PEG-IFN alfa-2b is increased in patients with renal insufficiency, suggesting that doses of the drug should be reduced by 50% in patients with severe renal insufficiency and by 25% in those with moderate insufficiency.","container-title":"British Journal of Clinical Pharmacology","DOI":"10.1111/j.1365-2125.2007.02950.x","ISSN":"1365-2125","issue":"6","language":"en","note":"_eprint: https://onlinelibrary.wiley.com/doi/pdf/10.1111/j.1365-2125.2007.02950.x","page":"726-732","source":"Wiley Online Library","title":"Multiple-dose pharmacokinetics of peginterferon alfa-2b in patients with renal insufficiency","volume":"64","author":[{"family":"Gupta","given":"Samir K."},{"family":"Swan","given":"Suzanne K."},{"family":"Marbury","given":"Thomas"},{"family":"Smith","given":"William"},{"family":"Schwartz","given":"Sherwyn"},{"family":"Kolz","given":"Karen"},{"family":"Cutler","given":"David L."}],"issued":{"date-parts":[["2007"]]}}},{"id":1076,"uris":["http://zotero.org/groups/2246203/items/UY68G72K"],"itemData":{"id":1076,"type":"article-journal","abstract":"Purpose of review \n          Conventional cardiopulmonary resuscitation (CPR) by bystanders with chest compressions and mouth-to-mouth ventilation has been documented to save life. Nevertheless, despite four decades of promulgation, it is a serious problem that the majority of bystanders are unwilling or unable to perform conventional CPR. I review the efficacy of chest compression-only cardiocerebral resuscitation (CCR) for all adult patients with out-of-hospital cardiac arrest.\n          Recent findings \n          Recent observational studies showed that chest compression-only CCR by bystanders was equivalent or superior to conventional CPR in adult patients with out-of-hospital cardiac arrest in terms of neurological benefits. In 2008, the American Heart Association Emergency Cardiovascular Care committee recommended that bystanders who witness a sudden collapse in an adult should give chest compressions without ventilations (chest compression-only CCR; hands-only CPR). Furthermore, an observational study showed that chest compression-only CCR by emergency medical services personnel was a preferable approach to advanced cardiovascular life support for adult patients with out-of-hospital cardiac arrest.\n          Summary \n          To save more lives, I hope that compression-only CCR by citizen is generally, known, recommended, and taught to the public, because chest compression-only CCR by citizen is the preferable approach to basic life support for adult victims with out-of-hospital cardiac arrest.","container-title":"Current Opinion in Critical Care","DOI":"10.1097/MCC.0b013e3283295f2c","ISSN":"1070-5295","issue":"3","language":"en-US","page":"189","source":"journals.lww.com","title":"Chest compression-only cardiocerebral resuscitation","volume":"15","author":[{"family":"Nagao","given":"Ken"}],"issued":{"date-parts":[["2009",6]]}}}],"schema":"https://github.com/citation-style-language/schema/raw/master/csl-citation.json"} </w:instrText>
      </w:r>
      <w:r w:rsidRPr="00243B85">
        <w:rPr>
          <w:rFonts w:ascii="Arial" w:hAnsi="Arial" w:cs="Arial"/>
        </w:rPr>
        <w:fldChar w:fldCharType="separate"/>
      </w:r>
      <w:r w:rsidRPr="00243B85">
        <w:rPr>
          <w:rFonts w:ascii="Arial" w:hAnsi="Arial" w:cs="Arial"/>
        </w:rPr>
        <w:t>(Funk, 2012; Gupta et al., 2007; Nagao, 2009)</w:t>
      </w:r>
      <w:r w:rsidRPr="00243B85">
        <w:rPr>
          <w:rFonts w:ascii="Arial" w:hAnsi="Arial" w:cs="Arial"/>
        </w:rPr>
        <w:fldChar w:fldCharType="end"/>
      </w:r>
      <w:r w:rsidRPr="00243B85">
        <w:rPr>
          <w:rFonts w:ascii="Arial" w:hAnsi="Arial" w:cs="Arial"/>
        </w:rPr>
        <w:t>.  Integrating specific pharmaceuticals into the prediction model enables clinical pharmacists to prioritize patients with these specific treatments, hence decreasing the occurrence of failures and adverse consequences. Which medication should fall into this hall may be subject to discussion and depend on service characteristics.</w:t>
      </w:r>
    </w:p>
    <w:p w14:paraId="38EDD795" w14:textId="25C8DA2B" w:rsidR="001F7E8E" w:rsidRDefault="001F7E8E" w:rsidP="001F7E8E">
      <w:pPr>
        <w:jc w:val="both"/>
        <w:rPr>
          <w:rFonts w:ascii="Arial" w:hAnsi="Arial" w:cs="Arial"/>
        </w:rPr>
      </w:pPr>
      <w:r w:rsidRPr="00243B85">
        <w:rPr>
          <w:rFonts w:ascii="Arial" w:hAnsi="Arial" w:cs="Arial"/>
        </w:rPr>
        <w:t xml:space="preserve">Medication </w:t>
      </w:r>
      <w:r w:rsidR="005C43D9">
        <w:rPr>
          <w:rFonts w:ascii="Arial" w:hAnsi="Arial" w:cs="Arial"/>
        </w:rPr>
        <w:t>conciliation</w:t>
      </w:r>
      <w:r w:rsidRPr="00243B85">
        <w:rPr>
          <w:rFonts w:ascii="Arial" w:hAnsi="Arial" w:cs="Arial"/>
        </w:rPr>
        <w:t xml:space="preserve">, although a widely recommended safety strategy </w:t>
      </w:r>
      <w:r w:rsidRPr="00243B85">
        <w:rPr>
          <w:rFonts w:ascii="Arial" w:hAnsi="Arial" w:cs="Arial"/>
        </w:rPr>
        <w:fldChar w:fldCharType="begin"/>
      </w:r>
      <w:r w:rsidR="006F7A63" w:rsidRPr="00243B85">
        <w:rPr>
          <w:rFonts w:ascii="Arial" w:hAnsi="Arial" w:cs="Arial"/>
        </w:rPr>
        <w:instrText xml:space="preserve"> ADDIN ZOTERO_ITEM CSL_CITATION {"citationID":"rlS4n0nF","properties":{"formattedCitation":"(Correard et al., 2023; Lee et al., 2019)","plainCitation":"(Correard et al., 2023; Lee et al., 2019)","noteIndex":0},"citationItems":[{"id":1109,"uris":["http://zotero.org/groups/2246203/items/BLH97UWD"],"itemData":{"id":1109,"type":"article-journal","abstract":"BACKGROUND: Discharge medication reconciliation (Discharge MedRec) was implemented on one unit at a large urban teaching hospital, and was to be expanded across the rest of the hospital and the health authority's various sites by the end of 2018. Clinical pharmacists on the Acute Care for the Elderly unit carried out discharge planning and led Discharge MedRec during a pilot period, to inform the future implementation.\nOBJECTIVES: The primary objective was to examine the number and type of medication discrepancies before and after implementation of Discharge MedRec. The secondary objectives were to compare documented medication changes, pharmacist recommendations, discharge counselling, communication with community pharmacists, polypharmacy, and 30-day readmission rates.\nMETHODS: Patients seen in December 2015 constituted the control (pre-implementation) group, who received usual care. Patients seen from January to April 2016 constituted the intervention group, for whom pharmacists performed Discharge MedRec and other discharge activities as per the hospital-to-home checklist of the Institute for Safe Medication Practices Canada.\nRESULTS: There were 66 patients in the control group and 306 in the intervention group. Median discrepancies per patient decreased from 6.5 to 3 (p = 0.007), median number of documented changes without rationale increased from 2 to 3 (p = 0.01), and median number of documented changes with rationale increased from 1 to 2 (p &lt; 0.001). Pharmacists made a per-patient median of 1 progress note recommendation in the control group and 2 progress note recommendations in the intervention group (p = 0.007), and a per-patient median of 2 orders in both the control and intervention groups (p = 0.62). Median recommendation acceptance was 100% for both groups, but twice as many recommendations were made per patient for the intervention group. Discharge counselling increased from 22.7% to 65%. Communication with community pharmacists increased from 10.6% to 60.8%.\nCONCLUSIONS: Clinical pharmacist involvement improved Discharge MedRec planning and documentation. Decreases in medication discrepancies, combined with an increase in discharge counselling, should improve continuity of care across the health care team and increase patient adherence with medication therapy. This study further demonstrates the leadership role that pharmacists play in the assessment and clear documentation of medication changes at all transitions of care.","container-title":"The Canadian Journal of Hospital Pharmacy","ISSN":"1920-2903","issue":"2","journalAbbreviation":"Can J Hosp Pharm","language":"eng","note":"PMID: 31036971\nPMCID: PMC6476574","page":"111-118","source":"PubMed","title":"Evaluation of Pharmacist Intervention on Discharge Medication Reconciliation","volume":"72","author":[{"family":"Lee","given":"Robin"},{"family":"Malfair","given":"Suzanne"},{"family":"Schneider","given":"Jordan"},{"family":"Sidhu","given":"Sukjinder"},{"family":"Lang","given":"Caitlin"},{"family":"Bredenkamp","given":"Nina"},{"family":"Liang","given":"Shu Fei Sophie"},{"family":"Hou","given":"Alice"},{"family":"Virani","given":"Adil"}],"issued":{"date-parts":[["2019"]]}}},{"id":1097,"uris":["http://zotero.org/groups/2246203/items/CIRJE4T6"],"itemData":{"id":1097,"type":"article-journal","abstract":"Admission to hospital is a critical transition point for the continuity of care in medication management. Medication reconciliation can identify and resolve errors due to inaccurate medication histories. The practice of medication reconciliation is securing for the patient because of the medication errors detected with significant clinical impact. Its implementation must comply with the recommendations of the French National Authority for Health (HAS) and its deployment is now integrated into the contract for improving the quality and efficiency of care (CAQES). However, although it allows to intercept medication errors, its impact on the length of hospitalization, the rate of readmission and/or death following discharge seems limited. Given the limited human resources to carry out this time-consuming activity, patient prioritization should be considered. Studies on the fate of patients and on the medico-economic issues are also necessary in order to make this activity sustainable.","container-title":"La Revue De Medecine Interne","DOI":"10.1016/j.revmed.2023.02.001","ISSN":"1768-3122","issue":"9","journalAbbreviation":"Rev Med Interne","language":"fre","note":"PMID: 36841717","page":"479-486","source":"PubMed","title":"[Medication reconciliation: Interests and limits]","title-short":"[Medication reconciliation","volume":"44","author":[{"family":"Correard","given":"F."},{"family":"Arcani","given":"R."},{"family":"Montaleytang","given":"M."},{"family":"Nakache","given":"J."},{"family":"Berard","given":"C."},{"family":"Couderc","given":"A. L."},{"family":"Villani","given":"P."},{"family":"Daumas","given":"A."}],"issued":{"date-parts":[["2023",9]]}}}],"schema":"https://github.com/citation-style-language/schema/raw/master/csl-citation.json"} </w:instrText>
      </w:r>
      <w:r w:rsidRPr="00243B85">
        <w:rPr>
          <w:rFonts w:ascii="Arial" w:hAnsi="Arial" w:cs="Arial"/>
        </w:rPr>
        <w:fldChar w:fldCharType="separate"/>
      </w:r>
      <w:r w:rsidRPr="00243B85">
        <w:rPr>
          <w:rFonts w:ascii="Arial" w:hAnsi="Arial" w:cs="Arial"/>
        </w:rPr>
        <w:t>(Correard et al., 2023; Lee et al., 2019)</w:t>
      </w:r>
      <w:r w:rsidRPr="00243B85">
        <w:rPr>
          <w:rFonts w:ascii="Arial" w:hAnsi="Arial" w:cs="Arial"/>
        </w:rPr>
        <w:fldChar w:fldCharType="end"/>
      </w:r>
      <w:r w:rsidRPr="00243B85">
        <w:rPr>
          <w:rFonts w:ascii="Arial" w:hAnsi="Arial" w:cs="Arial"/>
        </w:rPr>
        <w:t xml:space="preserve">, was surprisingly associated with an increased risk of PDRI. In the context where the study was conducted, this activity was not systematically performed, and when performed, it was performed by non-pharmacist professionals. The results of our study reinforce the preference for conciliation to be performed by trained clinical pharmacists, ensuring a critical analysis of prescriptions </w:t>
      </w:r>
      <w:r w:rsidRPr="00243B85">
        <w:rPr>
          <w:rFonts w:ascii="Arial" w:hAnsi="Arial" w:cs="Arial"/>
        </w:rPr>
        <w:fldChar w:fldCharType="begin"/>
      </w:r>
      <w:r w:rsidR="006F7A63" w:rsidRPr="00243B85">
        <w:rPr>
          <w:rFonts w:ascii="Arial" w:hAnsi="Arial" w:cs="Arial"/>
        </w:rPr>
        <w:instrText xml:space="preserve"> ADDIN ZOTERO_ITEM CSL_CITATION {"citationID":"wreq6cAa","properties":{"formattedCitation":"(Cheema et al., 2018; Choi; Kim, 2019; Ciapponi et al., 2021)","plainCitation":"(Cheema et al., 2018; Choi; Kim, 2019; Ciapponi et al., 2021)","noteIndex":0},"citationItems":[{"id":1074,"uris":["http://zotero.org/groups/2246203/items/Z87X8R89"],"itemData":{"id":1074,"type":"article-journal","container-title":"PLOS ONE","DOI":"10.1371/journal.pone.0193510","ISSN":"1932-6203","issue":"3","journalAbbreviation":"PLoS ONE","language":"en","page":"e0193510","source":"DOI.org (Crossref)","title":"The impact of pharmacists-led medicines reconciliation on healthcare outcomes in secondary care: A systematic review and meta-analysis of randomized controlled trials","title-short":"The impact of pharmacists-led medicines reconciliation on healthcare outcomes in secondary care","volume":"13","author":[{"family":"Cheema","given":"Ejaz"},{"family":"Alhomoud","given":"Farah Kais"},{"family":"Kinsara","given":"Amnah Shams AL-Deen"},{"family":"Alsiddik","given":"Jomanah"},{"family":"Barnawi","given":"Marwah Hassan"},{"family":"Al-Muwallad","given":"Morooj Abdullah"},{"family":"Abed","given":"Shatha Abdulbaset"},{"family":"Elrggal","given":"Mahmoud E."},{"family":"Mohamed","given":"Mahmoud M. A."}],"editor":[{"family":"Hills","given":"Robert K"}],"issued":{"date-parts":[["2018",3,28]]}}},{"id":1073,"uris":["http://zotero.org/groups/2246203/items/SYGFMMF6"],"itemData":{"id":1073,"type":"article-journal","abstract":"What is known and objective Medication reconciliation is recommended to be performed at every transition of medical care to prevent medication errors or adverse drug events. This study investigated the impact of pharmacy-led medication reconciliation on medication discrepancies and potential adverse drug events in the ED to assess the benefits of pharmacy services. Methods The systematic review and meta-analysis was performed according to Preferred Reporting Items for Systematic Reviews and Meta-Analyses statement. The PubMed, Ovid Embase and Cochrane library databases were searched up from inception to 1 July 2018. Studies comparing the effectiveness of the medication reconciliation service performed by pharmacy personnel to usual care (nurses or physicians) in the ED were included. Duplicated studies, non-clinical studies, studies with ineligible comparators or study designs were excluded. Results and discussion Eleven studies were eligible for qualitative analysis, and 8 studies were included in meta-analysis. Pharmacy-led medication reconciliation substantially reduced medication discrepancies in the ED. The most common medication discrepancies included medication omission and incorrect/omitted dose or frequency. Unlike usual care, pharmacy-led medication reconciliation significantly reduced the proportion of patients with medication discrepancies by 68% (response rate 0.32; 95% confidence interval (CI): 0.19-0.53, P &lt; .0001) and the number of medication discrepancy events by 88% (response rate 0.12; 95% CI 0.06-0.26, P &lt; .00001). Intervention decreased the number of discrepancies per patient by 3.08 (mean difference −3.08; 95% CI: −4.76 to −1.39, P = .0003). Subgroup analysis revealed no differences between pharmacists and pharmacy technicians in medication reconciliation performance pertaining to medication discrepancies. The patients with several comorbidities or those administered numerous medications received marked benefits related to reduced medication discrepancies from pharmacy-led medication reconciliation. Moreover, a randomized controlled trial revealed decreased risk of potential adverse drug events by pharmacy-led medication reconciliation in patients receiving care in the ED. What is new and conclusion Pharmacy-led medication reconciliation significantly decreased the number of medication discrepancies. However, only one study investigated potential adverse drug events in patients receiving care in the ED. Therefore, further studies investigating the direct clinical impact of decreased medication discrepancies are required.","container-title":"Journal of Clinical Pharmacy and Therapeutics","DOI":"10.1111/jcpt.13019","ISSN":"1365-2710","issue":"6","language":"en","license":"© 2019 John Wiley &amp; Sons Ltd","note":"_eprint: https://onlinelibrary.wiley.com/doi/pdf/10.1111/jcpt.13019","page":"932-945","source":"Wiley Online Library","title":"Effect of pharmacy-led medication reconciliation in emergency departments: A systematic review and meta-analysis","title-short":"Effect of pharmacy-led medication reconciliation in emergency departments","volume":"44","author":[{"family":"Choi","given":"Yeo Jin"},{"family":"Kim","given":"Hyunah"}],"issued":{"date-parts":[["2019"]]}}},{"id":1075,"uris":["http://zotero.org/groups/2246203/items/VYBY9XVI"],"itemData":{"id":1075,"type":"article-journal","abstract":"Background to the question An adverse drug event (ADE) is an injury resulting from a medical intervention related to a drug. ADEs are sometimes associated with medication errors. ADEs and medication errors may cause important harm, costs and even death. Interventions for reducing medication errors include medication reconciliation, which is the process of comparing a patient's medication orders to the medications that the patient has been taking. Medication reconciliation can be performed jointly with other interventions, such as electronic prescribing systems, barcoding for a correct administering of medications, organisational changes, feedback on medication errors, education of professionals and improved medication dispensing systems. Review question What is the effectiveness of interventions to reduce medication errors for adults in hospital settings? We included inpatient care settings (secondary or tertiary units, intensive care units, operating theatres), outpatient care settings, and accident and emergency departments. Study characteristics We searched databases of scientific studies. We included 65 studies, 51 of which were randomised trials, involving 23,182 adults in hospital settings. The remaining 14 studies were large interrupted time</w:instrText>
      </w:r>
      <w:r w:rsidR="006F7A63" w:rsidRPr="00243B85">
        <w:rPr>
          <w:rFonts w:ascii="Cambria Math" w:hAnsi="Cambria Math" w:cs="Cambria Math"/>
        </w:rPr>
        <w:instrText>‐</w:instrText>
      </w:r>
      <w:r w:rsidR="006F7A63" w:rsidRPr="00243B85">
        <w:rPr>
          <w:rFonts w:ascii="Arial" w:hAnsi="Arial" w:cs="Arial"/>
        </w:rPr>
        <w:instrText>series that concern long</w:instrText>
      </w:r>
      <w:r w:rsidR="006F7A63" w:rsidRPr="00243B85">
        <w:rPr>
          <w:rFonts w:ascii="Cambria Math" w:hAnsi="Cambria Math" w:cs="Cambria Math"/>
        </w:rPr>
        <w:instrText>‐</w:instrText>
      </w:r>
      <w:r w:rsidR="006F7A63" w:rsidRPr="00243B85">
        <w:rPr>
          <w:rFonts w:ascii="Arial" w:hAnsi="Arial" w:cs="Arial"/>
        </w:rPr>
        <w:instrText>term period before and after a point of intervention to assess the intervention's effects, involving more than 87,000 participants. Certainty of the evidence We assessed the included evidence to establish how certain we are that the effects are true and would not be altered with the addition of more evidence. In general, we judged the certainty of the evidence to be low to moderate, but it was very low for some outcomes. Key results Medication reconciliation compared with no medication reconciliation probably reduce ADEs and may reduce medication errors. It may have little to no effect on length of stay or quality of life. However, the effect of medication reconciliation on these latter outcomes is imprecise; it is not clear if the effects are beneficial or detrimental (low</w:instrText>
      </w:r>
      <w:r w:rsidR="006F7A63" w:rsidRPr="00243B85">
        <w:rPr>
          <w:rFonts w:ascii="Cambria Math" w:hAnsi="Cambria Math" w:cs="Cambria Math"/>
        </w:rPr>
        <w:instrText>‐</w:instrText>
      </w:r>
      <w:r w:rsidR="006F7A63" w:rsidRPr="00243B85">
        <w:rPr>
          <w:rFonts w:ascii="Arial" w:hAnsi="Arial" w:cs="Arial"/>
        </w:rPr>
        <w:instrText xml:space="preserve"> to moderate</w:instrText>
      </w:r>
      <w:r w:rsidR="006F7A63" w:rsidRPr="00243B85">
        <w:rPr>
          <w:rFonts w:ascii="Cambria Math" w:hAnsi="Cambria Math" w:cs="Cambria Math"/>
        </w:rPr>
        <w:instrText>‐</w:instrText>
      </w:r>
      <w:r w:rsidR="006F7A63" w:rsidRPr="00243B85">
        <w:rPr>
          <w:rFonts w:ascii="Arial" w:hAnsi="Arial" w:cs="Arial"/>
        </w:rPr>
        <w:instrText>certainty evidence). Compared to medication reconciliation by other professionals, medication reconciliation performed by pharmacists may increase ADEs (but this result is imprecise); may reduce medication errors; and may have little to no effect on length of stay, mortality during hospitalisation, and readmissions. However, these effects are imprecise (low</w:instrText>
      </w:r>
      <w:r w:rsidR="006F7A63" w:rsidRPr="00243B85">
        <w:rPr>
          <w:rFonts w:ascii="Cambria Math" w:hAnsi="Cambria Math" w:cs="Cambria Math"/>
        </w:rPr>
        <w:instrText>‐</w:instrText>
      </w:r>
      <w:r w:rsidR="006F7A63" w:rsidRPr="00243B85">
        <w:rPr>
          <w:rFonts w:ascii="Arial" w:hAnsi="Arial" w:cs="Arial"/>
        </w:rPr>
        <w:instrText>certainty evidence). Compared to no assistance, database</w:instrText>
      </w:r>
      <w:r w:rsidR="006F7A63" w:rsidRPr="00243B85">
        <w:rPr>
          <w:rFonts w:ascii="Cambria Math" w:hAnsi="Cambria Math" w:cs="Cambria Math"/>
        </w:rPr>
        <w:instrText>‐</w:instrText>
      </w:r>
      <w:r w:rsidR="006F7A63" w:rsidRPr="00243B85">
        <w:rPr>
          <w:rFonts w:ascii="Arial" w:hAnsi="Arial" w:cs="Arial"/>
        </w:rPr>
        <w:instrText>assisted medication reconciliation conducted by pharmacists may reduce potential ADEs and may have no effect on length of stay, but the last effect is imprecise (low</w:instrText>
      </w:r>
      <w:r w:rsidR="006F7A63" w:rsidRPr="00243B85">
        <w:rPr>
          <w:rFonts w:ascii="Cambria Math" w:hAnsi="Cambria Math" w:cs="Cambria Math"/>
        </w:rPr>
        <w:instrText>‐</w:instrText>
      </w:r>
      <w:r w:rsidR="006F7A63" w:rsidRPr="00243B85">
        <w:rPr>
          <w:rFonts w:ascii="Arial" w:hAnsi="Arial" w:cs="Arial"/>
        </w:rPr>
        <w:instrText>certainty evidence). Medication reconciliation performed by trained pharmacist technicians instead of pharmacists, may have no effect on length of stay, but this effect is imprecise (low</w:instrText>
      </w:r>
      <w:r w:rsidR="006F7A63" w:rsidRPr="00243B85">
        <w:rPr>
          <w:rFonts w:ascii="Cambria Math" w:hAnsi="Cambria Math" w:cs="Cambria Math"/>
        </w:rPr>
        <w:instrText>‐</w:instrText>
      </w:r>
      <w:r w:rsidR="006F7A63" w:rsidRPr="00243B85">
        <w:rPr>
          <w:rFonts w:ascii="Arial" w:hAnsi="Arial" w:cs="Arial"/>
        </w:rPr>
        <w:instrText>certainty evidence). Medication reconciliation before admission, versus after admission, may increase identified discrepancies; however, the effect is imprecise (low</w:instrText>
      </w:r>
      <w:r w:rsidR="006F7A63" w:rsidRPr="00243B85">
        <w:rPr>
          <w:rFonts w:ascii="Cambria Math" w:hAnsi="Cambria Math" w:cs="Cambria Math"/>
        </w:rPr>
        <w:instrText>‐</w:instrText>
      </w:r>
      <w:r w:rsidR="006F7A63" w:rsidRPr="00243B85">
        <w:rPr>
          <w:rFonts w:ascii="Arial" w:hAnsi="Arial" w:cs="Arial"/>
        </w:rPr>
        <w:instrText>certainty evidence). Compared to usual care, some interventions have different effects: Multimodal interventions probably increase discrepancy resolutions (moderate</w:instrText>
      </w:r>
      <w:r w:rsidR="006F7A63" w:rsidRPr="00243B85">
        <w:rPr>
          <w:rFonts w:ascii="Cambria Math" w:hAnsi="Cambria Math" w:cs="Cambria Math"/>
        </w:rPr>
        <w:instrText>‐</w:instrText>
      </w:r>
      <w:r w:rsidR="006F7A63" w:rsidRPr="00243B85">
        <w:rPr>
          <w:rFonts w:ascii="Arial" w:hAnsi="Arial" w:cs="Arial"/>
        </w:rPr>
        <w:instrText>certainty evidence). Electronic prescribing systems probably reduce medication errors and ADEs. Prioritised alerts may additionally prevent ADEs (low</w:instrText>
      </w:r>
      <w:r w:rsidR="006F7A63" w:rsidRPr="00243B85">
        <w:rPr>
          <w:rFonts w:ascii="Cambria Math" w:hAnsi="Cambria Math" w:cs="Cambria Math"/>
        </w:rPr>
        <w:instrText>‐</w:instrText>
      </w:r>
      <w:r w:rsidR="006F7A63" w:rsidRPr="00243B85">
        <w:rPr>
          <w:rFonts w:ascii="Arial" w:hAnsi="Arial" w:cs="Arial"/>
        </w:rPr>
        <w:instrText xml:space="preserve"> to moderate</w:instrText>
      </w:r>
      <w:r w:rsidR="006F7A63" w:rsidRPr="00243B85">
        <w:rPr>
          <w:rFonts w:ascii="Cambria Math" w:hAnsi="Cambria Math" w:cs="Cambria Math"/>
        </w:rPr>
        <w:instrText>‐</w:instrText>
      </w:r>
      <w:r w:rsidR="006F7A63" w:rsidRPr="00243B85">
        <w:rPr>
          <w:rFonts w:ascii="Arial" w:hAnsi="Arial" w:cs="Arial"/>
        </w:rPr>
        <w:instrText>certainty evidence). Barcode identification of participants or medications may reduce medication errors (low</w:instrText>
      </w:r>
      <w:r w:rsidR="006F7A63" w:rsidRPr="00243B85">
        <w:rPr>
          <w:rFonts w:ascii="Cambria Math" w:hAnsi="Cambria Math" w:cs="Cambria Math"/>
        </w:rPr>
        <w:instrText>‐</w:instrText>
      </w:r>
      <w:r w:rsidR="006F7A63" w:rsidRPr="00243B85">
        <w:rPr>
          <w:rFonts w:ascii="Arial" w:hAnsi="Arial" w:cs="Arial"/>
        </w:rPr>
        <w:instrText>certainty evidence). Reduced working hours and feedback on medication errors may reduce serious medication errors; however, the effect is imprecise (low</w:instrText>
      </w:r>
      <w:r w:rsidR="006F7A63" w:rsidRPr="00243B85">
        <w:rPr>
          <w:rFonts w:ascii="Cambria Math" w:hAnsi="Cambria Math" w:cs="Cambria Math"/>
        </w:rPr>
        <w:instrText>‐</w:instrText>
      </w:r>
      <w:r w:rsidR="006F7A63" w:rsidRPr="00243B85">
        <w:rPr>
          <w:rFonts w:ascii="Arial" w:hAnsi="Arial" w:cs="Arial"/>
        </w:rPr>
        <w:instrText xml:space="preserve">certainty evidence). Authors' conclusions Compared to usual care, medication reconciliation, electronic prescribing systems, barcoding and feedback to professionals may reduce ADEs or medication errors, or both. Nonetheless, the best modalities to deliver these interventions, and the effect of other interventions, are less clear. How up to date is this review? The review authors searched for studies that had been published up to January 2020.","container-title":"Cochrane Database of Systematic Reviews","DOI":"10.1002/14651858.cd009985.pub2","ISSN":"1465-1858","issue":"11","language":"en","source":"www.readcube.com","title":"Reducing medication errors for adults in hospital settings","URL":"https://www.readcube.com/articles/10.1002%2F14651858.cd009985.pub2","volume":"2021","author":[{"family":"Ciapponi","given":"Agustín"},{"family":"Nievas","given":"Simon E. Fernandez"},{"family":"Seijo","given":"Mariana"},{"family":"Rodríguez","given":"María Belén"},{"family":"Vietto","given":"Valeria"},{"family":"García-Perdomo","given":"Herney A."},{"family":"Virgilio","given":"Sacha"},{"family":"Fajreldines","given":"Ana V."},{"family":"Tost","given":"Josep"},{"family":"Rose","given":"Christopher J."},{"family":"Garcia-Elorrio","given":"Ezequiel"}],"accessed":{"date-parts":[["2025",4,22]]},"issued":{"date-parts":[["2021"]]}}}],"schema":"https://github.com/citation-style-language/schema/raw/master/csl-citation.json"} </w:instrText>
      </w:r>
      <w:r w:rsidRPr="00243B85">
        <w:rPr>
          <w:rFonts w:ascii="Arial" w:hAnsi="Arial" w:cs="Arial"/>
        </w:rPr>
        <w:fldChar w:fldCharType="separate"/>
      </w:r>
      <w:r w:rsidRPr="00243B85">
        <w:rPr>
          <w:rFonts w:ascii="Arial" w:hAnsi="Arial" w:cs="Arial"/>
        </w:rPr>
        <w:t>(Cheema et al., 2018; Choi; Kim, 2019; Ciapponi et al., 2021)</w:t>
      </w:r>
      <w:r w:rsidRPr="00243B85">
        <w:rPr>
          <w:rFonts w:ascii="Arial" w:hAnsi="Arial" w:cs="Arial"/>
        </w:rPr>
        <w:fldChar w:fldCharType="end"/>
      </w:r>
      <w:r w:rsidRPr="00243B85">
        <w:rPr>
          <w:rFonts w:ascii="Arial" w:hAnsi="Arial" w:cs="Arial"/>
        </w:rPr>
        <w:t>.</w:t>
      </w:r>
    </w:p>
    <w:p w14:paraId="3376BE37" w14:textId="38A9F1BD" w:rsidR="00652DA3" w:rsidRPr="003B664E" w:rsidRDefault="00652DA3" w:rsidP="001F7E8E">
      <w:pPr>
        <w:jc w:val="both"/>
        <w:rPr>
          <w:rFonts w:ascii="Arial" w:hAnsi="Arial" w:cs="Arial"/>
          <w:highlight w:val="yellow"/>
          <w:lang w:val="pt-BR"/>
        </w:rPr>
      </w:pPr>
      <w:r w:rsidRPr="00652DA3">
        <w:rPr>
          <w:rFonts w:ascii="Arial" w:hAnsi="Arial" w:cs="Arial"/>
          <w:highlight w:val="yellow"/>
        </w:rPr>
        <w:t xml:space="preserve">This result highlights an important distinction between performing medication </w:t>
      </w:r>
      <w:r w:rsidR="005C43D9">
        <w:rPr>
          <w:rFonts w:ascii="Arial" w:hAnsi="Arial" w:cs="Arial"/>
          <w:highlight w:val="yellow"/>
        </w:rPr>
        <w:t>conciliation</w:t>
      </w:r>
      <w:r w:rsidRPr="00652DA3">
        <w:rPr>
          <w:rFonts w:ascii="Arial" w:hAnsi="Arial" w:cs="Arial"/>
          <w:highlight w:val="yellow"/>
        </w:rPr>
        <w:t xml:space="preserve"> as a routine task and carrying it out as a qualified clinical process. In this study, when </w:t>
      </w:r>
      <w:r w:rsidR="005C43D9">
        <w:rPr>
          <w:rFonts w:ascii="Arial" w:hAnsi="Arial" w:cs="Arial"/>
          <w:highlight w:val="yellow"/>
        </w:rPr>
        <w:t>conciliation</w:t>
      </w:r>
      <w:r w:rsidRPr="00652DA3">
        <w:rPr>
          <w:rFonts w:ascii="Arial" w:hAnsi="Arial" w:cs="Arial"/>
          <w:highlight w:val="yellow"/>
        </w:rPr>
        <w:t xml:space="preserve"> was conducted by non-pharmacist professionals, it was linked to a higher probability of preventable drug-related incidents (PDRI). </w:t>
      </w:r>
      <w:r w:rsidR="003B664E" w:rsidRPr="003B664E">
        <w:rPr>
          <w:rFonts w:ascii="Arial" w:hAnsi="Arial" w:cs="Arial"/>
          <w:highlight w:val="yellow"/>
          <w:lang w:val="pt-BR"/>
        </w:rPr>
        <w:t>This doesn't mean that conciliation itself raises the danger; it only means that the professional's knowledge and how well the procedure is carried out will affect the outcome. Conciliation, when done by pharmacists, includes a thorough analysis of the patient's therapy, finding duplicates, screening for any drug interactions, and making sure that the therapy is consistent. These processes go far beyond just verifying records. If only administrative transcription or superficial verification is used, crucial clinical information may be overlooked, which could lead to prescription errors that could have been avoided.</w:t>
      </w:r>
      <w:r w:rsidRPr="00652DA3">
        <w:rPr>
          <w:rFonts w:ascii="Arial" w:hAnsi="Arial" w:cs="Arial"/>
          <w:highlight w:val="yellow"/>
        </w:rPr>
        <w:t xml:space="preserve"> For this reason, the establishment of structured, pharmacist-led </w:t>
      </w:r>
      <w:r w:rsidR="005C43D9">
        <w:rPr>
          <w:rFonts w:ascii="Arial" w:hAnsi="Arial" w:cs="Arial"/>
          <w:highlight w:val="yellow"/>
        </w:rPr>
        <w:t>conciliation</w:t>
      </w:r>
      <w:r w:rsidRPr="00652DA3">
        <w:rPr>
          <w:rFonts w:ascii="Arial" w:hAnsi="Arial" w:cs="Arial"/>
          <w:highlight w:val="yellow"/>
        </w:rPr>
        <w:t xml:space="preserve"> protocols should be considered a core component of patient safety, especially in infectious disease wards where drug regimens are complex and frequently adjusted.</w:t>
      </w:r>
    </w:p>
    <w:p w14:paraId="1774540F" w14:textId="6BDB4E51" w:rsidR="001F7E8E" w:rsidRPr="00243B85" w:rsidRDefault="001F7E8E" w:rsidP="001F7E8E">
      <w:pPr>
        <w:jc w:val="both"/>
        <w:rPr>
          <w:rFonts w:ascii="Arial" w:hAnsi="Arial" w:cs="Arial"/>
        </w:rPr>
      </w:pPr>
      <w:r w:rsidRPr="00243B85">
        <w:rPr>
          <w:rFonts w:ascii="Arial" w:hAnsi="Arial" w:cs="Arial"/>
        </w:rPr>
        <w:t xml:space="preserve">The patient's clinical status, assessed by the modified SOFA score, indicated that higher modified SOFA values were linked to a lower likelihood of PDRI when adjusted for other predictors. This only occurred when medication </w:t>
      </w:r>
      <w:r w:rsidR="005C43D9">
        <w:rPr>
          <w:rFonts w:ascii="Arial" w:hAnsi="Arial" w:cs="Arial"/>
        </w:rPr>
        <w:t>conciliation</w:t>
      </w:r>
      <w:r w:rsidRPr="00243B85">
        <w:rPr>
          <w:rFonts w:ascii="Arial" w:hAnsi="Arial" w:cs="Arial"/>
        </w:rPr>
        <w:t xml:space="preserve"> was included in the model and was absent otherwise. This implies that interaction is present, as the modified SOFA score has varying effects based on whether </w:t>
      </w:r>
      <w:r w:rsidR="005C43D9">
        <w:rPr>
          <w:rFonts w:ascii="Arial" w:hAnsi="Arial" w:cs="Arial"/>
        </w:rPr>
        <w:t>conciliation</w:t>
      </w:r>
      <w:r w:rsidRPr="00243B85">
        <w:rPr>
          <w:rFonts w:ascii="Arial" w:hAnsi="Arial" w:cs="Arial"/>
        </w:rPr>
        <w:t xml:space="preserve"> was performed or not. </w:t>
      </w:r>
    </w:p>
    <w:p w14:paraId="64C990A0" w14:textId="79F4EE73" w:rsidR="001F7E8E" w:rsidRDefault="001F7E8E" w:rsidP="001F7E8E">
      <w:pPr>
        <w:jc w:val="both"/>
        <w:rPr>
          <w:rFonts w:ascii="Arial" w:hAnsi="Arial" w:cs="Arial"/>
        </w:rPr>
      </w:pPr>
      <w:r w:rsidRPr="00243B85">
        <w:rPr>
          <w:rFonts w:ascii="Arial" w:hAnsi="Arial" w:cs="Arial"/>
        </w:rPr>
        <w:t xml:space="preserve">A plausible reason is that healthcare teams often maintain increased attention and monitoring for more severe cases at admission, and possibly when other complicators are also present, such as polypharmacy, illicit drug use, etc. However, when medication </w:t>
      </w:r>
      <w:r w:rsidR="005C43D9">
        <w:rPr>
          <w:rFonts w:ascii="Arial" w:hAnsi="Arial" w:cs="Arial"/>
        </w:rPr>
        <w:t>conciliation</w:t>
      </w:r>
      <w:r w:rsidRPr="00243B85">
        <w:rPr>
          <w:rFonts w:ascii="Arial" w:hAnsi="Arial" w:cs="Arial"/>
        </w:rPr>
        <w:t xml:space="preserve"> by non-pharmaceutical professionals is performed, the overall risk increases, and higher modified SOFA scores return higher risk predictions. Therefore, it seems that medication </w:t>
      </w:r>
      <w:r w:rsidR="005C43D9">
        <w:rPr>
          <w:rFonts w:ascii="Arial" w:hAnsi="Arial" w:cs="Arial"/>
        </w:rPr>
        <w:t>conciliation</w:t>
      </w:r>
      <w:r w:rsidRPr="00243B85">
        <w:rPr>
          <w:rFonts w:ascii="Arial" w:hAnsi="Arial" w:cs="Arial"/>
        </w:rPr>
        <w:t xml:space="preserve"> performed by non-pharmacists has the potential to increase the PDRI risk, but increases even more when modified SOFA has higher values. On the other hand, the interaction of SOFA and a medication </w:t>
      </w:r>
      <w:r w:rsidR="005C43D9">
        <w:rPr>
          <w:rFonts w:ascii="Arial" w:hAnsi="Arial" w:cs="Arial"/>
        </w:rPr>
        <w:t>conciliation</w:t>
      </w:r>
      <w:r w:rsidRPr="00243B85">
        <w:rPr>
          <w:rFonts w:ascii="Arial" w:hAnsi="Arial" w:cs="Arial"/>
        </w:rPr>
        <w:t xml:space="preserve"> performed by non-pharmacists might be attributable to less optimal reconciled medications for controlling organic dysfunctions, rather than the organic dysfunction itself. </w:t>
      </w:r>
    </w:p>
    <w:p w14:paraId="501C4427" w14:textId="494916A6" w:rsidR="00652DA3" w:rsidRDefault="00652DA3" w:rsidP="001F7E8E">
      <w:pPr>
        <w:jc w:val="both"/>
        <w:rPr>
          <w:rFonts w:ascii="Arial" w:hAnsi="Arial" w:cs="Arial"/>
        </w:rPr>
      </w:pPr>
      <w:r w:rsidRPr="00652DA3">
        <w:rPr>
          <w:rFonts w:ascii="Arial" w:hAnsi="Arial" w:cs="Arial"/>
          <w:highlight w:val="yellow"/>
        </w:rPr>
        <w:lastRenderedPageBreak/>
        <w:t>The finding related to the modified SOFA score should be interpreted with caution. A possible explanation is that patients with higher SOFA values — who usually present greater clinical severity — tend to receive closer attention from the healthcare team, which may help to prevent avoidable incidents despite their more complex conditions. On the other hand, patients with lower scores might be monitored less intensively, allowing minor pharmacotherapeutic issues to remain unnoticed. These interpretations are speculative and should not be seen as conclusive. Because the study design does not permit causal inference, future investigations specifically aimed at understanding how disease severity interacts with pharmaceutical care practices will be important to verify this hypothesis. Such studies could help determine whether the apparent protective effect of higher SOFA scores truly exists or simply reflects more intensive monitoring among critically ill patients.</w:t>
      </w:r>
    </w:p>
    <w:p w14:paraId="284C016C" w14:textId="652811BA" w:rsidR="00952FB2" w:rsidRPr="00952FB2" w:rsidRDefault="00952FB2" w:rsidP="00952FB2">
      <w:pPr>
        <w:jc w:val="both"/>
        <w:rPr>
          <w:rFonts w:ascii="Arial" w:hAnsi="Arial" w:cs="Arial"/>
          <w:highlight w:val="yellow"/>
          <w:lang w:val="pt-BR"/>
        </w:rPr>
      </w:pPr>
      <w:r w:rsidRPr="00952FB2">
        <w:rPr>
          <w:rFonts w:ascii="Arial" w:hAnsi="Arial" w:cs="Arial"/>
          <w:highlight w:val="yellow"/>
          <w:lang w:val="pt-BR"/>
        </w:rPr>
        <w:t xml:space="preserve">The clinical model developed in this study shares conceptual similarities with risk stratification tools that have been applied in patients with chronic non-communicable diseases such as diabetes, hypertension, and arthritis. In these populations, structured algorithms have improved the prioritization of pharmaceutical interventions and reduced medication-related problems linked to polypharmacy </w:t>
      </w:r>
      <w:r w:rsidRPr="00952FB2">
        <w:rPr>
          <w:rFonts w:ascii="Arial" w:hAnsi="Arial" w:cs="Arial"/>
          <w:highlight w:val="yellow"/>
          <w:lang w:val="pt-BR"/>
        </w:rPr>
        <w:fldChar w:fldCharType="begin"/>
      </w:r>
      <w:r w:rsidRPr="00952FB2">
        <w:rPr>
          <w:rFonts w:ascii="Arial" w:hAnsi="Arial" w:cs="Arial"/>
          <w:highlight w:val="yellow"/>
          <w:lang w:val="pt-BR"/>
        </w:rPr>
        <w:instrText xml:space="preserve"> ADDIN ZOTERO_ITEM CSL_CITATION {"citationID":"v5tyVfwR","properties":{"formattedCitation":"(Almod\\uc0\\u243{}var; Nahata, 2019)","plainCitation":"(Almodóvar; Nahata, 2019)","noteIndex":0},"citationItems":[{"id":1670,"uris":["http://zotero.org/groups/2246203/items/8GYIULBM"],"itemData":{"id":1670,"type":"article-journal","abstract":"BACKGROUND: Mismanaged polypharmacy among older adults costs the health care system approximately $2 billion each year. Medication therapy management (MTM), a service designed to optimize medication use, improve health outcomes, and reduce associated costs, is available to eligible Medicare beneficiaries. Yet, it remains unclear which beneficiaries benefit most from this service.\nOBJECTIVE: To assess associations between patient characteristics, chronic disease, polypharmacy, and medication-related problems (MRPs) in a sample population of Medicare beneficiaries.\nMETHODS: This study was a retrospective cross-sectional analysis of 1 Medicare Part D plan provider for the year 2015. Medicare beneficiaries were included if they were eligible to receive MTM services and excluded if they were aged under 65 years or the dataset had no count of MRPs for the beneficiary. A negative binomial regression assessed the relationship between age, sex, and chronic health conditions with MRPs. Second and third negative binomial regressions assessed the relationship between age, sex, and polypharmacy with MRPs.\nRESULTS: A sample of 27,765 Medicare beneficiaries had a mean (SD) age of 76 (±7) years, were predominantly female (59%), and used a mean (SD) of 11 (±4) chronic medications. Beneficiaries with certain conditions were more likely to incur an MRP than those without, including depression (OR = 1.58; 95% CI = 1.51-1.64), congestive heart failure (OR = 1.26; 95% CI = 1.20-1.31), diabetes (OR = 1.24; 95% CI = 1.18-1.29), end-stage renal disease (OR = 1.38; 95% CI = 1.25-1.52), respiratory conditions (OR = 1.25; 95% CI = 1.19-1.31), and hypertension (OR = 1.09; 95% CI = 1.01-1.18). Medicare beneficiaries with polypharmacy (11 or more medications) were 1.86 (95% CI = 1.80-1.93) times more likely to experience an MRP than those taking fewer medications. For every additional medication, the odds of incurring an MRP increased by 10% (OR = 1.11; 95% CI = 1.10-1.1.11).\nCONCLUSIONS: The diagnosis of depression presented with the strongest association with MRPs. Diabetes, congestive heart failure, end-stage renal disease, respiratory conditions, and hypertension also presented with significant associations with MRPs. Beneficiaries with polypharmacy (11 or more medications) were almost 2 times more likely to experience an MRP than those taking fewer medications. Addition of a chronic medication resulted in a 10% increase in the odds of incurring an MRP. MTM programs may find a greater number of MRPs among those diagnosed with depression in their MTM-eligible patient populations. J Manag Care Spec Pharm. 2019;25(5):573-77 Copyright © 2019, Academy of Managed Care Pharmacy. All rights reserved. RESEARCH BRIEF","container-title":"Journal of Managed Care &amp; Specialty Pharmacy","DOI":"10.18553/jmcp.2019.25.5.573","ISSN":"2376-0540, 2376-1032","issue":"5","journalAbbreviation":"JMCP","language":"en","page":"573-577","source":"DOI.org (Crossref)","title":"Associations Between Chronic Disease, Polypharmacy, and Medication-Related Problems Among Medicare Beneficiaries","volume":"25","author":[{"family":"Almodóvar","given":"Armando Silva"},{"family":"Nahata","given":"Milap C."}],"issued":{"date-parts":[["2019",5]]}}}],"schema":"https://github.com/citation-style-language/schema/raw/master/csl-citation.json"} </w:instrText>
      </w:r>
      <w:r w:rsidRPr="00952FB2">
        <w:rPr>
          <w:rFonts w:ascii="Arial" w:hAnsi="Arial" w:cs="Arial"/>
          <w:highlight w:val="yellow"/>
          <w:lang w:val="pt-BR"/>
        </w:rPr>
        <w:fldChar w:fldCharType="separate"/>
      </w:r>
      <w:r w:rsidRPr="00952FB2">
        <w:rPr>
          <w:rFonts w:ascii="Arial" w:hAnsi="Arial" w:cs="Arial"/>
          <w:highlight w:val="yellow"/>
        </w:rPr>
        <w:t xml:space="preserve">(Almodóvar; </w:t>
      </w:r>
      <w:proofErr w:type="spellStart"/>
      <w:r w:rsidRPr="00952FB2">
        <w:rPr>
          <w:rFonts w:ascii="Arial" w:hAnsi="Arial" w:cs="Arial"/>
          <w:highlight w:val="yellow"/>
        </w:rPr>
        <w:t>Nahata</w:t>
      </w:r>
      <w:proofErr w:type="spellEnd"/>
      <w:r w:rsidRPr="00952FB2">
        <w:rPr>
          <w:rFonts w:ascii="Arial" w:hAnsi="Arial" w:cs="Arial"/>
          <w:highlight w:val="yellow"/>
        </w:rPr>
        <w:t>, 2019)</w:t>
      </w:r>
      <w:r w:rsidRPr="00952FB2">
        <w:rPr>
          <w:rFonts w:ascii="Arial" w:hAnsi="Arial" w:cs="Arial"/>
          <w:highlight w:val="yellow"/>
          <w:lang w:val="pt-BR"/>
        </w:rPr>
        <w:fldChar w:fldCharType="end"/>
      </w:r>
      <w:r w:rsidRPr="00952FB2">
        <w:rPr>
          <w:rFonts w:ascii="Arial" w:hAnsi="Arial" w:cs="Arial"/>
          <w:highlight w:val="yellow"/>
          <w:lang w:val="pt-BR"/>
        </w:rPr>
        <w:t xml:space="preserve">. Recent systematic reviews highlight that although many risk prediction models exist, only a few undergo robust external validation, which limits their transferability across clinical contexts </w:t>
      </w:r>
      <w:r>
        <w:rPr>
          <w:rFonts w:ascii="Arial" w:hAnsi="Arial" w:cs="Arial"/>
          <w:highlight w:val="yellow"/>
          <w:lang w:val="pt-BR"/>
        </w:rPr>
        <w:fldChar w:fldCharType="begin"/>
      </w:r>
      <w:r>
        <w:rPr>
          <w:rFonts w:ascii="Arial" w:hAnsi="Arial" w:cs="Arial"/>
          <w:highlight w:val="yellow"/>
          <w:lang w:val="pt-BR"/>
        </w:rPr>
        <w:instrText xml:space="preserve"> ADDIN ZOTERO_ITEM CSL_CITATION {"citationID":"c72hsYiM","properties":{"formattedCitation":"(Oddy et al., 2024)","plainCitation":"(Oddy et al., 2024)","noteIndex":0},"citationItems":[{"id":1653,"uris":["http://zotero.org/groups/2246203/items/GP7BYVU4"],"itemData":{"id":1653,"type":"article-journal","abstract":"Objectives Risk stratification tools that predict healthcare utilisation are extensively integrated into primary care systems worldwide, forming a key component of anticipatory care pathways, where high-risk individuals are targeted by preventative interventions. Existing work broadly focuses on comparing model performance in retrospective cohorts with little attention paid to efficacy in reducing morbidity when deployed in different global contexts. We review the evidence supporting the use of such tools in real-world settings, from retrospective dataset performance to pathway evaluation.\nMethods A systematic search was undertaken to identify studies reporting the development, validation and deployment of models that predict healthcare utilisation in unselected primary care cohorts, comparable to their current real-world application.\nResults Among 3897 articles screened, 51 studies were identified evaluating 28 risk prediction models. Half underwent external validation yet only two were validated internationally. No association between validation context and model discrimination was observed. The majority of real-world evaluation studies reported no change, or indeed significant increases, in healthcare utilisation within targeted groups, with only one-third of reports demonstrating some benefit. Discussion While model discrimination appears satisfactorily robust to application context there is little evidence to suggest that accurate identification of highrisk individuals can be reliably translated to improvements in service delivery or morbidity.\nConclusions The evidence does not support further integration of care pathways with costly population-level interventions based on risk prediction in unselected primary care cohorts. There is an urgent need to independently appraise the safety, efficacy and costeffectiveness of risk prediction systems that are already widely deployed within primary care.","container-title":"BMJ Health &amp; Care Informatics","DOI":"10.1136/bmjhci-2024-101065","ISSN":"2632-1009","issue":"1","journalAbbreviation":"BMJ Health Care Inform","language":"en","page":"e101065","source":"DOI.org (Crossref)","title":"Promising algorithms to perilous applications: a systematic review of risk stratification tools for predicting healthcare utilisation","title-short":"Promising algorithms to perilous applications","volume":"31","author":[{"family":"Oddy","given":"Christopher"},{"family":"Zhang","given":"Joe"},{"family":"Morley","given":"Jessica"},{"family":"Ashrafian","given":"Hutan"}],"issued":{"date-parts":[["2024",6]]}}}],"schema":"https://github.com/citation-style-language/schema/raw/master/csl-citation.json"} </w:instrText>
      </w:r>
      <w:r>
        <w:rPr>
          <w:rFonts w:ascii="Arial" w:hAnsi="Arial" w:cs="Arial"/>
          <w:highlight w:val="yellow"/>
          <w:lang w:val="pt-BR"/>
        </w:rPr>
        <w:fldChar w:fldCharType="separate"/>
      </w:r>
      <w:r w:rsidRPr="00952FB2">
        <w:rPr>
          <w:rFonts w:ascii="Arial" w:hAnsi="Arial" w:cs="Arial"/>
          <w:highlight w:val="yellow"/>
        </w:rPr>
        <w:t>(Oddy et al., 2024)</w:t>
      </w:r>
      <w:r>
        <w:rPr>
          <w:rFonts w:ascii="Arial" w:hAnsi="Arial" w:cs="Arial"/>
          <w:highlight w:val="yellow"/>
          <w:lang w:val="pt-BR"/>
        </w:rPr>
        <w:fldChar w:fldCharType="end"/>
      </w:r>
      <w:r w:rsidRPr="00952FB2">
        <w:rPr>
          <w:rFonts w:ascii="Arial" w:hAnsi="Arial" w:cs="Arial"/>
          <w:highlight w:val="yellow"/>
          <w:lang w:val="pt-BR"/>
        </w:rPr>
        <w:t>.</w:t>
      </w:r>
    </w:p>
    <w:p w14:paraId="06DF42C9" w14:textId="2A2C392A" w:rsidR="00952FB2" w:rsidRPr="00952FB2" w:rsidRDefault="003B664E" w:rsidP="00952FB2">
      <w:pPr>
        <w:jc w:val="both"/>
        <w:rPr>
          <w:rFonts w:ascii="Arial" w:hAnsi="Arial" w:cs="Arial"/>
          <w:highlight w:val="yellow"/>
          <w:lang w:val="pt-BR"/>
        </w:rPr>
      </w:pPr>
      <w:r w:rsidRPr="003B664E">
        <w:rPr>
          <w:rFonts w:ascii="Arial" w:hAnsi="Arial" w:cs="Arial"/>
          <w:highlight w:val="yellow"/>
          <w:lang w:val="pt-BR"/>
        </w:rPr>
        <w:t xml:space="preserve">Instruments like MERIS have been verified externally across various care contexts, proving their efficacy in assisting pharmacists in identifying patients who would benefit most from clinical review </w:t>
      </w:r>
      <w:r w:rsidR="00FE6339" w:rsidRPr="00FE6339">
        <w:rPr>
          <w:rFonts w:ascii="Arial" w:hAnsi="Arial" w:cs="Arial"/>
          <w:highlight w:val="yellow"/>
          <w:lang w:val="pt-BR"/>
        </w:rPr>
        <w:fldChar w:fldCharType="begin"/>
      </w:r>
      <w:r w:rsidR="00FE6339" w:rsidRPr="00FE6339">
        <w:rPr>
          <w:rFonts w:ascii="Arial" w:hAnsi="Arial" w:cs="Arial"/>
          <w:highlight w:val="yellow"/>
          <w:lang w:val="pt-BR"/>
        </w:rPr>
        <w:instrText xml:space="preserve"> ADDIN ZOTERO_ITEM CSL_CITATION {"citationID":"3bbivHqI","properties":{"formattedCitation":"(Korup; Almarsd\\uc0\\u243{}ttir; Magnussen, 2023)","plainCitation":"(Korup; Almarsdóttir; Magnussen, 2023)","noteIndex":0},"citationItems":[{"id":1660,"uris":["http://zotero.org/groups/2246203/items/75KZ68QJ"],"itemData":{"id":1660,"type":"article-journal","abstract":"Background\nRisk prioritisation algorithms provide patients with a risk category that guides pharmacists to choose those needing medication reviews (MRs) the most. For this study the Medicine Risk Score (MERIS) and a modified Assessment of Risk Tool (ART) were used.\n\nAim\nTo examine how the selection of patients by the clinical pharmacists in an emergency department for MRs compared with the categorisation provided by MERIS and a modified version of ART (mART). Furthermore, examine the agreement between MERIS and mART.\n\nMethod\nA cross-sectional study was conducted using data on all admitted patients during a two-month period. Data were entered into the prioritisation algorithms and independently ranked by the six pharmacists who were observed as they selected patients for MR. Risk scores and categorisations were compared between the algorithms and the pharmacists’ ranking using t-test, Z-test, Chi square, Kruskal Wallis H-test, or Kappa statistics.\n\nResults\nThe study included 1133 patients. Significant differences were found between the pharmacists and the algorithms. The sensitivity and specificity of MERIS were 37.8% and 73.6%, for mART, 33.0% and 75.9%. Kappa was 0.58, showing moderate agreement. No significant differences were observed between the individual pharmacists’ selection, but differences were significant between how pharmacists ranked the importance of the provided MRs.\n\nConclusion\nPharmacists disagreed with the risk categorisation provided by MERIS and mART. However, MERIS and mART had similar sensitivity, specificity, and moderate agreement. Further research should focus on how clinical algorithms affect the selection of patients and on the importance of the MRs carried out by pharmacists.\n\nSupplementary Information\nThe online version contains supplementary material available at 10.1007/s11096-023-01582-0.","container-title":"International Journal of Clinical Pharmacy","DOI":"10.1007/s11096-023-01582-0","ISSN":"2210-7703","issue":"4","journalAbbreviation":"Int J Clin Pharm","note":"PMID: 37081169\nPMCID: PMC10366030","page":"884-892","source":"PubMed Central","title":"Comparison of prioritisation algorithms for the selection of patients for medication reviews in the emergency department: a cross-sectional study","title-short":"Comparison of prioritisation algorithms for the selection of patients for medication reviews in the emergency department","volume":"45","author":[{"family":"Korup","given":"Signe Gejr"},{"family":"Almarsdóttir","given":"Anna Birna"},{"family":"Magnussen","given":"Line"}],"issued":{"date-parts":[["2023"]]}}}],"schema":"https://github.com/citation-style-language/schema/raw/master/csl-citation.json"} </w:instrText>
      </w:r>
      <w:r w:rsidR="00FE6339" w:rsidRPr="00FE6339">
        <w:rPr>
          <w:rFonts w:ascii="Arial" w:hAnsi="Arial" w:cs="Arial"/>
          <w:highlight w:val="yellow"/>
          <w:lang w:val="pt-BR"/>
        </w:rPr>
        <w:fldChar w:fldCharType="separate"/>
      </w:r>
      <w:r w:rsidR="00FE6339" w:rsidRPr="00FE6339">
        <w:rPr>
          <w:rFonts w:ascii="Arial" w:hAnsi="Arial" w:cs="Arial"/>
          <w:highlight w:val="yellow"/>
        </w:rPr>
        <w:t>(Korup; Almarsdóttir; Magnussen, 2023)</w:t>
      </w:r>
      <w:r w:rsidR="00FE6339" w:rsidRPr="00FE6339">
        <w:rPr>
          <w:rFonts w:ascii="Arial" w:hAnsi="Arial" w:cs="Arial"/>
          <w:highlight w:val="yellow"/>
          <w:lang w:val="pt-BR"/>
        </w:rPr>
        <w:fldChar w:fldCharType="end"/>
      </w:r>
      <w:r w:rsidRPr="003B664E">
        <w:rPr>
          <w:rFonts w:ascii="Arial" w:hAnsi="Arial" w:cs="Arial"/>
          <w:highlight w:val="yellow"/>
          <w:lang w:val="pt-BR"/>
        </w:rPr>
        <w:t xml:space="preserve">. The Assessment of Risk Tool (ART) has also been helpful in classifying hospitalized patients based on the probability of clinically significant medication discrepancies </w:t>
      </w:r>
      <w:r w:rsidR="00FE6339">
        <w:rPr>
          <w:rFonts w:ascii="Arial" w:hAnsi="Arial" w:cs="Arial"/>
          <w:highlight w:val="yellow"/>
          <w:lang w:val="pt-BR"/>
        </w:rPr>
        <w:fldChar w:fldCharType="begin"/>
      </w:r>
      <w:r w:rsidR="00FE6339">
        <w:rPr>
          <w:rFonts w:ascii="Arial" w:hAnsi="Arial" w:cs="Arial"/>
          <w:highlight w:val="yellow"/>
          <w:lang w:val="pt-BR"/>
        </w:rPr>
        <w:instrText xml:space="preserve"> ADDIN ZOTERO_ITEM CSL_CITATION {"citationID":"rRpQUs00","properties":{"formattedCitation":"(Falconer et al., 2017)","plainCitation":"(Falconer et al., 2017)","noteIndex":0},"citationItems":[{"id":261,"uris":["http://zotero.org/groups/2246203/items/NZMZTMZ7"],"itemData":{"id":261,"type":"article-journal","abstract":"Background Adverse drug events (ADEs) pose a heavy burden on health systems worldwide. The assessment of risk tool (ART) was developed to help prioritise hospitalised patients for interventions such as medication reconciliation (MR) and review, and to reduce potential ADEs from unintentional medication discrepancies and prescribing errors.\nAim To validate ART, and to determine which of the selected 25 flags were significantly associated with risk of unintentional medication discrepancies and prescribing errors.\nMethod This was a prospective observational study of 247 admissions to two medical teams in a New Zealand hospital. Study pharmacists undertook MR and review for all eligible admissions over 5 months. A Kruskal–Wallis test was used to determine differences in numbers of unintentional medication discrepancies and prescribing errors, followed by generalised linear modelling, to find the estimated ratio of the mean number of unintentional medication discrepancies between the three ART groups. In part 2 of the study, using multivariable logistic regression, combinations of flags significantly associated with risk were identified.\nResults Significant differences in the number of unintentional medication discrepancieswere found between the ART risk groups (p&lt;0.0001, Kruskal–Wallis test). Patients in the high-risk group had a significantly greater number of unintentional medication discrepancies than those in the medium- and low-risk groups. There were no significant differences in prescribing errors between the ART risk groups (p=0.08, Kruskal–Wallis test). Flags significantly associated with risk, included ‘more than eight admission medications’, OR=3.7 (95% CI 2.2 to 6.4) and ‘readmission within 30 days’, OR=6.8 (95% CI 3.0 to 15.2), p&lt;0.0001.\nConclusion ART was effective for prioritising patients for interventions such as MR.","container-title":"European Journal of Hospital Pharmacy","DOI":"10.1136/ejhpharm-2016-001165","ISSN":"2047-9956, 2047-9964","issue":"6","journalAbbreviation":"Eur J Hosp Pharm","language":"en","license":"© European Association of Hospital Pharmacists (unless otherwise stated in the text of the article) 2017. All rights reserved. No commercial use is permitted unless otherwise expressly granted.","page":"320-326","source":"ejhp.bmj.com","title":"Validation of the assessment of risk tool: patient prioritisation technology for clinical pharmacist interventions","title-short":"Validation of the assessment of risk tool","volume":"24","author":[{"family":"Falconer","given":"Nazanin"},{"family":"Liow","given":"Doreen"},{"family":"Zeng","given":"Irene"},{"family":"Parsotam","given":"Nirasha"},{"family":"Seddon","given":"Mary"},{"family":"Nand","given":"Sanjoy"}],"issued":{"date-parts":[["2017",11,1]]}}}],"schema":"https://github.com/citation-style-language/schema/raw/master/csl-citation.json"} </w:instrText>
      </w:r>
      <w:r w:rsidR="00FE6339">
        <w:rPr>
          <w:rFonts w:ascii="Arial" w:hAnsi="Arial" w:cs="Arial"/>
          <w:highlight w:val="yellow"/>
          <w:lang w:val="pt-BR"/>
        </w:rPr>
        <w:fldChar w:fldCharType="separate"/>
      </w:r>
      <w:r w:rsidR="00FE6339" w:rsidRPr="00FE6339">
        <w:rPr>
          <w:rFonts w:ascii="Arial" w:hAnsi="Arial" w:cs="Arial"/>
          <w:highlight w:val="yellow"/>
        </w:rPr>
        <w:t>(Falconer et al., 2017)</w:t>
      </w:r>
      <w:r w:rsidR="00FE6339">
        <w:rPr>
          <w:rFonts w:ascii="Arial" w:hAnsi="Arial" w:cs="Arial"/>
          <w:highlight w:val="yellow"/>
          <w:lang w:val="pt-BR"/>
        </w:rPr>
        <w:fldChar w:fldCharType="end"/>
      </w:r>
      <w:r w:rsidRPr="003B664E">
        <w:rPr>
          <w:rFonts w:ascii="Arial" w:hAnsi="Arial" w:cs="Arial"/>
          <w:highlight w:val="yellow"/>
          <w:lang w:val="pt-BR"/>
        </w:rPr>
        <w:t>. These findings further substantiate that the integration of objective scoring systems with the professional judgment of pharmacists improves the precision and clinical significance of medication reconciliation and intervention prioritization. The current approach extends this rationale to infectious illness wards, characterized by highly dynamic pharmacotherapy and fast changing patient situations, hence providing a flexible and adaptable technique to mitigate drug-related harm.</w:t>
      </w:r>
    </w:p>
    <w:p w14:paraId="23BE276A" w14:textId="63EE7E87" w:rsidR="001F7E8E" w:rsidRPr="00243B85" w:rsidRDefault="001F7E8E" w:rsidP="001F7E8E">
      <w:pPr>
        <w:jc w:val="both"/>
        <w:rPr>
          <w:rFonts w:ascii="Arial" w:hAnsi="Arial" w:cs="Arial"/>
        </w:rPr>
      </w:pPr>
      <w:r w:rsidRPr="00243B85">
        <w:rPr>
          <w:rFonts w:ascii="Arial" w:hAnsi="Arial" w:cs="Arial"/>
        </w:rPr>
        <w:t xml:space="preserve">Conventional risk models often claim that increased clinical severity correlates with higher risk of medication-related events </w:t>
      </w:r>
      <w:r w:rsidRPr="00243B85">
        <w:rPr>
          <w:rFonts w:ascii="Arial" w:hAnsi="Arial" w:cs="Arial"/>
        </w:rPr>
        <w:fldChar w:fldCharType="begin"/>
      </w:r>
      <w:r w:rsidR="006F7A63" w:rsidRPr="00243B85">
        <w:rPr>
          <w:rFonts w:ascii="Arial" w:hAnsi="Arial" w:cs="Arial"/>
        </w:rPr>
        <w:instrText xml:space="preserve"> ADDIN ZOTERO_ITEM CSL_CITATION {"citationID":"A4zz54Tw","properties":{"formattedCitation":"(Davies et al., 2009; Panel, 2019; Vincent et al., 1996)","plainCitation":"(Davies et al., 2009; Panel, 2019; Vincent et al., 1996)","noteIndex":0},"citationItems":[{"id":306,"uris":["http://zotero.org/groups/2246203/items/N89GRWPM"],"itemData":{"id":306,"type":"article-journal","abstract":"Adverse drug reactions (ADRs) are a major cause of hospital admissions, but recent data on the incidence and clinical characteristics of ADRs which occur following hospital admission, are lacking. Patients admitted to twelve wards over a sixmonth period in 2005 were assessed for ADRs throughout their admission. Suspected ADRs were recorded and analysed for causality, severity and avoidability and whether they increased the length of stay. Multivariable analysis was undertaken to identify the risk factors for ADRs. The 5% significance level was used when assessing factors for inclusion in multivariable models. Out of the 3695 patient episodes assessed for ADRs, 545 (14.7%, 95% CI 13.6–15.9%) experienced one or more ADRs. Half of ADRs were definitely or possibly avoidable. The patients experiencing ADRs were more likely to be older, female, taking a larger number of medicines, and had a longer length of stay than those without ADRs. However, the only significant predictor of ADRs, from the multivariable analysis of a representative sample of patients, was the number of medicines taken by the patient with each additional medication multiplying the hazard of an ADR episode by 1.14 (95% CI 1.09, 1.20). ADRs directly increased length of stay in 147 (26.8%) patients. The drugs most frequently associated with ADRs were diuretics, opioid analgesics, and anticoagulants. In conclusion, approximately one in seven hospital in-patients experience an ADR, which is a significant cause of morbidity, increasing the length of stay of patients by an average of 0.25 days/patient admission episode. The overall burden of ADRs on hospitals is high, and effective intervention strategies are urgently needed to reduce this burden.","container-title":"PLoS ONE","DOI":"10.1371/journal.pone.0004439","ISSN":"1932-6203","issue":"2","journalAbbreviation":"PLoS ONE","language":"en","page":"e4439","source":"DOI.org (Crossref)","title":"Adverse Drug Reactions in Hospital In-Patients: A Prospective Analysis of 3695 Patient-Episodes","title-short":"Adverse Drug Reactions in Hospital In-Patients","volume":"4","author":[{"family":"Davies","given":"Emma C."},{"family":"Green","given":"Christopher F."},{"family":"Taylor","given":"Stephen"},{"family":"Williamson","given":"Paula R."},{"family":"Mottram","given":"David R."},{"family":"Pirmohamed","given":"Munir"}],"editor":[{"family":"Zanger","given":"Ulrich"}],"issued":{"date-parts":[["2009",2,11]]}}},{"id":1072,"uris":["http://zotero.org/groups/2246203/items/DXXC5RGQ"],"itemData":{"id":1072,"type":"article-journal","abstract":"The American Geriatrics Society (AGS) Beers Criteria® (AGS Beers Criteria®) for Potentially Inappropriate Medication (PIM) Use in Older Adults are widely used by clinicians, educators, researchers, healthcare administrators, and regulators. Since 2011, the AGS has been the steward of the criteria and has produced updates on a 3-year cycle. The AGS Beers Criteria® is an explicit list of PIMs that are typically best avoided by older adults in most circumstances or under specific situations, such as in certain diseases or conditions. For the 2019 update, an interdisciplinary expert panel reviewed the evidence published since the last update (2015) to determine if new criteria should be added or if existing criteria should be removed or undergo changes to their recommendation, rationale, level of evidence, or strength of recommendation. J Am Geriatr Soc 67:674–694, 2019.","container-title":"Journal of the American Geriatrics Society","DOI":"10.1111/jgs.15767","ISSN":"1532-5415","issue":"4","language":"en","license":"© 2019 The American Geriatrics Society","note":"_eprint: https://onlinelibrary.wiley.com/doi/pdf/10.1111/jgs.15767","page":"674-694","source":"Wiley Online Library","title":"American Geriatrics Society 2019 Updated AGS Beers Criteria® for Potentially Inappropriate Medication Use in Older Adults","volume":"67","author":[{"family":"Panel","given":"By the 2019 American Geriatrics Society Beers Criteria® Update Expert"}],"issued":{"date-parts":[["2019"]]}}},{"id":185,"uris":["http://zotero.org/groups/2246203/items/6Q427J55"],"itemData":{"id":185,"type":"article-journal","container-title":"Intensive Care Medicine","DOI":"10.1007/BF01709751","ISSN":"0342-4642, 1432-1238","issue":"7","journalAbbreviation":"Intensive Care Med","language":"en","page":"707-710","source":"DOI.org (Crossref)","title":"The SOFA (Sepsis-related Organ Failure Assessment) score to describe organ dysfunction/failure: On behalf of the Working Group on Sepsis-Related Problems of the European Society of Intensive Care Medicine (see contributors to the project in the appendix)","title-short":"The SOFA (Sepsis-related Organ Failure Assessment) score to describe organ dysfunction/failure","volume":"22","author":[{"family":"Vincent","given":"J. -L."},{"family":"Moreno","given":"R."},{"family":"Takala","given":"J."},{"family":"Willatts","given":"S."},{"family":"De Mendonça","given":"A."},{"family":"Bruining","given":"H."},{"family":"Reinhart","given":"C. K."},{"family":"Suter","given":"P. M."},{"family":"Thijs","given":"L. G."}],"issued":{"date-parts":[["1996",7]]}}}],"schema":"https://github.com/citation-style-language/schema/raw/master/csl-citation.json"} </w:instrText>
      </w:r>
      <w:r w:rsidRPr="00243B85">
        <w:rPr>
          <w:rFonts w:ascii="Arial" w:hAnsi="Arial" w:cs="Arial"/>
        </w:rPr>
        <w:fldChar w:fldCharType="separate"/>
      </w:r>
      <w:r w:rsidRPr="00243B85">
        <w:rPr>
          <w:rFonts w:ascii="Arial" w:hAnsi="Arial" w:cs="Arial"/>
        </w:rPr>
        <w:t>(Davies et al., 2009; Panel, 2019; Vincent et al., 1996)</w:t>
      </w:r>
      <w:r w:rsidRPr="00243B85">
        <w:rPr>
          <w:rFonts w:ascii="Arial" w:hAnsi="Arial" w:cs="Arial"/>
        </w:rPr>
        <w:fldChar w:fldCharType="end"/>
      </w:r>
      <w:r w:rsidRPr="00243B85">
        <w:rPr>
          <w:rFonts w:ascii="Arial" w:hAnsi="Arial" w:cs="Arial"/>
        </w:rPr>
        <w:t xml:space="preserve">. Nonetheless, the behavior seen in our research challenges this notion and suggests that increased PDRI risk in severe patients is probably and mostly due to pharmacological interventions (already controlled for by other variables like potentially dangerous drugs, number of drugs, and drugs through tubes) rather than by patient fragility itself. </w:t>
      </w:r>
      <w:r w:rsidR="00CB601D" w:rsidRPr="00CB601D">
        <w:rPr>
          <w:rFonts w:ascii="Arial" w:hAnsi="Arial" w:cs="Arial"/>
          <w:highlight w:val="yellow"/>
        </w:rPr>
        <w:t>Additionally</w:t>
      </w:r>
      <w:r w:rsidRPr="00243B85">
        <w:rPr>
          <w:rFonts w:ascii="Arial" w:hAnsi="Arial" w:cs="Arial"/>
        </w:rPr>
        <w:t>, it may be the case that in less severe circumstances, the perceived reduced risk may result in less clinical monitoring.</w:t>
      </w:r>
    </w:p>
    <w:p w14:paraId="50FAC674" w14:textId="5729D365" w:rsidR="001F7E8E" w:rsidRPr="00243B85" w:rsidRDefault="001F7E8E" w:rsidP="001F7E8E">
      <w:pPr>
        <w:jc w:val="both"/>
        <w:rPr>
          <w:rFonts w:ascii="Arial" w:hAnsi="Arial" w:cs="Arial"/>
        </w:rPr>
      </w:pPr>
      <w:r w:rsidRPr="00243B85">
        <w:rPr>
          <w:rFonts w:ascii="Arial" w:hAnsi="Arial" w:cs="Arial"/>
        </w:rPr>
        <w:t xml:space="preserve">The analysis of observed PDRI incidence revealed a dynamic pattern throughout hospitalization, showing that the risk of PDRI is not static, but varies according to the patient's hospitalization time, likely related to clinical improvement or worsening. There is evidence of different instruments classifying patients in different risk strata over time </w:t>
      </w:r>
      <w:r w:rsidRPr="00243B85">
        <w:rPr>
          <w:rFonts w:ascii="Arial" w:hAnsi="Arial" w:cs="Arial"/>
        </w:rPr>
        <w:fldChar w:fldCharType="begin"/>
      </w:r>
      <w:r w:rsidR="006F7A63" w:rsidRPr="00243B85">
        <w:rPr>
          <w:rFonts w:ascii="Arial" w:hAnsi="Arial" w:cs="Arial"/>
        </w:rPr>
        <w:instrText xml:space="preserve"> ADDIN ZOTERO_ITEM CSL_CITATION {"citationID":"XDsHKLvE","properties":{"formattedCitation":"(Botelho; Neiva-Pantuzza; Reis, 2025; Dos Santos Barreto et al., 2022)","plainCitation":"(Botelho; Neiva-Pantuzza; Reis, 2025; Dos Santos Barreto et al., 2022)","noteIndex":0},"citationItems":[{"id":1096,"uris":["http://zotero.org/groups/2246203/items/YIMXNKPC","http://zotero.org/groups/2246203/items/75KFUZGY"],"itemData":{"id":1096,"type":"article-journal","abstract":"Aims The aim of this study was to validate and update the risk score originally developed at Hospital de Clínicas de Porto Alegre, verifying its performance in an infectious disease population. Methods This is an observational study with consecutive selection of admission in a ward of participants with infectious diseases. Predictors were age, number of medications, intravenous drugs, potentially dangerous drugs, renal dysfunction, liver dysfunction, use of nasoenteral tube, nasogastric tube, gastrostomy feeding, jejunostomy feeding, oral enteral tube, total parenteral nutrition, cardiac or pulmonary dysfunction and immunosuppression. Outcome was defined as preventable prescription incidents by a clinical pharmacist. A GEE model was fit to make predictions each week. Results A total of 219 patients participated in the study, 79.25% of whom had prescription incidents in the first week of admission. Predictors of the updated model were number of drugs prescribed, number of intravenous drugs, use of tubes, truncated age at 36 years and week of hospitalization. The performance of the original model was poor. The updated model's discrimination and calibration were moderate (overall AUC 0.74). A calculator to apply the model is available at https://pedrobrasil.shinyapps.io/INDWELL/. Conclusion The updated risk score enabled the user to make predictions at admission and throughout the weeks, allowing for a prioritized weekly update for clinical pharmacy intervention. The updated model has a moderate and satisfactory performance for infectious disease patients.","container-title":"British Journal of Clinical Pharmacology","DOI":"10.1111/bcp.15312","ISSN":"1365-2125","issue":"8","language":"en","license":"© 2022 British Pharmacological Society","note":"_eprint: https://onlinelibrary.wiley.com/doi/pdf/10.1111/bcp.15312","page":"3695-3708","source":"Wiley Online Library","title":"Fully independent validation and updating of a clinical pharmacy prioritizing risk score in an infectious disease hospital ward","volume":"88","author":[{"family":"Santos Barreto","given":"Paula Gabriela","non-dropping-particle":"dos"},{"family":"Barbosa Rezende","given":"Renato"},{"family":"Santos","given":"André Luiz","non-dropping-particle":"dos"},{"family":"Oliveira Silva","given":"Fernando","non-dropping-particle":"de"},{"family":"Rodrigues Bezerra Góis","given":"Vanessa"},{"family":"Corsino Freire","given":"Eduardo"},{"family":"Alvarenga Americano do Brasil","given":"Pedro Emmanuel"}],"issued":{"date-parts":[["2022"]]}}},{"id":1095,"uris":["http://zotero.org/groups/2246203/items/84GR5RM9"],"itemData":{"id":1095,"type":"article-journal","abstract":"Objectives: To survey the insertion of patient prioritisation in the current practice of clinical pharmacists at Brazilian hospitals and describe the applicability of patient prioritisation criteria for clinical pharmacy developed in a Delphi study with clinical pharmacists. Methods: This was a cross-sectional, online survey. The authors developed the survey questionnaire based on studies published in the literature. Hospital pharmacists from all over Brazil were invited to participate in the survey. The authors adopted the snowball sampling strategy to replicate the questionnaire on social networks. Results: A total of 149 pharmacists agreed to participate in the survey. In clinical practice, 94 (63.1%) participants used prioritisation criteria to select patients for clinical pharmacy care, and 55 (36.9%) employed prioritisation using an interface with a computerised hospital system. Eighty-nine (74.2%) of the 120 evaluations of criteria/sub criteria assessed regarding their applicability in clinical practice obtained agreement above 70%. Conclusions: Patient prioritisation for clinical pharmacy services is frequently used in the clinical practice of pharmacists participating in the survey. Prioritization of patients for clinical pharmacy services integrated with the hospital’s computerized system is a facilitator for incorporating prioritization into care practice. Information availability and accessible data collection are relevance for criterion be used for patient prioritisation for clinical pharmacy.","container-title":"Journal of Hospital Pharmacy and Health Services","DOI":"10.30968/jhphs.2025.161.1232","ISSN":"2316-7750","issue":"1","language":"en","license":"Copyright (c) 2025 Authors","note":"number: 1","page":"e1232-e1232","source":"jhphs.org","title":"Patient prioritisation in current practice of Brazilian hospital clinical pharmacist: a cross-sectional survey","title-short":"Patient prioritisation in current practice of Brazilian hospital clinical pharmacist","volume":"16","author":[{"family":"Botelho","given":"Stephanie Ferreira"},{"family":"Neiva-Pantuzza","given":"Lais Lessa"},{"family":"Reis","given":"Adriano Max"}],"issued":{"date-parts":[["2025",3,31]]}}}],"schema":"https://github.com/citation-style-language/schema/raw/master/csl-citation.json"} </w:instrText>
      </w:r>
      <w:r w:rsidRPr="00243B85">
        <w:rPr>
          <w:rFonts w:ascii="Arial" w:hAnsi="Arial" w:cs="Arial"/>
        </w:rPr>
        <w:fldChar w:fldCharType="separate"/>
      </w:r>
      <w:r w:rsidRPr="00243B85">
        <w:rPr>
          <w:rFonts w:ascii="Arial" w:hAnsi="Arial" w:cs="Arial"/>
        </w:rPr>
        <w:t>(Botelho; Neiva-Pantuzza; Reis, 2025; Dos Santos Barreto et al., 2022)</w:t>
      </w:r>
      <w:r w:rsidRPr="00243B85">
        <w:rPr>
          <w:rFonts w:ascii="Arial" w:hAnsi="Arial" w:cs="Arial"/>
        </w:rPr>
        <w:fldChar w:fldCharType="end"/>
      </w:r>
      <w:r w:rsidRPr="00243B85">
        <w:rPr>
          <w:rFonts w:ascii="Arial" w:hAnsi="Arial" w:cs="Arial"/>
        </w:rPr>
        <w:t>. There is a nonlinear decrease in the PDRI risk over time, higher in the first week, decreasing in the intermediate weeks, and reducing even more in the final week of observation. This seems intuitive as the first week is usually the most critical period, when most interventions are initiated, and the patient's condition most requires attention. The initial period is characterized by a greater number of therapeutic adjustments, dose adjustments, and introduction of new medications, in addition to the patient's adaptation to initial therapeutic regimens. But it does not mean that complications and new therapies will not happen later during hospitalization.</w:t>
      </w:r>
    </w:p>
    <w:p w14:paraId="3F9C2BC7" w14:textId="344FB5B8" w:rsidR="001F7E8E" w:rsidRPr="00243B85" w:rsidRDefault="001F7E8E" w:rsidP="001F7E8E">
      <w:pPr>
        <w:jc w:val="both"/>
        <w:rPr>
          <w:rFonts w:ascii="Arial" w:hAnsi="Arial" w:cs="Arial"/>
        </w:rPr>
      </w:pPr>
      <w:r w:rsidRPr="00243B85">
        <w:rPr>
          <w:rFonts w:ascii="Arial" w:hAnsi="Arial" w:cs="Arial"/>
        </w:rPr>
        <w:t xml:space="preserve">Unlike other models for predicting adverse drug events or prescription errors, which are based mainly on data collected at hospital admission, the present study follows the entire period of hospitalization, allowing continuous adjustments in risk stratification. Models for predicting adverse drug events at admission only, such as MERIS (Medication Risk Score), EVA (Error Vulnerability Assessment) by </w:t>
      </w:r>
      <w:proofErr w:type="spellStart"/>
      <w:r w:rsidRPr="00243B85">
        <w:rPr>
          <w:rFonts w:ascii="Arial" w:hAnsi="Arial" w:cs="Arial"/>
        </w:rPr>
        <w:t>Saedder</w:t>
      </w:r>
      <w:proofErr w:type="spellEnd"/>
      <w:r w:rsidRPr="00243B85">
        <w:rPr>
          <w:rFonts w:ascii="Arial" w:hAnsi="Arial" w:cs="Arial"/>
        </w:rPr>
        <w:t xml:space="preserve"> et al. </w:t>
      </w:r>
      <w:r w:rsidRPr="00243B85">
        <w:rPr>
          <w:rFonts w:ascii="Arial" w:hAnsi="Arial" w:cs="Arial"/>
        </w:rPr>
        <w:fldChar w:fldCharType="begin"/>
      </w:r>
      <w:r w:rsidR="006F7A63" w:rsidRPr="00243B85">
        <w:rPr>
          <w:rFonts w:ascii="Arial" w:hAnsi="Arial" w:cs="Arial"/>
        </w:rPr>
        <w:instrText xml:space="preserve"> ADDIN ZOTERO_ITEM CSL_CITATION {"citationID":"zsWqktXR","properties":{"formattedCitation":"(Saedder et al., 2016)","plainCitation":"(Saedder et al., 2016)","noteIndex":0},"citationItems":[{"id":1115,"uris":["http://zotero.org/groups/2246203/items/R9ZWHK6K","http://zotero.org/groups/2246203/items/3BANUM7X"],"itemData":{"id":1115,"type":"article-journal","abstract":"Medication errors (MEs) are preventable and can result in patient harm and increased expenses in the healthcare system in terms of hospitalization, prolonged hospitalizations and even death. We aimed to develop a screening tool to detect acutely admitted patients at low or high risk of MEs comprised by items found by literature search and the use of theoretical weighting. Predictive variables used for the development of the risk score were found by the literature search. Three retrospective patient populations and one prospective pilot population were used for modelling. The final risk score was evaluated for precision by the use of sensitivity, specificity and area under the ROC (receiver operating characteristic) curves. The variables used in the final risk score were reduced renal function, the total number of drugs and the risk of individual drugs to cause harm and drug-drug interactions. We found a risk score in the prospective population with an area under the ROC curve of 0.76. The final risk score was found to be quite robust as it showed an area under the ROC curve of 0.87 in a recent patient population, 0.74 in a population of internal medicine and 0.66 in an orthopaedic population. We developed a simple and robust score, MERIS, with the ability to detect patients and divide them according to low and high risk of MEs in a general population admitted at acute admissions unit. The accuracy of the risk score was at least as good as other models reported using multiple regression analysis.","container-title":"Basic &amp; Clinical Pharmacology &amp; Toxicology","DOI":"10.1111/bcpt.12473","ISSN":"1742-7843","issue":"2","journalAbbreviation":"Basic Clin Pharmacol Toxicol","language":"eng","note":"PMID: 26299815","page":"143-149","source":"PubMed","title":"Detection of Patients at High Risk of Medication Errors: Development and Validation of an Algorithm","title-short":"Detection of Patients at High Risk of Medication Errors","volume":"118","author":[{"family":"Saedder","given":"Eva Aggerholm"},{"family":"Lisby","given":"Marianne"},{"family":"Nielsen","given":"Lars Peter"},{"family":"Rungby","given":"Jørgen"},{"family":"Andersen","given":"Ljubica Vukelic"},{"family":"Bonnerup","given":"Dorthe Krogsgaard"},{"family":"Brock","given":"Birgitte"}],"issued":{"date-parts":[["2016",2]]}}}],"schema":"https://github.com/citation-style-language/schema/raw/master/csl-citation.json"} </w:instrText>
      </w:r>
      <w:r w:rsidRPr="00243B85">
        <w:rPr>
          <w:rFonts w:ascii="Arial" w:hAnsi="Arial" w:cs="Arial"/>
        </w:rPr>
        <w:fldChar w:fldCharType="separate"/>
      </w:r>
      <w:r w:rsidRPr="00243B85">
        <w:rPr>
          <w:rFonts w:ascii="Arial" w:hAnsi="Arial" w:cs="Arial"/>
        </w:rPr>
        <w:t>(Saedder et al., 2016)</w:t>
      </w:r>
      <w:r w:rsidRPr="00243B85">
        <w:rPr>
          <w:rFonts w:ascii="Arial" w:hAnsi="Arial" w:cs="Arial"/>
        </w:rPr>
        <w:fldChar w:fldCharType="end"/>
      </w:r>
      <w:r w:rsidRPr="00243B85">
        <w:rPr>
          <w:rFonts w:ascii="Arial" w:hAnsi="Arial" w:cs="Arial"/>
        </w:rPr>
        <w:t xml:space="preserve"> and the IMMS (Improving </w:t>
      </w:r>
      <w:r w:rsidRPr="00243B85">
        <w:rPr>
          <w:rFonts w:ascii="Arial" w:hAnsi="Arial" w:cs="Arial"/>
        </w:rPr>
        <w:lastRenderedPageBreak/>
        <w:t xml:space="preserve">Medication Safety Strategy) by Nguyen et al. </w:t>
      </w:r>
      <w:r w:rsidRPr="00243B85">
        <w:rPr>
          <w:rFonts w:ascii="Arial" w:hAnsi="Arial" w:cs="Arial"/>
        </w:rPr>
        <w:fldChar w:fldCharType="begin"/>
      </w:r>
      <w:r w:rsidR="006F7A63" w:rsidRPr="00243B85">
        <w:rPr>
          <w:rFonts w:ascii="Arial" w:hAnsi="Arial" w:cs="Arial"/>
        </w:rPr>
        <w:instrText xml:space="preserve"> ADDIN ZOTERO_ITEM CSL_CITATION {"citationID":"iRPv2xTS","properties":{"formattedCitation":"(Nguyen et al., 2017)","plainCitation":"(Nguyen et al., 2017)","dontUpdate":true,"noteIndex":0},"citationItems":[{"id":1108,"uris":["http://zotero.org/groups/2246203/items/XCTLQG67","http://zotero.org/groups/2246203/items/AXNPKZGQ"],"itemData":{"id":1108,"type":"article-journal","abstract":"BACKGROUND: Preventive strategies to reduce clinically significant medication errors (MEs), such as medication review, are often limited by human resources. Identifying high-risk patients to allow for appropriate resource allocation is of the utmost importance. To this end, we developed a predictive model to identify high-risk patients and assessed its impact on clinical decision-making.\nMETHODS: From March 1st to April 31st 2014, we conducted a prospective cohort study on adult inpatients of a 1,644-bed University Hospital Centre. After a clinical evaluation of identified MEs, we fitted and internally validated a multivariate logistic model predicting their occurrence. Through 5,000 simulated randomized controlled trials, we compared two clinical decision pathways for intervention: one supported by our model and one based on the criterion of age.\nRESULTS: Among 1,408 patients, 365 (25.9%) experienced at least one clinically significant ME. Eleven variables were identified using multivariable logistic regression and used to build a predictive model which demonstrated fair performance (c-statistic: 0.72). Major predictors were age and number of prescribed drugs. When compared with a decision to treat based on the criterion of age, our model enhanced the interception of potential adverse drug events by 17.5%, with a number needed to treat of 6 patients.\nCONCLUSION: We developed and tested a model predicting the occurrence of clinically significant MEs. Preliminary results suggest that its implementation into clinical practice could be used to focus interventions on high-risk patients. This must be confirmed on an independent set of patients and evaluated through a real clinical impact study.","container-title":"PloS One","DOI":"10.1371/journal.pone.0171995","ISSN":"1932-6203","issue":"2","journalAbbreviation":"PLoS One","language":"eng","note":"PMID: 28192533\nPMCID: PMC5305217","page":"e0171995","source":"PubMed","title":"Improving medication safety: Development and impact of a multivariate model-based strategy to target high-risk patients","title-short":"Improving medication safety","volume":"12","author":[{"family":"Nguyen","given":"Tri-Long"},{"family":"Leguelinel-Blache","given":"Géraldine"},{"family":"Kinowski","given":"Jean-Marie"},{"family":"Roux-Marson","given":"Clarisse"},{"family":"Rougier","given":"Marion"},{"family":"Spence","given":"Jessica"},{"family":"Le Manach","given":"Yannick"},{"family":"Landais","given":"Paul"}],"issued":{"date-parts":[["2017"]]}}}],"schema":"https://github.com/citation-style-language/schema/raw/master/csl-citation.json"} </w:instrText>
      </w:r>
      <w:r w:rsidRPr="00243B85">
        <w:rPr>
          <w:rFonts w:ascii="Arial" w:hAnsi="Arial" w:cs="Arial"/>
        </w:rPr>
        <w:fldChar w:fldCharType="separate"/>
      </w:r>
      <w:r w:rsidRPr="00243B85">
        <w:rPr>
          <w:rFonts w:ascii="Arial" w:hAnsi="Arial" w:cs="Arial"/>
        </w:rPr>
        <w:t>(2017)</w:t>
      </w:r>
      <w:r w:rsidRPr="00243B85">
        <w:rPr>
          <w:rFonts w:ascii="Arial" w:hAnsi="Arial" w:cs="Arial"/>
        </w:rPr>
        <w:fldChar w:fldCharType="end"/>
      </w:r>
      <w:r w:rsidRPr="00243B85">
        <w:rPr>
          <w:rFonts w:ascii="Arial" w:hAnsi="Arial" w:cs="Arial"/>
        </w:rPr>
        <w:t xml:space="preserve"> have limitations regarding the inability to detect the risk dynamic and may lead to wrong prioritization for clinical pharmacy intervention over time. </w:t>
      </w:r>
    </w:p>
    <w:p w14:paraId="654850C0" w14:textId="0B65BCB0" w:rsidR="001F7E8E" w:rsidRPr="00243B85" w:rsidRDefault="001F7E8E" w:rsidP="001F7E8E">
      <w:pPr>
        <w:jc w:val="both"/>
        <w:rPr>
          <w:rFonts w:ascii="Arial" w:hAnsi="Arial" w:cs="Arial"/>
          <w:color w:val="0070C0"/>
        </w:rPr>
      </w:pPr>
      <w:r w:rsidRPr="00243B85">
        <w:rPr>
          <w:rFonts w:ascii="Arial" w:hAnsi="Arial" w:cs="Arial"/>
        </w:rPr>
        <w:t xml:space="preserve">A patient at admission may have lower or higher risk when compared to other admitting patients. This can be observed with any risk instrument. Additionally, patients later at hospitalization may have higher or lower risks than admitting patients and, most importantly, different risks than their own risk at admission. Updating risk estimation is reasonable as risk changes over time. This means that such an approach allows clinical pharmacists to update patients’ intervention priority over hospitalization time if required. Incorporating the dynamics of risk change throughout hospitalization has higher potential to provide pharmaceutical intervention timely and minimize PDRI incidence over time when compared to a given risk at admission only </w:t>
      </w:r>
      <w:r w:rsidRPr="00243B85">
        <w:rPr>
          <w:rFonts w:ascii="Arial" w:hAnsi="Arial" w:cs="Arial"/>
        </w:rPr>
        <w:fldChar w:fldCharType="begin"/>
      </w:r>
      <w:r w:rsidR="006F7A63" w:rsidRPr="00243B85">
        <w:rPr>
          <w:rFonts w:ascii="Arial" w:hAnsi="Arial" w:cs="Arial"/>
        </w:rPr>
        <w:instrText xml:space="preserve"> ADDIN ZOTERO_ITEM CSL_CITATION {"citationID":"xZUSVdA0","properties":{"formattedCitation":"(Yang et al., 2021)","plainCitation":"(Yang et al., 2021)","noteIndex":0},"citationItems":[{"id":1069,"uris":["http://zotero.org/groups/2246203/items/YUI8Q99W"],"itemData":{"id":1069,"type":"article","abstract":"Deep learning is revolutionizing predictive healthcare, including recommending medications to patients with complex health conditions. Existing approaches focus on predicting all medications for the current visit, which often overlaps with medications from previous visits. A more clinically relevant task is to identify medication changes. In this paper, we propose a new recurrent residual network, named MICRON, for medication change prediction. MICRON takes the changes in patient health records as input and learns to update a hidden medication vector and the medication set recurrently with a reconstruction design. The medication vector is like the memory cell that encodes longitudinal information of medications. Unlike traditional methods that require the entire patient history for prediction, MICRON has a residual-based inference that allows for sequential updating based only on new patient features (e.g., new diagnoses in the recent visit) more efficiently. We evaluated MICRON on real inpatient and outpatient datasets. MICRON achieves 3.5% and 7.8% relative improvements over the best baseline in F1 score, respectively. MICRON also requires fewer parameters, which significantly reduces the training time to 38.3s per epoch with 1.5x speed-up.","DOI":"10.48550/arXiv.2105.01876","note":"arXiv:2105.01876 [cs]","number":"arXiv:2105.01876","publisher":"arXiv","source":"arXiv.org","title":"Change Matters: Medication Change Prediction with Recurrent Residual Networks","title-short":"Change Matters","URL":"http://arxiv.org/abs/2105.01876","author":[{"family":"Yang","given":"Chaoqi"},{"family":"Xiao","given":"Cao"},{"family":"Glass","given":"Lucas"},{"family":"Sun","given":"Jimeng"}],"accessed":{"date-parts":[["2025",4,22]]},"issued":{"date-parts":[["2021",5,5]]}}}],"schema":"https://github.com/citation-style-language/schema/raw/master/csl-citation.json"} </w:instrText>
      </w:r>
      <w:r w:rsidRPr="00243B85">
        <w:rPr>
          <w:rFonts w:ascii="Arial" w:hAnsi="Arial" w:cs="Arial"/>
        </w:rPr>
        <w:fldChar w:fldCharType="separate"/>
      </w:r>
      <w:r w:rsidRPr="00243B85">
        <w:rPr>
          <w:rFonts w:ascii="Arial" w:hAnsi="Arial" w:cs="Arial"/>
        </w:rPr>
        <w:t>(Yang et al., 2021)</w:t>
      </w:r>
      <w:r w:rsidRPr="00243B85">
        <w:rPr>
          <w:rFonts w:ascii="Arial" w:hAnsi="Arial" w:cs="Arial"/>
        </w:rPr>
        <w:fldChar w:fldCharType="end"/>
      </w:r>
      <w:r w:rsidRPr="00243B85">
        <w:rPr>
          <w:rFonts w:ascii="Arial" w:hAnsi="Arial" w:cs="Arial"/>
        </w:rPr>
        <w:t>.</w:t>
      </w:r>
    </w:p>
    <w:p w14:paraId="224EBF53" w14:textId="77777777" w:rsidR="001F7E8E" w:rsidRPr="00243B85" w:rsidRDefault="001F7E8E" w:rsidP="001F7E8E">
      <w:pPr>
        <w:jc w:val="both"/>
        <w:rPr>
          <w:rFonts w:ascii="Arial" w:hAnsi="Arial" w:cs="Arial"/>
          <w:color w:val="0070C0"/>
        </w:rPr>
      </w:pPr>
      <w:r w:rsidRPr="00243B85">
        <w:rPr>
          <w:rFonts w:ascii="Arial" w:hAnsi="Arial" w:cs="Arial"/>
        </w:rPr>
        <w:t xml:space="preserve">A notable ability of any evidence-based approach to sort the priority of pharmaceutical intervention is the potential of decreasing rework and the mitigation of preventable mistakes. Implementing a PDRI risk tool is likely to reduce the need for random prescription audits, and prioritizing evaluations based on empirical data. That bottom line, it should increase clinical pharmacy effectiveness, hence </w:t>
      </w:r>
      <w:proofErr w:type="gramStart"/>
      <w:r w:rsidRPr="00243B85">
        <w:rPr>
          <w:rFonts w:ascii="Arial" w:hAnsi="Arial" w:cs="Arial"/>
        </w:rPr>
        <w:t>promoting</w:t>
      </w:r>
      <w:proofErr w:type="gramEnd"/>
      <w:r w:rsidRPr="00243B85">
        <w:rPr>
          <w:rFonts w:ascii="Arial" w:hAnsi="Arial" w:cs="Arial"/>
        </w:rPr>
        <w:t xml:space="preserve"> patient safety and improving hospital outcomes</w:t>
      </w:r>
      <w:r w:rsidRPr="00243B85">
        <w:rPr>
          <w:rFonts w:ascii="Arial" w:hAnsi="Arial" w:cs="Arial"/>
          <w:color w:val="0070C0"/>
        </w:rPr>
        <w:t>.</w:t>
      </w:r>
    </w:p>
    <w:p w14:paraId="420EAA5E" w14:textId="4FC51ECF" w:rsidR="001F7E8E" w:rsidRPr="00243B85" w:rsidRDefault="001F7E8E" w:rsidP="001F7E8E">
      <w:pPr>
        <w:jc w:val="both"/>
        <w:rPr>
          <w:rFonts w:ascii="Arial" w:hAnsi="Arial" w:cs="Arial"/>
        </w:rPr>
      </w:pPr>
      <w:r w:rsidRPr="00243B85">
        <w:rPr>
          <w:rFonts w:ascii="Arial" w:hAnsi="Arial" w:cs="Arial"/>
        </w:rPr>
        <w:t>There are several ways to estimate the number of required clinical pharmacists in a hospital, such as full-time equivalent (FTE)</w:t>
      </w:r>
      <w:r w:rsidRPr="00243B85">
        <w:rPr>
          <w:rFonts w:ascii="Arial" w:hAnsi="Arial" w:cs="Arial"/>
        </w:rPr>
        <w:fldChar w:fldCharType="begin"/>
      </w:r>
      <w:r w:rsidR="006F7A63" w:rsidRPr="00243B85">
        <w:rPr>
          <w:rFonts w:ascii="Arial" w:hAnsi="Arial" w:cs="Arial"/>
        </w:rPr>
        <w:instrText xml:space="preserve"> ADDIN ZOTERO_ITEM CSL_CITATION {"citationID":"6hu0xNpL","properties":{"formattedCitation":"(Lee et al., 2024)","plainCitation":"(Lee et al., 2024)","noteIndex":0},"citationItems":[{"id":1083,"uris":["http://zotero.org/groups/2246203/items/99XV2MKG"],"itemData":{"id":1083,"type":"article-journal","abstract":"After the revision of the Korean Pharmaceutical Affairs Act, the certification of specialized pharmacists is scheduled to be legally recognized in 2023. Considering that the specialized pharmacist certification was developed based on the working model of hospital clinical pharmacists, it is necessary to establish standards for clinical pharmacists in hospitals and to calculate appropriate manpower. Through this study, we aim to establish practical standards for clinical pharmacists and propose a method for calculating staffing levels based on an investigation of actual workloads.","container-title":"BMC Health Services Research","DOI":"10.1186/s12913-023-10530-7","ISSN":"1472-6963","issue":"1","journalAbbreviation":"BMC Health Services Research","page":"118","source":"BioMed Central","title":"Development of service standards and manpower calculation criteria for hospital clinical pharmacies in South Korea: a survey-based study","title-short":"Development of service standards and manpower calculation criteria for hospital clinical pharmacies in South Korea","volume":"24","author":[{"family":"Lee","given":"Mirinae"},{"family":"Kim","given":"Seung-Eun"},{"family":"Jeong","given":"Jee-Hye"},{"family":"Park","given":"Yoon-Hee"},{"family":"Han","given":"Hye-Won"}],"issued":{"date-parts":[["2024",1,22]]}}}],"schema":"https://github.com/citation-style-language/schema/raw/master/csl-citation.json"} </w:instrText>
      </w:r>
      <w:r w:rsidRPr="00243B85">
        <w:rPr>
          <w:rFonts w:ascii="Arial" w:hAnsi="Arial" w:cs="Arial"/>
        </w:rPr>
        <w:fldChar w:fldCharType="separate"/>
      </w:r>
      <w:r w:rsidRPr="00243B85">
        <w:rPr>
          <w:rFonts w:ascii="Arial" w:hAnsi="Arial" w:cs="Arial"/>
        </w:rPr>
        <w:t>(Lee et al., 2024)</w:t>
      </w:r>
      <w:r w:rsidRPr="00243B85">
        <w:rPr>
          <w:rFonts w:ascii="Arial" w:hAnsi="Arial" w:cs="Arial"/>
        </w:rPr>
        <w:fldChar w:fldCharType="end"/>
      </w:r>
      <w:r w:rsidRPr="00243B85">
        <w:rPr>
          <w:rFonts w:ascii="Arial" w:hAnsi="Arial" w:cs="Arial"/>
        </w:rPr>
        <w:t>, Clinical Pharmacy Workforce Calculator (CPWC)</w:t>
      </w:r>
      <w:r w:rsidRPr="00243B85">
        <w:rPr>
          <w:rFonts w:ascii="Arial" w:hAnsi="Arial" w:cs="Arial"/>
        </w:rPr>
        <w:fldChar w:fldCharType="begin"/>
      </w:r>
      <w:r w:rsidR="006F7A63" w:rsidRPr="00243B85">
        <w:rPr>
          <w:rFonts w:ascii="Arial" w:hAnsi="Arial" w:cs="Arial"/>
        </w:rPr>
        <w:instrText xml:space="preserve"> ADDIN ZOTERO_ITEM CSL_CITATION {"citationID":"2o57twSA","properties":{"formattedCitation":"(Bednall et al., 2021)","plainCitation":"(Bednall et al., 2021)","noteIndex":0},"citationItems":[{"id":1067,"uris":["http://zotero.org/groups/2246203/items/A5W4SCS8"],"itemData":{"id":1067,"type":"article-journal","abstract":"Background The benefits of clinical pharmacy services are established within hospital practice but staff numbers required for service delivery are not well described and staffing levels vary. The need for a consistent, objective method of determining staffing levels was recognised at a UK University Hospital and a Clinical Pharmacy Workforce Calculator (CPWC) was developed. Objective To develop the Activity Standard (AS) for pharmaceutical care and establish the reliability of the CPWC across acute hospital settings in UK. Setting Acute hospital in-patient clinical pharmacy services on medical and surgical wards. Method Using the World Health Organisation's Workload Indicators of Staffing Need (WISN) methodology, a two-round Delphi study was undertaken. This developed the Activity Standard for pharmaceutical care and identified the staff-time unavailable for clinical work. Consenting panel members then tested the CPWC, calculating the staff required for three scenarios to determine whether it could be reliably used by different operators. Results Thirty-six participants consented to participate. Data were returned from 22 (61%) of whom 20 (56%) supplied analysable data. Consensus was achieved on the tasks required for pharmaceutical care delivery, the mean time each takes, how frequently they should be completed and the time unavailable for clinical work for each grade of staff. The CPWC calculates staffing requirements using these data. Eleven participants (55%) tested the CPWC and analysis of responses demonstrated that 30 of 33 (91%) calculations were accurately completed. Discussion This study defined the WISN Activity Standard for UK pharmaceutical care delivery to hospital inpatients and showed content validity for the CPWC in acute medical and surgical hospital settings. Different operators used the CPWC reliably and applied it to local sites. Conclusion The CPWC offers hospital pharmacy managers a useful tool to negotiate adequate staffing to deliver pharmaceutical care. Its development methodology could be applied widely in pharmacy practice.","container-title":"International Journal of Clinical Practice","DOI":"10.1111/ijcp.13932","ISSN":"1742-1241","issue":"5","language":"en","license":"© 2021 John Wiley &amp; Sons Ltd","note":"_eprint: https://onlinelibrary.wiley.com/doi/pdf/10.1111/ijcp.13932","page":"e13932","source":"Wiley Online Library","title":"Validation of a hospital clinical pharmacy workforce calculator: A methodology for pharmacy?","title-short":"Validation of a hospital clinical pharmacy workforce calculator","volume":"75","author":[{"family":"Bednall","given":"Ruth"},{"family":"White","given":"Simon"},{"family":"Mills","given":"Elizabeth"},{"family":"Thomson","given":"Susan"}],"issued":{"date-parts":[["2021"]]}}}],"schema":"https://github.com/citation-style-language/schema/raw/master/csl-citation.json"} </w:instrText>
      </w:r>
      <w:r w:rsidRPr="00243B85">
        <w:rPr>
          <w:rFonts w:ascii="Arial" w:hAnsi="Arial" w:cs="Arial"/>
        </w:rPr>
        <w:fldChar w:fldCharType="separate"/>
      </w:r>
      <w:r w:rsidRPr="00243B85">
        <w:rPr>
          <w:rFonts w:ascii="Arial" w:hAnsi="Arial" w:cs="Arial"/>
        </w:rPr>
        <w:t>(Bednall et al., 2021)</w:t>
      </w:r>
      <w:r w:rsidRPr="00243B85">
        <w:rPr>
          <w:rFonts w:ascii="Arial" w:hAnsi="Arial" w:cs="Arial"/>
        </w:rPr>
        <w:fldChar w:fldCharType="end"/>
      </w:r>
      <w:r w:rsidRPr="00243B85">
        <w:rPr>
          <w:rFonts w:ascii="Arial" w:hAnsi="Arial" w:cs="Arial"/>
        </w:rPr>
        <w:t xml:space="preserve">, and patient-to-pharmacist ratios </w:t>
      </w:r>
      <w:r w:rsidRPr="00243B85">
        <w:rPr>
          <w:rFonts w:ascii="Arial" w:hAnsi="Arial" w:cs="Arial"/>
        </w:rPr>
        <w:fldChar w:fldCharType="begin"/>
      </w:r>
      <w:r w:rsidR="006F7A63" w:rsidRPr="00243B85">
        <w:rPr>
          <w:rFonts w:ascii="Arial" w:hAnsi="Arial" w:cs="Arial"/>
        </w:rPr>
        <w:instrText xml:space="preserve"> ADDIN ZOTERO_ITEM CSL_CITATION {"citationID":"3xN7x49r","properties":{"formattedCitation":"(Buckley et al., 2025)","plainCitation":"(Buckley et al., 2025)","noteIndex":0},"citationItems":[{"id":1066,"uris":["http://zotero.org/groups/2246203/items/EVTJHJN6"],"itemData":{"id":1066,"type":"article-journal","abstract":"OBJECTIVES: To evaluate the relationship among ICU patient-to-pharmacist ratio, perceived quality of patient care, and pharmacist burnout.\nDESIGN: A prospective, multicenter, time-motion study conducted over a 10-month period (from May 1, 2022, to February 28, 2023).\nSETTING: Adult ICU, PICU, or neonatal ICU.\nSUBJECTS: ICU clinical pharmacists.\nINTERVENTIONS: None.\nMEASUREMENTS AND MAIN RESULTS: Overall, 128 ICU pharmacists completed 703 unique time-motion observation days and recorded their time associated with direct/indirect patient care activities, Maslach Burnout Inventor survey scores, and perceived quality of patient care provided (5-point Likert scale). Total pharmacist time on direct and indirect patient care activities were 5.9 ± 1.9 and 3.3 ± 1.7 hours per shift, respectively. The number of assigned patients in the ICU and overall (ICU and non-ICU) per shift was 19.3 ± 12.9 and 23.4 ± 17.9, respectively. The overall frequency of pharmacist burnout was 38.1%. Burnout was associated with incremental increases in the number of assigned total patients (odds ratio [OR], 1.03; 95% CI, 1.01-1.05) and overtime worked (OR, 1.18; 95% CI, 1.03-1.35). Higher compared with lower perceived quality of patient care was associated with significantly smaller assigned ICU patients (17.0 ± 7.4 vs. 30.6 ± 23.8, respectively; p &lt; 0.001). Additional direct patient care time allocated per patient was predictive of a high quality of care perception (OR, 1.53; 95% CI, 1.03-2.05). Burnout was inversely associated with high quality of care (OR, 0.59; 95% CI, 0.36-0.96). The ICU patient-to-pharmacist ratio between 16:1 and 19:1 was associated with the highest perceived quality of patient care and comprehensive patient assessment completion rates.\nCONCLUSIONS: Critical care pharmacist practice models across healthcare institutions are inconsistent regarding patient assignments and time allocated toward direct and indirect patient care activities. The ICU patient-to-pharmacist ratio range between 16:1 and 19:1 may optimize quality of care and burnout risk at large academic institutions.","container-title":"Critical Care Medicine","DOI":"10.1097/CCM.0000000000006605","ISSN":"1530-0293","journalAbbreviation":"Crit Care Med","language":"eng","note":"PMID: 40009037","source":"PubMed","title":"ICU Patient-to-Pharmacist Ratios: A Prospective, Multicenter Time-Motion Study","title-short":"ICU Patient-to-Pharmacist Ratios","author":[{"family":"Buckley","given":"Mitchell S."},{"family":"Smith","given":"Susan E."},{"family":"Birriel","given":"Barbara"},{"family":"Radosevich","given":"John J."},{"family":"Dzierba","given":"Amy L."},{"family":"Roberts","given":"Russel J."},{"family":"Barletta","given":"Jeffrey F."},{"family":"Gershengorn","given":"Hayley B."},{"family":"Sikora","given":"Andrea"},{"family":"Peterson","given":"Lars-Kristofer"},{"family":"Bodkin","given":"Ryan"},{"family":"Kaufman","given":"David"},{"family":"Ardiles","given":"Thomas"},{"family":"Uppalapu","given":"Suresh"},{"family":"Tompeck","given":"Allison J."},{"family":"Dabrowski","given":"Paul"},{"family":"Close","given":"Letitia"},{"family":"Brewer","given":"Heidi"},{"family":"Jontz","given":"Ashlee"},{"family":"Downs","given":"Brenda"},{"family":"Cox","given":"Lori A."},{"family":"Alexander","given":"Sheila A."},{"family":"Harrison","given":"Katherine"},{"family":"MacLaren","given":"Robert"},{"literal":"Society of Critical Care Medicine Clinical Pharmacy and Pharmacology Practice Advancement Committee"}],"issued":{"date-parts":[["2025",2,26]]}}}],"schema":"https://github.com/citation-style-language/schema/raw/master/csl-citation.json"} </w:instrText>
      </w:r>
      <w:r w:rsidRPr="00243B85">
        <w:rPr>
          <w:rFonts w:ascii="Arial" w:hAnsi="Arial" w:cs="Arial"/>
        </w:rPr>
        <w:fldChar w:fldCharType="separate"/>
      </w:r>
      <w:r w:rsidRPr="00243B85">
        <w:rPr>
          <w:rFonts w:ascii="Arial" w:hAnsi="Arial" w:cs="Arial"/>
        </w:rPr>
        <w:t>(Buckley et al., 2025)</w:t>
      </w:r>
      <w:r w:rsidRPr="00243B85">
        <w:rPr>
          <w:rFonts w:ascii="Arial" w:hAnsi="Arial" w:cs="Arial"/>
        </w:rPr>
        <w:fldChar w:fldCharType="end"/>
      </w:r>
      <w:r w:rsidRPr="00243B85">
        <w:rPr>
          <w:rFonts w:ascii="Arial" w:hAnsi="Arial" w:cs="Arial"/>
        </w:rPr>
        <w:t xml:space="preserve">. This is a multifaceted approach to workload, essential service tasks, and specific institutional demands. Another potential of an accurate tool to sort patients’ intervention priority is the sizing and distribution of the pharmaceutical team. The continuous identification of patients with the highest risk of PDRI may be a contributing element in the approaches used to distribute professionals in different essential tasks. Instead of allocating professionals to hospital sectors, the allocation would be based on patients in greatest needs, therefore following the idea of matching the pharmaceutical specialists based on patient requirements rather than sectors </w:t>
      </w:r>
      <w:r w:rsidRPr="00243B85">
        <w:rPr>
          <w:rFonts w:ascii="Arial" w:hAnsi="Arial" w:cs="Arial"/>
        </w:rPr>
        <w:fldChar w:fldCharType="begin"/>
      </w:r>
      <w:r w:rsidR="006F7A63" w:rsidRPr="00243B85">
        <w:rPr>
          <w:rFonts w:ascii="Arial" w:hAnsi="Arial" w:cs="Arial"/>
        </w:rPr>
        <w:instrText xml:space="preserve"> ADDIN ZOTERO_ITEM CSL_CITATION {"citationID":"gCNPxLzv","properties":{"formattedCitation":"(Abuzour et al., 2021; \\uc0\\u8220{}Prioritizing Pharmaceutical Activities - Sophie Renet, Cynthia Tanguay, Kevin Hall, Jean-Fran\\uc0\\u231{}ois Bussi\\uc0\\u232{}res, 2013\\uc0\\u8221{}, {\\i{}[S.d.]})","plainCitation":"(Abuzour et al., 2021; “Prioritizing Pharmaceutical Activities - Sophie Renet, Cynthia Tanguay, Kevin Hall, Jean-François Bussières, 2013”, [S.d.])","noteIndex":0},"citationItems":[{"id":1064,"uris":["http://zotero.org/groups/2246203/items/88CYLWZW","http://zotero.org/groups/2246203/items/2RH5CPPF"],"itemData":{"id":1064,"type":"article-journal","abstract":"OBJECTIVES: To survey and explore current approaches to deployment of pharmaceutical care prioritisation tools in acute hospitals in the UK.\nMETHODS: A national online survey was circulated electronically to chief pharmacists of hospitals to determine if they use a prioritisation tool or process. Where such mechanisms exist, respondents were invited to participate in a semistructured telephone interview to explore the development, evaluation and application of their tool and share relevant documentation. Interviews were transcribed and thematically analysed.\nRESULTS: Seventy hospitals (70/130) used a tool or process to prioritise clinical pharmacy services. Thirty-six interviews were conducted, and two were excluded. The majority of tools had been developed in-house. Few hospitals had undertaken formal evaluations of their prioritisation tool. Pharmacy prioritisation tools ranged in complexity and often included a combination of pharmacy service prioritisation, such as medicines reconciliation, and a section to assign an individual patient prioritisation level. Determining the priority of a patient based on the identification of set indicators instilled confidence in pharmacists by ensuring they were not missing high-risk patients. Electronic prioritisation tools were especially useful at retrieving real-time data to prioritise workload, improving workflow and ensuring continuity in patient care. Drawbacks of using prioritisation tools included lack of tool sensitivity across certain specialties and time spent using the tool if not all information was accessible.\nCONCLUSIONS: Prioritisation tools were seen to be useful for prioritising workload and ensuring the right patients are seen at the right time. As few hospitals had formally evaluated their tools, it is important to rigorously and systematically develop an evidence-based prioritisation tool that is both useable and acceptable. Further research to evaluate such tools would be needed to ensure it improves patient health outcomes and efficiency in pharmacy services.","container-title":"European Journal of Hospital Pharmacy: Science and Practice","DOI":"10.1136/ejhpharm-2020-002365","ISSN":"2047-9956","issue":"Suppl 2","journalAbbreviation":"Eur J Hosp Pharm","language":"eng","note":"PMID: 33262131\nPMCID: PMC8640403","page":"e102-e108","source":"PubMed","title":"Patient prioritisation for hospital pharmacy services: current approaches in the UK","title-short":"Patient prioritisation for hospital pharmacy services","volume":"28","author":[{"family":"Abuzour","given":"Aseel S."},{"family":"Hoad-Reddick","given":"Gillian"},{"family":"Shahid","given":"Memona"},{"family":"Steinke","given":"Douglas T."},{"family":"Tully","given":"Mary P."},{"family":"Williams","given":"Steven David"},{"family":"Lewis","given":"Penny J."}],"issued":{"date-parts":[["2021",11]]}}},{"id":1065,"uris":["http://zotero.org/groups/2246203/items/27ZIWNBY"],"itemData":{"id":1065,"type":"webpage","title":"Prioritizing Pharmaceutical Activities - Sophie Renet, Cynthia Tanguay, Kevin Hall, Jean-François Bussières, 2013","URL":"https://journals.sagepub.com/doi/10.1177/0897190012465952","accessed":{"date-parts":[["2025",4,22]]}}}],"schema":"https://github.com/citation-style-language/schema/raw/master/csl-citation.json"} </w:instrText>
      </w:r>
      <w:r w:rsidRPr="00243B85">
        <w:rPr>
          <w:rFonts w:ascii="Arial" w:hAnsi="Arial" w:cs="Arial"/>
        </w:rPr>
        <w:fldChar w:fldCharType="separate"/>
      </w:r>
      <w:r w:rsidRPr="00243B85">
        <w:rPr>
          <w:rFonts w:ascii="Arial" w:hAnsi="Arial" w:cs="Arial"/>
        </w:rPr>
        <w:t xml:space="preserve">(Abuzour et al., 2021; “Prioritizing Pharmaceutical Activities - Sophie Renet, Cynthia Tanguay, Kevin Hall, Jean-François Bussières, 2013”, </w:t>
      </w:r>
      <w:r w:rsidRPr="00243B85">
        <w:rPr>
          <w:rFonts w:ascii="Arial" w:hAnsi="Arial" w:cs="Arial"/>
          <w:i/>
          <w:iCs/>
        </w:rPr>
        <w:t>[S.d.]</w:t>
      </w:r>
      <w:r w:rsidRPr="00243B85">
        <w:rPr>
          <w:rFonts w:ascii="Arial" w:hAnsi="Arial" w:cs="Arial"/>
        </w:rPr>
        <w:t>)</w:t>
      </w:r>
      <w:r w:rsidRPr="00243B85">
        <w:rPr>
          <w:rFonts w:ascii="Arial" w:hAnsi="Arial" w:cs="Arial"/>
        </w:rPr>
        <w:fldChar w:fldCharType="end"/>
      </w:r>
      <w:r w:rsidRPr="00243B85">
        <w:rPr>
          <w:rFonts w:ascii="Arial" w:hAnsi="Arial" w:cs="Arial"/>
        </w:rPr>
        <w:t>.</w:t>
      </w:r>
    </w:p>
    <w:p w14:paraId="47AAC279" w14:textId="53C193C3" w:rsidR="001F7E8E" w:rsidRPr="00243B85" w:rsidRDefault="001F7E8E" w:rsidP="001F7E8E">
      <w:pPr>
        <w:jc w:val="both"/>
        <w:rPr>
          <w:rFonts w:ascii="Arial" w:hAnsi="Arial" w:cs="Arial"/>
        </w:rPr>
      </w:pPr>
      <w:r w:rsidRPr="00243B85">
        <w:rPr>
          <w:rFonts w:ascii="Arial" w:hAnsi="Arial" w:cs="Arial"/>
        </w:rPr>
        <w:t xml:space="preserve">The use of evidence-based prediction instruments enhances the standardization of processes and with the potential to further increase the efficacy of therapies, reducing variability and fostering improved safety in pharmaceutical use. A model may aid in the formulation of clinical protocols grounded on real-life data, enabling the improving pharmacological guidelines to align with the characteristics of the treated patients. </w:t>
      </w:r>
      <w:r w:rsidRPr="00243B85">
        <w:rPr>
          <w:rFonts w:ascii="Arial" w:hAnsi="Arial" w:cs="Arial"/>
        </w:rPr>
        <w:fldChar w:fldCharType="begin"/>
      </w:r>
      <w:r w:rsidR="006F7A63" w:rsidRPr="00243B85">
        <w:rPr>
          <w:rFonts w:ascii="Arial" w:hAnsi="Arial" w:cs="Arial"/>
        </w:rPr>
        <w:instrText xml:space="preserve"> ADDIN ZOTERO_ITEM CSL_CITATION {"citationID":"c1dQp8xR","properties":{"formattedCitation":"(Nguyen et al., 2017)","plainCitation":"(Nguyen et al., 2017)","noteIndex":0},"citationItems":[{"id":1108,"uris":["http://zotero.org/groups/2246203/items/XCTLQG67","http://zotero.org/groups/2246203/items/AXNPKZGQ"],"itemData":{"id":1108,"type":"article-journal","abstract":"BACKGROUND: Preventive strategies to reduce clinically significant medication errors (MEs), such as medication review, are often limited by human resources. Identifying high-risk patients to allow for appropriate resource allocation is of the utmost importance. To this end, we developed a predictive model to identify high-risk patients and assessed its impact on clinical decision-making.\nMETHODS: From March 1st to April 31st 2014, we conducted a prospective cohort study on adult inpatients of a 1,644-bed University Hospital Centre. After a clinical evaluation of identified MEs, we fitted and internally validated a multivariate logistic model predicting their occurrence. Through 5,000 simulated randomized controlled trials, we compared two clinical decision pathways for intervention: one supported by our model and one based on the criterion of age.\nRESULTS: Among 1,408 patients, 365 (25.9%) experienced at least one clinically significant ME. Eleven variables were identified using multivariable logistic regression and used to build a predictive model which demonstrated fair performance (c-statistic: 0.72). Major predictors were age and number of prescribed drugs. When compared with a decision to treat based on the criterion of age, our model enhanced the interception of potential adverse drug events by 17.5%, with a number needed to treat of 6 patients.\nCONCLUSION: We developed and tested a model predicting the occurrence of clinically significant MEs. Preliminary results suggest that its implementation into clinical practice could be used to focus interventions on high-risk patients. This must be confirmed on an independent set of patients and evaluated through a real clinical impact study.","container-title":"PloS One","DOI":"10.1371/journal.pone.0171995","ISSN":"1932-6203","issue":"2","journalAbbreviation":"PLoS One","language":"eng","note":"PMID: 28192533\nPMCID: PMC5305217","page":"e0171995","source":"PubMed","title":"Improving medication safety: Development and impact of a multivariate model-based strategy to target high-risk patients","title-short":"Improving medication safety","volume":"12","author":[{"family":"Nguyen","given":"Tri-Long"},{"family":"Leguelinel-Blache","given":"Géraldine"},{"family":"Kinowski","given":"Jean-Marie"},{"family":"Roux-Marson","given":"Clarisse"},{"family":"Rougier","given":"Marion"},{"family":"Spence","given":"Jessica"},{"family":"Le Manach","given":"Yannick"},{"family":"Landais","given":"Paul"}],"issued":{"date-parts":[["2017"]]}}}],"schema":"https://github.com/citation-style-language/schema/raw/master/csl-citation.json"} </w:instrText>
      </w:r>
      <w:r w:rsidRPr="00243B85">
        <w:rPr>
          <w:rFonts w:ascii="Arial" w:hAnsi="Arial" w:cs="Arial"/>
        </w:rPr>
        <w:fldChar w:fldCharType="separate"/>
      </w:r>
      <w:r w:rsidRPr="00243B85">
        <w:rPr>
          <w:rFonts w:ascii="Arial" w:hAnsi="Arial" w:cs="Arial"/>
        </w:rPr>
        <w:t>(Nguyen et al., 2017)</w:t>
      </w:r>
      <w:r w:rsidRPr="00243B85">
        <w:rPr>
          <w:rFonts w:ascii="Arial" w:hAnsi="Arial" w:cs="Arial"/>
        </w:rPr>
        <w:fldChar w:fldCharType="end"/>
      </w:r>
      <w:r w:rsidRPr="00243B85">
        <w:rPr>
          <w:rFonts w:ascii="Arial" w:hAnsi="Arial" w:cs="Arial"/>
        </w:rPr>
        <w:t>.</w:t>
      </w:r>
    </w:p>
    <w:p w14:paraId="7CF36C20" w14:textId="0B188E45" w:rsidR="001F7E8E" w:rsidRPr="00243B85" w:rsidRDefault="001F7E8E" w:rsidP="001F7E8E">
      <w:pPr>
        <w:jc w:val="both"/>
        <w:rPr>
          <w:rFonts w:ascii="Arial" w:hAnsi="Arial" w:cs="Arial"/>
        </w:rPr>
      </w:pPr>
      <w:r w:rsidRPr="00243B85">
        <w:rPr>
          <w:rFonts w:ascii="Arial" w:hAnsi="Arial" w:cs="Arial"/>
        </w:rPr>
        <w:t xml:space="preserve">As computer use and data science resources become more popular, there is the potential for integrating the model with electronic medical records and automated prescription systems. There is a potential of improving clinical pharmacy actions with real-time danger warnings, facilitating decision-making, enabling swifter and more precise interventions by the medical and pharmaceutical teams. Therefore, there is also an integration potential indirect effect that may help strengthen the culture of patient safety inside healthcare organizations, and promoting adherence to established developed protocols such as by the World Health Organization </w:t>
      </w:r>
      <w:r w:rsidRPr="00243B85">
        <w:rPr>
          <w:rFonts w:ascii="Arial" w:hAnsi="Arial" w:cs="Arial"/>
        </w:rPr>
        <w:fldChar w:fldCharType="begin"/>
      </w:r>
      <w:r w:rsidR="006F7A63" w:rsidRPr="00243B85">
        <w:rPr>
          <w:rFonts w:ascii="Arial" w:hAnsi="Arial" w:cs="Arial"/>
        </w:rPr>
        <w:instrText xml:space="preserve"> ADDIN ZOTERO_ITEM CSL_CITATION {"citationID":"J4sS5gua","properties":{"formattedCitation":"(WHO, 2017)","plainCitation":"(WHO, 2017)","noteIndex":0},"citationItems":[{"id":66,"uris":["http://zotero.org/groups/2246203/items/XQHC9FSR"],"itemData":{"id":66,"type":"document","title":"Medication Without Harm - WHO Global Patient Safety Challenge","URL":"https://seguridaddelpaciente.es/resources/documentos/2021/02/WHO-HIS-SDS-2017.6-eng.pdf","author":[{"literal":"WHO"}],"accessed":{"date-parts":[["2022",11,4]]},"issued":{"date-parts":[["2017"]]}}}],"schema":"https://github.com/citation-style-language/schema/raw/master/csl-citation.json"} </w:instrText>
      </w:r>
      <w:r w:rsidRPr="00243B85">
        <w:rPr>
          <w:rFonts w:ascii="Arial" w:hAnsi="Arial" w:cs="Arial"/>
        </w:rPr>
        <w:fldChar w:fldCharType="separate"/>
      </w:r>
      <w:r w:rsidRPr="00243B85">
        <w:rPr>
          <w:rFonts w:ascii="Arial" w:hAnsi="Arial" w:cs="Arial"/>
        </w:rPr>
        <w:t>(WHO, 2017)</w:t>
      </w:r>
      <w:r w:rsidRPr="00243B85">
        <w:rPr>
          <w:rFonts w:ascii="Arial" w:hAnsi="Arial" w:cs="Arial"/>
        </w:rPr>
        <w:fldChar w:fldCharType="end"/>
      </w:r>
      <w:r w:rsidRPr="00243B85">
        <w:rPr>
          <w:rFonts w:ascii="Arial" w:hAnsi="Arial" w:cs="Arial"/>
        </w:rPr>
        <w:t xml:space="preserve">, the Institute for Healthcare Improvement (IHI) </w:t>
      </w:r>
      <w:r w:rsidRPr="00243B85">
        <w:rPr>
          <w:rFonts w:ascii="Arial" w:hAnsi="Arial" w:cs="Arial"/>
        </w:rPr>
        <w:fldChar w:fldCharType="begin"/>
      </w:r>
      <w:r w:rsidR="006F7A63" w:rsidRPr="00243B85">
        <w:rPr>
          <w:rFonts w:ascii="Arial" w:hAnsi="Arial" w:cs="Arial"/>
        </w:rPr>
        <w:instrText xml:space="preserve"> ADDIN ZOTERO_ITEM CSL_CITATION {"citationID":"thWxatQx","properties":{"formattedCitation":"(Me, 2019)","plainCitation":"(Me, 2019)","noteIndex":0},"citationItems":[{"id":1093,"uris":["http://zotero.org/groups/2246203/items/3UIHHJDS"],"itemData":{"id":1093,"type":"article-journal","language":"en","source":"Zotero","title":"Patient Safety Essentials Toolkit:","author":[{"family":"Me","given":"Ask"}],"issued":{"date-parts":[["2019"]]}}}],"schema":"https://github.com/citation-style-language/schema/raw/master/csl-citation.json"} </w:instrText>
      </w:r>
      <w:r w:rsidRPr="00243B85">
        <w:rPr>
          <w:rFonts w:ascii="Arial" w:hAnsi="Arial" w:cs="Arial"/>
        </w:rPr>
        <w:fldChar w:fldCharType="separate"/>
      </w:r>
      <w:r w:rsidRPr="00243B85">
        <w:rPr>
          <w:rFonts w:ascii="Arial" w:hAnsi="Arial" w:cs="Arial"/>
        </w:rPr>
        <w:t>(Me, 2019)</w:t>
      </w:r>
      <w:r w:rsidRPr="00243B85">
        <w:rPr>
          <w:rFonts w:ascii="Arial" w:hAnsi="Arial" w:cs="Arial"/>
        </w:rPr>
        <w:fldChar w:fldCharType="end"/>
      </w:r>
      <w:r w:rsidRPr="00243B85">
        <w:rPr>
          <w:rFonts w:ascii="Arial" w:hAnsi="Arial" w:cs="Arial"/>
        </w:rPr>
        <w:t xml:space="preserve">, the Brazilian Ministry of Health </w:t>
      </w:r>
      <w:r w:rsidRPr="00243B85">
        <w:rPr>
          <w:rFonts w:ascii="Arial" w:hAnsi="Arial" w:cs="Arial"/>
        </w:rPr>
        <w:fldChar w:fldCharType="begin"/>
      </w:r>
      <w:r w:rsidR="006F7A63" w:rsidRPr="00243B85">
        <w:rPr>
          <w:rFonts w:ascii="Arial" w:hAnsi="Arial" w:cs="Arial"/>
        </w:rPr>
        <w:instrText xml:space="preserve"> ADDIN ZOTERO_ITEM CSL_CITATION {"citationID":"crVYHYW0","properties":{"formattedCitation":"(Brasil a, 2013)","plainCitation":"(Brasil a, 2013)","noteIndex":0},"citationItems":[{"id":126,"uris":["http://zotero.org/groups/2246203/items/SVPJGPAQ"],"itemData":{"id":126,"type":"webpage","abstract":"Institui o Programa Nacional de Segurança do Paciente (PNSP)","container-title":"Ministério da Saúde","language":"Portugês","title":"PORTARIA Nº 529, DE 1º DE ABRIL DE 2013","URL":"https://bvsms.saude.gov.br/bvs/saudelegis/gm/2013/prt0529_01_04_2013.html","author":[{"literal":"Brasil a"}],"accessed":{"date-parts":[["2021",11,10]]},"issued":{"date-parts":[["2013"]]}}}],"schema":"https://github.com/citation-style-language/schema/raw/master/csl-citation.json"} </w:instrText>
      </w:r>
      <w:r w:rsidRPr="00243B85">
        <w:rPr>
          <w:rFonts w:ascii="Arial" w:hAnsi="Arial" w:cs="Arial"/>
        </w:rPr>
        <w:fldChar w:fldCharType="separate"/>
      </w:r>
      <w:r w:rsidRPr="00243B85">
        <w:rPr>
          <w:rFonts w:ascii="Arial" w:hAnsi="Arial" w:cs="Arial"/>
        </w:rPr>
        <w:t>(Brasil a, 2013)</w:t>
      </w:r>
      <w:r w:rsidRPr="00243B85">
        <w:rPr>
          <w:rFonts w:ascii="Arial" w:hAnsi="Arial" w:cs="Arial"/>
        </w:rPr>
        <w:fldChar w:fldCharType="end"/>
      </w:r>
      <w:r w:rsidRPr="00243B85">
        <w:rPr>
          <w:rFonts w:ascii="Arial" w:hAnsi="Arial" w:cs="Arial"/>
        </w:rPr>
        <w:t xml:space="preserve">, and ANVISA </w:t>
      </w:r>
      <w:r w:rsidRPr="00243B85">
        <w:rPr>
          <w:rFonts w:ascii="Arial" w:hAnsi="Arial" w:cs="Arial"/>
        </w:rPr>
        <w:fldChar w:fldCharType="begin"/>
      </w:r>
      <w:r w:rsidR="006F7A63" w:rsidRPr="00243B85">
        <w:rPr>
          <w:rFonts w:ascii="Arial" w:hAnsi="Arial" w:cs="Arial"/>
        </w:rPr>
        <w:instrText xml:space="preserve"> ADDIN ZOTERO_ITEM CSL_CITATION {"citationID":"dpw4Pf39","properties":{"formattedCitation":"(Brazil, 2013)","plainCitation":"(Brazil, 2013)","noteIndex":0},"citationItems":[{"id":69,"uris":["http://zotero.org/groups/2246203/items/Q3C2ZB9H"],"itemData":{"id":69,"type":"webpage","abstract":"Institui ações para a segurança do paciente em serviços de saúde e dá outras providências.","title":"RESOLUÇÃO - RDC Nº 36, DE 25 DE JULHO DE 2013","URL":"https://bvsms.saude.gov.br/bvs/saudelegis/anvisa/2013/rdc0036_25_07_2013.html","author":[{"literal":"Brazil"}],"accessed":{"date-parts":[["2022",11,4]]},"issued":{"date-parts":[["2013"]]}}}],"schema":"https://github.com/citation-style-language/schema/raw/master/csl-citation.json"} </w:instrText>
      </w:r>
      <w:r w:rsidRPr="00243B85">
        <w:rPr>
          <w:rFonts w:ascii="Arial" w:hAnsi="Arial" w:cs="Arial"/>
        </w:rPr>
        <w:fldChar w:fldCharType="separate"/>
      </w:r>
      <w:r w:rsidRPr="00243B85">
        <w:rPr>
          <w:rFonts w:ascii="Arial" w:hAnsi="Arial" w:cs="Arial"/>
        </w:rPr>
        <w:t>(Brazil, 2013)</w:t>
      </w:r>
      <w:r w:rsidRPr="00243B85">
        <w:rPr>
          <w:rFonts w:ascii="Arial" w:hAnsi="Arial" w:cs="Arial"/>
        </w:rPr>
        <w:fldChar w:fldCharType="end"/>
      </w:r>
      <w:r w:rsidRPr="00243B85">
        <w:rPr>
          <w:rFonts w:ascii="Arial" w:hAnsi="Arial" w:cs="Arial"/>
        </w:rPr>
        <w:t xml:space="preserve">. </w:t>
      </w:r>
    </w:p>
    <w:p w14:paraId="21881577" w14:textId="77777777" w:rsidR="001F7E8E" w:rsidRDefault="001F7E8E" w:rsidP="001F7E8E">
      <w:pPr>
        <w:jc w:val="both"/>
        <w:rPr>
          <w:rFonts w:ascii="Arial" w:hAnsi="Arial" w:cs="Arial"/>
        </w:rPr>
      </w:pPr>
      <w:r w:rsidRPr="00243B85">
        <w:rPr>
          <w:rFonts w:ascii="Arial" w:hAnsi="Arial" w:cs="Arial"/>
        </w:rPr>
        <w:t>There is consistent data showing clinical pharmacy intervention benefits, such as decreasing costs and improving clinical outcomes. Adding tools to optimize clinical pharmacists’ actions has the potential to boost these effects, increasing the hospital services' ability to prevent unwanted events and enhance the patient experience during hospitalization.</w:t>
      </w:r>
    </w:p>
    <w:p w14:paraId="70BA32BC" w14:textId="192D1DE7" w:rsidR="00D9772C" w:rsidRPr="00243B85" w:rsidRDefault="00D9772C" w:rsidP="001F7E8E">
      <w:pPr>
        <w:jc w:val="both"/>
        <w:rPr>
          <w:rFonts w:ascii="Arial" w:hAnsi="Arial" w:cs="Arial"/>
        </w:rPr>
      </w:pPr>
      <w:r w:rsidRPr="00D9772C">
        <w:rPr>
          <w:rFonts w:ascii="Arial" w:hAnsi="Arial" w:cs="Arial"/>
          <w:highlight w:val="yellow"/>
        </w:rPr>
        <w:t xml:space="preserve">Although this model was developed and validated exclusively in adults, its underlying concept — the dynamic adjustment of risk prediction over time — could also have important implications for pediatric populations. Children hospitalized with infectious diseases are often exposed to complex antimicrobial regimens and experience rapid physiological changes that may alter drug pharmacokinetics and pharmacodynamics. A similar approach, adapted to pediatric characteristics and dosing complexities, could help identify children at greater risk </w:t>
      </w:r>
      <w:r w:rsidRPr="00D9772C">
        <w:rPr>
          <w:rFonts w:ascii="Arial" w:hAnsi="Arial" w:cs="Arial"/>
          <w:highlight w:val="yellow"/>
        </w:rPr>
        <w:lastRenderedPageBreak/>
        <w:t>for preventable drug-related incidents and support safer therapeutic management. Future studies focusing on pediatric cohorts could explore the feasibility and predictive performance of this dynamic model in that context.</w:t>
      </w:r>
    </w:p>
    <w:p w14:paraId="7CAC4A39" w14:textId="77777777" w:rsidR="001F7E8E" w:rsidRDefault="001F7E8E" w:rsidP="001F7E8E">
      <w:pPr>
        <w:spacing w:line="360" w:lineRule="auto"/>
        <w:jc w:val="both"/>
        <w:rPr>
          <w:rFonts w:ascii="Arial" w:hAnsi="Arial" w:cs="Arial"/>
          <w:sz w:val="22"/>
          <w:szCs w:val="22"/>
        </w:rPr>
      </w:pPr>
    </w:p>
    <w:p w14:paraId="7712F939" w14:textId="77777777" w:rsidR="00A00E62" w:rsidRPr="00DD08F0" w:rsidRDefault="00A00E62" w:rsidP="001F7E8E">
      <w:pPr>
        <w:spacing w:line="360" w:lineRule="auto"/>
        <w:jc w:val="both"/>
        <w:rPr>
          <w:rFonts w:ascii="Arial" w:hAnsi="Arial" w:cs="Arial"/>
          <w:sz w:val="22"/>
          <w:szCs w:val="22"/>
        </w:rPr>
      </w:pPr>
    </w:p>
    <w:p w14:paraId="2DEFF51F" w14:textId="77777777" w:rsidR="00A00E62" w:rsidRPr="00243B85" w:rsidRDefault="00A00E62" w:rsidP="00A00E62">
      <w:pPr>
        <w:rPr>
          <w:rFonts w:ascii="Arial" w:hAnsi="Arial" w:cs="Arial"/>
          <w:b/>
          <w:bCs/>
          <w:lang w:val="pt-BR"/>
        </w:rPr>
      </w:pPr>
      <w:r w:rsidRPr="00243B85">
        <w:rPr>
          <w:rFonts w:ascii="Arial" w:hAnsi="Arial" w:cs="Arial"/>
          <w:b/>
          <w:bCs/>
        </w:rPr>
        <w:t>3.3 Limitations</w:t>
      </w:r>
      <w:r w:rsidRPr="00243B85">
        <w:rPr>
          <w:rFonts w:ascii="Arial" w:hAnsi="Arial" w:cs="Arial"/>
          <w:b/>
          <w:bCs/>
          <w:lang w:val="pt-BR"/>
        </w:rPr>
        <w:t> </w:t>
      </w:r>
    </w:p>
    <w:p w14:paraId="699B7203" w14:textId="77777777" w:rsidR="00A00E62" w:rsidRPr="00DD08F0" w:rsidRDefault="00A00E62" w:rsidP="00A00E62">
      <w:pPr>
        <w:rPr>
          <w:rFonts w:ascii="Arial" w:hAnsi="Arial" w:cs="Arial"/>
          <w:b/>
          <w:bCs/>
          <w:sz w:val="22"/>
          <w:szCs w:val="22"/>
          <w:lang w:val="pt-BR"/>
        </w:rPr>
      </w:pPr>
    </w:p>
    <w:p w14:paraId="0B71CF6F" w14:textId="77777777" w:rsidR="00A00E62" w:rsidRPr="00243B85" w:rsidRDefault="00A00E62" w:rsidP="00A00E62">
      <w:pPr>
        <w:jc w:val="both"/>
        <w:rPr>
          <w:rFonts w:ascii="Arial" w:hAnsi="Arial" w:cs="Arial"/>
        </w:rPr>
      </w:pPr>
      <w:r w:rsidRPr="00243B85">
        <w:rPr>
          <w:rFonts w:ascii="Arial" w:hAnsi="Arial" w:cs="Arial"/>
        </w:rPr>
        <w:t xml:space="preserve">This study's primary weakness is its smaller-than-ideal sample size. The COVID-19 pandemic caused registration to end early, despite the initial plan for a sample size of roughly 550 participants. The risk estimations may be inaccurate with a sample size that is less than half of the initial design, particularly when those predictors were less common in the sample. </w:t>
      </w:r>
    </w:p>
    <w:p w14:paraId="282F8FD8" w14:textId="77777777" w:rsidR="00A00E62" w:rsidRPr="00243B85" w:rsidRDefault="00A00E62" w:rsidP="00A00E62">
      <w:pPr>
        <w:jc w:val="both"/>
        <w:rPr>
          <w:rFonts w:ascii="Arial" w:hAnsi="Arial" w:cs="Arial"/>
        </w:rPr>
      </w:pPr>
      <w:r w:rsidRPr="00243B85">
        <w:rPr>
          <w:rFonts w:ascii="Arial" w:hAnsi="Arial" w:cs="Arial"/>
        </w:rPr>
        <w:t>In addition, external validation is usually required and allows a higher degree of certainty that performance travels across populations. In different regions, different clinical characteristics and settings may vary in prevalence, such as antimicrobial resistance and prescribing patterns. External validation would also allow model update to adjust the model to these contexts, allowing it to assign different weights to different variables, improving its performance for a particular setting.</w:t>
      </w:r>
    </w:p>
    <w:p w14:paraId="43AE25FD" w14:textId="44C567F0" w:rsidR="00A00E62" w:rsidRPr="00243B85" w:rsidRDefault="00A00E62" w:rsidP="00A00E62">
      <w:pPr>
        <w:jc w:val="both"/>
        <w:rPr>
          <w:rFonts w:ascii="Arial" w:hAnsi="Arial" w:cs="Arial"/>
        </w:rPr>
      </w:pPr>
      <w:r w:rsidRPr="00243B85">
        <w:rPr>
          <w:rFonts w:ascii="Arial" w:hAnsi="Arial" w:cs="Arial"/>
        </w:rPr>
        <w:t xml:space="preserve">There are some challenges in the implementation of such a tool in a hospital. Hospital infrastructure, especially IT (Information Technology), as predictive technologies require data science expertise. In many health services, especially those that are smaller or linked to public networks, there is still a lack of structured electronic medical records, contracted </w:t>
      </w:r>
      <w:proofErr w:type="spellStart"/>
      <w:r w:rsidRPr="00243B85">
        <w:rPr>
          <w:rFonts w:ascii="Arial" w:hAnsi="Arial" w:cs="Arial"/>
        </w:rPr>
        <w:t>softwares</w:t>
      </w:r>
      <w:proofErr w:type="spellEnd"/>
      <w:r w:rsidRPr="00243B85">
        <w:rPr>
          <w:rFonts w:ascii="Arial" w:hAnsi="Arial" w:cs="Arial"/>
        </w:rPr>
        <w:t xml:space="preserve"> that does not allow customization or plug-ins. </w:t>
      </w:r>
      <w:r w:rsidR="00CB601D" w:rsidRPr="00CB601D">
        <w:rPr>
          <w:rFonts w:ascii="Arial" w:hAnsi="Arial" w:cs="Arial"/>
          <w:highlight w:val="yellow"/>
        </w:rPr>
        <w:t>Taken together</w:t>
      </w:r>
      <w:r w:rsidRPr="00243B85">
        <w:rPr>
          <w:rFonts w:ascii="Arial" w:hAnsi="Arial" w:cs="Arial"/>
        </w:rPr>
        <w:t xml:space="preserve">, even in institutions that have electronic information systems, a recurring problem is the lack of integration between their different modules, causing information on prescriptions, clinical progress, and laboratory tests to be fragmented in systems that do not communicate with each other. </w:t>
      </w:r>
    </w:p>
    <w:p w14:paraId="0AF4308F" w14:textId="77777777" w:rsidR="00A00E62" w:rsidRPr="00243B85" w:rsidRDefault="00A00E62" w:rsidP="00A00E62">
      <w:pPr>
        <w:jc w:val="both"/>
        <w:rPr>
          <w:rFonts w:ascii="Arial" w:hAnsi="Arial" w:cs="Arial"/>
          <w:lang w:val="pt-BR"/>
        </w:rPr>
      </w:pPr>
      <w:r w:rsidRPr="00243B85">
        <w:rPr>
          <w:rFonts w:ascii="Arial" w:hAnsi="Arial" w:cs="Arial"/>
        </w:rPr>
        <w:t>Training the multidisciplinary team is another determinant for the successful implementation of the model. The interpretation of predictions generated by algorithms cannot be done in isolation; clinical pharmacists, physicians, and nurses must understand how to use this information to optimize their clinical decisions. Resistance to the use of predictive technology is a prevalent difficulty, particularly among professionals who are less acquainted with analytical tools.</w:t>
      </w:r>
    </w:p>
    <w:p w14:paraId="174F3024" w14:textId="77777777" w:rsidR="00E15D09" w:rsidRPr="00DD08F0" w:rsidRDefault="00E15D09" w:rsidP="00E15D09">
      <w:pPr>
        <w:rPr>
          <w:rFonts w:ascii="Arial" w:hAnsi="Arial" w:cs="Arial"/>
          <w:sz w:val="22"/>
          <w:szCs w:val="22"/>
          <w:lang w:val="pt-BR"/>
        </w:rPr>
      </w:pPr>
    </w:p>
    <w:p w14:paraId="07C4F24B" w14:textId="77777777" w:rsidR="00E15D09" w:rsidRPr="00DD08F0" w:rsidRDefault="00E15D09" w:rsidP="00E15D09">
      <w:pPr>
        <w:jc w:val="both"/>
        <w:rPr>
          <w:rFonts w:ascii="Arial" w:hAnsi="Arial" w:cs="Arial"/>
          <w:sz w:val="22"/>
          <w:szCs w:val="22"/>
          <w:lang w:val="pt-BR"/>
        </w:rPr>
      </w:pPr>
    </w:p>
    <w:p w14:paraId="5982E639" w14:textId="74B2BB36" w:rsidR="00790ADA" w:rsidRPr="00DD08F0" w:rsidRDefault="005C786F" w:rsidP="00E15D09">
      <w:pPr>
        <w:rPr>
          <w:rFonts w:ascii="Arial" w:hAnsi="Arial" w:cs="Arial"/>
          <w:sz w:val="22"/>
          <w:szCs w:val="22"/>
          <w:lang w:val="pt-BR"/>
        </w:rPr>
      </w:pPr>
      <w:r w:rsidRPr="00DD08F0">
        <w:rPr>
          <w:rFonts w:ascii="Arial" w:hAnsi="Arial" w:cs="Arial"/>
          <w:sz w:val="22"/>
          <w:szCs w:val="22"/>
          <w:lang w:val="pt-BR"/>
        </w:rPr>
        <w:br w:type="page"/>
      </w:r>
    </w:p>
    <w:p w14:paraId="0DC6EBF5" w14:textId="0FCEDFC7" w:rsidR="00B01FCD" w:rsidRPr="00DD08F0" w:rsidRDefault="00000F8F" w:rsidP="00441B6F">
      <w:pPr>
        <w:pStyle w:val="ConcHead"/>
        <w:spacing w:after="0"/>
        <w:jc w:val="both"/>
        <w:rPr>
          <w:rFonts w:ascii="Arial" w:hAnsi="Arial" w:cs="Arial"/>
          <w:szCs w:val="22"/>
        </w:rPr>
      </w:pPr>
      <w:r w:rsidRPr="00DD08F0">
        <w:rPr>
          <w:rFonts w:ascii="Arial" w:hAnsi="Arial" w:cs="Arial"/>
          <w:szCs w:val="22"/>
        </w:rPr>
        <w:lastRenderedPageBreak/>
        <w:t xml:space="preserve">4. </w:t>
      </w:r>
      <w:r w:rsidR="006F7A63" w:rsidRPr="00FB3A86">
        <w:rPr>
          <w:rFonts w:ascii="Arial" w:hAnsi="Arial" w:cs="Arial"/>
        </w:rPr>
        <w:t>Conclusion</w:t>
      </w:r>
    </w:p>
    <w:p w14:paraId="2356C1EA" w14:textId="77777777" w:rsidR="00790ADA" w:rsidRPr="00DD08F0" w:rsidRDefault="00790ADA" w:rsidP="00441B6F">
      <w:pPr>
        <w:pStyle w:val="ConcHead"/>
        <w:spacing w:after="0"/>
        <w:jc w:val="both"/>
        <w:rPr>
          <w:rFonts w:ascii="Arial" w:hAnsi="Arial" w:cs="Arial"/>
          <w:szCs w:val="22"/>
        </w:rPr>
      </w:pPr>
    </w:p>
    <w:p w14:paraId="6FA5E9C0" w14:textId="77777777" w:rsidR="00BF54B3" w:rsidRPr="00BF54B3" w:rsidRDefault="00BF54B3" w:rsidP="00BF54B3">
      <w:pPr>
        <w:pStyle w:val="Body"/>
        <w:rPr>
          <w:rFonts w:ascii="Arial" w:hAnsi="Arial" w:cs="Arial"/>
          <w:highlight w:val="yellow"/>
          <w:lang w:val="pt-BR"/>
        </w:rPr>
      </w:pPr>
      <w:r w:rsidRPr="00BF54B3">
        <w:rPr>
          <w:rFonts w:ascii="Arial" w:hAnsi="Arial" w:cs="Arial"/>
          <w:highlight w:val="yellow"/>
          <w:lang w:val="pt-BR"/>
        </w:rPr>
        <w:t>The clinical prediction model proposed in this study proved to be a reliable and dynamic instrument for identifying inpatients with infectious diseases who are at greater risk of experiencing preventable drug-related incidents. By continuously adapting to changes in patients’ clinical conditions, it provides a practical framework for supporting clinical pharmacists in decision-making and in the rational allocation of care efforts, especially in hospital environments where therapeutic complexity and workload are high.</w:t>
      </w:r>
    </w:p>
    <w:p w14:paraId="4B054D0E" w14:textId="77777777" w:rsidR="00BF54B3" w:rsidRPr="00BF54B3" w:rsidRDefault="00BF54B3" w:rsidP="00BF54B3">
      <w:pPr>
        <w:pStyle w:val="Body"/>
        <w:rPr>
          <w:rFonts w:ascii="Arial" w:hAnsi="Arial" w:cs="Arial"/>
          <w:highlight w:val="yellow"/>
          <w:lang w:val="pt-BR"/>
        </w:rPr>
      </w:pPr>
      <w:r w:rsidRPr="00BF54B3">
        <w:rPr>
          <w:rFonts w:ascii="Arial" w:hAnsi="Arial" w:cs="Arial"/>
          <w:highlight w:val="yellow"/>
          <w:lang w:val="pt-BR"/>
        </w:rPr>
        <w:t>The findings strengthen the evidence that structured, pharmacist-led approaches are essential to minimize medication-related harm and to enhance patient safety in infectious disease settings. Nevertheless, external validation in independent cohorts is still required to confirm the model’s reproducibility and to refine its performance in different healthcare contexts. Future studies should explore its integration with electronic health record systems and assess its adaptability to pediatric or outpatient populations, where risk dynamics may differ.</w:t>
      </w:r>
    </w:p>
    <w:p w14:paraId="2569F7EA" w14:textId="77777777" w:rsidR="00BF54B3" w:rsidRPr="00BF54B3" w:rsidRDefault="00BF54B3" w:rsidP="00BF54B3">
      <w:pPr>
        <w:pStyle w:val="Body"/>
        <w:rPr>
          <w:rFonts w:ascii="Arial" w:hAnsi="Arial" w:cs="Arial"/>
          <w:lang w:val="pt-BR"/>
        </w:rPr>
      </w:pPr>
      <w:r w:rsidRPr="00BF54B3">
        <w:rPr>
          <w:rFonts w:ascii="Arial" w:hAnsi="Arial" w:cs="Arial"/>
          <w:highlight w:val="yellow"/>
          <w:lang w:val="pt-BR"/>
        </w:rPr>
        <w:t>Overall, this work contributes to the advancement of pharmaceutical risk management by combining clinical reasoning with predictive modeling. It reinforces the central role of clinical pharmacists in the multidisciplinary team and provides a tangible step toward safer and more effective pharmacotherapy in infectious disease care.</w:t>
      </w:r>
    </w:p>
    <w:p w14:paraId="20A7353A" w14:textId="1E604E3B" w:rsidR="00E15D09" w:rsidRDefault="00E15D09" w:rsidP="00E15D09">
      <w:pPr>
        <w:pStyle w:val="Body"/>
        <w:rPr>
          <w:rFonts w:ascii="Arial" w:hAnsi="Arial" w:cs="Arial"/>
        </w:rPr>
      </w:pPr>
    </w:p>
    <w:p w14:paraId="664B665B" w14:textId="77777777" w:rsidR="008B2505" w:rsidRPr="00243B85" w:rsidRDefault="008B2505" w:rsidP="00E15D09">
      <w:pPr>
        <w:pStyle w:val="Body"/>
        <w:rPr>
          <w:rFonts w:ascii="Arial" w:hAnsi="Arial" w:cs="Arial"/>
          <w:lang w:val="pt-BR"/>
        </w:rPr>
      </w:pPr>
    </w:p>
    <w:p w14:paraId="6BB182FD" w14:textId="77777777" w:rsidR="002B685A" w:rsidRPr="00DD08F0" w:rsidRDefault="002B685A" w:rsidP="00441B6F">
      <w:pPr>
        <w:pStyle w:val="ReferHead"/>
        <w:spacing w:after="0"/>
        <w:jc w:val="both"/>
        <w:rPr>
          <w:rFonts w:ascii="Arial" w:hAnsi="Arial" w:cs="Arial"/>
          <w:b w:val="0"/>
          <w:caps w:val="0"/>
          <w:szCs w:val="22"/>
        </w:rPr>
      </w:pPr>
    </w:p>
    <w:p w14:paraId="13FB0731" w14:textId="75A82013" w:rsidR="002B685A" w:rsidRPr="00DD08F0" w:rsidRDefault="00ED77F5" w:rsidP="00441B6F">
      <w:pPr>
        <w:pStyle w:val="ReferHead"/>
        <w:spacing w:after="0"/>
        <w:jc w:val="both"/>
        <w:rPr>
          <w:rFonts w:ascii="Arial" w:hAnsi="Arial" w:cs="Arial"/>
          <w:bCs/>
          <w:szCs w:val="22"/>
        </w:rPr>
      </w:pPr>
      <w:r>
        <w:rPr>
          <w:rFonts w:ascii="Arial" w:hAnsi="Arial" w:cs="Arial"/>
          <w:bCs/>
        </w:rPr>
        <w:t xml:space="preserve">Ethical approval and </w:t>
      </w:r>
      <w:r w:rsidR="006F7A63" w:rsidRPr="002B685A">
        <w:rPr>
          <w:rFonts w:ascii="Arial" w:hAnsi="Arial" w:cs="Arial"/>
          <w:bCs/>
        </w:rPr>
        <w:t>Consent</w:t>
      </w:r>
      <w:r w:rsidR="006F7A63">
        <w:rPr>
          <w:rFonts w:ascii="Arial" w:hAnsi="Arial" w:cs="Arial"/>
          <w:bCs/>
        </w:rPr>
        <w:t xml:space="preserve"> </w:t>
      </w:r>
    </w:p>
    <w:p w14:paraId="204FB034" w14:textId="77777777" w:rsidR="002B685A" w:rsidRPr="00DD08F0" w:rsidRDefault="002B685A" w:rsidP="00441B6F">
      <w:pPr>
        <w:pStyle w:val="ReferHead"/>
        <w:spacing w:after="0"/>
        <w:jc w:val="both"/>
        <w:rPr>
          <w:rFonts w:ascii="Arial" w:hAnsi="Arial" w:cs="Arial"/>
          <w:bCs/>
          <w:szCs w:val="22"/>
        </w:rPr>
      </w:pPr>
    </w:p>
    <w:p w14:paraId="26D96E3B" w14:textId="70BF25DA" w:rsidR="0041027F" w:rsidRPr="00243B85" w:rsidRDefault="006F7A63" w:rsidP="57C345FF">
      <w:pPr>
        <w:pStyle w:val="ReferHead"/>
        <w:spacing w:after="0"/>
        <w:jc w:val="both"/>
        <w:rPr>
          <w:rFonts w:ascii="Arial" w:hAnsi="Arial" w:cs="Arial"/>
          <w:b w:val="0"/>
          <w:caps w:val="0"/>
          <w:sz w:val="20"/>
          <w:u w:val="single"/>
        </w:rPr>
      </w:pPr>
      <w:r w:rsidRPr="00243B85">
        <w:rPr>
          <w:rFonts w:ascii="Arial" w:hAnsi="Arial" w:cs="Arial"/>
          <w:b w:val="0"/>
          <w:caps w:val="0"/>
          <w:sz w:val="20"/>
        </w:rPr>
        <w:t>All measures of protection and confidentiality of the participants were taken, based on the good clinical practice standards from Document of the Americas, and National Health Council regulatory standards for research with human beings contained in the Resolution No. 466/ December 2012.</w:t>
      </w:r>
      <w:r w:rsidR="009F50F4">
        <w:rPr>
          <w:rFonts w:ascii="Arial" w:hAnsi="Arial" w:cs="Arial"/>
          <w:b w:val="0"/>
          <w:caps w:val="0"/>
          <w:sz w:val="20"/>
        </w:rPr>
        <w:t xml:space="preserve"> </w:t>
      </w:r>
      <w:r w:rsidR="009F50F4" w:rsidRPr="009F50F4">
        <w:rPr>
          <w:rFonts w:ascii="Arial" w:hAnsi="Arial" w:cs="Arial"/>
          <w:b w:val="0"/>
          <w:caps w:val="0"/>
          <w:sz w:val="20"/>
        </w:rPr>
        <w:t>Participants’ written consent has been collected and preserved by the author(s).</w:t>
      </w:r>
      <w:r w:rsidRPr="00243B85">
        <w:rPr>
          <w:rFonts w:ascii="Arial" w:hAnsi="Arial" w:cs="Arial"/>
          <w:b w:val="0"/>
          <w:caps w:val="0"/>
          <w:sz w:val="20"/>
        </w:rPr>
        <w:t xml:space="preserve"> The project was approved in the ethics national system for research with human beings (</w:t>
      </w:r>
      <w:hyperlink r:id="rId26" w:history="1">
        <w:r w:rsidR="00A614B0" w:rsidRPr="0022720E">
          <w:rPr>
            <w:rStyle w:val="Hyperlink"/>
            <w:rFonts w:ascii="Arial" w:hAnsi="Arial" w:cs="Arial"/>
            <w:b w:val="0"/>
            <w:caps w:val="0"/>
            <w:sz w:val="20"/>
          </w:rPr>
          <w:t>https://plataformabrasil.saude.gov.br/login.jsf</w:t>
        </w:r>
      </w:hyperlink>
      <w:r w:rsidRPr="00243B85">
        <w:rPr>
          <w:rFonts w:ascii="Arial" w:hAnsi="Arial" w:cs="Arial"/>
          <w:b w:val="0"/>
          <w:caps w:val="0"/>
          <w:sz w:val="20"/>
        </w:rPr>
        <w:t>).</w:t>
      </w:r>
      <w:r w:rsidR="00A614B0">
        <w:rPr>
          <w:rFonts w:ascii="Arial" w:hAnsi="Arial" w:cs="Arial"/>
          <w:b w:val="0"/>
          <w:caps w:val="0"/>
          <w:sz w:val="20"/>
        </w:rPr>
        <w:t xml:space="preserve"> </w:t>
      </w:r>
      <w:r w:rsidR="001F7E8E" w:rsidRPr="00243B85">
        <w:rPr>
          <w:rFonts w:ascii="Arial" w:hAnsi="Arial" w:cs="Arial"/>
          <w:b w:val="0"/>
          <w:caps w:val="0"/>
          <w:sz w:val="20"/>
        </w:rPr>
        <w:t>Approved by the Research Ethics Committee of the Evandro Chagas National Institute of Infectious Diseases under CAAE 49806721.0.0000.5262.</w:t>
      </w:r>
    </w:p>
    <w:p w14:paraId="524F3F85" w14:textId="298D5485" w:rsidR="57C345FF" w:rsidRPr="00DD08F0" w:rsidRDefault="57C345FF" w:rsidP="57C345FF">
      <w:pPr>
        <w:pStyle w:val="ReferHead"/>
        <w:spacing w:after="0"/>
        <w:jc w:val="both"/>
        <w:rPr>
          <w:rFonts w:ascii="Arial" w:hAnsi="Arial" w:cs="Arial"/>
          <w:b w:val="0"/>
          <w:caps w:val="0"/>
          <w:szCs w:val="22"/>
          <w:u w:val="single"/>
        </w:rPr>
      </w:pPr>
    </w:p>
    <w:p w14:paraId="375D0EB7" w14:textId="4652ABE8" w:rsidR="57C345FF" w:rsidRPr="00DD08F0" w:rsidRDefault="57C345FF" w:rsidP="57C345FF">
      <w:pPr>
        <w:pStyle w:val="ReferHead"/>
        <w:spacing w:after="0"/>
        <w:jc w:val="both"/>
        <w:rPr>
          <w:rFonts w:ascii="Arial" w:hAnsi="Arial" w:cs="Arial"/>
          <w:b w:val="0"/>
          <w:caps w:val="0"/>
          <w:szCs w:val="22"/>
          <w:u w:val="single"/>
        </w:rPr>
      </w:pPr>
    </w:p>
    <w:p w14:paraId="27717F3B" w14:textId="217D02A1" w:rsidR="57C345FF" w:rsidRPr="00DD08F0" w:rsidRDefault="57C345FF" w:rsidP="57C345FF">
      <w:pPr>
        <w:pStyle w:val="ReferHead"/>
        <w:spacing w:after="0"/>
        <w:jc w:val="both"/>
        <w:rPr>
          <w:rFonts w:ascii="Arial" w:hAnsi="Arial" w:cs="Arial"/>
          <w:b w:val="0"/>
          <w:caps w:val="0"/>
          <w:szCs w:val="22"/>
          <w:u w:val="single"/>
        </w:rPr>
      </w:pPr>
    </w:p>
    <w:p w14:paraId="535B9D75" w14:textId="2BB1FCCC" w:rsidR="57C345FF" w:rsidRPr="00DD08F0" w:rsidRDefault="57C345FF" w:rsidP="57C345FF">
      <w:pPr>
        <w:pStyle w:val="ReferHead"/>
        <w:spacing w:after="0"/>
        <w:jc w:val="both"/>
        <w:rPr>
          <w:rFonts w:ascii="Arial" w:hAnsi="Arial" w:cs="Arial"/>
          <w:b w:val="0"/>
          <w:caps w:val="0"/>
          <w:szCs w:val="22"/>
          <w:u w:val="single"/>
        </w:rPr>
      </w:pPr>
    </w:p>
    <w:p w14:paraId="41B2F0CC" w14:textId="4AB2D2B7" w:rsidR="57C345FF" w:rsidRPr="00DD08F0" w:rsidRDefault="57C345FF" w:rsidP="57C345FF">
      <w:pPr>
        <w:pStyle w:val="ReferHead"/>
        <w:spacing w:after="0"/>
        <w:jc w:val="both"/>
        <w:rPr>
          <w:rFonts w:ascii="Arial" w:hAnsi="Arial" w:cs="Arial"/>
          <w:b w:val="0"/>
          <w:caps w:val="0"/>
          <w:szCs w:val="22"/>
          <w:u w:val="single"/>
        </w:rPr>
      </w:pPr>
    </w:p>
    <w:p w14:paraId="14704AD5" w14:textId="0C95EE44" w:rsidR="57C345FF" w:rsidRPr="00DD08F0" w:rsidRDefault="57C345FF" w:rsidP="57C345FF">
      <w:pPr>
        <w:pStyle w:val="ReferHead"/>
        <w:spacing w:after="0"/>
        <w:jc w:val="both"/>
        <w:rPr>
          <w:rFonts w:ascii="Arial" w:hAnsi="Arial" w:cs="Arial"/>
          <w:b w:val="0"/>
          <w:caps w:val="0"/>
          <w:szCs w:val="22"/>
          <w:u w:val="single"/>
        </w:rPr>
      </w:pPr>
    </w:p>
    <w:p w14:paraId="58AAE1D1" w14:textId="77777777" w:rsidR="00F31231" w:rsidRPr="00F31231" w:rsidRDefault="00F31231" w:rsidP="00F31231">
      <w:pPr>
        <w:spacing w:after="200" w:line="276" w:lineRule="auto"/>
        <w:jc w:val="both"/>
        <w:outlineLvl w:val="0"/>
        <w:rPr>
          <w:rFonts w:ascii="Arial" w:eastAsiaTheme="minorEastAsia" w:hAnsi="Arial" w:cs="Arial"/>
          <w:sz w:val="22"/>
          <w:szCs w:val="22"/>
          <w:lang w:val="en-GB" w:eastAsia="en-GB"/>
        </w:rPr>
      </w:pPr>
      <w:r w:rsidRPr="00F31231">
        <w:rPr>
          <w:rFonts w:ascii="Arial" w:eastAsiaTheme="minorEastAsia" w:hAnsi="Arial" w:cs="Arial"/>
          <w:b/>
          <w:bCs/>
          <w:sz w:val="22"/>
          <w:szCs w:val="22"/>
          <w:lang w:val="en-GB" w:eastAsia="en-GB"/>
        </w:rPr>
        <w:t>COMPETING INTERESTS DISCLAIMER:</w:t>
      </w:r>
    </w:p>
    <w:p w14:paraId="2EA60251" w14:textId="3E498241" w:rsidR="00F31231" w:rsidRDefault="00F31231" w:rsidP="00F31231">
      <w:pPr>
        <w:spacing w:after="200" w:line="276" w:lineRule="auto"/>
        <w:rPr>
          <w:rFonts w:asciiTheme="minorHAnsi" w:eastAsiaTheme="minorEastAsia" w:hAnsiTheme="minorHAnsi" w:cstheme="minorBidi"/>
          <w:sz w:val="22"/>
          <w:szCs w:val="22"/>
          <w:lang w:val="en-GB" w:eastAsia="en-GB"/>
        </w:rPr>
      </w:pPr>
      <w:r w:rsidRPr="00F31231">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516D367" w14:textId="77B8DD72" w:rsidR="007F6EAB" w:rsidRDefault="007F6EAB" w:rsidP="00F31231">
      <w:pPr>
        <w:spacing w:after="200" w:line="276" w:lineRule="auto"/>
        <w:rPr>
          <w:rFonts w:asciiTheme="minorHAnsi" w:eastAsiaTheme="minorEastAsia" w:hAnsiTheme="minorHAnsi" w:cstheme="minorBidi"/>
          <w:sz w:val="22"/>
          <w:szCs w:val="22"/>
          <w:lang w:val="en-GB" w:eastAsia="en-GB"/>
        </w:rPr>
      </w:pPr>
    </w:p>
    <w:p w14:paraId="0A14661D" w14:textId="4B9E1836" w:rsidR="007F6EAB" w:rsidRDefault="007F6EAB" w:rsidP="00F31231">
      <w:pPr>
        <w:spacing w:after="200" w:line="276" w:lineRule="auto"/>
        <w:rPr>
          <w:rFonts w:asciiTheme="minorHAnsi" w:eastAsiaTheme="minorEastAsia" w:hAnsiTheme="minorHAnsi" w:cstheme="minorBidi"/>
          <w:sz w:val="22"/>
          <w:szCs w:val="22"/>
          <w:lang w:val="en-GB" w:eastAsia="en-GB"/>
        </w:rPr>
      </w:pPr>
    </w:p>
    <w:p w14:paraId="0ECE42DB" w14:textId="77777777" w:rsidR="007F6EAB" w:rsidRPr="00270720" w:rsidRDefault="007F6EAB" w:rsidP="007F6EAB">
      <w:pPr>
        <w:rPr>
          <w:highlight w:val="yellow"/>
        </w:rPr>
      </w:pPr>
      <w:r w:rsidRPr="00270720">
        <w:rPr>
          <w:highlight w:val="yellow"/>
        </w:rPr>
        <w:lastRenderedPageBreak/>
        <w:t>Disclaimer (Artificial intelligence)</w:t>
      </w:r>
    </w:p>
    <w:p w14:paraId="19E790CC" w14:textId="77777777" w:rsidR="007F6EAB" w:rsidRPr="00270720" w:rsidRDefault="007F6EAB" w:rsidP="007F6EAB">
      <w:pPr>
        <w:rPr>
          <w:highlight w:val="yellow"/>
        </w:rPr>
      </w:pPr>
    </w:p>
    <w:p w14:paraId="2147F808" w14:textId="77777777" w:rsidR="007F6EAB" w:rsidRPr="00270720" w:rsidRDefault="007F6EAB" w:rsidP="007F6EAB">
      <w:pPr>
        <w:rPr>
          <w:highlight w:val="yellow"/>
        </w:rPr>
      </w:pPr>
    </w:p>
    <w:p w14:paraId="6102FED4" w14:textId="77777777" w:rsidR="007F6EAB" w:rsidRPr="00270720" w:rsidRDefault="007F6EAB" w:rsidP="007F6EAB">
      <w:pPr>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NO generative AI technologies such as Large Language Models (ChatGPT, COPILOT, etc.) and text-to-image generators have been used during the writing or editing of this manuscript. </w:t>
      </w:r>
    </w:p>
    <w:p w14:paraId="4AF7067F" w14:textId="77777777" w:rsidR="007F6EAB" w:rsidRPr="00270720" w:rsidRDefault="007F6EAB" w:rsidP="007F6EAB">
      <w:pPr>
        <w:rPr>
          <w:highlight w:val="yellow"/>
        </w:rPr>
      </w:pPr>
    </w:p>
    <w:p w14:paraId="0B13B9DE" w14:textId="77777777" w:rsidR="007F6EAB" w:rsidRPr="00F31231" w:rsidRDefault="007F6EAB" w:rsidP="00F31231">
      <w:pPr>
        <w:spacing w:after="200" w:line="276" w:lineRule="auto"/>
        <w:rPr>
          <w:rFonts w:asciiTheme="minorHAnsi" w:eastAsiaTheme="minorEastAsia" w:hAnsiTheme="minorHAnsi" w:cstheme="minorBidi"/>
          <w:sz w:val="22"/>
          <w:szCs w:val="22"/>
          <w:lang w:val="en-GB" w:eastAsia="en-GB"/>
        </w:rPr>
      </w:pPr>
    </w:p>
    <w:p w14:paraId="13A31A13" w14:textId="68DF289B" w:rsidR="57C345FF" w:rsidRPr="00DD08F0" w:rsidRDefault="57C345FF" w:rsidP="57C345FF">
      <w:pPr>
        <w:pStyle w:val="ReferHead"/>
        <w:spacing w:after="0"/>
        <w:jc w:val="both"/>
        <w:rPr>
          <w:rFonts w:ascii="Arial" w:hAnsi="Arial" w:cs="Arial"/>
          <w:b w:val="0"/>
          <w:caps w:val="0"/>
          <w:szCs w:val="22"/>
          <w:u w:val="single"/>
        </w:rPr>
      </w:pPr>
    </w:p>
    <w:p w14:paraId="468A751A" w14:textId="6F11B1A0" w:rsidR="00790ADA" w:rsidRDefault="00F31231" w:rsidP="00441B6F">
      <w:pPr>
        <w:pStyle w:val="ReferHead"/>
        <w:spacing w:after="0"/>
        <w:jc w:val="both"/>
        <w:rPr>
          <w:rFonts w:ascii="Arial" w:hAnsi="Arial" w:cs="Arial"/>
          <w:szCs w:val="22"/>
        </w:rPr>
      </w:pPr>
      <w:r w:rsidRPr="00F31231">
        <w:rPr>
          <w:rFonts w:ascii="Arial" w:hAnsi="Arial" w:cs="Arial"/>
          <w:szCs w:val="22"/>
        </w:rPr>
        <w:t>REFERENCES</w:t>
      </w:r>
    </w:p>
    <w:p w14:paraId="2191BFB0" w14:textId="77777777" w:rsidR="00F31231" w:rsidRPr="00DD08F0" w:rsidRDefault="00F31231" w:rsidP="00441B6F">
      <w:pPr>
        <w:pStyle w:val="ReferHead"/>
        <w:spacing w:after="0"/>
        <w:jc w:val="both"/>
        <w:rPr>
          <w:rFonts w:ascii="Arial" w:hAnsi="Arial" w:cs="Arial"/>
          <w:szCs w:val="22"/>
        </w:rPr>
      </w:pPr>
    </w:p>
    <w:p w14:paraId="5CFAFCDD" w14:textId="77777777" w:rsidR="00FE6339" w:rsidRPr="00FE6339" w:rsidRDefault="001F7E8E" w:rsidP="00FE6339">
      <w:pPr>
        <w:pStyle w:val="Bibliography"/>
        <w:rPr>
          <w:rFonts w:ascii="Arial" w:hAnsi="Arial" w:cs="Arial"/>
          <w:sz w:val="20"/>
        </w:rPr>
      </w:pPr>
      <w:r w:rsidRPr="00243B85">
        <w:rPr>
          <w:rFonts w:ascii="Arial" w:hAnsi="Arial" w:cs="Arial"/>
          <w:sz w:val="20"/>
          <w:szCs w:val="20"/>
        </w:rPr>
        <w:fldChar w:fldCharType="begin"/>
      </w:r>
      <w:r w:rsidR="00952FB2">
        <w:rPr>
          <w:rFonts w:ascii="Arial" w:hAnsi="Arial" w:cs="Arial"/>
          <w:sz w:val="20"/>
          <w:szCs w:val="20"/>
        </w:rPr>
        <w:instrText xml:space="preserve"> ADDIN ZOTERO_BIBL {"uncited":[],"omitted":[],"custom":[]} CSL_BIBLIOGRAPHY </w:instrText>
      </w:r>
      <w:r w:rsidRPr="00243B85">
        <w:rPr>
          <w:rFonts w:ascii="Arial" w:hAnsi="Arial" w:cs="Arial"/>
          <w:sz w:val="20"/>
          <w:szCs w:val="20"/>
        </w:rPr>
        <w:fldChar w:fldCharType="separate"/>
      </w:r>
      <w:r w:rsidR="00FE6339" w:rsidRPr="00FE6339">
        <w:rPr>
          <w:rFonts w:ascii="Arial" w:hAnsi="Arial" w:cs="Arial"/>
          <w:sz w:val="20"/>
        </w:rPr>
        <w:t xml:space="preserve">ABUZOUR, Aseel S. </w:t>
      </w:r>
      <w:r w:rsidR="00FE6339" w:rsidRPr="00FE6339">
        <w:rPr>
          <w:rFonts w:ascii="Arial" w:hAnsi="Arial" w:cs="Arial"/>
          <w:i/>
          <w:iCs/>
          <w:sz w:val="20"/>
        </w:rPr>
        <w:t>et al.</w:t>
      </w:r>
      <w:r w:rsidR="00FE6339" w:rsidRPr="00FE6339">
        <w:rPr>
          <w:rFonts w:ascii="Arial" w:hAnsi="Arial" w:cs="Arial"/>
          <w:sz w:val="20"/>
        </w:rPr>
        <w:t xml:space="preserve"> Patient prioritisation for hospital pharmacy services: current approaches in the UK. </w:t>
      </w:r>
      <w:r w:rsidR="00FE6339" w:rsidRPr="00FE6339">
        <w:rPr>
          <w:rFonts w:ascii="Arial" w:hAnsi="Arial" w:cs="Arial"/>
          <w:b/>
          <w:bCs/>
          <w:sz w:val="20"/>
        </w:rPr>
        <w:t>European Journal of Hospital Pharmacy: Science and Practice</w:t>
      </w:r>
      <w:r w:rsidR="00FE6339" w:rsidRPr="00FE6339">
        <w:rPr>
          <w:rFonts w:ascii="Arial" w:hAnsi="Arial" w:cs="Arial"/>
          <w:sz w:val="20"/>
        </w:rPr>
        <w:t xml:space="preserve">, v. 28, n. Suppl 2, p. e102–e108, nov. 2021. </w:t>
      </w:r>
    </w:p>
    <w:p w14:paraId="23C3A46C" w14:textId="77777777" w:rsidR="00FE6339" w:rsidRPr="00FE6339" w:rsidRDefault="00FE6339" w:rsidP="00FE6339">
      <w:pPr>
        <w:pStyle w:val="Bibliography"/>
        <w:rPr>
          <w:rFonts w:ascii="Arial" w:hAnsi="Arial" w:cs="Arial"/>
          <w:sz w:val="20"/>
        </w:rPr>
      </w:pPr>
      <w:r w:rsidRPr="00FE6339">
        <w:rPr>
          <w:rFonts w:ascii="Arial" w:hAnsi="Arial" w:cs="Arial"/>
          <w:sz w:val="20"/>
        </w:rPr>
        <w:t xml:space="preserve">ALMODÓVAR, Armando Silva; NAHATA, Milap C. Associations Between Chronic Disease, Polypharmacy, and Medication-Related Problems Among Medicare Beneficiaries. </w:t>
      </w:r>
      <w:r w:rsidRPr="00FE6339">
        <w:rPr>
          <w:rFonts w:ascii="Arial" w:hAnsi="Arial" w:cs="Arial"/>
          <w:b/>
          <w:bCs/>
          <w:sz w:val="20"/>
        </w:rPr>
        <w:t>Journal of Managed Care &amp; Specialty Pharmacy</w:t>
      </w:r>
      <w:r w:rsidRPr="00FE6339">
        <w:rPr>
          <w:rFonts w:ascii="Arial" w:hAnsi="Arial" w:cs="Arial"/>
          <w:sz w:val="20"/>
        </w:rPr>
        <w:t xml:space="preserve">, v. 25, n. 5, p. 573–577, maio 2019. </w:t>
      </w:r>
    </w:p>
    <w:p w14:paraId="2387798F" w14:textId="77777777" w:rsidR="00FE6339" w:rsidRPr="00FE6339" w:rsidRDefault="00FE6339" w:rsidP="00FE6339">
      <w:pPr>
        <w:pStyle w:val="Bibliography"/>
        <w:rPr>
          <w:rFonts w:ascii="Arial" w:hAnsi="Arial" w:cs="Arial"/>
          <w:sz w:val="20"/>
        </w:rPr>
      </w:pPr>
      <w:r w:rsidRPr="00FE6339">
        <w:rPr>
          <w:rFonts w:ascii="Arial" w:hAnsi="Arial" w:cs="Arial"/>
          <w:sz w:val="20"/>
        </w:rPr>
        <w:t xml:space="preserve">BEDNALL, Ruth </w:t>
      </w:r>
      <w:r w:rsidRPr="00FE6339">
        <w:rPr>
          <w:rFonts w:ascii="Arial" w:hAnsi="Arial" w:cs="Arial"/>
          <w:i/>
          <w:iCs/>
          <w:sz w:val="20"/>
        </w:rPr>
        <w:t>et al.</w:t>
      </w:r>
      <w:r w:rsidRPr="00FE6339">
        <w:rPr>
          <w:rFonts w:ascii="Arial" w:hAnsi="Arial" w:cs="Arial"/>
          <w:sz w:val="20"/>
        </w:rPr>
        <w:t xml:space="preserve"> Validation of a hospital clinical pharmacy workforce calculator: A methodology for pharmacy? </w:t>
      </w:r>
      <w:r w:rsidRPr="00FE6339">
        <w:rPr>
          <w:rFonts w:ascii="Arial" w:hAnsi="Arial" w:cs="Arial"/>
          <w:b/>
          <w:bCs/>
          <w:sz w:val="20"/>
        </w:rPr>
        <w:t>International Journal of Clinical Practice</w:t>
      </w:r>
      <w:r w:rsidRPr="00FE6339">
        <w:rPr>
          <w:rFonts w:ascii="Arial" w:hAnsi="Arial" w:cs="Arial"/>
          <w:sz w:val="20"/>
        </w:rPr>
        <w:t xml:space="preserve">, v. 75, n. 5, p. e13932, 2021. </w:t>
      </w:r>
    </w:p>
    <w:p w14:paraId="1F4F30E1" w14:textId="77777777" w:rsidR="00FE6339" w:rsidRPr="00FE6339" w:rsidRDefault="00FE6339" w:rsidP="00FE6339">
      <w:pPr>
        <w:pStyle w:val="Bibliography"/>
        <w:rPr>
          <w:rFonts w:ascii="Arial" w:hAnsi="Arial" w:cs="Arial"/>
          <w:sz w:val="20"/>
        </w:rPr>
      </w:pPr>
      <w:r w:rsidRPr="00FE6339">
        <w:rPr>
          <w:rFonts w:ascii="Arial" w:hAnsi="Arial" w:cs="Arial"/>
          <w:sz w:val="20"/>
        </w:rPr>
        <w:t xml:space="preserve">BOTELHO, Stephanie Ferreira; NEIVA-PANTUZZA, Lais Lessa; REIS, Adriano Max. Patient prioritisation in current practice of Brazilian hospital clinical pharmacist: a cross-sectional survey. </w:t>
      </w:r>
      <w:r w:rsidRPr="00FE6339">
        <w:rPr>
          <w:rFonts w:ascii="Arial" w:hAnsi="Arial" w:cs="Arial"/>
          <w:b/>
          <w:bCs/>
          <w:sz w:val="20"/>
        </w:rPr>
        <w:t>Journal of Hospital Pharmacy and Health Services</w:t>
      </w:r>
      <w:r w:rsidRPr="00FE6339">
        <w:rPr>
          <w:rFonts w:ascii="Arial" w:hAnsi="Arial" w:cs="Arial"/>
          <w:sz w:val="20"/>
        </w:rPr>
        <w:t xml:space="preserve">, v. 16, n. 1, p. e1232–e1232, 31 mar. 2025. </w:t>
      </w:r>
    </w:p>
    <w:p w14:paraId="3C12D79E" w14:textId="77777777" w:rsidR="00FE6339" w:rsidRPr="00FE6339" w:rsidRDefault="00FE6339" w:rsidP="00FE6339">
      <w:pPr>
        <w:pStyle w:val="Bibliography"/>
        <w:rPr>
          <w:rFonts w:ascii="Arial" w:hAnsi="Arial" w:cs="Arial"/>
          <w:sz w:val="20"/>
        </w:rPr>
      </w:pPr>
      <w:r w:rsidRPr="00FE6339">
        <w:rPr>
          <w:rFonts w:ascii="Arial" w:hAnsi="Arial" w:cs="Arial"/>
          <w:sz w:val="20"/>
        </w:rPr>
        <w:t xml:space="preserve">BRASIL A. </w:t>
      </w:r>
      <w:r w:rsidRPr="00FE6339">
        <w:rPr>
          <w:rFonts w:ascii="Arial" w:hAnsi="Arial" w:cs="Arial"/>
          <w:b/>
          <w:bCs/>
          <w:sz w:val="20"/>
        </w:rPr>
        <w:t>PORTARIA N</w:t>
      </w:r>
      <w:r w:rsidRPr="00FE6339">
        <w:rPr>
          <w:rFonts w:ascii="Arial" w:hAnsi="Arial" w:cs="Arial"/>
          <w:b/>
          <w:bCs/>
          <w:sz w:val="20"/>
          <w:vertAlign w:val="superscript"/>
        </w:rPr>
        <w:t>o</w:t>
      </w:r>
      <w:r w:rsidRPr="00FE6339">
        <w:rPr>
          <w:rFonts w:ascii="Arial" w:hAnsi="Arial" w:cs="Arial"/>
          <w:b/>
          <w:bCs/>
          <w:sz w:val="20"/>
        </w:rPr>
        <w:t xml:space="preserve"> 529, DE 1</w:t>
      </w:r>
      <w:r w:rsidRPr="00FE6339">
        <w:rPr>
          <w:rFonts w:ascii="Arial" w:hAnsi="Arial" w:cs="Arial"/>
          <w:b/>
          <w:bCs/>
          <w:sz w:val="20"/>
          <w:vertAlign w:val="superscript"/>
        </w:rPr>
        <w:t>o</w:t>
      </w:r>
      <w:r w:rsidRPr="00FE6339">
        <w:rPr>
          <w:rFonts w:ascii="Arial" w:hAnsi="Arial" w:cs="Arial"/>
          <w:b/>
          <w:bCs/>
          <w:sz w:val="20"/>
        </w:rPr>
        <w:t xml:space="preserve"> DE ABRIL DE 2013</w:t>
      </w:r>
      <w:r w:rsidRPr="00FE6339">
        <w:rPr>
          <w:rFonts w:ascii="Arial" w:hAnsi="Arial" w:cs="Arial"/>
          <w:sz w:val="20"/>
        </w:rPr>
        <w:t xml:space="preserve">. Disponível em: &lt;https://bvsms.saude.gov.br/bvs/saudelegis/gm/2013/prt0529_01_04_2013.html&gt;. Acesso em: 10 nov. 2021. </w:t>
      </w:r>
    </w:p>
    <w:p w14:paraId="39E6A4DC" w14:textId="77777777" w:rsidR="00FE6339" w:rsidRPr="00FE6339" w:rsidRDefault="00FE6339" w:rsidP="00FE6339">
      <w:pPr>
        <w:pStyle w:val="Bibliography"/>
        <w:rPr>
          <w:rFonts w:ascii="Arial" w:hAnsi="Arial" w:cs="Arial"/>
          <w:sz w:val="20"/>
        </w:rPr>
      </w:pPr>
      <w:r w:rsidRPr="00FE6339">
        <w:rPr>
          <w:rFonts w:ascii="Arial" w:hAnsi="Arial" w:cs="Arial"/>
          <w:sz w:val="20"/>
        </w:rPr>
        <w:t xml:space="preserve">BRAZIL. </w:t>
      </w:r>
      <w:r w:rsidRPr="00FE6339">
        <w:rPr>
          <w:rFonts w:ascii="Arial" w:hAnsi="Arial" w:cs="Arial"/>
          <w:b/>
          <w:bCs/>
          <w:sz w:val="20"/>
        </w:rPr>
        <w:t>RESOLUÇÃO - RDC N</w:t>
      </w:r>
      <w:r w:rsidRPr="00FE6339">
        <w:rPr>
          <w:rFonts w:ascii="Arial" w:hAnsi="Arial" w:cs="Arial"/>
          <w:b/>
          <w:bCs/>
          <w:sz w:val="20"/>
          <w:vertAlign w:val="superscript"/>
        </w:rPr>
        <w:t>o</w:t>
      </w:r>
      <w:r w:rsidRPr="00FE6339">
        <w:rPr>
          <w:rFonts w:ascii="Arial" w:hAnsi="Arial" w:cs="Arial"/>
          <w:b/>
          <w:bCs/>
          <w:sz w:val="20"/>
        </w:rPr>
        <w:t xml:space="preserve"> 36, DE 25 DE JULHO DE 2013</w:t>
      </w:r>
      <w:r w:rsidRPr="00FE6339">
        <w:rPr>
          <w:rFonts w:ascii="Arial" w:hAnsi="Arial" w:cs="Arial"/>
          <w:sz w:val="20"/>
        </w:rPr>
        <w:t xml:space="preserve">. Disponível em: &lt;https://bvsms.saude.gov.br/bvs/saudelegis/anvisa/2013/rdc0036_25_07_2013.html&gt;. Acesso em: 4 nov. 2022. </w:t>
      </w:r>
    </w:p>
    <w:p w14:paraId="604F6B4E" w14:textId="77777777" w:rsidR="00FE6339" w:rsidRPr="00FE6339" w:rsidRDefault="00FE6339" w:rsidP="00FE6339">
      <w:pPr>
        <w:pStyle w:val="Bibliography"/>
        <w:rPr>
          <w:rFonts w:ascii="Arial" w:hAnsi="Arial" w:cs="Arial"/>
          <w:sz w:val="20"/>
        </w:rPr>
      </w:pPr>
      <w:r w:rsidRPr="00FE6339">
        <w:rPr>
          <w:rFonts w:ascii="Arial" w:hAnsi="Arial" w:cs="Arial"/>
          <w:sz w:val="20"/>
        </w:rPr>
        <w:t xml:space="preserve">BUCKLEY, Mitchell S. </w:t>
      </w:r>
      <w:r w:rsidRPr="00FE6339">
        <w:rPr>
          <w:rFonts w:ascii="Arial" w:hAnsi="Arial" w:cs="Arial"/>
          <w:i/>
          <w:iCs/>
          <w:sz w:val="20"/>
        </w:rPr>
        <w:t>et al.</w:t>
      </w:r>
      <w:r w:rsidRPr="00FE6339">
        <w:rPr>
          <w:rFonts w:ascii="Arial" w:hAnsi="Arial" w:cs="Arial"/>
          <w:sz w:val="20"/>
        </w:rPr>
        <w:t xml:space="preserve"> ICU Patient-to-Pharmacist Ratios: A Prospective, Multicenter Time-Motion Study. </w:t>
      </w:r>
      <w:r w:rsidRPr="00FE6339">
        <w:rPr>
          <w:rFonts w:ascii="Arial" w:hAnsi="Arial" w:cs="Arial"/>
          <w:b/>
          <w:bCs/>
          <w:sz w:val="20"/>
        </w:rPr>
        <w:t>Critical Care Medicine</w:t>
      </w:r>
      <w:r w:rsidRPr="00FE6339">
        <w:rPr>
          <w:rFonts w:ascii="Arial" w:hAnsi="Arial" w:cs="Arial"/>
          <w:sz w:val="20"/>
        </w:rPr>
        <w:t xml:space="preserve">, 26 fev. 2025. </w:t>
      </w:r>
    </w:p>
    <w:p w14:paraId="61D471F1" w14:textId="77777777" w:rsidR="00FE6339" w:rsidRPr="00FE6339" w:rsidRDefault="00FE6339" w:rsidP="00FE6339">
      <w:pPr>
        <w:pStyle w:val="Bibliography"/>
        <w:rPr>
          <w:rFonts w:ascii="Arial" w:hAnsi="Arial" w:cs="Arial"/>
          <w:sz w:val="20"/>
        </w:rPr>
      </w:pPr>
      <w:r w:rsidRPr="00FE6339">
        <w:rPr>
          <w:rFonts w:ascii="Arial" w:hAnsi="Arial" w:cs="Arial"/>
          <w:sz w:val="20"/>
        </w:rPr>
        <w:t xml:space="preserve">CHEEMA, Ejaz </w:t>
      </w:r>
      <w:r w:rsidRPr="00FE6339">
        <w:rPr>
          <w:rFonts w:ascii="Arial" w:hAnsi="Arial" w:cs="Arial"/>
          <w:i/>
          <w:iCs/>
          <w:sz w:val="20"/>
        </w:rPr>
        <w:t>et al.</w:t>
      </w:r>
      <w:r w:rsidRPr="00FE6339">
        <w:rPr>
          <w:rFonts w:ascii="Arial" w:hAnsi="Arial" w:cs="Arial"/>
          <w:sz w:val="20"/>
        </w:rPr>
        <w:t xml:space="preserve"> The impact of pharmacists-led medicines reconciliation on healthcare outcomes in secondary care: A systematic review and meta-analysis of randomized controlled trials. </w:t>
      </w:r>
      <w:r w:rsidRPr="00FE6339">
        <w:rPr>
          <w:rFonts w:ascii="Arial" w:hAnsi="Arial" w:cs="Arial"/>
          <w:b/>
          <w:bCs/>
          <w:sz w:val="20"/>
        </w:rPr>
        <w:t>PLOS ONE</w:t>
      </w:r>
      <w:r w:rsidRPr="00FE6339">
        <w:rPr>
          <w:rFonts w:ascii="Arial" w:hAnsi="Arial" w:cs="Arial"/>
          <w:sz w:val="20"/>
        </w:rPr>
        <w:t xml:space="preserve">, v. 13, n. 3, p. e0193510, 28 mar. 2018. </w:t>
      </w:r>
    </w:p>
    <w:p w14:paraId="2E2405E4" w14:textId="77777777" w:rsidR="00FE6339" w:rsidRPr="00FE6339" w:rsidRDefault="00FE6339" w:rsidP="00FE6339">
      <w:pPr>
        <w:pStyle w:val="Bibliography"/>
        <w:rPr>
          <w:rFonts w:ascii="Arial" w:hAnsi="Arial" w:cs="Arial"/>
          <w:sz w:val="20"/>
        </w:rPr>
      </w:pPr>
      <w:r w:rsidRPr="00FE6339">
        <w:rPr>
          <w:rFonts w:ascii="Arial" w:hAnsi="Arial" w:cs="Arial"/>
          <w:sz w:val="20"/>
        </w:rPr>
        <w:t xml:space="preserve">CHOI, Yeo Jin; KIM, Hyunah. Effect of pharmacy-led medication reconciliation in emergency departments: A systematic review and meta-analysis. </w:t>
      </w:r>
      <w:r w:rsidRPr="00FE6339">
        <w:rPr>
          <w:rFonts w:ascii="Arial" w:hAnsi="Arial" w:cs="Arial"/>
          <w:b/>
          <w:bCs/>
          <w:sz w:val="20"/>
        </w:rPr>
        <w:t>Journal of Clinical Pharmacy and Therapeutics</w:t>
      </w:r>
      <w:r w:rsidRPr="00FE6339">
        <w:rPr>
          <w:rFonts w:ascii="Arial" w:hAnsi="Arial" w:cs="Arial"/>
          <w:sz w:val="20"/>
        </w:rPr>
        <w:t xml:space="preserve">, v. 44, n. 6, p. 932–945, 2019. </w:t>
      </w:r>
    </w:p>
    <w:p w14:paraId="3702BF6A" w14:textId="77777777" w:rsidR="00FE6339" w:rsidRPr="00FE6339" w:rsidRDefault="00FE6339" w:rsidP="00FE6339">
      <w:pPr>
        <w:pStyle w:val="Bibliography"/>
        <w:rPr>
          <w:rFonts w:ascii="Arial" w:hAnsi="Arial" w:cs="Arial"/>
          <w:sz w:val="20"/>
        </w:rPr>
      </w:pPr>
      <w:r w:rsidRPr="00FE6339">
        <w:rPr>
          <w:rFonts w:ascii="Arial" w:hAnsi="Arial" w:cs="Arial"/>
          <w:sz w:val="20"/>
        </w:rPr>
        <w:t xml:space="preserve">CIAPPONI, Agustín </w:t>
      </w:r>
      <w:r w:rsidRPr="00FE6339">
        <w:rPr>
          <w:rFonts w:ascii="Arial" w:hAnsi="Arial" w:cs="Arial"/>
          <w:i/>
          <w:iCs/>
          <w:sz w:val="20"/>
        </w:rPr>
        <w:t>et al.</w:t>
      </w:r>
      <w:r w:rsidRPr="00FE6339">
        <w:rPr>
          <w:rFonts w:ascii="Arial" w:hAnsi="Arial" w:cs="Arial"/>
          <w:sz w:val="20"/>
        </w:rPr>
        <w:t xml:space="preserve"> Reducing medication errors for adults in hospital settings. </w:t>
      </w:r>
      <w:r w:rsidRPr="00FE6339">
        <w:rPr>
          <w:rFonts w:ascii="Arial" w:hAnsi="Arial" w:cs="Arial"/>
          <w:b/>
          <w:bCs/>
          <w:sz w:val="20"/>
        </w:rPr>
        <w:t>Cochrane Database of Systematic Reviews</w:t>
      </w:r>
      <w:r w:rsidRPr="00FE6339">
        <w:rPr>
          <w:rFonts w:ascii="Arial" w:hAnsi="Arial" w:cs="Arial"/>
          <w:sz w:val="20"/>
        </w:rPr>
        <w:t xml:space="preserve">, v. 2021, n. 11, 2021. </w:t>
      </w:r>
    </w:p>
    <w:p w14:paraId="7F761933" w14:textId="77777777" w:rsidR="00FE6339" w:rsidRPr="00FE6339" w:rsidRDefault="00FE6339" w:rsidP="00FE6339">
      <w:pPr>
        <w:pStyle w:val="Bibliography"/>
        <w:rPr>
          <w:rFonts w:ascii="Arial" w:hAnsi="Arial" w:cs="Arial"/>
          <w:sz w:val="20"/>
        </w:rPr>
      </w:pPr>
      <w:r w:rsidRPr="00FE6339">
        <w:rPr>
          <w:rFonts w:ascii="Arial" w:hAnsi="Arial" w:cs="Arial"/>
          <w:sz w:val="20"/>
        </w:rPr>
        <w:lastRenderedPageBreak/>
        <w:t xml:space="preserve">CORREARD, F. </w:t>
      </w:r>
      <w:r w:rsidRPr="00FE6339">
        <w:rPr>
          <w:rFonts w:ascii="Arial" w:hAnsi="Arial" w:cs="Arial"/>
          <w:i/>
          <w:iCs/>
          <w:sz w:val="20"/>
        </w:rPr>
        <w:t>et al.</w:t>
      </w:r>
      <w:r w:rsidRPr="00FE6339">
        <w:rPr>
          <w:rFonts w:ascii="Arial" w:hAnsi="Arial" w:cs="Arial"/>
          <w:sz w:val="20"/>
        </w:rPr>
        <w:t xml:space="preserve"> [Medication reconciliation: Interests and limits]. </w:t>
      </w:r>
      <w:r w:rsidRPr="00FE6339">
        <w:rPr>
          <w:rFonts w:ascii="Arial" w:hAnsi="Arial" w:cs="Arial"/>
          <w:b/>
          <w:bCs/>
          <w:sz w:val="20"/>
        </w:rPr>
        <w:t>La Revue De Medecine Interne</w:t>
      </w:r>
      <w:r w:rsidRPr="00FE6339">
        <w:rPr>
          <w:rFonts w:ascii="Arial" w:hAnsi="Arial" w:cs="Arial"/>
          <w:sz w:val="20"/>
        </w:rPr>
        <w:t xml:space="preserve">, v. 44, n. 9, p. 479–486, set. 2023. </w:t>
      </w:r>
    </w:p>
    <w:p w14:paraId="70B1B59B" w14:textId="77777777" w:rsidR="00FE6339" w:rsidRPr="00FE6339" w:rsidRDefault="00FE6339" w:rsidP="00FE6339">
      <w:pPr>
        <w:pStyle w:val="Bibliography"/>
        <w:rPr>
          <w:rFonts w:ascii="Arial" w:hAnsi="Arial" w:cs="Arial"/>
          <w:sz w:val="20"/>
        </w:rPr>
      </w:pPr>
      <w:r w:rsidRPr="00FE6339">
        <w:rPr>
          <w:rFonts w:ascii="Arial" w:hAnsi="Arial" w:cs="Arial"/>
          <w:sz w:val="20"/>
        </w:rPr>
        <w:t xml:space="preserve">DAVIES, Emma C. </w:t>
      </w:r>
      <w:r w:rsidRPr="00FE6339">
        <w:rPr>
          <w:rFonts w:ascii="Arial" w:hAnsi="Arial" w:cs="Arial"/>
          <w:i/>
          <w:iCs/>
          <w:sz w:val="20"/>
        </w:rPr>
        <w:t>et al.</w:t>
      </w:r>
      <w:r w:rsidRPr="00FE6339">
        <w:rPr>
          <w:rFonts w:ascii="Arial" w:hAnsi="Arial" w:cs="Arial"/>
          <w:sz w:val="20"/>
        </w:rPr>
        <w:t xml:space="preserve"> Adverse Drug Reactions in Hospital In-Patients: A Prospective Analysis of 3695 Patient-Episodes. </w:t>
      </w:r>
      <w:r w:rsidRPr="00FE6339">
        <w:rPr>
          <w:rFonts w:ascii="Arial" w:hAnsi="Arial" w:cs="Arial"/>
          <w:b/>
          <w:bCs/>
          <w:sz w:val="20"/>
        </w:rPr>
        <w:t>PLoS ONE</w:t>
      </w:r>
      <w:r w:rsidRPr="00FE6339">
        <w:rPr>
          <w:rFonts w:ascii="Arial" w:hAnsi="Arial" w:cs="Arial"/>
          <w:sz w:val="20"/>
        </w:rPr>
        <w:t xml:space="preserve">, v. 4, n. 2, p. e4439, 11 fev. 2009. </w:t>
      </w:r>
    </w:p>
    <w:p w14:paraId="6C90F3B7" w14:textId="77777777" w:rsidR="00FE6339" w:rsidRPr="00FE6339" w:rsidRDefault="00FE6339" w:rsidP="00FE6339">
      <w:pPr>
        <w:pStyle w:val="Bibliography"/>
        <w:rPr>
          <w:rFonts w:ascii="Arial" w:hAnsi="Arial" w:cs="Arial"/>
          <w:sz w:val="20"/>
        </w:rPr>
      </w:pPr>
      <w:r w:rsidRPr="00FE6339">
        <w:rPr>
          <w:rFonts w:ascii="Arial" w:hAnsi="Arial" w:cs="Arial"/>
          <w:sz w:val="20"/>
        </w:rPr>
        <w:t xml:space="preserve">DOS SANTOS BARRETO, Paula Gabriela </w:t>
      </w:r>
      <w:r w:rsidRPr="00FE6339">
        <w:rPr>
          <w:rFonts w:ascii="Arial" w:hAnsi="Arial" w:cs="Arial"/>
          <w:i/>
          <w:iCs/>
          <w:sz w:val="20"/>
        </w:rPr>
        <w:t>et al.</w:t>
      </w:r>
      <w:r w:rsidRPr="00FE6339">
        <w:rPr>
          <w:rFonts w:ascii="Arial" w:hAnsi="Arial" w:cs="Arial"/>
          <w:sz w:val="20"/>
        </w:rPr>
        <w:t xml:space="preserve"> Fully independent validation and updating of a clinical pharmacy prioritizing risk score in an infectious disease hospital ward. </w:t>
      </w:r>
      <w:r w:rsidRPr="00FE6339">
        <w:rPr>
          <w:rFonts w:ascii="Arial" w:hAnsi="Arial" w:cs="Arial"/>
          <w:b/>
          <w:bCs/>
          <w:sz w:val="20"/>
        </w:rPr>
        <w:t>British Journal of Clinical Pharmacology</w:t>
      </w:r>
      <w:r w:rsidRPr="00FE6339">
        <w:rPr>
          <w:rFonts w:ascii="Arial" w:hAnsi="Arial" w:cs="Arial"/>
          <w:sz w:val="20"/>
        </w:rPr>
        <w:t xml:space="preserve">, v. 88, n. 8, p. 3695–3708, 2022. </w:t>
      </w:r>
    </w:p>
    <w:p w14:paraId="0FE2AFCA" w14:textId="77777777" w:rsidR="00FE6339" w:rsidRPr="00FE6339" w:rsidRDefault="00FE6339" w:rsidP="00FE6339">
      <w:pPr>
        <w:pStyle w:val="Bibliography"/>
        <w:rPr>
          <w:rFonts w:ascii="Arial" w:hAnsi="Arial" w:cs="Arial"/>
          <w:sz w:val="20"/>
        </w:rPr>
      </w:pPr>
      <w:r w:rsidRPr="00FE6339">
        <w:rPr>
          <w:rFonts w:ascii="Arial" w:hAnsi="Arial" w:cs="Arial"/>
          <w:sz w:val="20"/>
        </w:rPr>
        <w:t xml:space="preserve">Estudio nacional sobre los efectos adversos ligados a la hospitalización (ENEAS). 2006. </w:t>
      </w:r>
    </w:p>
    <w:p w14:paraId="067E990D" w14:textId="77777777" w:rsidR="00FE6339" w:rsidRPr="00FE6339" w:rsidRDefault="00FE6339" w:rsidP="00FE6339">
      <w:pPr>
        <w:pStyle w:val="Bibliography"/>
        <w:rPr>
          <w:rFonts w:ascii="Arial" w:hAnsi="Arial" w:cs="Arial"/>
          <w:sz w:val="20"/>
        </w:rPr>
      </w:pPr>
      <w:r w:rsidRPr="00FE6339">
        <w:rPr>
          <w:rFonts w:ascii="Arial" w:hAnsi="Arial" w:cs="Arial"/>
          <w:sz w:val="20"/>
        </w:rPr>
        <w:t xml:space="preserve">FALCONER, Nazanin </w:t>
      </w:r>
      <w:r w:rsidRPr="00FE6339">
        <w:rPr>
          <w:rFonts w:ascii="Arial" w:hAnsi="Arial" w:cs="Arial"/>
          <w:i/>
          <w:iCs/>
          <w:sz w:val="20"/>
        </w:rPr>
        <w:t>et al.</w:t>
      </w:r>
      <w:r w:rsidRPr="00FE6339">
        <w:rPr>
          <w:rFonts w:ascii="Arial" w:hAnsi="Arial" w:cs="Arial"/>
          <w:sz w:val="20"/>
        </w:rPr>
        <w:t xml:space="preserve"> Validation of the assessment of risk tool: patient prioritisation technology for clinical pharmacist interventions. </w:t>
      </w:r>
      <w:r w:rsidRPr="00FE6339">
        <w:rPr>
          <w:rFonts w:ascii="Arial" w:hAnsi="Arial" w:cs="Arial"/>
          <w:b/>
          <w:bCs/>
          <w:sz w:val="20"/>
        </w:rPr>
        <w:t>European Journal of Hospital Pharmacy</w:t>
      </w:r>
      <w:r w:rsidRPr="00FE6339">
        <w:rPr>
          <w:rFonts w:ascii="Arial" w:hAnsi="Arial" w:cs="Arial"/>
          <w:sz w:val="20"/>
        </w:rPr>
        <w:t xml:space="preserve">, v. 24, n. 6, p. 320–326, 1 nov. 2017. </w:t>
      </w:r>
    </w:p>
    <w:p w14:paraId="41C231D5" w14:textId="77777777" w:rsidR="00FE6339" w:rsidRPr="00FE6339" w:rsidRDefault="00FE6339" w:rsidP="00FE6339">
      <w:pPr>
        <w:pStyle w:val="Bibliography"/>
        <w:rPr>
          <w:rFonts w:ascii="Arial" w:hAnsi="Arial" w:cs="Arial"/>
          <w:sz w:val="20"/>
        </w:rPr>
      </w:pPr>
      <w:r w:rsidRPr="00FE6339">
        <w:rPr>
          <w:rFonts w:ascii="Arial" w:hAnsi="Arial" w:cs="Arial"/>
          <w:sz w:val="20"/>
        </w:rPr>
        <w:t xml:space="preserve">FUNK, Dorothy M. (Adcock). Coagulation assays and anticoagulant monitoring. </w:t>
      </w:r>
      <w:r w:rsidRPr="00FE6339">
        <w:rPr>
          <w:rFonts w:ascii="Arial" w:hAnsi="Arial" w:cs="Arial"/>
          <w:b/>
          <w:bCs/>
          <w:sz w:val="20"/>
        </w:rPr>
        <w:t>Hematology</w:t>
      </w:r>
      <w:r w:rsidRPr="00FE6339">
        <w:rPr>
          <w:rFonts w:ascii="Arial" w:hAnsi="Arial" w:cs="Arial"/>
          <w:sz w:val="20"/>
        </w:rPr>
        <w:t xml:space="preserve">, v. 2012, n. 1, p. 460–465, 8 dez. 2012. </w:t>
      </w:r>
    </w:p>
    <w:p w14:paraId="51FE955D" w14:textId="77777777" w:rsidR="00FE6339" w:rsidRPr="00FE6339" w:rsidRDefault="00FE6339" w:rsidP="00FE6339">
      <w:pPr>
        <w:pStyle w:val="Bibliography"/>
        <w:rPr>
          <w:rFonts w:ascii="Arial" w:hAnsi="Arial" w:cs="Arial"/>
          <w:sz w:val="20"/>
        </w:rPr>
      </w:pPr>
      <w:r w:rsidRPr="00FE6339">
        <w:rPr>
          <w:rFonts w:ascii="Arial" w:hAnsi="Arial" w:cs="Arial"/>
          <w:sz w:val="20"/>
        </w:rPr>
        <w:t xml:space="preserve">GIMENES, Fernanda Raphael Escobar </w:t>
      </w:r>
      <w:r w:rsidRPr="00FE6339">
        <w:rPr>
          <w:rFonts w:ascii="Arial" w:hAnsi="Arial" w:cs="Arial"/>
          <w:i/>
          <w:iCs/>
          <w:sz w:val="20"/>
        </w:rPr>
        <w:t>et al.</w:t>
      </w:r>
      <w:r w:rsidRPr="00FE6339">
        <w:rPr>
          <w:rFonts w:ascii="Arial" w:hAnsi="Arial" w:cs="Arial"/>
          <w:sz w:val="20"/>
        </w:rPr>
        <w:t xml:space="preserve"> Are patients with a nasally placed feeding tube at risk of potential drug-drug interactions? A multicentre cross-sectional study. </w:t>
      </w:r>
      <w:r w:rsidRPr="00FE6339">
        <w:rPr>
          <w:rFonts w:ascii="Arial" w:hAnsi="Arial" w:cs="Arial"/>
          <w:b/>
          <w:bCs/>
          <w:sz w:val="20"/>
        </w:rPr>
        <w:t>PLOS ONE</w:t>
      </w:r>
      <w:r w:rsidRPr="00FE6339">
        <w:rPr>
          <w:rFonts w:ascii="Arial" w:hAnsi="Arial" w:cs="Arial"/>
          <w:sz w:val="20"/>
        </w:rPr>
        <w:t xml:space="preserve">, v. 14, n. 7, p. e0220248, 31 jul. 2019. </w:t>
      </w:r>
    </w:p>
    <w:p w14:paraId="2EB4FA96" w14:textId="77777777" w:rsidR="00FE6339" w:rsidRPr="00FE6339" w:rsidRDefault="00FE6339" w:rsidP="00FE6339">
      <w:pPr>
        <w:pStyle w:val="Bibliography"/>
        <w:rPr>
          <w:rFonts w:ascii="Arial" w:hAnsi="Arial" w:cs="Arial"/>
          <w:sz w:val="20"/>
        </w:rPr>
      </w:pPr>
      <w:r w:rsidRPr="00FE6339">
        <w:rPr>
          <w:rFonts w:ascii="Arial" w:hAnsi="Arial" w:cs="Arial"/>
          <w:sz w:val="20"/>
        </w:rPr>
        <w:t xml:space="preserve">GUPTA, Samir K. </w:t>
      </w:r>
      <w:r w:rsidRPr="00FE6339">
        <w:rPr>
          <w:rFonts w:ascii="Arial" w:hAnsi="Arial" w:cs="Arial"/>
          <w:i/>
          <w:iCs/>
          <w:sz w:val="20"/>
        </w:rPr>
        <w:t>et al.</w:t>
      </w:r>
      <w:r w:rsidRPr="00FE6339">
        <w:rPr>
          <w:rFonts w:ascii="Arial" w:hAnsi="Arial" w:cs="Arial"/>
          <w:sz w:val="20"/>
        </w:rPr>
        <w:t xml:space="preserve"> Multiple-dose pharmacokinetics of peginterferon alfa-2b in patients with renal insufficiency. </w:t>
      </w:r>
      <w:r w:rsidRPr="00FE6339">
        <w:rPr>
          <w:rFonts w:ascii="Arial" w:hAnsi="Arial" w:cs="Arial"/>
          <w:b/>
          <w:bCs/>
          <w:sz w:val="20"/>
        </w:rPr>
        <w:t>British Journal of Clinical Pharmacology</w:t>
      </w:r>
      <w:r w:rsidRPr="00FE6339">
        <w:rPr>
          <w:rFonts w:ascii="Arial" w:hAnsi="Arial" w:cs="Arial"/>
          <w:sz w:val="20"/>
        </w:rPr>
        <w:t xml:space="preserve">, v. 64, n. 6, p. 726–732, 2007. </w:t>
      </w:r>
    </w:p>
    <w:p w14:paraId="6FFE123F" w14:textId="77777777" w:rsidR="00FE6339" w:rsidRPr="00FE6339" w:rsidRDefault="00FE6339" w:rsidP="00FE6339">
      <w:pPr>
        <w:pStyle w:val="Bibliography"/>
        <w:rPr>
          <w:rFonts w:ascii="Arial" w:hAnsi="Arial" w:cs="Arial"/>
          <w:sz w:val="20"/>
        </w:rPr>
      </w:pPr>
      <w:r w:rsidRPr="00FE6339">
        <w:rPr>
          <w:rFonts w:ascii="Arial" w:hAnsi="Arial" w:cs="Arial"/>
          <w:sz w:val="20"/>
        </w:rPr>
        <w:t xml:space="preserve">KORUP, Signe Gejr; ALMARSDÓTTIR, Anna Birna; MAGNUSSEN, Line. Comparison of prioritisation algorithms for the selection of patients for medication reviews in the emergency department: a cross-sectional study. </w:t>
      </w:r>
      <w:r w:rsidRPr="00FE6339">
        <w:rPr>
          <w:rFonts w:ascii="Arial" w:hAnsi="Arial" w:cs="Arial"/>
          <w:b/>
          <w:bCs/>
          <w:sz w:val="20"/>
        </w:rPr>
        <w:t>International Journal of Clinical Pharmacy</w:t>
      </w:r>
      <w:r w:rsidRPr="00FE6339">
        <w:rPr>
          <w:rFonts w:ascii="Arial" w:hAnsi="Arial" w:cs="Arial"/>
          <w:sz w:val="20"/>
        </w:rPr>
        <w:t xml:space="preserve">, v. 45, n. 4, p. 884–892, 2023. </w:t>
      </w:r>
    </w:p>
    <w:p w14:paraId="010EFF37" w14:textId="77777777" w:rsidR="00FE6339" w:rsidRPr="00FE6339" w:rsidRDefault="00FE6339" w:rsidP="00FE6339">
      <w:pPr>
        <w:pStyle w:val="Bibliography"/>
        <w:rPr>
          <w:rFonts w:ascii="Arial" w:hAnsi="Arial" w:cs="Arial"/>
          <w:sz w:val="20"/>
        </w:rPr>
      </w:pPr>
      <w:r w:rsidRPr="00FE6339">
        <w:rPr>
          <w:rFonts w:ascii="Arial" w:hAnsi="Arial" w:cs="Arial"/>
          <w:sz w:val="20"/>
        </w:rPr>
        <w:t xml:space="preserve">LEE, Mirinae </w:t>
      </w:r>
      <w:r w:rsidRPr="00FE6339">
        <w:rPr>
          <w:rFonts w:ascii="Arial" w:hAnsi="Arial" w:cs="Arial"/>
          <w:i/>
          <w:iCs/>
          <w:sz w:val="20"/>
        </w:rPr>
        <w:t>et al.</w:t>
      </w:r>
      <w:r w:rsidRPr="00FE6339">
        <w:rPr>
          <w:rFonts w:ascii="Arial" w:hAnsi="Arial" w:cs="Arial"/>
          <w:sz w:val="20"/>
        </w:rPr>
        <w:t xml:space="preserve"> Development of service standards and manpower calculation criteria for hospital clinical pharmacies in South Korea: a survey-based study. </w:t>
      </w:r>
      <w:r w:rsidRPr="00FE6339">
        <w:rPr>
          <w:rFonts w:ascii="Arial" w:hAnsi="Arial" w:cs="Arial"/>
          <w:b/>
          <w:bCs/>
          <w:sz w:val="20"/>
        </w:rPr>
        <w:t>BMC Health Services Research</w:t>
      </w:r>
      <w:r w:rsidRPr="00FE6339">
        <w:rPr>
          <w:rFonts w:ascii="Arial" w:hAnsi="Arial" w:cs="Arial"/>
          <w:sz w:val="20"/>
        </w:rPr>
        <w:t xml:space="preserve">, v. 24, n. 1, p. 118, 22 jan. 2024. </w:t>
      </w:r>
    </w:p>
    <w:p w14:paraId="37618C11" w14:textId="77777777" w:rsidR="00FE6339" w:rsidRPr="00FE6339" w:rsidRDefault="00FE6339" w:rsidP="00FE6339">
      <w:pPr>
        <w:pStyle w:val="Bibliography"/>
        <w:rPr>
          <w:rFonts w:ascii="Arial" w:hAnsi="Arial" w:cs="Arial"/>
          <w:sz w:val="20"/>
        </w:rPr>
      </w:pPr>
      <w:r w:rsidRPr="00FE6339">
        <w:rPr>
          <w:rFonts w:ascii="Arial" w:hAnsi="Arial" w:cs="Arial"/>
          <w:sz w:val="20"/>
        </w:rPr>
        <w:t xml:space="preserve">LEE, Robin </w:t>
      </w:r>
      <w:r w:rsidRPr="00FE6339">
        <w:rPr>
          <w:rFonts w:ascii="Arial" w:hAnsi="Arial" w:cs="Arial"/>
          <w:i/>
          <w:iCs/>
          <w:sz w:val="20"/>
        </w:rPr>
        <w:t>et al.</w:t>
      </w:r>
      <w:r w:rsidRPr="00FE6339">
        <w:rPr>
          <w:rFonts w:ascii="Arial" w:hAnsi="Arial" w:cs="Arial"/>
          <w:sz w:val="20"/>
        </w:rPr>
        <w:t xml:space="preserve"> Evaluation of Pharmacist Intervention on Discharge Medication Reconciliation. </w:t>
      </w:r>
      <w:r w:rsidRPr="00FE6339">
        <w:rPr>
          <w:rFonts w:ascii="Arial" w:hAnsi="Arial" w:cs="Arial"/>
          <w:b/>
          <w:bCs/>
          <w:sz w:val="20"/>
        </w:rPr>
        <w:t>The Canadian Journal of Hospital Pharmacy</w:t>
      </w:r>
      <w:r w:rsidRPr="00FE6339">
        <w:rPr>
          <w:rFonts w:ascii="Arial" w:hAnsi="Arial" w:cs="Arial"/>
          <w:sz w:val="20"/>
        </w:rPr>
        <w:t xml:space="preserve">, v. 72, n. 2, p. 111–118, 2019. </w:t>
      </w:r>
    </w:p>
    <w:p w14:paraId="34472CAA" w14:textId="77777777" w:rsidR="00FE6339" w:rsidRPr="00FE6339" w:rsidRDefault="00FE6339" w:rsidP="00FE6339">
      <w:pPr>
        <w:pStyle w:val="Bibliography"/>
        <w:rPr>
          <w:rFonts w:ascii="Arial" w:hAnsi="Arial" w:cs="Arial"/>
          <w:sz w:val="20"/>
        </w:rPr>
      </w:pPr>
      <w:r w:rsidRPr="00FE6339">
        <w:rPr>
          <w:rFonts w:ascii="Arial" w:hAnsi="Arial" w:cs="Arial"/>
          <w:sz w:val="20"/>
        </w:rPr>
        <w:t xml:space="preserve">MADDEN, Angela. Handbook of drug administration via enteral feeding tubes. </w:t>
      </w:r>
      <w:r w:rsidRPr="00FE6339">
        <w:rPr>
          <w:rFonts w:ascii="Arial" w:hAnsi="Arial" w:cs="Arial"/>
          <w:b/>
          <w:bCs/>
          <w:sz w:val="20"/>
        </w:rPr>
        <w:t>Journal of Human Nutrition and Dietetics</w:t>
      </w:r>
      <w:r w:rsidRPr="00FE6339">
        <w:rPr>
          <w:rFonts w:ascii="Arial" w:hAnsi="Arial" w:cs="Arial"/>
          <w:sz w:val="20"/>
        </w:rPr>
        <w:t xml:space="preserve">, v. 20, n. 2, p. 136–136, abr. 2007. </w:t>
      </w:r>
    </w:p>
    <w:p w14:paraId="29893573" w14:textId="77777777" w:rsidR="00FE6339" w:rsidRPr="00FE6339" w:rsidRDefault="00FE6339" w:rsidP="00FE6339">
      <w:pPr>
        <w:pStyle w:val="Bibliography"/>
        <w:rPr>
          <w:rFonts w:ascii="Arial" w:hAnsi="Arial" w:cs="Arial"/>
          <w:sz w:val="20"/>
        </w:rPr>
      </w:pPr>
      <w:r w:rsidRPr="00FE6339">
        <w:rPr>
          <w:rFonts w:ascii="Arial" w:hAnsi="Arial" w:cs="Arial"/>
          <w:sz w:val="20"/>
        </w:rPr>
        <w:t xml:space="preserve">ME, Ask. Patient Safety Essentials Toolkit: 2019. </w:t>
      </w:r>
    </w:p>
    <w:p w14:paraId="0FD43F64" w14:textId="77777777" w:rsidR="00FE6339" w:rsidRPr="00FE6339" w:rsidRDefault="00FE6339" w:rsidP="00FE6339">
      <w:pPr>
        <w:pStyle w:val="Bibliography"/>
        <w:rPr>
          <w:rFonts w:ascii="Arial" w:hAnsi="Arial" w:cs="Arial"/>
          <w:sz w:val="20"/>
        </w:rPr>
      </w:pPr>
      <w:r w:rsidRPr="00FE6339">
        <w:rPr>
          <w:rFonts w:ascii="Arial" w:hAnsi="Arial" w:cs="Arial"/>
          <w:sz w:val="20"/>
        </w:rPr>
        <w:t xml:space="preserve">MORILLO-VERDUGO, Ramón </w:t>
      </w:r>
      <w:r w:rsidRPr="00FE6339">
        <w:rPr>
          <w:rFonts w:ascii="Arial" w:hAnsi="Arial" w:cs="Arial"/>
          <w:i/>
          <w:iCs/>
          <w:sz w:val="20"/>
        </w:rPr>
        <w:t>et al.</w:t>
      </w:r>
      <w:r w:rsidRPr="00FE6339">
        <w:rPr>
          <w:rFonts w:ascii="Arial" w:hAnsi="Arial" w:cs="Arial"/>
          <w:sz w:val="20"/>
        </w:rPr>
        <w:t xml:space="preserve"> Development of a risk stratification model for pharmaceutical care in HIV patients. 2017. </w:t>
      </w:r>
    </w:p>
    <w:p w14:paraId="5C90A529" w14:textId="77777777" w:rsidR="00FE6339" w:rsidRPr="00FE6339" w:rsidRDefault="00FE6339" w:rsidP="00FE6339">
      <w:pPr>
        <w:pStyle w:val="Bibliography"/>
        <w:rPr>
          <w:rFonts w:ascii="Arial" w:hAnsi="Arial" w:cs="Arial"/>
          <w:sz w:val="20"/>
        </w:rPr>
      </w:pPr>
      <w:r w:rsidRPr="00FE6339">
        <w:rPr>
          <w:rFonts w:ascii="Arial" w:hAnsi="Arial" w:cs="Arial"/>
          <w:sz w:val="20"/>
        </w:rPr>
        <w:t xml:space="preserve">NAGAO, Ken. Chest compression-only cardiocerebral resuscitation. </w:t>
      </w:r>
      <w:r w:rsidRPr="00FE6339">
        <w:rPr>
          <w:rFonts w:ascii="Arial" w:hAnsi="Arial" w:cs="Arial"/>
          <w:b/>
          <w:bCs/>
          <w:sz w:val="20"/>
        </w:rPr>
        <w:t>Current Opinion in Critical Care</w:t>
      </w:r>
      <w:r w:rsidRPr="00FE6339">
        <w:rPr>
          <w:rFonts w:ascii="Arial" w:hAnsi="Arial" w:cs="Arial"/>
          <w:sz w:val="20"/>
        </w:rPr>
        <w:t xml:space="preserve">, v. 15, n. 3, p. 189, jun. 2009. </w:t>
      </w:r>
    </w:p>
    <w:p w14:paraId="341CFAD3" w14:textId="77777777" w:rsidR="00FE6339" w:rsidRPr="00FE6339" w:rsidRDefault="00FE6339" w:rsidP="00FE6339">
      <w:pPr>
        <w:pStyle w:val="Bibliography"/>
        <w:rPr>
          <w:rFonts w:ascii="Arial" w:hAnsi="Arial" w:cs="Arial"/>
          <w:sz w:val="20"/>
        </w:rPr>
      </w:pPr>
      <w:r w:rsidRPr="00FE6339">
        <w:rPr>
          <w:rFonts w:ascii="Arial" w:hAnsi="Arial" w:cs="Arial"/>
          <w:sz w:val="20"/>
        </w:rPr>
        <w:t xml:space="preserve">NGUYEN, Tri-Long </w:t>
      </w:r>
      <w:r w:rsidRPr="00FE6339">
        <w:rPr>
          <w:rFonts w:ascii="Arial" w:hAnsi="Arial" w:cs="Arial"/>
          <w:i/>
          <w:iCs/>
          <w:sz w:val="20"/>
        </w:rPr>
        <w:t>et al.</w:t>
      </w:r>
      <w:r w:rsidRPr="00FE6339">
        <w:rPr>
          <w:rFonts w:ascii="Arial" w:hAnsi="Arial" w:cs="Arial"/>
          <w:sz w:val="20"/>
        </w:rPr>
        <w:t xml:space="preserve"> Improving medication safety: Development and impact of a multivariate model-based strategy to target high-risk patients. </w:t>
      </w:r>
      <w:r w:rsidRPr="00FE6339">
        <w:rPr>
          <w:rFonts w:ascii="Arial" w:hAnsi="Arial" w:cs="Arial"/>
          <w:b/>
          <w:bCs/>
          <w:sz w:val="20"/>
        </w:rPr>
        <w:t>PloS One</w:t>
      </w:r>
      <w:r w:rsidRPr="00FE6339">
        <w:rPr>
          <w:rFonts w:ascii="Arial" w:hAnsi="Arial" w:cs="Arial"/>
          <w:sz w:val="20"/>
        </w:rPr>
        <w:t xml:space="preserve">, v. 12, n. 2, p. e0171995, 2017. </w:t>
      </w:r>
    </w:p>
    <w:p w14:paraId="56CF3DD4" w14:textId="77777777" w:rsidR="00FE6339" w:rsidRPr="00FE6339" w:rsidRDefault="00FE6339" w:rsidP="00FE6339">
      <w:pPr>
        <w:pStyle w:val="Bibliography"/>
        <w:rPr>
          <w:rFonts w:ascii="Arial" w:hAnsi="Arial" w:cs="Arial"/>
          <w:sz w:val="20"/>
        </w:rPr>
      </w:pPr>
      <w:r w:rsidRPr="00FE6339">
        <w:rPr>
          <w:rFonts w:ascii="Arial" w:hAnsi="Arial" w:cs="Arial"/>
          <w:sz w:val="20"/>
        </w:rPr>
        <w:lastRenderedPageBreak/>
        <w:t xml:space="preserve">ODDY, Christopher </w:t>
      </w:r>
      <w:r w:rsidRPr="00FE6339">
        <w:rPr>
          <w:rFonts w:ascii="Arial" w:hAnsi="Arial" w:cs="Arial"/>
          <w:i/>
          <w:iCs/>
          <w:sz w:val="20"/>
        </w:rPr>
        <w:t>et al.</w:t>
      </w:r>
      <w:r w:rsidRPr="00FE6339">
        <w:rPr>
          <w:rFonts w:ascii="Arial" w:hAnsi="Arial" w:cs="Arial"/>
          <w:sz w:val="20"/>
        </w:rPr>
        <w:t xml:space="preserve"> Promising algorithms to perilous applications: a systematic review of risk stratification tools for predicting healthcare utilisation. </w:t>
      </w:r>
      <w:r w:rsidRPr="00FE6339">
        <w:rPr>
          <w:rFonts w:ascii="Arial" w:hAnsi="Arial" w:cs="Arial"/>
          <w:b/>
          <w:bCs/>
          <w:sz w:val="20"/>
        </w:rPr>
        <w:t>BMJ Health &amp; Care Informatics</w:t>
      </w:r>
      <w:r w:rsidRPr="00FE6339">
        <w:rPr>
          <w:rFonts w:ascii="Arial" w:hAnsi="Arial" w:cs="Arial"/>
          <w:sz w:val="20"/>
        </w:rPr>
        <w:t xml:space="preserve">, v. 31, n. 1, p. e101065, jun. 2024. </w:t>
      </w:r>
    </w:p>
    <w:p w14:paraId="6783CB4D" w14:textId="77777777" w:rsidR="00FE6339" w:rsidRPr="00FE6339" w:rsidRDefault="00FE6339" w:rsidP="00FE6339">
      <w:pPr>
        <w:pStyle w:val="Bibliography"/>
        <w:rPr>
          <w:rFonts w:ascii="Arial" w:hAnsi="Arial" w:cs="Arial"/>
          <w:sz w:val="20"/>
        </w:rPr>
      </w:pPr>
      <w:r w:rsidRPr="00FE6339">
        <w:rPr>
          <w:rFonts w:ascii="Arial" w:hAnsi="Arial" w:cs="Arial"/>
          <w:sz w:val="20"/>
        </w:rPr>
        <w:t xml:space="preserve">PANEL, By the 2019 American Geriatrics Society Beers Criteria® Update Expert. American Geriatrics Society 2019 Updated AGS Beers Criteria® for Potentially Inappropriate Medication Use in Older Adults. </w:t>
      </w:r>
      <w:r w:rsidRPr="00FE6339">
        <w:rPr>
          <w:rFonts w:ascii="Arial" w:hAnsi="Arial" w:cs="Arial"/>
          <w:b/>
          <w:bCs/>
          <w:sz w:val="20"/>
        </w:rPr>
        <w:t>Journal of the American Geriatrics Society</w:t>
      </w:r>
      <w:r w:rsidRPr="00FE6339">
        <w:rPr>
          <w:rFonts w:ascii="Arial" w:hAnsi="Arial" w:cs="Arial"/>
          <w:sz w:val="20"/>
        </w:rPr>
        <w:t xml:space="preserve">, v. 67, n. 4, p. 674–694, 2019. </w:t>
      </w:r>
    </w:p>
    <w:p w14:paraId="461B2848" w14:textId="77777777" w:rsidR="00FE6339" w:rsidRPr="00FE6339" w:rsidRDefault="00FE6339" w:rsidP="00FE6339">
      <w:pPr>
        <w:pStyle w:val="Bibliography"/>
        <w:rPr>
          <w:rFonts w:ascii="Arial" w:hAnsi="Arial" w:cs="Arial"/>
          <w:sz w:val="20"/>
        </w:rPr>
      </w:pPr>
      <w:r w:rsidRPr="00FE6339">
        <w:rPr>
          <w:rFonts w:ascii="Arial" w:hAnsi="Arial" w:cs="Arial"/>
          <w:b/>
          <w:bCs/>
          <w:sz w:val="20"/>
        </w:rPr>
        <w:t>Prioritizing Pharmaceutical Activities - Sophie Renet, Cynthia Tanguay, Kevin Hall, Jean-François Bussières, 2013</w:t>
      </w:r>
      <w:r w:rsidRPr="00FE6339">
        <w:rPr>
          <w:rFonts w:ascii="Arial" w:hAnsi="Arial" w:cs="Arial"/>
          <w:sz w:val="20"/>
        </w:rPr>
        <w:t xml:space="preserve">. Disponível em: &lt;https://journals.sagepub.com/doi/10.1177/0897190012465952&gt;. Acesso em: 22 abr. 2025. </w:t>
      </w:r>
    </w:p>
    <w:p w14:paraId="1AE52DCC" w14:textId="77777777" w:rsidR="00FE6339" w:rsidRPr="00FE6339" w:rsidRDefault="00FE6339" w:rsidP="00FE6339">
      <w:pPr>
        <w:pStyle w:val="Bibliography"/>
        <w:rPr>
          <w:rFonts w:ascii="Arial" w:hAnsi="Arial" w:cs="Arial"/>
          <w:sz w:val="20"/>
        </w:rPr>
      </w:pPr>
      <w:r w:rsidRPr="00FE6339">
        <w:rPr>
          <w:rFonts w:ascii="Arial" w:hAnsi="Arial" w:cs="Arial"/>
          <w:sz w:val="20"/>
        </w:rPr>
        <w:t xml:space="preserve">REZENDE </w:t>
      </w:r>
      <w:r w:rsidRPr="00FE6339">
        <w:rPr>
          <w:rFonts w:ascii="Arial" w:hAnsi="Arial" w:cs="Arial"/>
          <w:i/>
          <w:iCs/>
          <w:sz w:val="20"/>
        </w:rPr>
        <w:t>et al.</w:t>
      </w:r>
      <w:r w:rsidRPr="00FE6339">
        <w:rPr>
          <w:rFonts w:ascii="Arial" w:hAnsi="Arial" w:cs="Arial"/>
          <w:sz w:val="20"/>
        </w:rPr>
        <w:t xml:space="preserve"> Fully independent validation of the Matrix-INI, MERIS, and IMEPAG-group instruments for predicting preventable drug-related incidents of hospitalized patients with infectious diseases. </w:t>
      </w:r>
      <w:r w:rsidRPr="00FE6339">
        <w:rPr>
          <w:rFonts w:ascii="Arial" w:hAnsi="Arial" w:cs="Arial"/>
          <w:b/>
          <w:bCs/>
          <w:sz w:val="20"/>
        </w:rPr>
        <w:t>Brazilian Journal of Pharmaceutical Sciences</w:t>
      </w:r>
      <w:r w:rsidRPr="00FE6339">
        <w:rPr>
          <w:rFonts w:ascii="Arial" w:hAnsi="Arial" w:cs="Arial"/>
          <w:sz w:val="20"/>
        </w:rPr>
        <w:t xml:space="preserve">, 2025. </w:t>
      </w:r>
    </w:p>
    <w:p w14:paraId="651AA434" w14:textId="77777777" w:rsidR="00FE6339" w:rsidRPr="00FE6339" w:rsidRDefault="00FE6339" w:rsidP="00FE6339">
      <w:pPr>
        <w:pStyle w:val="Bibliography"/>
        <w:rPr>
          <w:rFonts w:ascii="Arial" w:hAnsi="Arial" w:cs="Arial"/>
          <w:sz w:val="20"/>
        </w:rPr>
      </w:pPr>
      <w:r w:rsidRPr="00FE6339">
        <w:rPr>
          <w:rFonts w:ascii="Arial" w:hAnsi="Arial" w:cs="Arial"/>
          <w:sz w:val="20"/>
        </w:rPr>
        <w:t xml:space="preserve">SAEDDER, Eva Aggerholm </w:t>
      </w:r>
      <w:r w:rsidRPr="00FE6339">
        <w:rPr>
          <w:rFonts w:ascii="Arial" w:hAnsi="Arial" w:cs="Arial"/>
          <w:i/>
          <w:iCs/>
          <w:sz w:val="20"/>
        </w:rPr>
        <w:t>et al.</w:t>
      </w:r>
      <w:r w:rsidRPr="00FE6339">
        <w:rPr>
          <w:rFonts w:ascii="Arial" w:hAnsi="Arial" w:cs="Arial"/>
          <w:sz w:val="20"/>
        </w:rPr>
        <w:t xml:space="preserve"> Detection of Patients at High Risk of Medication Errors: Development and Validation of an Algorithm. </w:t>
      </w:r>
      <w:r w:rsidRPr="00FE6339">
        <w:rPr>
          <w:rFonts w:ascii="Arial" w:hAnsi="Arial" w:cs="Arial"/>
          <w:b/>
          <w:bCs/>
          <w:sz w:val="20"/>
        </w:rPr>
        <w:t>Basic &amp; Clinical Pharmacology &amp; Toxicology</w:t>
      </w:r>
      <w:r w:rsidRPr="00FE6339">
        <w:rPr>
          <w:rFonts w:ascii="Arial" w:hAnsi="Arial" w:cs="Arial"/>
          <w:sz w:val="20"/>
        </w:rPr>
        <w:t xml:space="preserve">, v. 118, n. 2, p. 143–149, fev. 2016. </w:t>
      </w:r>
    </w:p>
    <w:p w14:paraId="4A1A4877" w14:textId="77777777" w:rsidR="00FE6339" w:rsidRPr="00FE6339" w:rsidRDefault="00FE6339" w:rsidP="00FE6339">
      <w:pPr>
        <w:pStyle w:val="Bibliography"/>
        <w:rPr>
          <w:rFonts w:ascii="Arial" w:hAnsi="Arial" w:cs="Arial"/>
          <w:sz w:val="20"/>
        </w:rPr>
      </w:pPr>
      <w:r w:rsidRPr="00FE6339">
        <w:rPr>
          <w:rFonts w:ascii="Arial" w:hAnsi="Arial" w:cs="Arial"/>
          <w:sz w:val="20"/>
        </w:rPr>
        <w:t xml:space="preserve">SPERANDIO DA SILVA, Gilberto Marcelo </w:t>
      </w:r>
      <w:r w:rsidRPr="00FE6339">
        <w:rPr>
          <w:rFonts w:ascii="Arial" w:hAnsi="Arial" w:cs="Arial"/>
          <w:i/>
          <w:iCs/>
          <w:sz w:val="20"/>
        </w:rPr>
        <w:t>et al.</w:t>
      </w:r>
      <w:r w:rsidRPr="00FE6339">
        <w:rPr>
          <w:rFonts w:ascii="Arial" w:hAnsi="Arial" w:cs="Arial"/>
          <w:sz w:val="20"/>
        </w:rPr>
        <w:t xml:space="preserve"> A clinical adverse drug reaction prediction model for patients with chagas disease treated with benznidazole. </w:t>
      </w:r>
      <w:r w:rsidRPr="00FE6339">
        <w:rPr>
          <w:rFonts w:ascii="Arial" w:hAnsi="Arial" w:cs="Arial"/>
          <w:b/>
          <w:bCs/>
          <w:sz w:val="20"/>
        </w:rPr>
        <w:t>Antimicrobial Agents and Chemotherapy</w:t>
      </w:r>
      <w:r w:rsidRPr="00FE6339">
        <w:rPr>
          <w:rFonts w:ascii="Arial" w:hAnsi="Arial" w:cs="Arial"/>
          <w:sz w:val="20"/>
        </w:rPr>
        <w:t xml:space="preserve">, v. 58, n. 11, p. 6371–6377, nov. 2014. </w:t>
      </w:r>
    </w:p>
    <w:p w14:paraId="6D5AD472" w14:textId="77777777" w:rsidR="00FE6339" w:rsidRPr="00FE6339" w:rsidRDefault="00FE6339" w:rsidP="00FE6339">
      <w:pPr>
        <w:pStyle w:val="Bibliography"/>
        <w:rPr>
          <w:rFonts w:ascii="Arial" w:hAnsi="Arial" w:cs="Arial"/>
          <w:sz w:val="20"/>
        </w:rPr>
      </w:pPr>
      <w:r w:rsidRPr="00FE6339">
        <w:rPr>
          <w:rFonts w:ascii="Arial" w:hAnsi="Arial" w:cs="Arial"/>
          <w:sz w:val="20"/>
        </w:rPr>
        <w:t xml:space="preserve">VINCENT, J. L. </w:t>
      </w:r>
      <w:r w:rsidRPr="00FE6339">
        <w:rPr>
          <w:rFonts w:ascii="Arial" w:hAnsi="Arial" w:cs="Arial"/>
          <w:i/>
          <w:iCs/>
          <w:sz w:val="20"/>
        </w:rPr>
        <w:t>et al.</w:t>
      </w:r>
      <w:r w:rsidRPr="00FE6339">
        <w:rPr>
          <w:rFonts w:ascii="Arial" w:hAnsi="Arial" w:cs="Arial"/>
          <w:sz w:val="20"/>
        </w:rPr>
        <w:t xml:space="preserve"> The SOFA (Sepsis-related Organ Failure Assessment) score to describe organ dysfunction/failure: On behalf of the Working Group on Sepsis-Related Problems of the European Society of Intensive Care Medicine (see contributors to the project in the appendix). </w:t>
      </w:r>
      <w:r w:rsidRPr="00FE6339">
        <w:rPr>
          <w:rFonts w:ascii="Arial" w:hAnsi="Arial" w:cs="Arial"/>
          <w:b/>
          <w:bCs/>
          <w:sz w:val="20"/>
        </w:rPr>
        <w:t>Intensive Care Medicine</w:t>
      </w:r>
      <w:r w:rsidRPr="00FE6339">
        <w:rPr>
          <w:rFonts w:ascii="Arial" w:hAnsi="Arial" w:cs="Arial"/>
          <w:sz w:val="20"/>
        </w:rPr>
        <w:t xml:space="preserve">, v. 22, n. 7, p. 707–710, jul. 1996. </w:t>
      </w:r>
    </w:p>
    <w:p w14:paraId="509503BD" w14:textId="77777777" w:rsidR="00FE6339" w:rsidRPr="00FE6339" w:rsidRDefault="00FE6339" w:rsidP="00FE6339">
      <w:pPr>
        <w:pStyle w:val="Bibliography"/>
        <w:rPr>
          <w:rFonts w:ascii="Arial" w:hAnsi="Arial" w:cs="Arial"/>
          <w:sz w:val="20"/>
        </w:rPr>
      </w:pPr>
      <w:r w:rsidRPr="00FE6339">
        <w:rPr>
          <w:rFonts w:ascii="Arial" w:hAnsi="Arial" w:cs="Arial"/>
          <w:sz w:val="20"/>
        </w:rPr>
        <w:t xml:space="preserve">WHO. </w:t>
      </w:r>
      <w:r w:rsidRPr="00FE6339">
        <w:rPr>
          <w:rFonts w:ascii="Arial" w:hAnsi="Arial" w:cs="Arial"/>
          <w:b/>
          <w:bCs/>
          <w:sz w:val="20"/>
        </w:rPr>
        <w:t>Medication Without Harm - WHO Global Patient Safety Challenge</w:t>
      </w:r>
      <w:r w:rsidRPr="00FE6339">
        <w:rPr>
          <w:rFonts w:ascii="Arial" w:hAnsi="Arial" w:cs="Arial"/>
          <w:sz w:val="20"/>
        </w:rPr>
        <w:t>. , 2017. Disponível em: &lt;https://seguridaddelpaciente.es/resources/documentos/2021/02/WHO-HIS-SDS-2017.6-eng.pdf&gt;. Acesso em: 4 nov. 2022</w:t>
      </w:r>
    </w:p>
    <w:p w14:paraId="7FBD39E8" w14:textId="77777777" w:rsidR="00FE6339" w:rsidRPr="00FE6339" w:rsidRDefault="00FE6339" w:rsidP="00FE6339">
      <w:pPr>
        <w:pStyle w:val="Bibliography"/>
        <w:rPr>
          <w:rFonts w:ascii="Arial" w:hAnsi="Arial" w:cs="Arial"/>
          <w:sz w:val="20"/>
        </w:rPr>
      </w:pPr>
      <w:r w:rsidRPr="00FE6339">
        <w:rPr>
          <w:rFonts w:ascii="Arial" w:hAnsi="Arial" w:cs="Arial"/>
          <w:sz w:val="20"/>
        </w:rPr>
        <w:t xml:space="preserve">WOOSLEY, Raymond L. Assisted prescribing: Clinical decision support with MedSafety Scan now available. </w:t>
      </w:r>
      <w:r w:rsidRPr="00FE6339">
        <w:rPr>
          <w:rFonts w:ascii="Arial" w:hAnsi="Arial" w:cs="Arial"/>
          <w:b/>
          <w:bCs/>
          <w:sz w:val="20"/>
        </w:rPr>
        <w:t>Trends in Cardiovascular Medicine</w:t>
      </w:r>
      <w:r w:rsidRPr="00FE6339">
        <w:rPr>
          <w:rFonts w:ascii="Arial" w:hAnsi="Arial" w:cs="Arial"/>
          <w:sz w:val="20"/>
        </w:rPr>
        <w:t xml:space="preserve">, v. 32, n. 1, p. 44–49, jan. 2022. </w:t>
      </w:r>
    </w:p>
    <w:p w14:paraId="196367BA" w14:textId="77777777" w:rsidR="00FE6339" w:rsidRPr="00FE6339" w:rsidRDefault="00FE6339" w:rsidP="00FE6339">
      <w:pPr>
        <w:pStyle w:val="Bibliography"/>
        <w:rPr>
          <w:rFonts w:ascii="Arial" w:hAnsi="Arial" w:cs="Arial"/>
          <w:sz w:val="20"/>
        </w:rPr>
      </w:pPr>
      <w:r w:rsidRPr="00FE6339">
        <w:rPr>
          <w:rFonts w:ascii="Arial" w:hAnsi="Arial" w:cs="Arial"/>
          <w:sz w:val="20"/>
        </w:rPr>
        <w:t xml:space="preserve">WYNANTS, Laure </w:t>
      </w:r>
      <w:r w:rsidRPr="00FE6339">
        <w:rPr>
          <w:rFonts w:ascii="Arial" w:hAnsi="Arial" w:cs="Arial"/>
          <w:i/>
          <w:iCs/>
          <w:sz w:val="20"/>
        </w:rPr>
        <w:t>et al.</w:t>
      </w:r>
      <w:r w:rsidRPr="00FE6339">
        <w:rPr>
          <w:rFonts w:ascii="Arial" w:hAnsi="Arial" w:cs="Arial"/>
          <w:sz w:val="20"/>
        </w:rPr>
        <w:t xml:space="preserve"> Prediction models for diagnosis and prognosis of covid-19: systematic review and critical appraisal. </w:t>
      </w:r>
      <w:r w:rsidRPr="00FE6339">
        <w:rPr>
          <w:rFonts w:ascii="Arial" w:hAnsi="Arial" w:cs="Arial"/>
          <w:b/>
          <w:bCs/>
          <w:sz w:val="20"/>
        </w:rPr>
        <w:t>BMJ</w:t>
      </w:r>
      <w:r w:rsidRPr="00FE6339">
        <w:rPr>
          <w:rFonts w:ascii="Arial" w:hAnsi="Arial" w:cs="Arial"/>
          <w:sz w:val="20"/>
        </w:rPr>
        <w:t xml:space="preserve">, v. 369, p. m1328, 7 abr. 2020. </w:t>
      </w:r>
    </w:p>
    <w:p w14:paraId="158F1A86" w14:textId="77777777" w:rsidR="00FE6339" w:rsidRPr="00FE6339" w:rsidRDefault="00FE6339" w:rsidP="00FE6339">
      <w:pPr>
        <w:pStyle w:val="Bibliography"/>
        <w:rPr>
          <w:rFonts w:ascii="Arial" w:hAnsi="Arial" w:cs="Arial"/>
          <w:sz w:val="20"/>
        </w:rPr>
      </w:pPr>
      <w:r w:rsidRPr="00FE6339">
        <w:rPr>
          <w:rFonts w:ascii="Arial" w:hAnsi="Arial" w:cs="Arial"/>
          <w:sz w:val="20"/>
        </w:rPr>
        <w:t xml:space="preserve">YANG, Chaoqi </w:t>
      </w:r>
      <w:r w:rsidRPr="00FE6339">
        <w:rPr>
          <w:rFonts w:ascii="Arial" w:hAnsi="Arial" w:cs="Arial"/>
          <w:i/>
          <w:iCs/>
          <w:sz w:val="20"/>
        </w:rPr>
        <w:t>et al.</w:t>
      </w:r>
      <w:r w:rsidRPr="00FE6339">
        <w:rPr>
          <w:rFonts w:ascii="Arial" w:hAnsi="Arial" w:cs="Arial"/>
          <w:sz w:val="20"/>
        </w:rPr>
        <w:t xml:space="preserve"> </w:t>
      </w:r>
      <w:r w:rsidRPr="00FE6339">
        <w:rPr>
          <w:rFonts w:ascii="Arial" w:hAnsi="Arial" w:cs="Arial"/>
          <w:b/>
          <w:bCs/>
          <w:sz w:val="20"/>
        </w:rPr>
        <w:t>Change Matters: Medication Change Prediction with Recurrent Residual Networks</w:t>
      </w:r>
      <w:r w:rsidRPr="00FE6339">
        <w:rPr>
          <w:rFonts w:ascii="Arial" w:hAnsi="Arial" w:cs="Arial"/>
          <w:sz w:val="20"/>
        </w:rPr>
        <w:t>. arXiv, , 5 maio 2021. Disponível em: &lt;http://arxiv.org/abs/2105.01876&gt;. Acesso em: 22 abr. 2025</w:t>
      </w:r>
    </w:p>
    <w:p w14:paraId="61F8B74D" w14:textId="519C9EE3" w:rsidR="00E15D09" w:rsidRPr="00DD08F0" w:rsidRDefault="001F7E8E" w:rsidP="001F7E8E">
      <w:pPr>
        <w:pStyle w:val="Body"/>
        <w:rPr>
          <w:rFonts w:ascii="Arial" w:hAnsi="Arial" w:cs="Arial"/>
          <w:sz w:val="22"/>
          <w:szCs w:val="22"/>
          <w:lang w:val="pt-BR"/>
        </w:rPr>
      </w:pPr>
      <w:r w:rsidRPr="00243B85">
        <w:rPr>
          <w:rFonts w:ascii="Arial" w:hAnsi="Arial" w:cs="Arial"/>
          <w:b/>
          <w:bCs/>
        </w:rPr>
        <w:fldChar w:fldCharType="end"/>
      </w:r>
      <w:r w:rsidR="00E15D09" w:rsidRPr="00DD08F0">
        <w:rPr>
          <w:rFonts w:ascii="Arial" w:hAnsi="Arial" w:cs="Arial"/>
          <w:sz w:val="22"/>
          <w:szCs w:val="22"/>
          <w:lang w:val="pt-BR"/>
        </w:rPr>
        <w:t> </w:t>
      </w:r>
    </w:p>
    <w:p w14:paraId="7BB12CFD" w14:textId="3F807AFC" w:rsidR="00B01FCD" w:rsidRPr="00DD08F0" w:rsidRDefault="00C47FBB" w:rsidP="00441B6F">
      <w:pPr>
        <w:pStyle w:val="DefAcrHead"/>
        <w:spacing w:after="0"/>
        <w:jc w:val="both"/>
        <w:rPr>
          <w:rFonts w:ascii="Arial" w:hAnsi="Arial" w:cs="Arial"/>
          <w:szCs w:val="22"/>
        </w:rPr>
      </w:pPr>
      <w:r w:rsidRPr="00FB3A86">
        <w:rPr>
          <w:rFonts w:ascii="Arial" w:hAnsi="Arial" w:cs="Arial"/>
        </w:rPr>
        <w:t>Definitions, Acronyms, Abbreviations</w:t>
      </w:r>
    </w:p>
    <w:p w14:paraId="18B3F911" w14:textId="77777777" w:rsidR="00243B85" w:rsidRDefault="00243B85" w:rsidP="00441B6F">
      <w:pPr>
        <w:pStyle w:val="Body"/>
        <w:spacing w:after="0"/>
        <w:rPr>
          <w:rFonts w:ascii="Arial" w:hAnsi="Arial" w:cs="Arial"/>
          <w:sz w:val="22"/>
          <w:szCs w:val="22"/>
        </w:rPr>
      </w:pPr>
    </w:p>
    <w:p w14:paraId="0237CB1D" w14:textId="77777777" w:rsidR="00243B85" w:rsidRDefault="00243B85" w:rsidP="00243B85">
      <w:pPr>
        <w:pStyle w:val="Body"/>
        <w:spacing w:after="0"/>
        <w:rPr>
          <w:rFonts w:ascii="Arial" w:hAnsi="Arial" w:cs="Arial"/>
          <w:lang w:val="pt-BR"/>
        </w:rPr>
      </w:pPr>
      <w:r w:rsidRPr="00812B97">
        <w:rPr>
          <w:rFonts w:ascii="Arial" w:hAnsi="Arial" w:cs="Arial"/>
          <w:b/>
          <w:bCs/>
          <w:lang w:val="pt-BR"/>
        </w:rPr>
        <w:t>ADR</w:t>
      </w:r>
      <w:r w:rsidRPr="00812B97">
        <w:rPr>
          <w:rFonts w:ascii="Arial" w:hAnsi="Arial" w:cs="Arial"/>
          <w:lang w:val="pt-BR"/>
        </w:rPr>
        <w:t xml:space="preserve"> – </w:t>
      </w:r>
      <w:r w:rsidRPr="00812B97">
        <w:rPr>
          <w:rFonts w:ascii="Arial" w:hAnsi="Arial" w:cs="Arial"/>
          <w:i/>
          <w:iCs/>
          <w:lang w:val="pt-BR"/>
        </w:rPr>
        <w:t>Adverse Drug Reaction</w:t>
      </w:r>
      <w:r w:rsidRPr="00812B97">
        <w:rPr>
          <w:rFonts w:ascii="Arial" w:hAnsi="Arial" w:cs="Arial"/>
          <w:lang w:val="pt-BR"/>
        </w:rPr>
        <w:t xml:space="preserve"> (Reação Adversa a Medicamentos)</w:t>
      </w:r>
    </w:p>
    <w:p w14:paraId="3177D521" w14:textId="77777777" w:rsidR="00243B85" w:rsidRPr="00812B97" w:rsidRDefault="00243B85" w:rsidP="00243B85">
      <w:pPr>
        <w:pStyle w:val="Body"/>
        <w:spacing w:after="0"/>
        <w:rPr>
          <w:rFonts w:ascii="Arial" w:hAnsi="Arial" w:cs="Arial"/>
          <w:lang w:val="pt-BR"/>
        </w:rPr>
      </w:pPr>
      <w:r w:rsidRPr="00812B97">
        <w:rPr>
          <w:rFonts w:ascii="Arial" w:hAnsi="Arial" w:cs="Arial"/>
          <w:b/>
          <w:bCs/>
          <w:lang w:val="pt-BR"/>
        </w:rPr>
        <w:t>ADE</w:t>
      </w:r>
      <w:r w:rsidRPr="00812B97">
        <w:rPr>
          <w:rFonts w:ascii="Arial" w:hAnsi="Arial" w:cs="Arial"/>
          <w:lang w:val="pt-BR"/>
        </w:rPr>
        <w:t xml:space="preserve"> – </w:t>
      </w:r>
      <w:r w:rsidRPr="00812B97">
        <w:rPr>
          <w:rFonts w:ascii="Arial" w:hAnsi="Arial" w:cs="Arial"/>
          <w:i/>
          <w:iCs/>
          <w:lang w:val="pt-BR"/>
        </w:rPr>
        <w:t>Adverse Drug Event</w:t>
      </w:r>
      <w:r w:rsidRPr="00812B97">
        <w:rPr>
          <w:rFonts w:ascii="Arial" w:hAnsi="Arial" w:cs="Arial"/>
          <w:lang w:val="pt-BR"/>
        </w:rPr>
        <w:t xml:space="preserve"> (Evento Adverso a Medicamentos)</w:t>
      </w:r>
    </w:p>
    <w:p w14:paraId="5D38124E" w14:textId="77777777" w:rsidR="00243B85" w:rsidRPr="00812B97" w:rsidRDefault="00243B85" w:rsidP="00243B85">
      <w:pPr>
        <w:pStyle w:val="Body"/>
        <w:spacing w:after="0"/>
        <w:rPr>
          <w:rFonts w:ascii="Arial" w:hAnsi="Arial" w:cs="Arial"/>
          <w:lang w:val="pt-BR"/>
        </w:rPr>
      </w:pPr>
      <w:r w:rsidRPr="00812B97">
        <w:rPr>
          <w:rFonts w:ascii="Arial" w:hAnsi="Arial" w:cs="Arial"/>
          <w:b/>
          <w:bCs/>
          <w:lang w:val="pt-BR"/>
        </w:rPr>
        <w:t>ANVISA</w:t>
      </w:r>
      <w:r w:rsidRPr="00812B97">
        <w:rPr>
          <w:rFonts w:ascii="Arial" w:hAnsi="Arial" w:cs="Arial"/>
          <w:lang w:val="pt-BR"/>
        </w:rPr>
        <w:t xml:space="preserve"> – Agência Nacional de Vigilância Sanitária (Brasil)</w:t>
      </w:r>
    </w:p>
    <w:p w14:paraId="4B231779" w14:textId="77777777" w:rsidR="00243B85" w:rsidRPr="00812B97" w:rsidRDefault="00243B85" w:rsidP="00243B85">
      <w:pPr>
        <w:pStyle w:val="Body"/>
        <w:spacing w:after="0"/>
        <w:rPr>
          <w:rFonts w:ascii="Arial" w:hAnsi="Arial" w:cs="Arial"/>
          <w:lang w:val="pt-BR"/>
        </w:rPr>
      </w:pPr>
      <w:r w:rsidRPr="00812B97">
        <w:rPr>
          <w:rFonts w:ascii="Arial" w:hAnsi="Arial" w:cs="Arial"/>
          <w:b/>
          <w:bCs/>
          <w:lang w:val="pt-BR"/>
        </w:rPr>
        <w:t>CAAE</w:t>
      </w:r>
      <w:r w:rsidRPr="00812B97">
        <w:rPr>
          <w:rFonts w:ascii="Arial" w:hAnsi="Arial" w:cs="Arial"/>
          <w:lang w:val="pt-BR"/>
        </w:rPr>
        <w:t xml:space="preserve"> – Certificado de Apresentação de Apreciação Ética</w:t>
      </w:r>
    </w:p>
    <w:p w14:paraId="1C484E55" w14:textId="77777777" w:rsidR="00243B85" w:rsidRPr="00812B97" w:rsidRDefault="00243B85" w:rsidP="00243B85">
      <w:pPr>
        <w:pStyle w:val="Body"/>
        <w:spacing w:after="0"/>
        <w:rPr>
          <w:rFonts w:ascii="Arial" w:hAnsi="Arial" w:cs="Arial"/>
          <w:lang w:val="pt-BR"/>
        </w:rPr>
      </w:pPr>
      <w:r w:rsidRPr="00812B97">
        <w:rPr>
          <w:rFonts w:ascii="Arial" w:hAnsi="Arial" w:cs="Arial"/>
          <w:b/>
          <w:bCs/>
          <w:lang w:val="pt-BR"/>
        </w:rPr>
        <w:t>COVID-19</w:t>
      </w:r>
      <w:r w:rsidRPr="00812B97">
        <w:rPr>
          <w:rFonts w:ascii="Arial" w:hAnsi="Arial" w:cs="Arial"/>
          <w:lang w:val="pt-BR"/>
        </w:rPr>
        <w:t xml:space="preserve"> – </w:t>
      </w:r>
      <w:r w:rsidRPr="00812B97">
        <w:rPr>
          <w:rFonts w:ascii="Arial" w:hAnsi="Arial" w:cs="Arial"/>
          <w:i/>
          <w:iCs/>
          <w:lang w:val="pt-BR"/>
        </w:rPr>
        <w:t>Coronavirus Disease 2019</w:t>
      </w:r>
    </w:p>
    <w:p w14:paraId="1CF1D066" w14:textId="77777777" w:rsidR="00243B85" w:rsidRPr="00812B97" w:rsidRDefault="00243B85" w:rsidP="00243B85">
      <w:pPr>
        <w:pStyle w:val="Body"/>
        <w:spacing w:after="0"/>
        <w:rPr>
          <w:rFonts w:ascii="Arial" w:hAnsi="Arial" w:cs="Arial"/>
          <w:lang w:val="pt-BR"/>
        </w:rPr>
      </w:pPr>
      <w:r w:rsidRPr="00812B97">
        <w:rPr>
          <w:rFonts w:ascii="Arial" w:hAnsi="Arial" w:cs="Arial"/>
          <w:b/>
          <w:bCs/>
          <w:lang w:val="pt-BR"/>
        </w:rPr>
        <w:lastRenderedPageBreak/>
        <w:t>DDI</w:t>
      </w:r>
      <w:r w:rsidRPr="00812B97">
        <w:rPr>
          <w:rFonts w:ascii="Arial" w:hAnsi="Arial" w:cs="Arial"/>
          <w:lang w:val="pt-BR"/>
        </w:rPr>
        <w:t xml:space="preserve"> – </w:t>
      </w:r>
      <w:r w:rsidRPr="00812B97">
        <w:rPr>
          <w:rFonts w:ascii="Arial" w:hAnsi="Arial" w:cs="Arial"/>
          <w:i/>
          <w:iCs/>
          <w:lang w:val="pt-BR"/>
        </w:rPr>
        <w:t>Drug–Drug Interaction</w:t>
      </w:r>
      <w:r w:rsidRPr="00812B97">
        <w:rPr>
          <w:rFonts w:ascii="Arial" w:hAnsi="Arial" w:cs="Arial"/>
          <w:lang w:val="pt-BR"/>
        </w:rPr>
        <w:t xml:space="preserve"> (Interação Medicamentosa)</w:t>
      </w:r>
    </w:p>
    <w:p w14:paraId="03D49168" w14:textId="77777777" w:rsidR="00243B85" w:rsidRPr="00812B97" w:rsidRDefault="00243B85" w:rsidP="00243B85">
      <w:pPr>
        <w:pStyle w:val="Body"/>
        <w:spacing w:after="0"/>
        <w:rPr>
          <w:rFonts w:ascii="Arial" w:hAnsi="Arial" w:cs="Arial"/>
          <w:lang w:val="pt-BR"/>
        </w:rPr>
      </w:pPr>
      <w:r w:rsidRPr="00812B97">
        <w:rPr>
          <w:rFonts w:ascii="Arial" w:hAnsi="Arial" w:cs="Arial"/>
          <w:b/>
          <w:bCs/>
          <w:lang w:val="pt-BR"/>
        </w:rPr>
        <w:t>DRP</w:t>
      </w:r>
      <w:r w:rsidRPr="00812B97">
        <w:rPr>
          <w:rFonts w:ascii="Arial" w:hAnsi="Arial" w:cs="Arial"/>
          <w:lang w:val="pt-BR"/>
        </w:rPr>
        <w:t xml:space="preserve"> – </w:t>
      </w:r>
      <w:r w:rsidRPr="00812B97">
        <w:rPr>
          <w:rFonts w:ascii="Arial" w:hAnsi="Arial" w:cs="Arial"/>
          <w:i/>
          <w:iCs/>
          <w:lang w:val="pt-BR"/>
        </w:rPr>
        <w:t>Drug-Related Problem</w:t>
      </w:r>
      <w:r w:rsidRPr="00812B97">
        <w:rPr>
          <w:rFonts w:ascii="Arial" w:hAnsi="Arial" w:cs="Arial"/>
          <w:lang w:val="pt-BR"/>
        </w:rPr>
        <w:t xml:space="preserve"> (Problema Relacionado a Medicamentos)</w:t>
      </w:r>
    </w:p>
    <w:p w14:paraId="0CDAE6AD" w14:textId="77777777" w:rsidR="00243B85" w:rsidRPr="00812B97" w:rsidRDefault="00243B85" w:rsidP="00243B85">
      <w:pPr>
        <w:pStyle w:val="Body"/>
        <w:spacing w:after="0"/>
        <w:rPr>
          <w:rFonts w:ascii="Arial" w:hAnsi="Arial" w:cs="Arial"/>
          <w:lang w:val="pt-BR"/>
        </w:rPr>
      </w:pPr>
      <w:r w:rsidRPr="00812B97">
        <w:rPr>
          <w:rFonts w:ascii="Arial" w:hAnsi="Arial" w:cs="Arial"/>
          <w:b/>
          <w:bCs/>
          <w:lang w:val="pt-BR"/>
        </w:rPr>
        <w:t>DRI</w:t>
      </w:r>
      <w:r w:rsidRPr="00812B97">
        <w:rPr>
          <w:rFonts w:ascii="Arial" w:hAnsi="Arial" w:cs="Arial"/>
          <w:lang w:val="pt-BR"/>
        </w:rPr>
        <w:t xml:space="preserve"> – </w:t>
      </w:r>
      <w:r w:rsidRPr="00812B97">
        <w:rPr>
          <w:rFonts w:ascii="Arial" w:hAnsi="Arial" w:cs="Arial"/>
          <w:i/>
          <w:iCs/>
          <w:lang w:val="pt-BR"/>
        </w:rPr>
        <w:t>Drug-Related Incident</w:t>
      </w:r>
      <w:r w:rsidRPr="00812B97">
        <w:rPr>
          <w:rFonts w:ascii="Arial" w:hAnsi="Arial" w:cs="Arial"/>
          <w:lang w:val="pt-BR"/>
        </w:rPr>
        <w:t xml:space="preserve"> (Incidente Relacionado a Medicamentos)</w:t>
      </w:r>
    </w:p>
    <w:p w14:paraId="44D02E8C" w14:textId="77777777" w:rsidR="00243B85" w:rsidRPr="00812B97" w:rsidRDefault="00243B85" w:rsidP="00243B85">
      <w:pPr>
        <w:pStyle w:val="Body"/>
        <w:spacing w:after="0"/>
        <w:rPr>
          <w:rFonts w:ascii="Arial" w:hAnsi="Arial" w:cs="Arial"/>
          <w:lang w:val="pt-BR"/>
        </w:rPr>
      </w:pPr>
      <w:r w:rsidRPr="00812B97">
        <w:rPr>
          <w:rFonts w:ascii="Arial" w:hAnsi="Arial" w:cs="Arial"/>
          <w:b/>
          <w:bCs/>
          <w:lang w:val="pt-BR"/>
        </w:rPr>
        <w:t>Fiocruz</w:t>
      </w:r>
      <w:r w:rsidRPr="00812B97">
        <w:rPr>
          <w:rFonts w:ascii="Arial" w:hAnsi="Arial" w:cs="Arial"/>
          <w:lang w:val="pt-BR"/>
        </w:rPr>
        <w:t xml:space="preserve"> – Fundação Oswaldo Cruz</w:t>
      </w:r>
    </w:p>
    <w:p w14:paraId="01969771" w14:textId="77777777" w:rsidR="00243B85" w:rsidRPr="00812B97" w:rsidRDefault="00243B85" w:rsidP="00243B85">
      <w:pPr>
        <w:pStyle w:val="Body"/>
        <w:spacing w:after="0"/>
        <w:rPr>
          <w:rFonts w:ascii="Arial" w:hAnsi="Arial" w:cs="Arial"/>
          <w:lang w:val="pt-BR"/>
        </w:rPr>
      </w:pPr>
      <w:r w:rsidRPr="00812B97">
        <w:rPr>
          <w:rFonts w:ascii="Arial" w:hAnsi="Arial" w:cs="Arial"/>
          <w:b/>
          <w:bCs/>
          <w:lang w:val="pt-BR"/>
        </w:rPr>
        <w:t>HIV/AIDS</w:t>
      </w:r>
      <w:r w:rsidRPr="00812B97">
        <w:rPr>
          <w:rFonts w:ascii="Arial" w:hAnsi="Arial" w:cs="Arial"/>
          <w:lang w:val="pt-BR"/>
        </w:rPr>
        <w:t xml:space="preserve"> – </w:t>
      </w:r>
      <w:r w:rsidRPr="00812B97">
        <w:rPr>
          <w:rFonts w:ascii="Arial" w:hAnsi="Arial" w:cs="Arial"/>
          <w:i/>
          <w:iCs/>
          <w:lang w:val="pt-BR"/>
        </w:rPr>
        <w:t>Human Immunodeficiency Virus / Acquired Immunodeficiency Syndrome</w:t>
      </w:r>
    </w:p>
    <w:p w14:paraId="093C70B8" w14:textId="77777777" w:rsidR="00243B85" w:rsidRPr="00812B97" w:rsidRDefault="00243B85" w:rsidP="00243B85">
      <w:pPr>
        <w:pStyle w:val="Body"/>
        <w:spacing w:after="0"/>
        <w:rPr>
          <w:rFonts w:ascii="Arial" w:hAnsi="Arial" w:cs="Arial"/>
          <w:lang w:val="pt-BR"/>
        </w:rPr>
      </w:pPr>
      <w:r w:rsidRPr="00812B97">
        <w:rPr>
          <w:rFonts w:ascii="Arial" w:hAnsi="Arial" w:cs="Arial"/>
          <w:b/>
          <w:bCs/>
          <w:lang w:val="pt-BR"/>
        </w:rPr>
        <w:t>ICU</w:t>
      </w:r>
      <w:r w:rsidRPr="00812B97">
        <w:rPr>
          <w:rFonts w:ascii="Arial" w:hAnsi="Arial" w:cs="Arial"/>
          <w:lang w:val="pt-BR"/>
        </w:rPr>
        <w:t xml:space="preserve"> – </w:t>
      </w:r>
      <w:r w:rsidRPr="00812B97">
        <w:rPr>
          <w:rFonts w:ascii="Arial" w:hAnsi="Arial" w:cs="Arial"/>
          <w:i/>
          <w:iCs/>
          <w:lang w:val="pt-BR"/>
        </w:rPr>
        <w:t>Intensive Care Unit</w:t>
      </w:r>
      <w:r w:rsidRPr="00812B97">
        <w:rPr>
          <w:rFonts w:ascii="Arial" w:hAnsi="Arial" w:cs="Arial"/>
          <w:lang w:val="pt-BR"/>
        </w:rPr>
        <w:t xml:space="preserve"> (Unidade de Terapia Intensiva)</w:t>
      </w:r>
    </w:p>
    <w:p w14:paraId="6EBCEBD4" w14:textId="77777777" w:rsidR="00243B85" w:rsidRPr="00812B97" w:rsidRDefault="00243B85" w:rsidP="00243B85">
      <w:pPr>
        <w:pStyle w:val="Body"/>
        <w:spacing w:after="0"/>
        <w:rPr>
          <w:rFonts w:ascii="Arial" w:hAnsi="Arial" w:cs="Arial"/>
          <w:lang w:val="pt-BR"/>
        </w:rPr>
      </w:pPr>
      <w:r w:rsidRPr="00812B97">
        <w:rPr>
          <w:rFonts w:ascii="Arial" w:hAnsi="Arial" w:cs="Arial"/>
          <w:b/>
          <w:bCs/>
          <w:lang w:val="pt-BR"/>
        </w:rPr>
        <w:t>INI</w:t>
      </w:r>
      <w:r w:rsidRPr="00812B97">
        <w:rPr>
          <w:rFonts w:ascii="Arial" w:hAnsi="Arial" w:cs="Arial"/>
          <w:lang w:val="pt-BR"/>
        </w:rPr>
        <w:t xml:space="preserve"> – Instituto Nacional de Infectologia Evandro Chagas</w:t>
      </w:r>
    </w:p>
    <w:p w14:paraId="60B01711" w14:textId="5BD9B422" w:rsidR="00243B85" w:rsidRPr="00812B97" w:rsidRDefault="00243B85" w:rsidP="00243B85">
      <w:pPr>
        <w:pStyle w:val="Body"/>
        <w:spacing w:after="0"/>
        <w:rPr>
          <w:rFonts w:ascii="Arial" w:hAnsi="Arial" w:cs="Arial"/>
          <w:lang w:val="pt-BR"/>
        </w:rPr>
      </w:pPr>
      <w:r w:rsidRPr="00812B97">
        <w:rPr>
          <w:rFonts w:ascii="Arial" w:hAnsi="Arial" w:cs="Arial"/>
          <w:b/>
          <w:bCs/>
          <w:lang w:val="pt-BR"/>
        </w:rPr>
        <w:t>PDRI</w:t>
      </w:r>
      <w:r w:rsidRPr="00812B97">
        <w:rPr>
          <w:rFonts w:ascii="Arial" w:hAnsi="Arial" w:cs="Arial"/>
          <w:lang w:val="pt-BR"/>
        </w:rPr>
        <w:t xml:space="preserve"> – </w:t>
      </w:r>
      <w:r w:rsidRPr="00812B97">
        <w:rPr>
          <w:rFonts w:ascii="Arial" w:hAnsi="Arial" w:cs="Arial"/>
          <w:i/>
          <w:iCs/>
          <w:lang w:val="pt-BR"/>
        </w:rPr>
        <w:t>Preventable Drug-Related Incident</w:t>
      </w:r>
      <w:r w:rsidR="007E53CE">
        <w:rPr>
          <w:rFonts w:ascii="Arial" w:hAnsi="Arial" w:cs="Arial"/>
          <w:i/>
          <w:iCs/>
          <w:lang w:val="pt-BR"/>
        </w:rPr>
        <w:t>s</w:t>
      </w:r>
      <w:r w:rsidRPr="00812B97">
        <w:rPr>
          <w:rFonts w:ascii="Arial" w:hAnsi="Arial" w:cs="Arial"/>
          <w:lang w:val="pt-BR"/>
        </w:rPr>
        <w:t xml:space="preserve"> (Incidente Prevenível Relacionado a Medicamentos)</w:t>
      </w:r>
    </w:p>
    <w:p w14:paraId="5E71D0C0" w14:textId="77777777" w:rsidR="00243B85" w:rsidRPr="00812B97" w:rsidRDefault="00243B85" w:rsidP="00243B85">
      <w:pPr>
        <w:pStyle w:val="Body"/>
        <w:spacing w:after="0"/>
        <w:rPr>
          <w:rFonts w:ascii="Arial" w:hAnsi="Arial" w:cs="Arial"/>
          <w:lang w:val="pt-BR"/>
        </w:rPr>
      </w:pPr>
      <w:r w:rsidRPr="00812B97">
        <w:rPr>
          <w:rFonts w:ascii="Arial" w:hAnsi="Arial" w:cs="Arial"/>
          <w:b/>
          <w:bCs/>
          <w:lang w:val="pt-BR"/>
        </w:rPr>
        <w:t>SAC</w:t>
      </w:r>
      <w:r w:rsidRPr="00812B97">
        <w:rPr>
          <w:rFonts w:ascii="Arial" w:hAnsi="Arial" w:cs="Arial"/>
          <w:lang w:val="pt-BR"/>
        </w:rPr>
        <w:t xml:space="preserve"> – </w:t>
      </w:r>
      <w:r w:rsidRPr="00812B97">
        <w:rPr>
          <w:rFonts w:ascii="Arial" w:hAnsi="Arial" w:cs="Arial"/>
          <w:i/>
          <w:iCs/>
          <w:lang w:val="pt-BR"/>
        </w:rPr>
        <w:t>Severity Assessment Code</w:t>
      </w:r>
      <w:r w:rsidRPr="00812B97">
        <w:rPr>
          <w:rFonts w:ascii="Arial" w:hAnsi="Arial" w:cs="Arial"/>
          <w:lang w:val="pt-BR"/>
        </w:rPr>
        <w:t xml:space="preserve"> (Código de Avaliação de Severidade)</w:t>
      </w:r>
    </w:p>
    <w:p w14:paraId="4F622CF7" w14:textId="77777777" w:rsidR="00243B85" w:rsidRPr="00812B97" w:rsidRDefault="00243B85" w:rsidP="00243B85">
      <w:pPr>
        <w:pStyle w:val="Body"/>
        <w:spacing w:after="0"/>
        <w:rPr>
          <w:rFonts w:ascii="Arial" w:hAnsi="Arial" w:cs="Arial"/>
          <w:lang w:val="pt-BR"/>
        </w:rPr>
      </w:pPr>
      <w:r w:rsidRPr="00812B97">
        <w:rPr>
          <w:rFonts w:ascii="Arial" w:hAnsi="Arial" w:cs="Arial"/>
          <w:b/>
          <w:bCs/>
          <w:lang w:val="pt-BR"/>
        </w:rPr>
        <w:t>WHO</w:t>
      </w:r>
      <w:r w:rsidRPr="00812B97">
        <w:rPr>
          <w:rFonts w:ascii="Arial" w:hAnsi="Arial" w:cs="Arial"/>
          <w:lang w:val="pt-BR"/>
        </w:rPr>
        <w:t xml:space="preserve"> – </w:t>
      </w:r>
      <w:r w:rsidRPr="00812B97">
        <w:rPr>
          <w:rFonts w:ascii="Arial" w:hAnsi="Arial" w:cs="Arial"/>
          <w:i/>
          <w:iCs/>
          <w:lang w:val="pt-BR"/>
        </w:rPr>
        <w:t>World Health Organization</w:t>
      </w:r>
      <w:r w:rsidRPr="00812B97">
        <w:rPr>
          <w:rFonts w:ascii="Arial" w:hAnsi="Arial" w:cs="Arial"/>
          <w:lang w:val="pt-BR"/>
        </w:rPr>
        <w:t xml:space="preserve"> (Organização Mundial da Saúde)</w:t>
      </w:r>
    </w:p>
    <w:p w14:paraId="0463EA0F" w14:textId="77777777" w:rsidR="00243B85" w:rsidRPr="00FB3A86" w:rsidRDefault="00243B85" w:rsidP="00243B85">
      <w:pPr>
        <w:pStyle w:val="Body"/>
        <w:spacing w:after="0"/>
        <w:rPr>
          <w:rFonts w:ascii="Arial" w:hAnsi="Arial" w:cs="Arial"/>
        </w:rPr>
      </w:pPr>
    </w:p>
    <w:p w14:paraId="77C7723A" w14:textId="77777777" w:rsidR="00790ADA" w:rsidRPr="00DD08F0" w:rsidRDefault="00790ADA" w:rsidP="00441B6F">
      <w:pPr>
        <w:pStyle w:val="Body"/>
        <w:spacing w:after="0"/>
        <w:rPr>
          <w:rFonts w:ascii="Arial" w:hAnsi="Arial" w:cs="Arial"/>
          <w:sz w:val="22"/>
          <w:szCs w:val="22"/>
        </w:rPr>
      </w:pPr>
    </w:p>
    <w:p w14:paraId="3976252A" w14:textId="674AF071" w:rsidR="00C47FBB" w:rsidRPr="00C47FBB" w:rsidRDefault="00C47FBB" w:rsidP="00441B6F">
      <w:pPr>
        <w:pStyle w:val="Appendix"/>
        <w:spacing w:after="0"/>
        <w:jc w:val="both"/>
        <w:rPr>
          <w:rFonts w:ascii="Arial" w:hAnsi="Arial" w:cs="Arial"/>
          <w:b w:val="0"/>
          <w:bCs/>
          <w:szCs w:val="22"/>
        </w:rPr>
        <w:sectPr w:rsidR="00C47FBB" w:rsidRPr="00C47FBB" w:rsidSect="00D0609F">
          <w:type w:val="nextColumn"/>
          <w:pgSz w:w="12240" w:h="15840"/>
          <w:pgMar w:top="1440" w:right="2016" w:bottom="2016" w:left="2016" w:header="720" w:footer="1123" w:gutter="0"/>
          <w:cols w:space="720"/>
          <w:docGrid w:linePitch="272"/>
        </w:sectPr>
      </w:pPr>
    </w:p>
    <w:p w14:paraId="047C8D1C" w14:textId="10746CB0" w:rsidR="00B01FCD" w:rsidRPr="00DD08F0" w:rsidRDefault="00B01FCD" w:rsidP="00441B6F">
      <w:pPr>
        <w:pStyle w:val="Appendix"/>
        <w:spacing w:after="0"/>
        <w:jc w:val="both"/>
        <w:rPr>
          <w:rFonts w:ascii="Arial" w:hAnsi="Arial" w:cs="Arial"/>
          <w:b w:val="0"/>
          <w:szCs w:val="22"/>
        </w:rPr>
      </w:pPr>
    </w:p>
    <w:sectPr w:rsidR="00B01FCD" w:rsidRPr="00DD08F0" w:rsidSect="00D0609F">
      <w:type w:val="nextColumn"/>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EA48D" w14:textId="77777777" w:rsidR="00324206" w:rsidRDefault="00324206" w:rsidP="00C37E61">
      <w:r>
        <w:separator/>
      </w:r>
    </w:p>
  </w:endnote>
  <w:endnote w:type="continuationSeparator" w:id="0">
    <w:p w14:paraId="3D0752F3" w14:textId="77777777" w:rsidR="00324206" w:rsidRDefault="0032420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3770" w14:textId="77777777" w:rsidR="00D0609F" w:rsidRDefault="00D06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8DF5" w14:textId="77777777" w:rsidR="00D0609F" w:rsidRDefault="00D060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6970" w14:textId="19DD8498" w:rsidR="00754C9A" w:rsidRPr="00D0609F" w:rsidRDefault="00754C9A" w:rsidP="00D060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B91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BC7C4" w14:textId="77777777" w:rsidR="00324206" w:rsidRDefault="00324206" w:rsidP="00C37E61">
      <w:r>
        <w:separator/>
      </w:r>
    </w:p>
  </w:footnote>
  <w:footnote w:type="continuationSeparator" w:id="0">
    <w:p w14:paraId="2F4457F5" w14:textId="77777777" w:rsidR="00324206" w:rsidRDefault="0032420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6F88" w14:textId="325855C3" w:rsidR="00D0609F" w:rsidRDefault="00000000">
    <w:pPr>
      <w:pStyle w:val="Header"/>
    </w:pPr>
    <w:r>
      <w:rPr>
        <w:noProof/>
      </w:rPr>
      <w:pict w14:anchorId="6AC8B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14115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12C5D" w14:textId="21153B93" w:rsidR="00D0609F" w:rsidRDefault="00000000">
    <w:pPr>
      <w:pStyle w:val="Header"/>
    </w:pPr>
    <w:r>
      <w:rPr>
        <w:noProof/>
      </w:rPr>
      <w:pict w14:anchorId="5CFE4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14115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B969" w14:textId="5C58541E" w:rsidR="00296529" w:rsidRPr="00296529" w:rsidRDefault="00000000" w:rsidP="00296529">
    <w:pPr>
      <w:ind w:left="2160"/>
      <w:jc w:val="center"/>
      <w:rPr>
        <w:rFonts w:ascii="Times New Roman" w:eastAsia="Calibri" w:hAnsi="Times New Roman"/>
        <w:i/>
        <w:sz w:val="18"/>
        <w:szCs w:val="22"/>
      </w:rPr>
    </w:pPr>
    <w:r>
      <w:rPr>
        <w:noProof/>
      </w:rPr>
      <w:pict w14:anchorId="4FF09A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14115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41DB81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32C97D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C8BC4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0FEC1F6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7E807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0128C2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2340A" w14:textId="101E3175" w:rsidR="00D0609F" w:rsidRDefault="00000000">
    <w:pPr>
      <w:pStyle w:val="Header"/>
    </w:pPr>
    <w:r>
      <w:rPr>
        <w:noProof/>
      </w:rPr>
      <w:pict w14:anchorId="1CD771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14116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AEBB" w14:textId="4817A76C" w:rsidR="00352CC7" w:rsidRPr="0039545A" w:rsidRDefault="00000000">
    <w:pPr>
      <w:pStyle w:val="Header"/>
      <w:jc w:val="right"/>
    </w:pPr>
    <w:r>
      <w:rPr>
        <w:noProof/>
      </w:rPr>
      <w:pict w14:anchorId="06E63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141161" o:spid="_x0000_s1030" type="#_x0000_t136" style="position:absolute;left:0;text-align:left;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BC18D8" w14:textId="77777777" w:rsidR="00352CC7" w:rsidRPr="0039545A" w:rsidRDefault="00352CC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2895E" w14:textId="0CE0D554" w:rsidR="00D0609F" w:rsidRDefault="00000000">
    <w:pPr>
      <w:pStyle w:val="Header"/>
    </w:pPr>
    <w:r>
      <w:rPr>
        <w:noProof/>
      </w:rPr>
      <w:pict w14:anchorId="09F81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14115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2998" w14:textId="363803CB" w:rsidR="00D0609F" w:rsidRDefault="00000000">
    <w:pPr>
      <w:pStyle w:val="Header"/>
    </w:pPr>
    <w:r>
      <w:rPr>
        <w:noProof/>
      </w:rPr>
      <w:pict w14:anchorId="28A75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141163" o:spid="_x0000_s1032"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DD6A" w14:textId="100E9101" w:rsidR="00D0609F" w:rsidRDefault="00000000">
    <w:pPr>
      <w:pStyle w:val="Header"/>
    </w:pPr>
    <w:r>
      <w:rPr>
        <w:noProof/>
      </w:rPr>
      <w:pict w14:anchorId="15BD0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141164" o:spid="_x0000_s1033"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E419" w14:textId="11B09CA5" w:rsidR="00D0609F" w:rsidRDefault="00000000">
    <w:pPr>
      <w:pStyle w:val="Header"/>
    </w:pPr>
    <w:r>
      <w:rPr>
        <w:noProof/>
      </w:rPr>
      <w:pict w14:anchorId="617647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141162" o:spid="_x0000_s1031"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42E34"/>
    <w:multiLevelType w:val="multilevel"/>
    <w:tmpl w:val="040C001D"/>
    <w:styleLink w:val="Defaultul"/>
    <w:lvl w:ilvl="0">
      <w:start w:val="1"/>
      <w:numFmt w:val="bullet"/>
      <w:lvlText w:val="•"/>
      <w:lvlJc w:val="left"/>
      <w:pPr>
        <w:ind w:left="360" w:hanging="360"/>
      </w:pPr>
      <w:rPr>
        <w:rFonts w:ascii="Times New Roman" w:hAnsi="Times New Roman" w:cs="Times New Roman" w:hint="default"/>
        <w:color w:val="943634" w:themeColor="accent2" w:themeShade="BF"/>
        <w:sz w:val="40"/>
      </w:rPr>
    </w:lvl>
    <w:lvl w:ilvl="1">
      <w:start w:val="1"/>
      <w:numFmt w:val="bullet"/>
      <w:lvlText w:val=""/>
      <w:lvlJc w:val="left"/>
      <w:pPr>
        <w:ind w:left="720" w:hanging="360"/>
      </w:pPr>
      <w:rPr>
        <w:rFonts w:ascii="Symbol" w:hAnsi="Symbol" w:cs="Times New Roman" w:hint="default"/>
        <w:color w:val="FF0000"/>
        <w:sz w:val="24"/>
      </w:rPr>
    </w:lvl>
    <w:lvl w:ilvl="2">
      <w:start w:val="1"/>
      <w:numFmt w:val="bullet"/>
      <w:lvlText w:val=""/>
      <w:lvlJc w:val="left"/>
      <w:pPr>
        <w:ind w:left="1080" w:hanging="360"/>
      </w:pPr>
      <w:rPr>
        <w:rFonts w:ascii="Symbol" w:hAnsi="Symbol" w:cs="Times New Roman" w:hint="default"/>
        <w:color w:val="92CDDC" w:themeColor="accent5" w:themeTint="99"/>
        <w:sz w:val="24"/>
      </w:rPr>
    </w:lvl>
    <w:lvl w:ilvl="3">
      <w:start w:val="1"/>
      <w:numFmt w:val="bullet"/>
      <w:lvlText w:val="à"/>
      <w:lvlJc w:val="left"/>
      <w:pPr>
        <w:ind w:left="1440" w:hanging="360"/>
      </w:pPr>
      <w:rPr>
        <w:rFonts w:ascii="Wingdings" w:hAnsi="Wingdings" w:cs="Times New Roman" w:hint="default"/>
        <w:color w:val="000000" w:themeColor="text1"/>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24A70B7"/>
    <w:multiLevelType w:val="multilevel"/>
    <w:tmpl w:val="4B88F872"/>
    <w:styleLink w:val="Defaultol"/>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215506258">
    <w:abstractNumId w:val="2"/>
  </w:num>
  <w:num w:numId="2" w16cid:durableId="526717875">
    <w:abstractNumId w:val="0"/>
  </w:num>
  <w:num w:numId="3" w16cid:durableId="180612103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53932"/>
    <w:rsid w:val="000572C7"/>
    <w:rsid w:val="000A47FA"/>
    <w:rsid w:val="000A65D3"/>
    <w:rsid w:val="000B1E33"/>
    <w:rsid w:val="000D05B4"/>
    <w:rsid w:val="000D689F"/>
    <w:rsid w:val="000E7B7B"/>
    <w:rsid w:val="000E7D62"/>
    <w:rsid w:val="000F5131"/>
    <w:rsid w:val="00103357"/>
    <w:rsid w:val="00123C9F"/>
    <w:rsid w:val="00126190"/>
    <w:rsid w:val="00130F17"/>
    <w:rsid w:val="001320BF"/>
    <w:rsid w:val="00154BEC"/>
    <w:rsid w:val="00163BC4"/>
    <w:rsid w:val="00181D4F"/>
    <w:rsid w:val="00191062"/>
    <w:rsid w:val="00192B72"/>
    <w:rsid w:val="001A29D8"/>
    <w:rsid w:val="001A5CAA"/>
    <w:rsid w:val="001A6C42"/>
    <w:rsid w:val="001B0427"/>
    <w:rsid w:val="001C2225"/>
    <w:rsid w:val="001C28E1"/>
    <w:rsid w:val="001D3A51"/>
    <w:rsid w:val="001D6038"/>
    <w:rsid w:val="001E10D2"/>
    <w:rsid w:val="001E25B4"/>
    <w:rsid w:val="001E44FE"/>
    <w:rsid w:val="001F7E8E"/>
    <w:rsid w:val="00200595"/>
    <w:rsid w:val="00204835"/>
    <w:rsid w:val="00231920"/>
    <w:rsid w:val="0023195C"/>
    <w:rsid w:val="00237BDF"/>
    <w:rsid w:val="0024282C"/>
    <w:rsid w:val="00243B85"/>
    <w:rsid w:val="002460DC"/>
    <w:rsid w:val="00250985"/>
    <w:rsid w:val="002556F6"/>
    <w:rsid w:val="00283105"/>
    <w:rsid w:val="00284C4C"/>
    <w:rsid w:val="00287E68"/>
    <w:rsid w:val="002952C8"/>
    <w:rsid w:val="00296529"/>
    <w:rsid w:val="002B27FB"/>
    <w:rsid w:val="002B685A"/>
    <w:rsid w:val="002C57D2"/>
    <w:rsid w:val="002E0D56"/>
    <w:rsid w:val="00315186"/>
    <w:rsid w:val="00324206"/>
    <w:rsid w:val="0033343E"/>
    <w:rsid w:val="00334811"/>
    <w:rsid w:val="003512C2"/>
    <w:rsid w:val="00352CC7"/>
    <w:rsid w:val="00371FB6"/>
    <w:rsid w:val="003763C1"/>
    <w:rsid w:val="00376BBE"/>
    <w:rsid w:val="00391010"/>
    <w:rsid w:val="0039198C"/>
    <w:rsid w:val="0039224F"/>
    <w:rsid w:val="003A43A4"/>
    <w:rsid w:val="003A7E18"/>
    <w:rsid w:val="003B664E"/>
    <w:rsid w:val="003C4C86"/>
    <w:rsid w:val="003C6258"/>
    <w:rsid w:val="003E2904"/>
    <w:rsid w:val="00401927"/>
    <w:rsid w:val="0041027F"/>
    <w:rsid w:val="00412475"/>
    <w:rsid w:val="00423789"/>
    <w:rsid w:val="00440F43"/>
    <w:rsid w:val="00441B6F"/>
    <w:rsid w:val="00446221"/>
    <w:rsid w:val="004467A0"/>
    <w:rsid w:val="00450E62"/>
    <w:rsid w:val="004532BA"/>
    <w:rsid w:val="004539DB"/>
    <w:rsid w:val="00454CF6"/>
    <w:rsid w:val="00457B97"/>
    <w:rsid w:val="00471A80"/>
    <w:rsid w:val="004B00A9"/>
    <w:rsid w:val="004C7BC9"/>
    <w:rsid w:val="004D305E"/>
    <w:rsid w:val="004D4277"/>
    <w:rsid w:val="00502516"/>
    <w:rsid w:val="00505F06"/>
    <w:rsid w:val="00506828"/>
    <w:rsid w:val="0053056E"/>
    <w:rsid w:val="00554FDA"/>
    <w:rsid w:val="00577726"/>
    <w:rsid w:val="00585568"/>
    <w:rsid w:val="005C43D9"/>
    <w:rsid w:val="005C784C"/>
    <w:rsid w:val="005C786F"/>
    <w:rsid w:val="005D17F6"/>
    <w:rsid w:val="005E5539"/>
    <w:rsid w:val="00602BF5"/>
    <w:rsid w:val="00617FDD"/>
    <w:rsid w:val="00633614"/>
    <w:rsid w:val="00633EC6"/>
    <w:rsid w:val="00633F68"/>
    <w:rsid w:val="00636EB2"/>
    <w:rsid w:val="006375B8"/>
    <w:rsid w:val="00652DA3"/>
    <w:rsid w:val="0066510A"/>
    <w:rsid w:val="00673F9F"/>
    <w:rsid w:val="00686953"/>
    <w:rsid w:val="00687DEA"/>
    <w:rsid w:val="00687E67"/>
    <w:rsid w:val="006967F7"/>
    <w:rsid w:val="006A250C"/>
    <w:rsid w:val="006A5EFE"/>
    <w:rsid w:val="006B21D3"/>
    <w:rsid w:val="006B57D0"/>
    <w:rsid w:val="006D30FF"/>
    <w:rsid w:val="006D6940"/>
    <w:rsid w:val="006F11EC"/>
    <w:rsid w:val="006F7A63"/>
    <w:rsid w:val="0070082C"/>
    <w:rsid w:val="007369E6"/>
    <w:rsid w:val="00746E59"/>
    <w:rsid w:val="00754C9A"/>
    <w:rsid w:val="0075599A"/>
    <w:rsid w:val="00761D52"/>
    <w:rsid w:val="00767E86"/>
    <w:rsid w:val="0077749E"/>
    <w:rsid w:val="00790ADA"/>
    <w:rsid w:val="007B5247"/>
    <w:rsid w:val="007D2288"/>
    <w:rsid w:val="007D433A"/>
    <w:rsid w:val="007E088F"/>
    <w:rsid w:val="007E53CE"/>
    <w:rsid w:val="007E6945"/>
    <w:rsid w:val="007F6EAB"/>
    <w:rsid w:val="007F7B32"/>
    <w:rsid w:val="00804BC2"/>
    <w:rsid w:val="0081431A"/>
    <w:rsid w:val="00827804"/>
    <w:rsid w:val="0083216F"/>
    <w:rsid w:val="00860000"/>
    <w:rsid w:val="00863BD3"/>
    <w:rsid w:val="008641ED"/>
    <w:rsid w:val="00866D66"/>
    <w:rsid w:val="008671C6"/>
    <w:rsid w:val="0087576D"/>
    <w:rsid w:val="00875803"/>
    <w:rsid w:val="00886908"/>
    <w:rsid w:val="008A523E"/>
    <w:rsid w:val="008B2505"/>
    <w:rsid w:val="008B459E"/>
    <w:rsid w:val="008C13FC"/>
    <w:rsid w:val="008E13AE"/>
    <w:rsid w:val="008E1506"/>
    <w:rsid w:val="008E710C"/>
    <w:rsid w:val="008F2945"/>
    <w:rsid w:val="008F69D6"/>
    <w:rsid w:val="00902823"/>
    <w:rsid w:val="00915CA6"/>
    <w:rsid w:val="00927834"/>
    <w:rsid w:val="00936908"/>
    <w:rsid w:val="0094658F"/>
    <w:rsid w:val="009500A6"/>
    <w:rsid w:val="00952FB2"/>
    <w:rsid w:val="009554C6"/>
    <w:rsid w:val="00957C18"/>
    <w:rsid w:val="009659BA"/>
    <w:rsid w:val="00983040"/>
    <w:rsid w:val="009B3FB9"/>
    <w:rsid w:val="009C2465"/>
    <w:rsid w:val="009D2548"/>
    <w:rsid w:val="009D35A0"/>
    <w:rsid w:val="009D6960"/>
    <w:rsid w:val="009D7EB7"/>
    <w:rsid w:val="009E048A"/>
    <w:rsid w:val="009E08E9"/>
    <w:rsid w:val="009E3DB9"/>
    <w:rsid w:val="009E6E35"/>
    <w:rsid w:val="009F0EDA"/>
    <w:rsid w:val="009F50F4"/>
    <w:rsid w:val="00A00E62"/>
    <w:rsid w:val="00A03B96"/>
    <w:rsid w:val="00A05B19"/>
    <w:rsid w:val="00A1134E"/>
    <w:rsid w:val="00A24E7E"/>
    <w:rsid w:val="00A258C3"/>
    <w:rsid w:val="00A347C0"/>
    <w:rsid w:val="00A51431"/>
    <w:rsid w:val="00A539AD"/>
    <w:rsid w:val="00A60D9F"/>
    <w:rsid w:val="00A614B0"/>
    <w:rsid w:val="00A94063"/>
    <w:rsid w:val="00A94BEF"/>
    <w:rsid w:val="00AA6219"/>
    <w:rsid w:val="00AA74E0"/>
    <w:rsid w:val="00AB703F"/>
    <w:rsid w:val="00AC6BB8"/>
    <w:rsid w:val="00AD677B"/>
    <w:rsid w:val="00AE008F"/>
    <w:rsid w:val="00B01FCD"/>
    <w:rsid w:val="00B1776C"/>
    <w:rsid w:val="00B52583"/>
    <w:rsid w:val="00B52896"/>
    <w:rsid w:val="00B95236"/>
    <w:rsid w:val="00B96BD9"/>
    <w:rsid w:val="00BA1B01"/>
    <w:rsid w:val="00BA2641"/>
    <w:rsid w:val="00BB30A2"/>
    <w:rsid w:val="00BB37AA"/>
    <w:rsid w:val="00BC53A0"/>
    <w:rsid w:val="00BE1754"/>
    <w:rsid w:val="00BE62AD"/>
    <w:rsid w:val="00BF121F"/>
    <w:rsid w:val="00BF1F80"/>
    <w:rsid w:val="00BF54B3"/>
    <w:rsid w:val="00BF59DD"/>
    <w:rsid w:val="00C05900"/>
    <w:rsid w:val="00C166EF"/>
    <w:rsid w:val="00C17EB0"/>
    <w:rsid w:val="00C27F5F"/>
    <w:rsid w:val="00C30A0F"/>
    <w:rsid w:val="00C37E61"/>
    <w:rsid w:val="00C47FBB"/>
    <w:rsid w:val="00C534DE"/>
    <w:rsid w:val="00C70F1B"/>
    <w:rsid w:val="00C71A47"/>
    <w:rsid w:val="00C7262E"/>
    <w:rsid w:val="00C7464C"/>
    <w:rsid w:val="00C85588"/>
    <w:rsid w:val="00CB601D"/>
    <w:rsid w:val="00CC6BD6"/>
    <w:rsid w:val="00CD6755"/>
    <w:rsid w:val="00CD6856"/>
    <w:rsid w:val="00CE0089"/>
    <w:rsid w:val="00CE5532"/>
    <w:rsid w:val="00CE5971"/>
    <w:rsid w:val="00CE793C"/>
    <w:rsid w:val="00CF193C"/>
    <w:rsid w:val="00D0609F"/>
    <w:rsid w:val="00D173F1"/>
    <w:rsid w:val="00D74CB0"/>
    <w:rsid w:val="00D8295D"/>
    <w:rsid w:val="00D84AAB"/>
    <w:rsid w:val="00D9772C"/>
    <w:rsid w:val="00DC2A65"/>
    <w:rsid w:val="00DD08F0"/>
    <w:rsid w:val="00DE15F0"/>
    <w:rsid w:val="00DE5663"/>
    <w:rsid w:val="00DE78AA"/>
    <w:rsid w:val="00E053D0"/>
    <w:rsid w:val="00E15994"/>
    <w:rsid w:val="00E15D09"/>
    <w:rsid w:val="00E267C2"/>
    <w:rsid w:val="00E3114E"/>
    <w:rsid w:val="00E31A70"/>
    <w:rsid w:val="00E35B02"/>
    <w:rsid w:val="00E51F2C"/>
    <w:rsid w:val="00E66496"/>
    <w:rsid w:val="00E66B35"/>
    <w:rsid w:val="00E66E10"/>
    <w:rsid w:val="00E76934"/>
    <w:rsid w:val="00E769F6"/>
    <w:rsid w:val="00E8407C"/>
    <w:rsid w:val="00E84F3C"/>
    <w:rsid w:val="00EA012C"/>
    <w:rsid w:val="00EA1840"/>
    <w:rsid w:val="00EC2795"/>
    <w:rsid w:val="00EC6A55"/>
    <w:rsid w:val="00ED0288"/>
    <w:rsid w:val="00ED77F5"/>
    <w:rsid w:val="00EE52CB"/>
    <w:rsid w:val="00EF581D"/>
    <w:rsid w:val="00EF7877"/>
    <w:rsid w:val="00EF7FD8"/>
    <w:rsid w:val="00F06F59"/>
    <w:rsid w:val="00F17988"/>
    <w:rsid w:val="00F245B8"/>
    <w:rsid w:val="00F31231"/>
    <w:rsid w:val="00F42EAD"/>
    <w:rsid w:val="00F469F0"/>
    <w:rsid w:val="00F53273"/>
    <w:rsid w:val="00F5538D"/>
    <w:rsid w:val="00F60A44"/>
    <w:rsid w:val="00F755E4"/>
    <w:rsid w:val="00F77D02"/>
    <w:rsid w:val="00FB3A86"/>
    <w:rsid w:val="00FD36C8"/>
    <w:rsid w:val="00FD7D97"/>
    <w:rsid w:val="00FE6339"/>
    <w:rsid w:val="1093B32D"/>
    <w:rsid w:val="57C345FF"/>
    <w:rsid w:val="5FBA5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9CD0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qFormat="1"/>
    <w:lsdException w:name="annotation text" w:semiHidden="1" w:uiPriority="99" w:unhideWhenUsed="1"/>
    <w:lsdException w:name="header" w:semiHidden="1" w:uiPriority="99" w:unhideWhenUsed="1"/>
    <w:lsdException w:name="footer" w:semiHidden="1" w:uiPriority="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352CC7"/>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352CC7"/>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352CC7"/>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14:ligatures w14:val="standardContextual"/>
    </w:rPr>
  </w:style>
  <w:style w:type="paragraph" w:styleId="Heading5">
    <w:name w:val="heading 5"/>
    <w:basedOn w:val="Normal"/>
    <w:next w:val="Normal"/>
    <w:link w:val="Heading5Char"/>
    <w:uiPriority w:val="9"/>
    <w:unhideWhenUsed/>
    <w:qFormat/>
    <w:rsid w:val="00352CC7"/>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14:ligatures w14:val="standardContextual"/>
    </w:rPr>
  </w:style>
  <w:style w:type="paragraph" w:styleId="Heading6">
    <w:name w:val="heading 6"/>
    <w:basedOn w:val="Normal"/>
    <w:next w:val="Normal"/>
    <w:link w:val="Heading6Char"/>
    <w:uiPriority w:val="9"/>
    <w:unhideWhenUsed/>
    <w:qFormat/>
    <w:rsid w:val="00352CC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unhideWhenUsed/>
    <w:qFormat/>
    <w:rsid w:val="00352CC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unhideWhenUsed/>
    <w:qFormat/>
    <w:rsid w:val="00352CC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unhideWhenUsed/>
    <w:qFormat/>
    <w:rsid w:val="00352CC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qFormat/>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uiPriority w:val="1"/>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uiPriority w:val="1"/>
    <w:rsid w:val="00030174"/>
    <w:pPr>
      <w:spacing w:after="240"/>
    </w:pPr>
    <w:rPr>
      <w:sz w:val="20"/>
    </w:rPr>
  </w:style>
  <w:style w:type="paragraph" w:styleId="Footer">
    <w:name w:val="footer"/>
    <w:basedOn w:val="Normal"/>
    <w:link w:val="FooterChar"/>
    <w:uiPriority w:val="1"/>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oPendente1">
    <w:name w:val="Menção Pendente1"/>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0572C7"/>
    <w:rPr>
      <w:color w:val="666666"/>
    </w:rPr>
  </w:style>
  <w:style w:type="character" w:customStyle="1" w:styleId="Heading2Char">
    <w:name w:val="Heading 2 Char"/>
    <w:basedOn w:val="DefaultParagraphFont"/>
    <w:link w:val="Heading2"/>
    <w:uiPriority w:val="9"/>
    <w:rsid w:val="00352CC7"/>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352CC7"/>
    <w:rPr>
      <w:rFonts w:asciiTheme="minorHAnsi" w:eastAsiaTheme="majorEastAsia" w:hAnsiTheme="minorHAnsi"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rsid w:val="00352CC7"/>
    <w:rPr>
      <w:rFonts w:asciiTheme="minorHAnsi" w:eastAsiaTheme="majorEastAsia" w:hAnsiTheme="minorHAnsi" w:cstheme="majorBidi"/>
      <w:i/>
      <w:iCs/>
      <w:color w:val="365F91" w:themeColor="accent1" w:themeShade="BF"/>
      <w:kern w:val="2"/>
      <w:sz w:val="22"/>
      <w:szCs w:val="22"/>
      <w14:ligatures w14:val="standardContextual"/>
    </w:rPr>
  </w:style>
  <w:style w:type="character" w:customStyle="1" w:styleId="Heading5Char">
    <w:name w:val="Heading 5 Char"/>
    <w:basedOn w:val="DefaultParagraphFont"/>
    <w:link w:val="Heading5"/>
    <w:uiPriority w:val="9"/>
    <w:rsid w:val="00352CC7"/>
    <w:rPr>
      <w:rFonts w:asciiTheme="minorHAnsi" w:eastAsiaTheme="majorEastAsia" w:hAnsiTheme="minorHAnsi" w:cstheme="majorBidi"/>
      <w:color w:val="365F91" w:themeColor="accent1" w:themeShade="BF"/>
      <w:kern w:val="2"/>
      <w:sz w:val="22"/>
      <w:szCs w:val="22"/>
      <w14:ligatures w14:val="standardContextual"/>
    </w:rPr>
  </w:style>
  <w:style w:type="character" w:customStyle="1" w:styleId="Heading6Char">
    <w:name w:val="Heading 6 Char"/>
    <w:basedOn w:val="DefaultParagraphFont"/>
    <w:link w:val="Heading6"/>
    <w:uiPriority w:val="9"/>
    <w:rsid w:val="00352CC7"/>
    <w:rPr>
      <w:rFonts w:asciiTheme="minorHAnsi" w:eastAsiaTheme="majorEastAsia" w:hAnsiTheme="minorHAnsi" w:cstheme="majorBidi"/>
      <w:i/>
      <w:iCs/>
      <w:color w:val="595959" w:themeColor="text1" w:themeTint="A6"/>
      <w:kern w:val="2"/>
      <w:sz w:val="22"/>
      <w:szCs w:val="22"/>
      <w14:ligatures w14:val="standardContextual"/>
    </w:rPr>
  </w:style>
  <w:style w:type="character" w:customStyle="1" w:styleId="Heading7Char">
    <w:name w:val="Heading 7 Char"/>
    <w:basedOn w:val="DefaultParagraphFont"/>
    <w:link w:val="Heading7"/>
    <w:uiPriority w:val="9"/>
    <w:rsid w:val="00352CC7"/>
    <w:rPr>
      <w:rFonts w:asciiTheme="minorHAnsi" w:eastAsiaTheme="majorEastAsia" w:hAnsiTheme="minorHAnsi" w:cstheme="majorBidi"/>
      <w:color w:val="595959" w:themeColor="text1" w:themeTint="A6"/>
      <w:kern w:val="2"/>
      <w:sz w:val="22"/>
      <w:szCs w:val="22"/>
      <w14:ligatures w14:val="standardContextual"/>
    </w:rPr>
  </w:style>
  <w:style w:type="character" w:customStyle="1" w:styleId="Heading8Char">
    <w:name w:val="Heading 8 Char"/>
    <w:basedOn w:val="DefaultParagraphFont"/>
    <w:link w:val="Heading8"/>
    <w:uiPriority w:val="9"/>
    <w:rsid w:val="00352CC7"/>
    <w:rPr>
      <w:rFonts w:asciiTheme="minorHAnsi" w:eastAsiaTheme="majorEastAsia" w:hAnsiTheme="minorHAnsi" w:cstheme="majorBidi"/>
      <w:i/>
      <w:iCs/>
      <w:color w:val="272727" w:themeColor="text1" w:themeTint="D8"/>
      <w:kern w:val="2"/>
      <w:sz w:val="22"/>
      <w:szCs w:val="22"/>
      <w14:ligatures w14:val="standardContextual"/>
    </w:rPr>
  </w:style>
  <w:style w:type="character" w:customStyle="1" w:styleId="Heading9Char">
    <w:name w:val="Heading 9 Char"/>
    <w:basedOn w:val="DefaultParagraphFont"/>
    <w:link w:val="Heading9"/>
    <w:uiPriority w:val="9"/>
    <w:rsid w:val="00352CC7"/>
    <w:rPr>
      <w:rFonts w:asciiTheme="minorHAnsi" w:eastAsiaTheme="majorEastAsia" w:hAnsiTheme="minorHAnsi" w:cstheme="majorBidi"/>
      <w:color w:val="272727" w:themeColor="text1" w:themeTint="D8"/>
      <w:kern w:val="2"/>
      <w:sz w:val="22"/>
      <w:szCs w:val="22"/>
      <w14:ligatures w14:val="standardContextual"/>
    </w:rPr>
  </w:style>
  <w:style w:type="character" w:customStyle="1" w:styleId="Heading1Char">
    <w:name w:val="Heading 1 Char"/>
    <w:basedOn w:val="DefaultParagraphFont"/>
    <w:link w:val="Heading1"/>
    <w:uiPriority w:val="9"/>
    <w:rsid w:val="00352CC7"/>
    <w:rPr>
      <w:rFonts w:ascii="Arial" w:hAnsi="Arial"/>
      <w:b/>
      <w:kern w:val="28"/>
      <w:sz w:val="28"/>
    </w:rPr>
  </w:style>
  <w:style w:type="character" w:customStyle="1" w:styleId="TitleChar">
    <w:name w:val="Title Char"/>
    <w:basedOn w:val="DefaultParagraphFont"/>
    <w:link w:val="Title"/>
    <w:uiPriority w:val="1"/>
    <w:rsid w:val="00352CC7"/>
    <w:rPr>
      <w:rFonts w:ascii="Helvetica" w:hAnsi="Helvetica"/>
      <w:b/>
      <w:kern w:val="28"/>
      <w:sz w:val="36"/>
    </w:rPr>
  </w:style>
  <w:style w:type="paragraph" w:styleId="Subtitle">
    <w:name w:val="Subtitle"/>
    <w:basedOn w:val="Normal"/>
    <w:next w:val="Normal"/>
    <w:link w:val="SubtitleChar"/>
    <w:uiPriority w:val="1"/>
    <w:qFormat/>
    <w:rsid w:val="00352CC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
    <w:rsid w:val="00352CC7"/>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352CC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52CC7"/>
    <w:rPr>
      <w:rFonts w:asciiTheme="minorHAnsi" w:eastAsiaTheme="minorHAnsi" w:hAnsiTheme="minorHAnsi" w:cstheme="minorBidi"/>
      <w:i/>
      <w:iCs/>
      <w:color w:val="404040" w:themeColor="text1" w:themeTint="BF"/>
      <w:kern w:val="2"/>
      <w:sz w:val="22"/>
      <w:szCs w:val="22"/>
      <w14:ligatures w14:val="standardContextual"/>
    </w:rPr>
  </w:style>
  <w:style w:type="paragraph" w:styleId="ListParagraph">
    <w:name w:val="List Paragraph"/>
    <w:basedOn w:val="Normal"/>
    <w:uiPriority w:val="1"/>
    <w:qFormat/>
    <w:rsid w:val="00352CC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52CC7"/>
    <w:rPr>
      <w:i/>
      <w:iCs/>
      <w:color w:val="365F91" w:themeColor="accent1" w:themeShade="BF"/>
    </w:rPr>
  </w:style>
  <w:style w:type="paragraph" w:styleId="IntenseQuote">
    <w:name w:val="Intense Quote"/>
    <w:basedOn w:val="Normal"/>
    <w:next w:val="Normal"/>
    <w:link w:val="IntenseQuoteChar"/>
    <w:uiPriority w:val="30"/>
    <w:qFormat/>
    <w:rsid w:val="00352CC7"/>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52CC7"/>
    <w:rPr>
      <w:rFonts w:asciiTheme="minorHAnsi" w:eastAsiaTheme="minorHAnsi" w:hAnsiTheme="minorHAnsi" w:cstheme="minorBidi"/>
      <w:i/>
      <w:iCs/>
      <w:color w:val="365F91" w:themeColor="accent1" w:themeShade="BF"/>
      <w:kern w:val="2"/>
      <w:sz w:val="22"/>
      <w:szCs w:val="22"/>
      <w14:ligatures w14:val="standardContextual"/>
    </w:rPr>
  </w:style>
  <w:style w:type="character" w:styleId="IntenseReference">
    <w:name w:val="Intense Reference"/>
    <w:basedOn w:val="DefaultParagraphFont"/>
    <w:uiPriority w:val="32"/>
    <w:qFormat/>
    <w:rsid w:val="00352CC7"/>
    <w:rPr>
      <w:b/>
      <w:bCs/>
      <w:smallCaps/>
      <w:color w:val="365F91" w:themeColor="accent1" w:themeShade="BF"/>
      <w:spacing w:val="5"/>
    </w:rPr>
  </w:style>
  <w:style w:type="paragraph" w:styleId="HTMLPreformatted">
    <w:name w:val="HTML Preformatted"/>
    <w:basedOn w:val="Normal"/>
    <w:link w:val="HTMLPreformattedChar"/>
    <w:uiPriority w:val="99"/>
    <w:semiHidden/>
    <w:unhideWhenUsed/>
    <w:rsid w:val="00352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2"/>
      <w:lang w:eastAsia="pt-BR"/>
      <w14:ligatures w14:val="standardContextual"/>
    </w:rPr>
  </w:style>
  <w:style w:type="character" w:customStyle="1" w:styleId="HTMLPreformattedChar">
    <w:name w:val="HTML Preformatted Char"/>
    <w:basedOn w:val="DefaultParagraphFont"/>
    <w:link w:val="HTMLPreformatted"/>
    <w:uiPriority w:val="99"/>
    <w:semiHidden/>
    <w:rsid w:val="00352CC7"/>
    <w:rPr>
      <w:rFonts w:ascii="Courier New" w:hAnsi="Courier New" w:cs="Courier New"/>
      <w:kern w:val="2"/>
      <w:lang w:eastAsia="pt-BR"/>
      <w14:ligatures w14:val="standardContextual"/>
    </w:rPr>
  </w:style>
  <w:style w:type="character" w:customStyle="1" w:styleId="il">
    <w:name w:val="il"/>
    <w:basedOn w:val="DefaultParagraphFont"/>
    <w:rsid w:val="00352CC7"/>
  </w:style>
  <w:style w:type="paragraph" w:styleId="CommentSubject">
    <w:name w:val="annotation subject"/>
    <w:basedOn w:val="CommentText"/>
    <w:next w:val="CommentText"/>
    <w:link w:val="CommentSubjectChar"/>
    <w:uiPriority w:val="99"/>
    <w:semiHidden/>
    <w:unhideWhenUsed/>
    <w:rsid w:val="00352CC7"/>
    <w:pPr>
      <w:spacing w:after="160"/>
    </w:pPr>
    <w:rPr>
      <w:rFonts w:asciiTheme="minorHAnsi" w:eastAsiaTheme="minorHAnsi" w:hAnsiTheme="minorHAnsi" w:cstheme="minorBidi"/>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352CC7"/>
    <w:rPr>
      <w:rFonts w:asciiTheme="minorHAnsi" w:eastAsiaTheme="minorHAnsi" w:hAnsiTheme="minorHAnsi" w:cstheme="minorBidi"/>
      <w:b/>
      <w:bCs/>
      <w:kern w:val="2"/>
      <w:lang w:val="nb-NO" w:eastAsia="nb-NO"/>
      <w14:ligatures w14:val="standardContextual"/>
    </w:rPr>
  </w:style>
  <w:style w:type="paragraph" w:styleId="BodyText">
    <w:name w:val="Body Text"/>
    <w:basedOn w:val="Normal"/>
    <w:link w:val="BodyTextChar"/>
    <w:uiPriority w:val="1"/>
    <w:qFormat/>
    <w:rsid w:val="00352CC7"/>
    <w:pPr>
      <w:spacing w:before="180" w:after="180"/>
    </w:pPr>
    <w:rPr>
      <w:rFonts w:asciiTheme="minorHAnsi" w:eastAsiaTheme="minorHAnsi" w:hAnsiTheme="minorHAnsi" w:cstheme="minorBidi"/>
      <w:kern w:val="2"/>
      <w:sz w:val="24"/>
      <w:szCs w:val="24"/>
      <w14:ligatures w14:val="standardContextual"/>
    </w:rPr>
  </w:style>
  <w:style w:type="character" w:customStyle="1" w:styleId="BodyTextChar">
    <w:name w:val="Body Text Char"/>
    <w:basedOn w:val="DefaultParagraphFont"/>
    <w:link w:val="BodyText"/>
    <w:uiPriority w:val="1"/>
    <w:rsid w:val="00352CC7"/>
    <w:rPr>
      <w:rFonts w:asciiTheme="minorHAnsi" w:eastAsiaTheme="minorHAnsi" w:hAnsiTheme="minorHAnsi" w:cstheme="minorBidi"/>
      <w:kern w:val="2"/>
      <w:sz w:val="24"/>
      <w:szCs w:val="24"/>
      <w14:ligatures w14:val="standardContextual"/>
    </w:rPr>
  </w:style>
  <w:style w:type="paragraph" w:customStyle="1" w:styleId="FirstParagraph">
    <w:name w:val="First Paragraph"/>
    <w:basedOn w:val="BodyText"/>
    <w:next w:val="BodyText"/>
    <w:qFormat/>
    <w:rsid w:val="00352CC7"/>
  </w:style>
  <w:style w:type="paragraph" w:customStyle="1" w:styleId="Compact">
    <w:name w:val="Compact"/>
    <w:basedOn w:val="BodyText"/>
    <w:qFormat/>
    <w:rsid w:val="00352CC7"/>
    <w:pPr>
      <w:spacing w:before="36" w:after="36"/>
    </w:pPr>
  </w:style>
  <w:style w:type="paragraph" w:styleId="Date">
    <w:name w:val="Date"/>
    <w:next w:val="BodyText"/>
    <w:link w:val="DateChar"/>
    <w:qFormat/>
    <w:rsid w:val="00352CC7"/>
    <w:pPr>
      <w:keepNext/>
      <w:keepLines/>
      <w:spacing w:after="200"/>
      <w:jc w:val="center"/>
    </w:pPr>
    <w:rPr>
      <w:rFonts w:asciiTheme="minorHAnsi" w:eastAsiaTheme="minorHAnsi" w:hAnsiTheme="minorHAnsi" w:cstheme="minorBidi"/>
      <w:sz w:val="24"/>
      <w:szCs w:val="24"/>
    </w:rPr>
  </w:style>
  <w:style w:type="character" w:customStyle="1" w:styleId="DateChar">
    <w:name w:val="Date Char"/>
    <w:basedOn w:val="DefaultParagraphFont"/>
    <w:link w:val="Date"/>
    <w:rsid w:val="00352CC7"/>
    <w:rPr>
      <w:rFonts w:asciiTheme="minorHAnsi" w:eastAsiaTheme="minorHAnsi" w:hAnsiTheme="minorHAnsi" w:cstheme="minorBidi"/>
      <w:sz w:val="24"/>
      <w:szCs w:val="24"/>
    </w:rPr>
  </w:style>
  <w:style w:type="paragraph" w:customStyle="1" w:styleId="Abstract">
    <w:name w:val="Abstract"/>
    <w:basedOn w:val="Normal"/>
    <w:next w:val="BodyText"/>
    <w:uiPriority w:val="1"/>
    <w:qFormat/>
    <w:rsid w:val="00352CC7"/>
    <w:pPr>
      <w:keepNext/>
      <w:keepLines/>
      <w:spacing w:before="300" w:after="300"/>
    </w:pPr>
    <w:rPr>
      <w:rFonts w:asciiTheme="minorHAnsi" w:eastAsiaTheme="minorHAnsi" w:hAnsiTheme="minorHAnsi" w:cstheme="minorBidi"/>
      <w:kern w:val="2"/>
      <w14:ligatures w14:val="standardContextual"/>
    </w:rPr>
  </w:style>
  <w:style w:type="paragraph" w:styleId="Bibliography">
    <w:name w:val="Bibliography"/>
    <w:basedOn w:val="Normal"/>
    <w:uiPriority w:val="1"/>
    <w:qFormat/>
    <w:rsid w:val="00352CC7"/>
    <w:pPr>
      <w:spacing w:after="240"/>
    </w:pPr>
    <w:rPr>
      <w:rFonts w:asciiTheme="minorHAnsi" w:eastAsiaTheme="minorHAnsi" w:hAnsiTheme="minorHAnsi" w:cstheme="minorBidi"/>
      <w:kern w:val="2"/>
      <w:sz w:val="24"/>
      <w:szCs w:val="24"/>
      <w14:ligatures w14:val="standardContextual"/>
    </w:rPr>
  </w:style>
  <w:style w:type="paragraph" w:styleId="BlockText">
    <w:name w:val="Block Text"/>
    <w:basedOn w:val="BodyText"/>
    <w:next w:val="BodyText"/>
    <w:uiPriority w:val="9"/>
    <w:unhideWhenUsed/>
    <w:qFormat/>
    <w:rsid w:val="00352CC7"/>
    <w:pPr>
      <w:spacing w:before="100" w:after="100"/>
    </w:pPr>
    <w:rPr>
      <w:rFonts w:asciiTheme="majorHAnsi" w:eastAsiaTheme="majorEastAsia" w:hAnsiTheme="majorHAnsi" w:cstheme="majorBidi"/>
      <w:bCs/>
      <w:sz w:val="20"/>
      <w:szCs w:val="20"/>
    </w:rPr>
  </w:style>
  <w:style w:type="paragraph" w:styleId="FootnoteText">
    <w:name w:val="footnote text"/>
    <w:basedOn w:val="Normal"/>
    <w:link w:val="FootnoteTextChar"/>
    <w:uiPriority w:val="9"/>
    <w:unhideWhenUsed/>
    <w:qFormat/>
    <w:rsid w:val="00352CC7"/>
    <w:pPr>
      <w:spacing w:after="200"/>
    </w:pPr>
    <w:rPr>
      <w:rFonts w:asciiTheme="minorHAnsi" w:eastAsiaTheme="minorHAnsi" w:hAnsiTheme="minorHAnsi" w:cstheme="minorBidi"/>
      <w:kern w:val="2"/>
      <w:sz w:val="24"/>
      <w:szCs w:val="24"/>
      <w14:ligatures w14:val="standardContextual"/>
    </w:rPr>
  </w:style>
  <w:style w:type="character" w:customStyle="1" w:styleId="FootnoteTextChar">
    <w:name w:val="Footnote Text Char"/>
    <w:basedOn w:val="DefaultParagraphFont"/>
    <w:link w:val="FootnoteText"/>
    <w:uiPriority w:val="9"/>
    <w:rsid w:val="00352CC7"/>
    <w:rPr>
      <w:rFonts w:asciiTheme="minorHAnsi" w:eastAsiaTheme="minorHAnsi" w:hAnsiTheme="minorHAnsi" w:cstheme="minorBidi"/>
      <w:kern w:val="2"/>
      <w:sz w:val="24"/>
      <w:szCs w:val="24"/>
      <w14:ligatures w14:val="standardContextual"/>
    </w:rPr>
  </w:style>
  <w:style w:type="table" w:customStyle="1" w:styleId="Table">
    <w:name w:val="Table"/>
    <w:semiHidden/>
    <w:unhideWhenUsed/>
    <w:qFormat/>
    <w:rsid w:val="00352CC7"/>
    <w:pPr>
      <w:spacing w:after="200"/>
    </w:pPr>
    <w:rPr>
      <w:rFonts w:asciiTheme="minorHAnsi" w:eastAsiaTheme="minorHAnsi" w:hAnsiTheme="minorHAnsi" w:cstheme="minorBidi"/>
      <w:sz w:val="24"/>
      <w:szCs w:val="24"/>
      <w:lang w:val="pt-BR" w:eastAsia="pt-BR"/>
    </w:rPr>
    <w:tblPr>
      <w:tblStyleRowBandSize w:val="1"/>
      <w:tblInd w:w="0" w:type="dxa"/>
      <w:tblBorders>
        <w:bottom w:val="single" w:sz="4" w:space="0" w:color="000000" w:themeColor="text1"/>
      </w:tblBorders>
      <w:tblCellMar>
        <w:top w:w="0" w:type="dxa"/>
        <w:left w:w="108" w:type="dxa"/>
        <w:bottom w:w="0" w:type="dxa"/>
        <w:right w:w="108" w:type="dxa"/>
      </w:tblCellMar>
    </w:tblPr>
    <w:tcPr>
      <w:shd w:val="clear" w:color="auto" w:fill="auto"/>
    </w:tcPr>
    <w:tblStylePr w:type="firstRow">
      <w:rPr>
        <w:b/>
      </w:rPr>
      <w:tblPr>
        <w:jc w:val="center"/>
      </w:tblPr>
      <w:trPr>
        <w:jc w:val="center"/>
      </w:trPr>
      <w:tcPr>
        <w:tcBorders>
          <w:bottom w:val="single" w:sz="4" w:space="0" w:color="000000" w:themeColor="text1"/>
        </w:tcBorders>
      </w:tcPr>
    </w:tblStylePr>
    <w:tblStylePr w:type="firstCol">
      <w:tblPr/>
      <w:tcPr>
        <w:tcBorders>
          <w:right w:val="single" w:sz="4" w:space="0" w:color="000000" w:themeColor="text1"/>
        </w:tcBorders>
        <w:shd w:val="clear" w:color="auto" w:fill="auto"/>
      </w:tcPr>
    </w:tblStylePr>
    <w:tblStylePr w:type="band1Horz">
      <w:tblPr/>
      <w:tcPr>
        <w:shd w:val="clear" w:color="auto" w:fill="EEECE1" w:themeFill="background2"/>
      </w:tcPr>
    </w:tblStylePr>
  </w:style>
  <w:style w:type="paragraph" w:customStyle="1" w:styleId="DefinitionTerm">
    <w:name w:val="Definition Term"/>
    <w:basedOn w:val="Normal"/>
    <w:next w:val="Definition"/>
    <w:uiPriority w:val="1"/>
    <w:rsid w:val="00352CC7"/>
    <w:pPr>
      <w:keepNext/>
      <w:keepLines/>
    </w:pPr>
    <w:rPr>
      <w:rFonts w:asciiTheme="minorHAnsi" w:eastAsiaTheme="minorHAnsi" w:hAnsiTheme="minorHAnsi" w:cstheme="minorBidi"/>
      <w:b/>
      <w:bCs/>
      <w:kern w:val="2"/>
      <w:sz w:val="24"/>
      <w:szCs w:val="24"/>
      <w14:ligatures w14:val="standardContextual"/>
    </w:rPr>
  </w:style>
  <w:style w:type="paragraph" w:styleId="Caption">
    <w:name w:val="caption"/>
    <w:basedOn w:val="Normal"/>
    <w:link w:val="CaptionChar"/>
    <w:uiPriority w:val="1"/>
    <w:rsid w:val="00352CC7"/>
    <w:pPr>
      <w:spacing w:after="120"/>
    </w:pPr>
    <w:rPr>
      <w:rFonts w:asciiTheme="minorHAnsi" w:eastAsiaTheme="minorHAnsi" w:hAnsiTheme="minorHAnsi" w:cstheme="minorBidi"/>
      <w:i/>
      <w:iCs/>
      <w:kern w:val="2"/>
      <w:sz w:val="24"/>
      <w:szCs w:val="24"/>
      <w14:ligatures w14:val="standardContextual"/>
    </w:rPr>
  </w:style>
  <w:style w:type="paragraph" w:customStyle="1" w:styleId="TableCaption">
    <w:name w:val="Table Caption"/>
    <w:basedOn w:val="Caption"/>
    <w:qFormat/>
    <w:rsid w:val="00352CC7"/>
    <w:pPr>
      <w:jc w:val="center"/>
    </w:pPr>
  </w:style>
  <w:style w:type="paragraph" w:customStyle="1" w:styleId="ImageCaption">
    <w:name w:val="Image Caption"/>
    <w:basedOn w:val="Caption"/>
    <w:rsid w:val="00352CC7"/>
    <w:pPr>
      <w:widowControl w:val="0"/>
      <w:jc w:val="center"/>
    </w:pPr>
  </w:style>
  <w:style w:type="paragraph" w:customStyle="1" w:styleId="CaptionedFigure">
    <w:name w:val="Captioned Figure"/>
    <w:basedOn w:val="Figure"/>
    <w:rsid w:val="00352CC7"/>
    <w:pPr>
      <w:widowControl w:val="0"/>
      <w:spacing w:before="60" w:after="200" w:line="240" w:lineRule="auto"/>
      <w:jc w:val="center"/>
    </w:pPr>
    <w:rPr>
      <w:rFonts w:asciiTheme="minorHAnsi" w:eastAsiaTheme="minorHAnsi" w:hAnsiTheme="minorHAnsi" w:cstheme="minorBidi"/>
      <w:kern w:val="2"/>
      <w:sz w:val="24"/>
      <w:szCs w:val="24"/>
      <w14:ligatures w14:val="standardContextual"/>
    </w:rPr>
  </w:style>
  <w:style w:type="character" w:customStyle="1" w:styleId="CaptionChar">
    <w:name w:val="Caption Char"/>
    <w:basedOn w:val="DefaultParagraphFont"/>
    <w:link w:val="Caption"/>
    <w:uiPriority w:val="1"/>
    <w:rsid w:val="00352CC7"/>
    <w:rPr>
      <w:rFonts w:asciiTheme="minorHAnsi" w:eastAsiaTheme="minorHAnsi" w:hAnsiTheme="minorHAnsi" w:cstheme="minorBidi"/>
      <w:i/>
      <w:iCs/>
      <w:kern w:val="2"/>
      <w:sz w:val="24"/>
      <w:szCs w:val="24"/>
      <w14:ligatures w14:val="standardContextual"/>
    </w:rPr>
  </w:style>
  <w:style w:type="character" w:customStyle="1" w:styleId="VerbatimChar">
    <w:name w:val="Verbatim Char"/>
    <w:basedOn w:val="CaptionChar"/>
    <w:link w:val="SourceCode"/>
    <w:rsid w:val="00352CC7"/>
    <w:rPr>
      <w:rFonts w:ascii="Consolas" w:eastAsiaTheme="minorHAnsi" w:hAnsi="Consolas" w:cstheme="minorBidi"/>
      <w:i/>
      <w:iCs/>
      <w:color w:val="C00000"/>
      <w:kern w:val="2"/>
      <w:sz w:val="24"/>
      <w:szCs w:val="24"/>
      <w:shd w:val="clear" w:color="auto" w:fill="F8F8F8"/>
      <w14:ligatures w14:val="standardContextual"/>
    </w:rPr>
  </w:style>
  <w:style w:type="character" w:styleId="FootnoteReference">
    <w:name w:val="footnote reference"/>
    <w:basedOn w:val="CaptionChar"/>
    <w:rsid w:val="00352CC7"/>
    <w:rPr>
      <w:rFonts w:asciiTheme="minorHAnsi" w:eastAsiaTheme="minorHAnsi" w:hAnsiTheme="minorHAnsi" w:cstheme="minorBidi"/>
      <w:i/>
      <w:iCs/>
      <w:kern w:val="0"/>
      <w:sz w:val="24"/>
      <w:szCs w:val="24"/>
      <w:vertAlign w:val="superscript"/>
      <w14:ligatures w14:val="none"/>
    </w:rPr>
  </w:style>
  <w:style w:type="paragraph" w:styleId="TOCHeading">
    <w:name w:val="TOC Heading"/>
    <w:basedOn w:val="Heading1"/>
    <w:next w:val="BodyText"/>
    <w:uiPriority w:val="39"/>
    <w:unhideWhenUsed/>
    <w:qFormat/>
    <w:rsid w:val="00352CC7"/>
    <w:pPr>
      <w:keepLines/>
      <w:spacing w:after="0" w:line="259" w:lineRule="auto"/>
      <w:jc w:val="center"/>
      <w:outlineLvl w:val="9"/>
    </w:pPr>
    <w:rPr>
      <w:rFonts w:asciiTheme="majorHAnsi" w:eastAsiaTheme="majorEastAsia" w:hAnsiTheme="majorHAnsi" w:cstheme="majorBidi"/>
      <w:b w:val="0"/>
      <w:color w:val="000000" w:themeColor="text1"/>
      <w:kern w:val="0"/>
      <w:sz w:val="32"/>
      <w:szCs w:val="32"/>
    </w:rPr>
  </w:style>
  <w:style w:type="numbering" w:customStyle="1" w:styleId="Defaultul">
    <w:name w:val="Default ul"/>
    <w:basedOn w:val="NoList"/>
    <w:uiPriority w:val="99"/>
    <w:rsid w:val="00352CC7"/>
    <w:pPr>
      <w:numPr>
        <w:numId w:val="2"/>
      </w:numPr>
    </w:pPr>
  </w:style>
  <w:style w:type="numbering" w:customStyle="1" w:styleId="Defaultol">
    <w:name w:val="Default ol"/>
    <w:basedOn w:val="NoList"/>
    <w:uiPriority w:val="99"/>
    <w:rsid w:val="00352CC7"/>
    <w:pPr>
      <w:numPr>
        <w:numId w:val="3"/>
      </w:numPr>
    </w:pPr>
  </w:style>
  <w:style w:type="character" w:customStyle="1" w:styleId="FooterChar">
    <w:name w:val="Footer Char"/>
    <w:basedOn w:val="DefaultParagraphFont"/>
    <w:link w:val="Footer"/>
    <w:uiPriority w:val="1"/>
    <w:rsid w:val="00352CC7"/>
    <w:rPr>
      <w:rFonts w:ascii="Helvetica" w:hAnsi="Helvetica"/>
    </w:rPr>
  </w:style>
  <w:style w:type="character" w:styleId="PageNumber">
    <w:name w:val="page number"/>
    <w:basedOn w:val="DefaultParagraphFont"/>
    <w:semiHidden/>
    <w:unhideWhenUsed/>
    <w:rsid w:val="00352CC7"/>
  </w:style>
  <w:style w:type="character" w:customStyle="1" w:styleId="HeaderChar">
    <w:name w:val="Header Char"/>
    <w:basedOn w:val="DefaultParagraphFont"/>
    <w:link w:val="Header"/>
    <w:uiPriority w:val="99"/>
    <w:rsid w:val="00352CC7"/>
    <w:rPr>
      <w:rFonts w:ascii="Helvetica" w:hAnsi="Helvetica"/>
    </w:rPr>
  </w:style>
  <w:style w:type="paragraph" w:customStyle="1" w:styleId="SourceCode">
    <w:name w:val="Source Code"/>
    <w:basedOn w:val="Normal"/>
    <w:link w:val="VerbatimChar"/>
    <w:rsid w:val="00352CC7"/>
    <w:pPr>
      <w:shd w:val="clear" w:color="auto" w:fill="F8F8F8"/>
      <w:spacing w:after="200"/>
    </w:pPr>
    <w:rPr>
      <w:rFonts w:ascii="Consolas" w:eastAsiaTheme="minorHAnsi" w:hAnsi="Consolas" w:cstheme="minorBidi"/>
      <w:i/>
      <w:iCs/>
      <w:color w:val="C00000"/>
      <w:kern w:val="2"/>
      <w:sz w:val="24"/>
      <w:szCs w:val="24"/>
      <w14:ligatures w14:val="standardContextual"/>
    </w:rPr>
  </w:style>
  <w:style w:type="character" w:customStyle="1" w:styleId="KeywordTok">
    <w:name w:val="Keyword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DataTypeTok">
    <w:name w:val="DataType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DecValTok">
    <w:name w:val="DecVal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BaseNTok">
    <w:name w:val="BaseN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FloatTok">
    <w:name w:val="Float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ConstantTok">
    <w:name w:val="Constant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CharTok">
    <w:name w:val="Char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SpecialCharTok">
    <w:name w:val="SpecialChar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StringTok">
    <w:name w:val="String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VerbatimStringTok">
    <w:name w:val="VerbatimString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SpecialStringTok">
    <w:name w:val="SpecialString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ImportTok">
    <w:name w:val="Import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CommentTok">
    <w:name w:val="Comment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DocumentationTok">
    <w:name w:val="Documentation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AnnotationTok">
    <w:name w:val="Annotation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CommentVarTok">
    <w:name w:val="CommentVar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OtherTok">
    <w:name w:val="Other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FunctionTok">
    <w:name w:val="Function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VariableTok">
    <w:name w:val="Variable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ControlFlowTok">
    <w:name w:val="ControlFlow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OperatorTok">
    <w:name w:val="Operator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BuiltInTok">
    <w:name w:val="BuiltIn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ExtensionTok">
    <w:name w:val="Extension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PreprocessorTok">
    <w:name w:val="Preprocessor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AttributeTok">
    <w:name w:val="Attribute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RegionMarkerTok">
    <w:name w:val="RegionMarker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InformationTok">
    <w:name w:val="Information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WarningTok">
    <w:name w:val="Warning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AlertTok">
    <w:name w:val="Alert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ErrorTok">
    <w:name w:val="Error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NormalTok">
    <w:name w:val="Normal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table" w:customStyle="1" w:styleId="Zebra">
    <w:name w:val="Zebra"/>
    <w:basedOn w:val="TableNormal"/>
    <w:uiPriority w:val="99"/>
    <w:rsid w:val="00352CC7"/>
    <w:pPr>
      <w:jc w:val="center"/>
    </w:pPr>
    <w:rPr>
      <w:rFonts w:eastAsiaTheme="minorHAnsi" w:cstheme="minorBidi"/>
      <w:kern w:val="2"/>
      <w:szCs w:val="22"/>
      <w:lang w:val="pt-BR"/>
      <w14:ligatures w14:val="standardContextual"/>
    </w:rPr>
    <w:tblPr>
      <w:tblStyleRowBandSize w:val="1"/>
      <w:tblStyleColBandSize w:val="1"/>
      <w:tblBorders>
        <w:top w:val="single" w:sz="18" w:space="0" w:color="auto"/>
        <w:bottom w:val="single" w:sz="18" w:space="0" w:color="auto"/>
      </w:tblBorders>
      <w:tblCellMar>
        <w:left w:w="0" w:type="dxa"/>
        <w:right w:w="0" w:type="dxa"/>
      </w:tblCellMar>
    </w:tblPr>
    <w:tcPr>
      <w:vAlign w:val="center"/>
    </w:tcPr>
    <w:tblStylePr w:type="firstRow">
      <w:pPr>
        <w:jc w:val="center"/>
      </w:pPr>
      <w:rPr>
        <w:b/>
      </w:rPr>
      <w:tblPr/>
      <w:tcPr>
        <w:tcBorders>
          <w:bottom w:val="nil"/>
        </w:tcBorders>
        <w:shd w:val="clear" w:color="auto" w:fill="7F7F7F" w:themeFill="text1" w:themeFillTint="80"/>
      </w:tcPr>
    </w:tblStylePr>
    <w:tblStylePr w:type="firstCol">
      <w:rPr>
        <w:b/>
      </w:rPr>
    </w:tblStylePr>
    <w:tblStylePr w:type="band1Horz">
      <w:tblPr/>
      <w:tcPr>
        <w:shd w:val="clear" w:color="auto" w:fill="D9D9D9" w:themeFill="background1" w:themeFillShade="D9"/>
      </w:tcPr>
    </w:tblStylePr>
  </w:style>
  <w:style w:type="table" w:styleId="PlainTable5">
    <w:name w:val="Plain Table 5"/>
    <w:basedOn w:val="TableNormal"/>
    <w:uiPriority w:val="45"/>
    <w:rsid w:val="00352CC7"/>
    <w:rPr>
      <w:rFonts w:asciiTheme="minorHAnsi" w:eastAsiaTheme="minorHAnsi" w:hAnsiTheme="minorHAnsi" w:cstheme="minorBidi"/>
      <w:kern w:val="2"/>
      <w:sz w:val="22"/>
      <w:szCs w:val="22"/>
      <w:lang w:val="pt-BR"/>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352CC7"/>
    <w:rPr>
      <w:rFonts w:asciiTheme="minorHAnsi" w:eastAsiaTheme="minorHAnsi" w:hAnsiTheme="minorHAnsi" w:cstheme="minorBidi"/>
      <w:kern w:val="2"/>
      <w:sz w:val="22"/>
      <w:szCs w:val="22"/>
      <w:lang w:val="pt-BR"/>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
    <w:name w:val="List Table 1 Light"/>
    <w:basedOn w:val="TableNormal"/>
    <w:uiPriority w:val="46"/>
    <w:rsid w:val="00352CC7"/>
    <w:rPr>
      <w:rFonts w:asciiTheme="minorHAnsi" w:eastAsiaTheme="minorHAnsi" w:hAnsiTheme="minorHAnsi" w:cstheme="minorBidi"/>
      <w:kern w:val="2"/>
      <w:sz w:val="22"/>
      <w:szCs w:val="22"/>
      <w:lang w:val="pt-BR"/>
      <w14:ligatures w14:val="standardContextu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5">
    <w:name w:val="Grid Table 5 Dark Accent 5"/>
    <w:basedOn w:val="TableNormal"/>
    <w:uiPriority w:val="50"/>
    <w:rsid w:val="00352CC7"/>
    <w:rPr>
      <w:rFonts w:asciiTheme="minorHAnsi" w:eastAsiaTheme="minorHAnsi" w:hAnsiTheme="minorHAnsi" w:cstheme="minorBidi"/>
      <w:sz w:val="22"/>
      <w:szCs w:val="22"/>
      <w:lang w:val="pt-B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4-Accent2">
    <w:name w:val="Grid Table 4 Accent 2"/>
    <w:basedOn w:val="TableNormal"/>
    <w:uiPriority w:val="49"/>
    <w:rsid w:val="00352CC7"/>
    <w:rPr>
      <w:rFonts w:asciiTheme="minorHAnsi" w:eastAsiaTheme="minorHAnsi" w:hAnsiTheme="minorHAnsi" w:cstheme="minorBidi"/>
      <w:sz w:val="22"/>
      <w:szCs w:val="22"/>
      <w:lang w:val="da-DK"/>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1Light">
    <w:name w:val="Grid Table 1 Light"/>
    <w:basedOn w:val="TableNormal"/>
    <w:uiPriority w:val="46"/>
    <w:rsid w:val="00352CC7"/>
    <w:rPr>
      <w:rFonts w:asciiTheme="minorHAnsi" w:eastAsiaTheme="minorHAnsi" w:hAnsiTheme="minorHAnsi" w:cstheme="minorBidi"/>
      <w:sz w:val="22"/>
      <w:szCs w:val="22"/>
      <w:lang w:val="pt-B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A61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hyperlink" Target="https://plataformabrasil.saude.gov.br/login.jsf" TargetMode="External"/><Relationship Id="rId3" Type="http://schemas.openxmlformats.org/officeDocument/2006/relationships/styles" Target="styles.xml"/><Relationship Id="rId21" Type="http://schemas.openxmlformats.org/officeDocument/2006/relationships/hyperlink" Target="https://pedrobrasil.shinyapps.io/INDWEL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4.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f"/><Relationship Id="rId22" Type="http://schemas.openxmlformats.org/officeDocument/2006/relationships/header" Target="header7.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27286-244C-4BA3-AF9E-7C564B039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2070</TotalTime>
  <Pages>30</Pages>
  <Words>24029</Words>
  <Characters>136966</Characters>
  <Application>Microsoft Office Word</Application>
  <DocSecurity>0</DocSecurity>
  <Lines>1141</Lines>
  <Paragraphs>321</Paragraphs>
  <ScaleCrop>false</ScaleCrop>
  <HeadingPairs>
    <vt:vector size="2" baseType="variant">
      <vt:variant>
        <vt:lpstr>Título</vt:lpstr>
      </vt:variant>
      <vt:variant>
        <vt:i4>1</vt:i4>
      </vt:variant>
    </vt:vector>
  </HeadingPairs>
  <TitlesOfParts>
    <vt:vector size="1" baseType="lpstr">
      <vt:lpstr>Modelo de Papel</vt:lpstr>
    </vt:vector>
  </TitlesOfParts>
  <Company>aaaa</Company>
  <LinksUpToDate>false</LinksUpToDate>
  <CharactersWithSpaces>160674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Papel</dc:title>
  <dc:creator>SDI</dc:creator>
  <cp:lastModifiedBy>Editor GP 005</cp:lastModifiedBy>
  <cp:revision>70</cp:revision>
  <cp:lastPrinted>1999-07-06T11:00:00Z</cp:lastPrinted>
  <dcterms:created xsi:type="dcterms:W3CDTF">2014-10-25T14:34:00Z</dcterms:created>
  <dcterms:modified xsi:type="dcterms:W3CDTF">2025-10-17T07:26:00Z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id="zWnL0b9x"/&gt;&lt;style id="http://www.zotero.org/styles/associacao-brasileira-de-normas-tecnicas" hasBibliography="1" bibliographyStyleHasBeenSet="1"/&gt;&lt;prefs&gt;&lt;pref name="fieldType" value="Field"/&gt;&lt;/pr</vt:lpwstr>
  </property>
  <property fmtid="{D5CDD505-2E9C-101B-9397-08002B2CF9AE}" pid="3" name="ZOTERO_PREF_2">
    <vt:lpwstr>efs&gt;&lt;/data&gt;</vt:lpwstr>
  </property>
</Properties>
</file>