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ABF3" w14:textId="77777777" w:rsidR="00787A77" w:rsidRDefault="0019335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 Novel AI-Driven Homomorphic Encryption Framework for Secure Real-Time Telehealth Data Analysis</w:t>
      </w:r>
    </w:p>
    <w:p w14:paraId="1684454C" w14:textId="77777777" w:rsidR="00787A77" w:rsidRDefault="00787A77">
      <w:pPr>
        <w:spacing w:line="360" w:lineRule="auto"/>
        <w:jc w:val="both"/>
        <w:rPr>
          <w:rFonts w:ascii="Times New Roman" w:eastAsia="Times New Roman" w:hAnsi="Times New Roman" w:cs="Times New Roman"/>
          <w:b/>
          <w:sz w:val="24"/>
          <w:szCs w:val="24"/>
        </w:rPr>
      </w:pPr>
    </w:p>
    <w:p w14:paraId="3593978B" w14:textId="77777777" w:rsidR="00A86F1B" w:rsidRPr="00A86F1B" w:rsidRDefault="00A86F1B" w:rsidP="00A86F1B">
      <w:pPr>
        <w:spacing w:line="360" w:lineRule="auto"/>
        <w:jc w:val="both"/>
        <w:rPr>
          <w:rFonts w:ascii="Times New Roman" w:eastAsia="Times New Roman" w:hAnsi="Times New Roman" w:cs="Times New Roman"/>
          <w:bCs/>
          <w:i/>
          <w:iCs/>
          <w:sz w:val="24"/>
          <w:szCs w:val="24"/>
          <w:lang w:val="en-US"/>
        </w:rPr>
      </w:pPr>
      <w:r w:rsidRPr="00A86F1B">
        <w:rPr>
          <w:rFonts w:ascii="Times New Roman" w:eastAsia="Times New Roman" w:hAnsi="Times New Roman" w:cs="Times New Roman"/>
          <w:b/>
          <w:bCs/>
          <w:sz w:val="24"/>
          <w:szCs w:val="24"/>
          <w:lang w:val="en-US"/>
        </w:rPr>
        <w:t>Abstract</w:t>
      </w:r>
      <w:r w:rsidRPr="00A86F1B">
        <w:rPr>
          <w:rFonts w:ascii="Times New Roman" w:eastAsia="Times New Roman" w:hAnsi="Times New Roman" w:cs="Times New Roman"/>
          <w:b/>
          <w:sz w:val="24"/>
          <w:szCs w:val="24"/>
          <w:lang w:val="en-US"/>
        </w:rPr>
        <w:br/>
      </w:r>
      <w:r w:rsidRPr="00A86F1B">
        <w:rPr>
          <w:rFonts w:ascii="Times New Roman" w:eastAsia="Times New Roman" w:hAnsi="Times New Roman" w:cs="Times New Roman"/>
          <w:bCs/>
          <w:i/>
          <w:iCs/>
          <w:sz w:val="24"/>
          <w:szCs w:val="24"/>
          <w:lang w:val="en-US"/>
        </w:rPr>
        <w:t>Ensuring privacy in AI-driven telehealth analytics remains a persistent challenge, as conventional cryptographic methods struggle to meet real-time and compliance requirements. This research developed and validated an AI-driven homomorphic encryption framework for secure real-time telehealth data analysis, addressing critical privacy challenges in medical IoT systems. The study designed a proactive threat intelligence system, developed a predictive analytics framework, and guided secure implementation. A review of existing cryptographic solutions identified gaps in scalability and real-time processing. Using a quantitative experimental design, synthetic telehealth datasets, hybrid CKKS-BFV schemes, and neural network optimization were employed. Implementation in Python with SEAL and TensorFlow was tested across computational, security, and compliance metrics. Results showed a 23.7% overhead reduction, sub-535 ms latency for 5,000 records/sec, and 96.9% HIPAA compliance, with attack success rates below 6%. Synthetic data achieved 99.3% quality, and performance improvements over AES-256 and Paillier were statistically significant (p &lt; 0.001). The hybrid scheme outperformed single approaches by 18.4%, supporting scalable, accurate analytics. Despite synthetic data limitations, findings confirm the framework’s ability to secure telehealth data and enhance clinical decision-making. Future work includes real-world dataset development, explainable AI integration, clinical deployments, and adaptive algorithms for emerging threats.</w:t>
      </w:r>
    </w:p>
    <w:p w14:paraId="2D47EA90" w14:textId="0AE89D84" w:rsidR="00787A77" w:rsidRPr="00A86F1B" w:rsidRDefault="00193355">
      <w:pPr>
        <w:spacing w:line="360" w:lineRule="auto"/>
        <w:jc w:val="both"/>
        <w:rPr>
          <w:rFonts w:ascii="Times New Roman" w:eastAsia="Times New Roman" w:hAnsi="Times New Roman" w:cs="Times New Roman"/>
          <w:bCs/>
          <w:sz w:val="24"/>
          <w:szCs w:val="24"/>
        </w:rPr>
      </w:pPr>
      <w:r w:rsidRPr="00A86F1B">
        <w:rPr>
          <w:rFonts w:ascii="Times New Roman" w:eastAsia="Times New Roman" w:hAnsi="Times New Roman" w:cs="Times New Roman"/>
          <w:bCs/>
          <w:sz w:val="24"/>
          <w:szCs w:val="24"/>
        </w:rPr>
        <w:t>Keyword: Homomorphic Encryption, Telehealth Security, AI Optimization, Medical IoT, Privacy-Preserving Analytics</w:t>
      </w:r>
    </w:p>
    <w:p w14:paraId="7EE8A8E7" w14:textId="77777777" w:rsidR="00787A77" w:rsidRDefault="00787A77">
      <w:pPr>
        <w:spacing w:line="360" w:lineRule="auto"/>
        <w:jc w:val="both"/>
        <w:rPr>
          <w:rFonts w:ascii="Times New Roman" w:eastAsia="Times New Roman" w:hAnsi="Times New Roman" w:cs="Times New Roman"/>
          <w:b/>
          <w:sz w:val="24"/>
          <w:szCs w:val="24"/>
        </w:rPr>
      </w:pPr>
    </w:p>
    <w:p w14:paraId="3EA490D7"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Introduction</w:t>
      </w:r>
    </w:p>
    <w:p w14:paraId="4A5569B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digital transformation of healthcare has revolutionized the collection, processing, and analysis of medical data, offering immense potential for enhancing patient care while simultaneously intensifying concerns over privacy and security. The surge in telehealth services, particularly evident during the COVID-19 pandemic, saw a very high increase in providers in the United States </w:t>
      </w:r>
      <w:r>
        <w:rPr>
          <w:rFonts w:ascii="Times New Roman" w:eastAsia="Times New Roman" w:hAnsi="Times New Roman" w:cs="Times New Roman"/>
          <w:sz w:val="24"/>
          <w:szCs w:val="24"/>
        </w:rPr>
        <w:lastRenderedPageBreak/>
        <w:t>from 2019 to 2020, generating vast quantities of sensitive patient information that demands robust protection to enable effective analysis without compromising confidentiality (Kaiser, 2025; Page et al., 2014). This evolution has been propelled by the integration of artificial intelligence (AI) and machine learning (ML), which facilitate pattern recognition, outcome prediction, and clinical decision-making with remarkable precision and efficiency (Alowais et al., 2023; Vayena et al., 2022). However, these advancements expose vulnerabilities, as healthcare data constitutes about 30% of global data volume, making it a prime target for cyberattacks, with over 40 million U.S. patient records breached annually due to inadequate safeguards (Munjal &amp; Bhatia, 2022; Scheibner et al., 2022). Traditional encryption methods, which necessitate decryption prior to computation, create exposure windows that undermine data integrity in collaborative environments, highlighting the need for innovative solutions that preserve privacy throughout the data lifecycle (Price, 2023; Ara et al., 2017).</w:t>
      </w:r>
    </w:p>
    <w:p w14:paraId="49C64523" w14:textId="55F366F2"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Homomorphic encryption (HE) stands out as a groundbreaking cryptographic technique that permits computations on encrypted data without decryption, effectively bridging the gap between data utility and privacy in healthcare settings (Munjal &amp; Bhatia, 2022; Kim &amp; Lauter, 2015). By enabling secure analysis of sensitive information, HE addresses the challenges posed by real-time telehealth applications, such as remote patient monitoring and emergency responses, where immediate feedback is crucial without sacrificing speed or accuracy (Soyata et al., 2015; Kocabas &amp; Soyata, 2015). AI-driven optimizations further enhance HE's applicability, allowing for adaptive encryption strategies tailored to diverse data types, including electronic health records, physiological streams, and medical imaging (Carpov et al., 2020</w:t>
      </w:r>
      <w:r w:rsidR="00D771FA">
        <w:rPr>
          <w:rFonts w:ascii="Times New Roman" w:eastAsia="Times New Roman" w:hAnsi="Times New Roman" w:cs="Times New Roman"/>
          <w:sz w:val="24"/>
          <w:szCs w:val="24"/>
        </w:rPr>
        <w:t xml:space="preserve">; </w:t>
      </w:r>
      <w:r w:rsidR="00D771FA" w:rsidRPr="00D771FA">
        <w:rPr>
          <w:rFonts w:ascii="Times New Roman" w:eastAsia="Times New Roman" w:hAnsi="Times New Roman" w:cs="Times New Roman"/>
          <w:sz w:val="24"/>
          <w:szCs w:val="24"/>
        </w:rPr>
        <w:t>Oyekunle et al., 2025</w:t>
      </w:r>
      <w:r>
        <w:rPr>
          <w:rFonts w:ascii="Times New Roman" w:eastAsia="Times New Roman" w:hAnsi="Times New Roman" w:cs="Times New Roman"/>
          <w:sz w:val="24"/>
          <w:szCs w:val="24"/>
        </w:rPr>
        <w:t>). Despite these promises, current telehealth security frameworks remain fragmented, often relying on outdated protocols that fail to ensure end-to-end protection, leading to compliance issues with regulations like HIPAA and increased risks in distributed networks</w:t>
      </w:r>
      <w:r>
        <w:rPr>
          <w:rFonts w:ascii="Times New Roman" w:eastAsia="Times New Roman" w:hAnsi="Times New Roman" w:cs="Times New Roman"/>
          <w:b/>
          <w:sz w:val="24"/>
          <w:szCs w:val="24"/>
        </w:rPr>
        <w:t xml:space="preserve"> </w:t>
      </w:r>
      <w:r w:rsidRPr="00D47A74">
        <w:rPr>
          <w:rFonts w:ascii="Times New Roman" w:eastAsia="Times New Roman" w:hAnsi="Times New Roman" w:cs="Times New Roman"/>
          <w:bCs/>
          <w:sz w:val="24"/>
          <w:szCs w:val="24"/>
        </w:rPr>
        <w:t>(Djatmiko et al., 2014)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rapid adoption of telehealth has outpaced security innovations, exacerbating vulnerabilities in home-based and remote delivery systems, where practitioners face operational hurdles in maintaining privacy amid evolving threats (Khedr &amp; Gulak, 2018; Li et al., 2016).</w:t>
      </w:r>
    </w:p>
    <w:p w14:paraId="56572282"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problem lies in the inherent trade-offs of existing security measures, which compromise analytical capabilities for protection or vice versa, particularly in AI-integrated telehealth ecosystems that require unencrypted data access for training and inference, thereby </w:t>
      </w:r>
      <w:r>
        <w:rPr>
          <w:rFonts w:ascii="Times New Roman" w:eastAsia="Times New Roman" w:hAnsi="Times New Roman" w:cs="Times New Roman"/>
          <w:sz w:val="24"/>
          <w:szCs w:val="24"/>
        </w:rPr>
        <w:lastRenderedPageBreak/>
        <w:t>heightening privacy risks and single points of failure (Sharma, 2023; Kar et al., 2017). Fragmented approaches result in ad-hoc implementations ill-equipped against sophisticated attacks, while the lack of standardized frameworks hinders compliance and efficiency in real-time processing (Wang &amp; Zhang, 2015). Moreover, the centralized storage of sensitive data amplifies breach potentials, as seen in the inadequacies exposed by the pandemic, underscoring the urgency for comprehensive solutions that support collaborative analysis without data exposure (Vengadapurvaja et al., 2017; Kocabas et al., 2016).</w:t>
      </w:r>
    </w:p>
    <w:p w14:paraId="67D3CA6A"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 HE schemes, particularly fully and somewhat homomorphic variants, optimized for telehealth data streams through AI algorithms for parameter tuning and performance enhancement (Munjal &amp; Bhatia, 2022; Bos et al., 2014). Methodologically, it employs mixed approaches including cryptographic analysis, algorithm development, and simulation-based evaluations using synthetic datasets to assess efficiency, security, and scalability, while comparing against traditional methods (Kim &amp; Lauter, 2015; Carpov et al., 2020). Applications target remote healthcare scenarios like chronic disease management and consultations, with emphasis on U.S. regulatory compliance, though international standards are considered (Scheibner et al., 2022; Ara et al., 2017).</w:t>
      </w:r>
    </w:p>
    <w:p w14:paraId="430921A5"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significance of this work spans theoretical, practical, clinical, technological, and societal realms. Theoretically, it advances cryptographic knowledge by integrating AI to optimize HE for healthcare-specific computations, offering insights into efficiency-privacy trade-offs (Munjal &amp; Bhatia, 2022; Djatmiko et al., 2014). Practically, it equips providers with tools for secure telehealth, reducing compliance burdens and enabling real-time analytics in home settings (Kaiser, 2025; Soyata et al., 2015). Clinically, it fosters data-driven decisions and collaborations, enhancing outcomes in monitoring and research without eroding trust (Alowais et al., 2023; Kar et al., 2017). Technologically, it paves the way for privacy-by-design systems extendable beyond healthcare (Khedr &amp; Gulak, 2018). Societally, it promotes equitable access to digital health, bolstering public confidence in technologies that democratize care (Vayena et al., 2022; Kocabas &amp; Soyata, 2015).</w:t>
      </w:r>
    </w:p>
    <w:p w14:paraId="505C885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aim of this research is to develop and evaluate a novel AI-driven homomorphic encryption framework that enables secure real-time analysis of telehealth data while maintaining patient privacy and regulatory compliance. The research objectives are: </w:t>
      </w:r>
    </w:p>
    <w:p w14:paraId="08E648F2" w14:textId="77777777" w:rsidR="00787A77" w:rsidRDefault="0019335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design and develop a comprehensive homomorphic encryption framework specifically optimized for real-time telehealth data processing, integrating AI-driven optimizations for scalability and compatibility,</w:t>
      </w:r>
    </w:p>
    <w:p w14:paraId="05892444" w14:textId="77777777" w:rsidR="00787A77" w:rsidRDefault="0019335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evaluate the framework's performance in terms of security, computational efficiency, and data processing accuracy using simulated telehealth datasets through standardized benchmarking, and </w:t>
      </w:r>
    </w:p>
    <w:p w14:paraId="7940E897" w14:textId="77777777" w:rsidR="00787A77" w:rsidRDefault="00193355">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the framework's compliance with healthcare privacy regulations and its practical feasibility for implementation in remote healthcare delivery systems, including feasibility analysis of resource requirements and adoption barriers.</w:t>
      </w:r>
    </w:p>
    <w:p w14:paraId="4A27E948" w14:textId="77777777" w:rsidR="00787A77" w:rsidRDefault="00787A77">
      <w:pPr>
        <w:spacing w:line="360" w:lineRule="auto"/>
        <w:jc w:val="both"/>
        <w:rPr>
          <w:rFonts w:ascii="Times New Roman" w:eastAsia="Times New Roman" w:hAnsi="Times New Roman" w:cs="Times New Roman"/>
          <w:sz w:val="24"/>
          <w:szCs w:val="24"/>
        </w:rPr>
      </w:pPr>
    </w:p>
    <w:p w14:paraId="782D55E1"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Literature Review</w:t>
      </w:r>
    </w:p>
    <w:p w14:paraId="7E449A10" w14:textId="1556511E" w:rsidR="00787A77" w:rsidRPr="00AD67C2" w:rsidRDefault="00193355">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This literature review delves into the existing body of knowledge on homomorphic encryption (HE) and its integration with artificial intelligence (AI) in healthcare contexts. The review is structured to trace the theoretical underpinnings, explore AI-driven enhancements, examine empirical applications, and highlight persistent gaps that underscore the novelty of the proposed framework. This synthesis not only contextualizes the evolution of privacy-preserving technologies but also illuminates how current approaches fall short in addressing the dynamic demands of telehealth environments, where real-time processing must coexist with stringent data protection</w:t>
      </w:r>
      <w:r w:rsidR="00AD67C2" w:rsidRPr="00AD67C2">
        <w:rPr>
          <w:rFonts w:ascii="Times New Roman" w:eastAsia="Times New Roman" w:hAnsi="Times New Roman" w:cs="Times New Roman"/>
          <w:sz w:val="24"/>
          <w:szCs w:val="24"/>
          <w:lang w:val="en-US"/>
        </w:rPr>
        <w:t xml:space="preserve"> (Dong et al., 2024)</w:t>
      </w:r>
      <w:r>
        <w:rPr>
          <w:rFonts w:ascii="Times New Roman" w:eastAsia="Times New Roman" w:hAnsi="Times New Roman" w:cs="Times New Roman"/>
          <w:sz w:val="24"/>
          <w:szCs w:val="24"/>
        </w:rPr>
        <w:t>.</w:t>
      </w:r>
    </w:p>
    <w:p w14:paraId="28D7456F"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Foundations of Homomorphic Encryption in Healthcare</w:t>
      </w:r>
    </w:p>
    <w:p w14:paraId="658F8345"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theoretical basis of HE in healthcare stems from cryptographic principles that enable computations on encrypted data without decryption, a concept first formalized by Rivest et al. (1978) and fully realized with Gentry's (2009) breakthrough in fully homomorphic encryption (FHE). In healthcare, HE addresses the vulnerability of sensitive patient data during analysis, particularly in telehealth systems where data streams from remote devices require continuous protection. Early theoretical work emphasized partial homomorphic schemes, such as Paillier (1999), which support additive operations on encrypted data, proving useful for aggregating health metrics like blood pressure readings without exposing individual values (Alabdulatif et al., 2022). Subsequent developments in somewhat homomorphic encryption (SHE) extended capabilities to </w:t>
      </w:r>
      <w:r>
        <w:rPr>
          <w:rFonts w:ascii="Times New Roman" w:eastAsia="Times New Roman" w:hAnsi="Times New Roman" w:cs="Times New Roman"/>
          <w:sz w:val="24"/>
          <w:szCs w:val="24"/>
        </w:rPr>
        <w:lastRenderedPageBreak/>
        <w:t>limited multiplicative operations, laying the groundwork for more complex healthcare analytics (Cheon et al., 2017).</w:t>
      </w:r>
    </w:p>
    <w:p w14:paraId="4DABE70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telehealth-specific applications, theoretical models have evolved to incorporate lattice-based cryptography for post-quantum security, as seen in schemes like CKKS (Cheon-Kim-Kim-Song), which approximate real-number computations essential for physiological signal processing (Al-Hazaimeh et al., 2023). These foundations highlight HE's potential to maintain data confidentiality throughout the processing pipeline, aligning with regulatory frameworks like HIPAA by minimizing decryption risks. However, theoretical discussions often overlook the computational overhead, where bootstrapping in FHE, a noise-reduction technique can inflate processing times, posing challenges for real-time telehealth scenarios (Alzubi et al., 2024a).</w:t>
      </w:r>
    </w:p>
    <w:p w14:paraId="56C9CB48"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Subsequent conceptual frameworks integrate HE with blockchain for distributed ledger-based privacy, enhancing theoretical robustness in multi-party telehealth collaborations (Scheibner et al., 2022). Yet, these models primarily focus on static data sets, neglecting the streaming nature of telehealth data, which demands adaptive encryption parameters to balance security and latency.</w:t>
      </w:r>
    </w:p>
    <w:p w14:paraId="168872A8"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 Integration in Privacy-Preserving Data Analysis for Telehealth</w:t>
      </w:r>
    </w:p>
    <w:p w14:paraId="0BA36748" w14:textId="2AC0B925" w:rsidR="00787A77" w:rsidRPr="00AD67C2" w:rsidRDefault="00193355">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Advancing from theoretical roots, the integration of AI with HE represents a pivotal shift toward dynamic, optimized privacy-preserving systems in telehealth. AI algorithms, particularly machine learning models, have been employed to automate parameter selection in HE schemes, reducing manual tuning and improving efficiency for real-time applications. For example, neural networks can predict optimal key sizes and noise levels based on data characteristics, as demonstrated in AI-driven optimizations that achieve up to 30% reduction in computational overhead for encrypted medical image analysis (Alzubi et al., 2024b). This synergy allows for federated learning paradigms where AI models train on encrypted telehealth data across distributed nodes, preserving privacy while enabling predictive analytics for conditions like chronic heart disease</w:t>
      </w:r>
      <w:r w:rsidR="00AD67C2" w:rsidRPr="00AD67C2">
        <w:rPr>
          <w:rFonts w:ascii="Times New Roman" w:eastAsia="Times New Roman" w:hAnsi="Times New Roman" w:cs="Times New Roman"/>
          <w:sz w:val="24"/>
          <w:szCs w:val="24"/>
          <w:lang w:val="en-US"/>
        </w:rPr>
        <w:t xml:space="preserve"> (Shen et al., 2024</w:t>
      </w:r>
      <w:r w:rsidR="00D771FA">
        <w:rPr>
          <w:rFonts w:ascii="Times New Roman" w:eastAsia="Times New Roman" w:hAnsi="Times New Roman" w:cs="Times New Roman"/>
          <w:sz w:val="24"/>
          <w:szCs w:val="24"/>
          <w:lang w:val="en-US"/>
        </w:rPr>
        <w:t xml:space="preserve">; </w:t>
      </w:r>
      <w:r w:rsidR="00D771FA" w:rsidRPr="00D771FA">
        <w:rPr>
          <w:rFonts w:ascii="Times New Roman" w:eastAsia="Times New Roman" w:hAnsi="Times New Roman" w:cs="Times New Roman"/>
          <w:sz w:val="24"/>
          <w:szCs w:val="24"/>
        </w:rPr>
        <w:t>Ogunmolu et al., 2025</w:t>
      </w:r>
      <w:r w:rsidR="00AD67C2" w:rsidRPr="00AD67C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p>
    <w:p w14:paraId="16BDFD3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advances emphasize hybrid AI-HE frameworks, where reinforcement learning refines encryption strategies in response to varying data volumes in telehealth streams (Wood et al., 2021). In one conceptual model, AI agents dynamically adjust homomorphic levels switching between SHE for low-depth operations and FHE for deeper computations to support real-time anomaly </w:t>
      </w:r>
      <w:r>
        <w:rPr>
          <w:rFonts w:ascii="Times New Roman" w:eastAsia="Times New Roman" w:hAnsi="Times New Roman" w:cs="Times New Roman"/>
          <w:sz w:val="24"/>
          <w:szCs w:val="24"/>
        </w:rPr>
        <w:lastRenderedPageBreak/>
        <w:t xml:space="preserve">detection in patient monitoring data. Empirical integrations, such as those using convolutional neural networks on homomorphically encrypted electrocardiogram signals, have shown promise in maintaining diagnostic accuracy above 95% without data exposure (Froelicher et al., 2021). </w:t>
      </w:r>
    </w:p>
    <w:p w14:paraId="11A8DCF6"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these progresses, AI-driven HE in telehealth often grapples with scalability issues, as training AI on encrypted data amplifies resource demands, with studies reporting inference times exceeding 10 seconds for complex models far from real-time requirements (Chatterjee et al., 2023). Moreover, conceptual gaps persist in handling heterogeneous telehealth data types, where AI must adapt to mixed structured and unstructured inputs, such as combining vital signs with video consultations.</w:t>
      </w:r>
    </w:p>
    <w:p w14:paraId="16318E01"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Studies and Current Advances</w:t>
      </w:r>
    </w:p>
    <w:p w14:paraId="06217E87"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Empirical research has validated HE's efficacy in healthcare through numerous case studies, particularly in telehealth data analysis. A landmark study implemented FHE for secure aggregation of remote patient monitoring data, achieving end-to-end encryption in a cohort of 500 patients with minimal accuracy loss in predictive modeling (Jiang et al., 2018). Recent advances extend this to AI-enhanced systems, where deep learning models process encrypted telehealth datasets for disease outbreak forecasting, demonstrating 98% precision in simulated pandemics while complying with GDPR (Podschwadt &amp; Takabi, 2020).</w:t>
      </w:r>
    </w:p>
    <w:p w14:paraId="4DFFC36E"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real-world deployments, blockchain-augmented HE has been tested in telehealth platforms, enabling secure multi-institutional data sharing for AI-driven diagnostics, with one trial reducing breach incidents by 40% (Alzubi et al., 2024a). Advances in hardware acceleration, such as GPU-based HE implementations, have cut processing latencies to under 1 second for basic operations, facilitating real-time feedback in emergency telehealth consultations (Badawi et al., 2020). </w:t>
      </w:r>
    </w:p>
    <w:p w14:paraId="67F92A4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literature also explores hybrid empirical approaches, combining HE with differential privacy to mitigate inference attacks in AI-telehealth systems, yielding robust defenses against adversarial threats in pilot studies (Truex et al., 2019). These advances affirm HE's role in empowering AI for telehealth, yet empirical gaps emerge in longitudinal studies, where long-term data integrity under continuous encryption remains underexplored.</w:t>
      </w:r>
    </w:p>
    <w:p w14:paraId="5CD6CA8A"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Gaps and Research Opportunities</w:t>
      </w:r>
    </w:p>
    <w:p w14:paraId="3725028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While the literature demonstrates substantial progress, significant gaps hinder the full realization of AI-driven HE for secure real-time telehealth analysis. Theoretically, most frameworks assume ideal network conditions, overlooking latency variations in remote telehealth settings, which can degrade HE performance by up to 50% in empirical tests (Alzubi et al., 2024b). Conceptually, the lack of standardized benchmarks for AI-HE integration results in inconsistent evaluations, with studies varying widely in metrics like throughput and energy consumption (Chatterjee et al., 2023). Empirically, real-time applications are underrepresented; for example, few studies address the noise accumulation in streaming data, leading to accuracy drops over extended monitoring periods (Froelicher et al., 2021).</w:t>
      </w:r>
    </w:p>
    <w:p w14:paraId="21DF9CB6"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critical gap lies in regulatory compliance testing, where HE frameworks rarely incorporate dynamic HIPAA audits for AI-adapted encryption, exposing vulnerabilities in collaborative telehealth (Wood et al., 2021). Moreover, current advances neglect resource-constrained devices common in home-based telehealth, where AI optimizations must contend with limited computing power (Podschwadt &amp; Takabi, 2020). These shortcomings create opportunities for novel frameworks that embed AI for adaptive, low-latency HE, as proposed in this study, to bridge the divide between theoretical promise and practical deployment.</w:t>
      </w:r>
    </w:p>
    <w:p w14:paraId="1A8BC285" w14:textId="77777777" w:rsidR="00787A77" w:rsidRDefault="00787A77">
      <w:pPr>
        <w:spacing w:line="360" w:lineRule="auto"/>
        <w:rPr>
          <w:b/>
        </w:rPr>
      </w:pPr>
    </w:p>
    <w:p w14:paraId="7EB217F8"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Methodology</w:t>
      </w:r>
    </w:p>
    <w:p w14:paraId="114E7304"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outlines the methodology employed to develop and validate a novel AI-driven homomorphic encryption framework for secure real-time telehealth data analysis. The study adopts a quantitative experimental research design, grounded in a post-positivist paradigm, to empirically measure performance and security metrics while addressing practical constraints in remote telehealth environments. The methodology integrates design science principles, focusing on iterative artifact creation, with experimental computer science strategies to ensure reproducibility and robustness. </w:t>
      </w:r>
    </w:p>
    <w:p w14:paraId="099F25EA"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Design</w:t>
      </w:r>
      <w:r>
        <w:rPr>
          <w:rFonts w:ascii="Times New Roman" w:eastAsia="Times New Roman" w:hAnsi="Times New Roman" w:cs="Times New Roman"/>
          <w:sz w:val="24"/>
          <w:szCs w:val="24"/>
        </w:rPr>
        <w:t xml:space="preserve"> </w:t>
      </w:r>
    </w:p>
    <w:p w14:paraId="397E4418"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employs a quantitative experimental research design centered on simulation-based evaluation to develop and validate the AI-driven homomorphic encryption framework. This design emphasizes empirical measurement of performance and security metrics, balancing theoretical </w:t>
      </w:r>
      <w:r>
        <w:rPr>
          <w:rFonts w:ascii="Times New Roman" w:eastAsia="Times New Roman" w:hAnsi="Times New Roman" w:cs="Times New Roman"/>
          <w:sz w:val="24"/>
          <w:szCs w:val="24"/>
        </w:rPr>
        <w:lastRenderedPageBreak/>
        <w:t xml:space="preserve">cryptographic analysis with practical implementation constraints suitable for remote telehealth environments. A pragmatic approach, rooted in design science methodology, guides the iterative creation of a hybrid homomorphic encryption scheme optimized by artificial intelligence (AI) algorithms. </w:t>
      </w:r>
    </w:p>
    <w:p w14:paraId="3C072E8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computer science strategies facilitate controlled experiments, ensuring reproducibility through standardized benchmarking and systematic variation of variables such as dataset size (1,000 to 100,000 records) and security levels (128 to 256 bits). The framework’s architecture leverages lattice-based cryptography, combining the Cheon-Kim-Kim-Song (CKKS) scheme for approximate computations on real-valued telehealth data (e.g., physiological signals) and the Brakerski-Fan-Vercauteren (BFV) scheme for integer operations (e.g., electronic health record counts). AI integration employs neural networks to dynamically optimize encryption parameters, predicting optimal polynomial degrees and moduli based on input data characteristics. This optimization is modeled by the equation:</w:t>
      </w:r>
    </w:p>
    <w:p w14:paraId="7A8FBFE9" w14:textId="77777777" w:rsidR="00787A77" w:rsidRDefault="001923A5">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acc>
                <m:accPr>
                  <m:ctrlPr>
                    <w:rPr>
                      <w:rFonts w:ascii="Cambria Math" w:hAnsi="Cambria Math"/>
                    </w:rPr>
                  </m:ctrlPr>
                </m:accPr>
                <m:e>
                  <m:r>
                    <w:rPr>
                      <w:rFonts w:ascii="Cambria Math" w:hAnsi="Cambria Math"/>
                    </w:rPr>
                    <m:t>θ</m:t>
                  </m:r>
                </m:e>
              </m:acc>
            </m:e>
            <m:sub>
              <m:r>
                <w:rPr>
                  <w:rFonts w:ascii="Cambria Math" w:eastAsia="Cambria Math" w:hAnsi="Cambria Math" w:cs="Cambria Math"/>
                  <w:sz w:val="24"/>
                  <w:szCs w:val="24"/>
                </w:rPr>
                <m:t>opt</m:t>
              </m:r>
            </m:sub>
          </m:sSub>
          <m:r>
            <w:rPr>
              <w:rFonts w:ascii="Cambria Math" w:eastAsia="Cambria Math" w:hAnsi="Cambria Math" w:cs="Cambria Math"/>
              <w:sz w:val="24"/>
              <w:szCs w:val="24"/>
            </w:rPr>
            <m:t>=</m:t>
          </m:r>
          <m:r>
            <w:rPr>
              <w:rFonts w:ascii="Cambria Math" w:eastAsia="Cambria Math" w:hAnsi="Cambria Math" w:cs="Cambria Math"/>
              <w:sz w:val="24"/>
              <w:szCs w:val="24"/>
            </w:rPr>
            <m:t>NN</m:t>
          </m:r>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D</m:t>
              </m:r>
            </m:e>
            <m:sub>
              <m:r>
                <w:rPr>
                  <w:rFonts w:ascii="Cambria Math" w:eastAsia="Cambria Math" w:hAnsi="Cambria Math" w:cs="Cambria Math"/>
                  <w:sz w:val="24"/>
                  <w:szCs w:val="24"/>
                </w:rPr>
                <m:t>features</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constraints</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requirements</m:t>
              </m:r>
            </m:sub>
          </m:sSub>
        </m:oMath>
      </m:oMathPara>
    </w:p>
    <w:p w14:paraId="77C23E8F"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w:t>
      </w:r>
      <m:oMath>
        <m:sSub>
          <m:sSubPr>
            <m:ctrlPr>
              <w:rPr>
                <w:rFonts w:ascii="Cambria Math" w:eastAsia="Cambria Math" w:hAnsi="Cambria Math" w:cs="Cambria Math"/>
                <w:sz w:val="24"/>
                <w:szCs w:val="24"/>
              </w:rPr>
            </m:ctrlPr>
          </m:sSubPr>
          <m:e>
            <m:acc>
              <m:accPr>
                <m:ctrlPr>
                  <w:rPr>
                    <w:rFonts w:ascii="Cambria Math" w:hAnsi="Cambria Math"/>
                  </w:rPr>
                </m:ctrlPr>
              </m:accPr>
              <m:e>
                <m:r>
                  <w:rPr>
                    <w:rFonts w:ascii="Cambria Math" w:hAnsi="Cambria Math"/>
                  </w:rPr>
                  <m:t>θ</m:t>
                </m:r>
              </m:e>
            </m:acc>
          </m:e>
          <m:sub>
            <m:r>
              <w:rPr>
                <w:rFonts w:ascii="Cambria Math" w:eastAsia="Cambria Math" w:hAnsi="Cambria Math" w:cs="Cambria Math"/>
                <w:sz w:val="24"/>
                <w:szCs w:val="24"/>
              </w:rPr>
              <m:t>opt</m:t>
            </m:r>
          </m:sub>
        </m:sSub>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 xml:space="preserve">represents the optimal parameter set,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D</m:t>
            </m:r>
          </m:e>
          <m:sub>
            <m:r>
              <w:rPr>
                <w:rFonts w:ascii="Cambria Math" w:eastAsia="Cambria Math" w:hAnsi="Cambria Math" w:cs="Cambria Math"/>
                <w:sz w:val="24"/>
                <w:szCs w:val="24"/>
              </w:rPr>
              <m:t>features</m:t>
            </m:r>
          </m:sub>
        </m:sSub>
      </m:oMath>
      <w:r>
        <w:rPr>
          <w:rFonts w:ascii="Times New Roman" w:eastAsia="Times New Roman" w:hAnsi="Times New Roman" w:cs="Times New Roman"/>
          <w:sz w:val="24"/>
          <w:szCs w:val="24"/>
        </w:rPr>
        <w:t xml:space="preserve"> includes data characteristics like dimensionality,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constraints</m:t>
            </m:r>
          </m:sub>
        </m:sSub>
      </m:oMath>
      <w:r>
        <w:rPr>
          <w:rFonts w:ascii="Times New Roman" w:eastAsia="Times New Roman" w:hAnsi="Times New Roman" w:cs="Times New Roman"/>
          <w:sz w:val="24"/>
          <w:szCs w:val="24"/>
        </w:rPr>
        <w:t xml:space="preserve"> encompasses latency requirements, and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requirements</m:t>
            </m:r>
          </m:sub>
        </m:sSub>
      </m:oMath>
      <w:r>
        <w:rPr>
          <w:rFonts w:ascii="Times New Roman" w:eastAsia="Times New Roman" w:hAnsi="Times New Roman" w:cs="Times New Roman"/>
          <w:sz w:val="24"/>
          <w:szCs w:val="24"/>
        </w:rPr>
        <w:t xml:space="preserve"> specifies security needs such as key strength. This approach ensures real-time processing with end-to-end encryption, aligning with telehealth’s need for low-latency analytics without decryption vulnerabilities. The data validation framework is shown in Figure 1.</w:t>
      </w:r>
    </w:p>
    <w:p w14:paraId="71E6E9F5" w14:textId="77777777" w:rsidR="00787A77" w:rsidRDefault="00787A77">
      <w:pPr>
        <w:spacing w:line="360" w:lineRule="auto"/>
        <w:jc w:val="both"/>
        <w:rPr>
          <w:rFonts w:ascii="Times New Roman" w:eastAsia="Times New Roman" w:hAnsi="Times New Roman" w:cs="Times New Roman"/>
          <w:sz w:val="24"/>
          <w:szCs w:val="24"/>
        </w:rPr>
      </w:pPr>
    </w:p>
    <w:p w14:paraId="42AA5F81" w14:textId="77777777" w:rsidR="00787A77" w:rsidRDefault="00787A77">
      <w:pPr>
        <w:spacing w:line="360" w:lineRule="auto"/>
        <w:jc w:val="both"/>
        <w:rPr>
          <w:rFonts w:ascii="Times New Roman" w:eastAsia="Times New Roman" w:hAnsi="Times New Roman" w:cs="Times New Roman"/>
          <w:sz w:val="24"/>
          <w:szCs w:val="24"/>
        </w:rPr>
      </w:pPr>
    </w:p>
    <w:p w14:paraId="1D1EA950" w14:textId="77777777" w:rsidR="00787A77" w:rsidRDefault="00787A77">
      <w:pPr>
        <w:spacing w:line="360" w:lineRule="auto"/>
        <w:jc w:val="both"/>
        <w:rPr>
          <w:rFonts w:ascii="Times New Roman" w:eastAsia="Times New Roman" w:hAnsi="Times New Roman" w:cs="Times New Roman"/>
          <w:sz w:val="24"/>
          <w:szCs w:val="24"/>
        </w:rPr>
      </w:pPr>
    </w:p>
    <w:p w14:paraId="03DDF41E" w14:textId="77777777" w:rsidR="00D47A74" w:rsidRDefault="00D47A74">
      <w:pPr>
        <w:spacing w:line="360" w:lineRule="auto"/>
        <w:jc w:val="both"/>
        <w:rPr>
          <w:rFonts w:ascii="Times New Roman" w:eastAsia="Times New Roman" w:hAnsi="Times New Roman" w:cs="Times New Roman"/>
          <w:sz w:val="24"/>
          <w:szCs w:val="24"/>
        </w:rPr>
      </w:pPr>
    </w:p>
    <w:p w14:paraId="6D40B44C" w14:textId="77777777" w:rsidR="00D47A74" w:rsidRDefault="00D47A74">
      <w:pPr>
        <w:spacing w:line="360" w:lineRule="auto"/>
        <w:jc w:val="both"/>
        <w:rPr>
          <w:rFonts w:ascii="Times New Roman" w:eastAsia="Times New Roman" w:hAnsi="Times New Roman" w:cs="Times New Roman"/>
          <w:sz w:val="24"/>
          <w:szCs w:val="24"/>
        </w:rPr>
      </w:pPr>
    </w:p>
    <w:p w14:paraId="6A93867F" w14:textId="77777777" w:rsidR="00D47A74" w:rsidRDefault="00D47A74">
      <w:pPr>
        <w:spacing w:line="360" w:lineRule="auto"/>
        <w:jc w:val="both"/>
        <w:rPr>
          <w:rFonts w:ascii="Times New Roman" w:eastAsia="Times New Roman" w:hAnsi="Times New Roman" w:cs="Times New Roman"/>
          <w:sz w:val="24"/>
          <w:szCs w:val="24"/>
        </w:rPr>
      </w:pPr>
    </w:p>
    <w:p w14:paraId="46C36F64" w14:textId="77777777" w:rsidR="00D47A74" w:rsidRDefault="00D47A74">
      <w:pPr>
        <w:spacing w:line="360" w:lineRule="auto"/>
        <w:jc w:val="both"/>
        <w:rPr>
          <w:rFonts w:ascii="Times New Roman" w:eastAsia="Times New Roman" w:hAnsi="Times New Roman" w:cs="Times New Roman"/>
          <w:sz w:val="24"/>
          <w:szCs w:val="24"/>
        </w:rPr>
      </w:pPr>
    </w:p>
    <w:p w14:paraId="3C52268C" w14:textId="77777777" w:rsidR="00787A77" w:rsidRDefault="00787A77">
      <w:pPr>
        <w:spacing w:line="360" w:lineRule="auto"/>
        <w:jc w:val="both"/>
        <w:rPr>
          <w:rFonts w:ascii="Times New Roman" w:eastAsia="Times New Roman" w:hAnsi="Times New Roman" w:cs="Times New Roman"/>
          <w:sz w:val="24"/>
          <w:szCs w:val="24"/>
        </w:rPr>
      </w:pPr>
    </w:p>
    <w:p w14:paraId="369DA373" w14:textId="461F70B0"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Data Validation Framework</w:t>
      </w:r>
      <w:r w:rsidR="00DE5F5D">
        <w:rPr>
          <w:rFonts w:ascii="Times New Roman" w:eastAsia="Times New Roman" w:hAnsi="Times New Roman" w:cs="Times New Roman"/>
          <w:i/>
          <w:sz w:val="24"/>
          <w:szCs w:val="24"/>
        </w:rPr>
        <w:t>.</w:t>
      </w:r>
    </w:p>
    <w:p w14:paraId="58943D68" w14:textId="734545D7" w:rsidR="00787A77" w:rsidRDefault="001933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br/>
      </w:r>
      <w:r>
        <w:rPr>
          <w:rFonts w:ascii="Times New Roman" w:eastAsia="Times New Roman" w:hAnsi="Times New Roman" w:cs="Times New Roman"/>
          <w:noProof/>
          <w:sz w:val="24"/>
          <w:szCs w:val="24"/>
        </w:rPr>
        <w:drawing>
          <wp:inline distT="0" distB="0" distL="0" distR="0" wp14:anchorId="4B3C8854" wp14:editId="6C46ED08">
            <wp:extent cx="4588611" cy="352577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88611" cy="3525779"/>
                    </a:xfrm>
                    <a:prstGeom prst="rect">
                      <a:avLst/>
                    </a:prstGeom>
                    <a:ln/>
                  </pic:spPr>
                </pic:pic>
              </a:graphicData>
            </a:graphic>
          </wp:inline>
        </w:drawing>
      </w:r>
    </w:p>
    <w:p w14:paraId="4A049553"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Sources and Collection </w:t>
      </w:r>
    </w:p>
    <w:p w14:paraId="2CE1632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privacy and accessibility, the study uses synthetic datasets that mimic real-world telehealth scenarios, avoiding the need for sensitive patient data. These datasets are generated using established protocols and statistical distributions derived from publicly available anonymized sources, including the Centers for Disease Control and Prevention’s National Health and Nutrition Examination Survey (NHANES) for demographic and clinical parameters, Medicare Claims Synthetic Public Use Files (SynPUFs) for utilization patterns, MIMIC-III database aggregates for temporal clinical trends, and PhysioNet challenges for physiological signal characteristics. The datasets encompass remote patient monitoring data (e.g., heart rate streams at 1-100 Hz sampling), structured electronic health records with 50-200 attributes, and real-time sensor outputs, spanning volumes from 1,000 to 100,000 records over 30 to 365 days. The generation process incorporates variability parameters matching epidemiological data, such as patient demographics and condition prevalence, with complexity introduced through temporal </w:t>
      </w:r>
      <w:r>
        <w:rPr>
          <w:rFonts w:ascii="Times New Roman" w:eastAsia="Times New Roman" w:hAnsi="Times New Roman" w:cs="Times New Roman"/>
          <w:sz w:val="24"/>
          <w:szCs w:val="24"/>
        </w:rPr>
        <w:lastRenderedPageBreak/>
        <w:t>dependencies and correlation structures reflecting disease progression. Data quality is assured using three (3) metrics such as:</w:t>
      </w:r>
    </w:p>
    <w:p w14:paraId="5DA49186" w14:textId="77777777" w:rsidR="00787A77" w:rsidRDefault="0019335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Completeness:</w:t>
      </w:r>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C=</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complex</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total</m:t>
                </m:r>
              </m:sub>
            </m:sSub>
          </m:den>
        </m:f>
        <m:r>
          <w:rPr>
            <w:rFonts w:ascii="Cambria Math" w:eastAsia="Cambria Math" w:hAnsi="Cambria Math" w:cs="Cambria Math"/>
            <w:color w:val="000000"/>
            <w:sz w:val="24"/>
            <w:szCs w:val="24"/>
          </w:rPr>
          <m:t>×100%</m:t>
        </m:r>
      </m:oMath>
      <w:r>
        <w:rPr>
          <w:rFonts w:ascii="Times New Roman" w:eastAsia="Times New Roman" w:hAnsi="Times New Roman" w:cs="Times New Roman"/>
          <w:color w:val="000000"/>
          <w:sz w:val="24"/>
          <w:szCs w:val="24"/>
        </w:rPr>
        <w:t xml:space="preserve">,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complex</m:t>
            </m:r>
          </m:sub>
        </m:sSub>
      </m:oMath>
      <w:r>
        <w:rPr>
          <w:rFonts w:ascii="Times New Roman" w:eastAsia="Times New Roman" w:hAnsi="Times New Roman" w:cs="Times New Roman"/>
          <w:color w:val="000000"/>
          <w:sz w:val="24"/>
          <w:szCs w:val="24"/>
        </w:rPr>
        <w:t xml:space="preserve"> is the number of complete records and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total</m:t>
            </m:r>
          </m:sub>
        </m:sSub>
      </m:oMath>
      <w:r>
        <w:rPr>
          <w:rFonts w:ascii="Times New Roman" w:eastAsia="Times New Roman" w:hAnsi="Times New Roman" w:cs="Times New Roman"/>
          <w:color w:val="000000"/>
          <w:sz w:val="24"/>
          <w:szCs w:val="24"/>
        </w:rPr>
        <w:t xml:space="preserve"> is the total number of records, ensuring dataset integrity</w:t>
      </w:r>
    </w:p>
    <w:p w14:paraId="0D6FA5CA" w14:textId="77777777" w:rsidR="00787A77" w:rsidRDefault="0019335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Consistency:</w:t>
      </w:r>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Cons=1-</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inconsistent</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relationships</m:t>
                </m:r>
              </m:sub>
            </m:sSub>
          </m:den>
        </m:f>
      </m:oMath>
      <w:r>
        <w:rPr>
          <w:rFonts w:ascii="Times New Roman" w:eastAsia="Times New Roman" w:hAnsi="Times New Roman" w:cs="Times New Roman"/>
          <w:color w:val="000000"/>
          <w:sz w:val="24"/>
          <w:szCs w:val="24"/>
        </w:rPr>
        <w:t xml:space="preserve">,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inconsistent</m:t>
            </m:r>
          </m:sub>
        </m:sSub>
      </m:oMath>
      <w:r>
        <w:rPr>
          <w:rFonts w:ascii="Times New Roman" w:eastAsia="Times New Roman" w:hAnsi="Times New Roman" w:cs="Times New Roman"/>
          <w:color w:val="000000"/>
          <w:sz w:val="24"/>
          <w:szCs w:val="24"/>
        </w:rPr>
        <w:t xml:space="preserve"> is the number of inconsistent data points and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relationships</m:t>
            </m:r>
          </m:sub>
        </m:sSub>
      </m:oMath>
      <w:r>
        <w:rPr>
          <w:rFonts w:ascii="Times New Roman" w:eastAsia="Times New Roman" w:hAnsi="Times New Roman" w:cs="Times New Roman"/>
          <w:color w:val="000000"/>
          <w:sz w:val="24"/>
          <w:szCs w:val="24"/>
        </w:rPr>
        <w:t xml:space="preserve"> is the total number of relationships, validating data coherence</w:t>
      </w:r>
    </w:p>
    <w:p w14:paraId="0F37DD46" w14:textId="77777777" w:rsidR="00787A77" w:rsidRDefault="00193355">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Accuracy:</w:t>
      </w:r>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Acc=</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correct</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validated</m:t>
                </m:r>
              </m:sub>
            </m:sSub>
          </m:den>
        </m:f>
        <m:r>
          <w:rPr>
            <w:rFonts w:ascii="Cambria Math" w:eastAsia="Cambria Math" w:hAnsi="Cambria Math" w:cs="Cambria Math"/>
            <w:color w:val="000000"/>
            <w:sz w:val="24"/>
            <w:szCs w:val="24"/>
          </w:rPr>
          <m:t>×100%</m:t>
        </m:r>
      </m:oMath>
      <w:r>
        <w:rPr>
          <w:rFonts w:ascii="Times New Roman" w:eastAsia="Times New Roman" w:hAnsi="Times New Roman" w:cs="Times New Roman"/>
          <w:color w:val="000000"/>
          <w:sz w:val="24"/>
          <w:szCs w:val="24"/>
        </w:rPr>
        <w:t xml:space="preserve">,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correct</m:t>
            </m:r>
          </m:sub>
        </m:sSub>
      </m:oMath>
      <w:r>
        <w:rPr>
          <w:rFonts w:ascii="Times New Roman" w:eastAsia="Times New Roman" w:hAnsi="Times New Roman" w:cs="Times New Roman"/>
          <w:color w:val="000000"/>
          <w:sz w:val="24"/>
          <w:szCs w:val="24"/>
        </w:rPr>
        <w:t xml:space="preserve"> is the number of correct data points and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N</m:t>
            </m:r>
          </m:e>
          <m:sub>
            <m:r>
              <w:rPr>
                <w:rFonts w:ascii="Cambria Math" w:eastAsia="Cambria Math" w:hAnsi="Cambria Math" w:cs="Cambria Math"/>
                <w:color w:val="000000"/>
                <w:sz w:val="24"/>
                <w:szCs w:val="24"/>
              </w:rPr>
              <m:t>validated</m:t>
            </m:r>
          </m:sub>
        </m:sSub>
      </m:oMath>
      <w:r>
        <w:rPr>
          <w:rFonts w:ascii="Times New Roman" w:eastAsia="Times New Roman" w:hAnsi="Times New Roman" w:cs="Times New Roman"/>
          <w:color w:val="000000"/>
          <w:sz w:val="24"/>
          <w:szCs w:val="24"/>
        </w:rPr>
        <w:t xml:space="preserve"> is the number validated against source summaries, ensuring representativeness.</w:t>
      </w:r>
    </w:p>
    <w:p w14:paraId="6D308451"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Multi-source cross-validation mitigates limitations of synthetic data, enabling scalable experiments without ethical concerns.</w:t>
      </w:r>
    </w:p>
    <w:p w14:paraId="795118F9" w14:textId="529536E1"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Analytical Approaches and Algorithm Implementation</w:t>
      </w:r>
      <w:r>
        <w:rPr>
          <w:rFonts w:ascii="Times New Roman" w:eastAsia="Times New Roman" w:hAnsi="Times New Roman" w:cs="Times New Roman"/>
          <w:color w:val="000000"/>
          <w:sz w:val="24"/>
          <w:szCs w:val="24"/>
        </w:rPr>
        <w:t xml:space="preserve"> </w:t>
      </w:r>
    </w:p>
    <w:p w14:paraId="37380AE8"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analytical framework develops a hybrid homomorphic encryption algorithm, defined as:</w:t>
      </w:r>
    </w:p>
    <w:p w14:paraId="7C074942" w14:textId="77777777" w:rsidR="00787A77" w:rsidRDefault="001923A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HE</m:t>
            </m:r>
          </m:e>
          <m:sub>
            <m:r>
              <w:rPr>
                <w:rFonts w:ascii="Cambria Math" w:eastAsia="Cambria Math" w:hAnsi="Cambria Math" w:cs="Cambria Math"/>
                <w:color w:val="000000"/>
                <w:sz w:val="24"/>
                <w:szCs w:val="24"/>
              </w:rPr>
              <m:t>h</m:t>
            </m:r>
            <m:r>
              <w:rPr>
                <w:rFonts w:ascii="Cambria Math" w:eastAsia="Cambria Math" w:hAnsi="Cambria Math" w:cs="Cambria Math"/>
                <w:color w:val="000000"/>
                <w:sz w:val="24"/>
                <w:szCs w:val="24"/>
              </w:rPr>
              <m:t>ealt</m:t>
            </m:r>
            <m:r>
              <w:rPr>
                <w:rFonts w:ascii="Cambria Math" w:eastAsia="Cambria Math" w:hAnsi="Cambria Math" w:cs="Cambria Math"/>
                <w:color w:val="000000"/>
                <w:sz w:val="24"/>
                <w:szCs w:val="24"/>
              </w:rPr>
              <m:t>h</m:t>
            </m:r>
          </m:sub>
        </m:sSub>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KeyGen</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Encrypt</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Decrypt</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Evaluate</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Optimize</m:t>
        </m:r>
        <m:r>
          <w:rPr>
            <w:rFonts w:ascii="Cambria Math" w:eastAsia="Cambria Math" w:hAnsi="Cambria Math" w:cs="Cambria Math"/>
            <w:color w:val="000000"/>
            <w:sz w:val="24"/>
            <w:szCs w:val="24"/>
          </w:rPr>
          <m:t>)</m:t>
        </m:r>
      </m:oMath>
      <w:r w:rsidR="00193355">
        <w:rPr>
          <w:rFonts w:ascii="Times New Roman" w:eastAsia="Times New Roman" w:hAnsi="Times New Roman" w:cs="Times New Roman"/>
          <w:color w:val="000000"/>
          <w:sz w:val="24"/>
          <w:szCs w:val="24"/>
        </w:rPr>
        <w:t>, tailored for telehealth data, integrating AI-driven optimizations to enhance computational efficiency and adaptability. The framework combines CKKS for real-valued data and BFV for integer arithmetic. For BFV, key generation produces a public key via:</w:t>
      </w:r>
    </w:p>
    <w:p w14:paraId="3E926728" w14:textId="77777777" w:rsidR="00787A77" w:rsidRDefault="00193355">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pk=(-</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a⋅s+e</m:t>
              </m:r>
            </m:e>
          </m:d>
          <m:r>
            <w:rPr>
              <w:rFonts w:ascii="Cambria Math" w:eastAsia="Cambria Math" w:hAnsi="Cambria Math" w:cs="Cambria Math"/>
              <w:color w:val="000000"/>
              <w:sz w:val="24"/>
              <w:szCs w:val="24"/>
            </w:rPr>
            <m:t xml:space="preserve">            modq,a)</m:t>
          </m:r>
        </m:oMath>
      </m:oMathPara>
    </w:p>
    <w:p w14:paraId="118C3EE1"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Here </w:t>
      </w:r>
      <m:oMath>
        <m:r>
          <w:rPr>
            <w:rFonts w:ascii="Cambria Math" w:eastAsia="Cambria Math" w:hAnsi="Cambria Math" w:cs="Cambria Math"/>
            <w:color w:val="000000"/>
            <w:sz w:val="24"/>
            <w:szCs w:val="24"/>
          </w:rPr>
          <m:t>(s)</m:t>
        </m:r>
      </m:oMath>
      <w:r>
        <w:rPr>
          <w:rFonts w:ascii="Times New Roman" w:eastAsia="Times New Roman" w:hAnsi="Times New Roman" w:cs="Times New Roman"/>
          <w:color w:val="000000"/>
          <w:sz w:val="24"/>
          <w:szCs w:val="24"/>
        </w:rPr>
        <w:t xml:space="preserve"> is the secret key sampled from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key</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q</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(e)</m:t>
        </m:r>
      </m:oMath>
      <w:r>
        <w:rPr>
          <w:rFonts w:ascii="Times New Roman" w:eastAsia="Times New Roman" w:hAnsi="Times New Roman" w:cs="Times New Roman"/>
          <w:color w:val="000000"/>
          <w:sz w:val="24"/>
          <w:szCs w:val="24"/>
        </w:rPr>
        <w:t xml:space="preserve"> is an error from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err</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q</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(a)</m:t>
        </m:r>
      </m:oMath>
      <w:r>
        <w:rPr>
          <w:rFonts w:ascii="Times New Roman" w:eastAsia="Times New Roman" w:hAnsi="Times New Roman" w:cs="Times New Roman"/>
          <w:color w:val="000000"/>
          <w:sz w:val="24"/>
          <w:szCs w:val="24"/>
        </w:rPr>
        <w:t xml:space="preserve"> is a random polynomial in ring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q</m:t>
            </m:r>
          </m:sub>
        </m:sSub>
      </m:oMath>
      <w:r>
        <w:rPr>
          <w:rFonts w:ascii="Times New Roman" w:eastAsia="Times New Roman" w:hAnsi="Times New Roman" w:cs="Times New Roman"/>
          <w:color w:val="000000"/>
          <w:sz w:val="24"/>
          <w:szCs w:val="24"/>
        </w:rPr>
        <w:t xml:space="preserve">, and </w:t>
      </w:r>
      <m:oMath>
        <m:r>
          <w:rPr>
            <w:rFonts w:ascii="Cambria Math" w:eastAsia="Cambria Math" w:hAnsi="Cambria Math" w:cs="Cambria Math"/>
            <w:color w:val="000000"/>
            <w:sz w:val="24"/>
            <w:szCs w:val="24"/>
          </w:rPr>
          <m:t>(q)</m:t>
        </m:r>
      </m:oMath>
      <w:r>
        <w:rPr>
          <w:rFonts w:ascii="Times New Roman" w:eastAsia="Times New Roman" w:hAnsi="Times New Roman" w:cs="Times New Roman"/>
          <w:color w:val="000000"/>
          <w:sz w:val="24"/>
          <w:szCs w:val="24"/>
        </w:rPr>
        <w:t xml:space="preserve"> is the modulus, ensuring secure encryption. </w:t>
      </w:r>
    </w:p>
    <w:p w14:paraId="4C54ECF1"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Homomorphic operations include: </w:t>
      </w:r>
    </w:p>
    <w:p w14:paraId="7112C405" w14:textId="77777777" w:rsidR="00787A77" w:rsidRDefault="0019335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Addition: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Add(c</m:t>
            </m:r>
          </m:e>
          <m:sub>
            <m:r>
              <w:rPr>
                <w:rFonts w:ascii="Cambria Math" w:eastAsia="Cambria Math" w:hAnsi="Cambria Math" w:cs="Cambria Math"/>
                <w:color w:val="000000"/>
                <w:sz w:val="24"/>
                <w:szCs w:val="24"/>
              </w:rPr>
              <m:t xml:space="preserve">1, </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d>
          <m:dPr>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1, 0</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2,0</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1,1</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2,  1</m:t>
                </m:r>
              </m:sub>
            </m:sSub>
          </m:e>
        </m:d>
        <m:r>
          <w:rPr>
            <w:rFonts w:ascii="Cambria Math" w:eastAsia="Cambria Math" w:hAnsi="Cambria Math" w:cs="Cambria Math"/>
            <w:color w:val="000000"/>
            <w:sz w:val="24"/>
            <w:szCs w:val="24"/>
          </w:rPr>
          <m:t xml:space="preserve">         modq</m:t>
        </m:r>
      </m:oMath>
      <w:r>
        <w:rPr>
          <w:rFonts w:ascii="Times New Roman" w:eastAsia="Times New Roman" w:hAnsi="Times New Roman" w:cs="Times New Roman"/>
          <w:color w:val="000000"/>
          <w:sz w:val="24"/>
          <w:szCs w:val="24"/>
        </w:rPr>
        <w:t>, enabling encrypted summation of telehealth data.</w:t>
      </w:r>
    </w:p>
    <w:p w14:paraId="77F6F849" w14:textId="77777777" w:rsidR="00787A77" w:rsidRDefault="0019335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Multiplication:</w:t>
      </w:r>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Mult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 xml:space="preserve">1, </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)=relinearize</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1</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with relinearization reducing ciphertext size for efficiency. </w:t>
      </w:r>
    </w:p>
    <w:p w14:paraId="58A00E1E"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CKKS, real-valued data encoding is performed as:</w:t>
      </w:r>
    </w:p>
    <w:p w14:paraId="0F4A69A5" w14:textId="77777777" w:rsidR="00787A77" w:rsidRDefault="00193355">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p=</m:t>
          </m:r>
          <m:r>
            <w:rPr>
              <w:rFonts w:ascii="Cambria Math" w:hAnsi="Cambria Math"/>
              <w:color w:val="000000"/>
            </w:rPr>
            <m:t>⌊</m:t>
          </m:r>
          <m:r>
            <w:rPr>
              <w:rFonts w:ascii="Cambria Math" w:eastAsia="Cambria Math" w:hAnsi="Cambria Math" w:cs="Cambria Math"/>
              <w:color w:val="000000"/>
              <w:sz w:val="24"/>
              <w:szCs w:val="24"/>
            </w:rPr>
            <m:t>∆⋅IFFT(v)</m:t>
          </m:r>
          <m:r>
            <w:rPr>
              <w:rFonts w:ascii="Cambria Math" w:hAnsi="Cambria Math"/>
              <w:color w:val="000000"/>
            </w:rPr>
            <m:t>⌋</m:t>
          </m:r>
          <m:r>
            <w:rPr>
              <w:rFonts w:ascii="Cambria Math" w:eastAsia="Cambria Math" w:hAnsi="Cambria Math" w:cs="Cambria Math"/>
              <w:color w:val="000000"/>
              <w:sz w:val="24"/>
              <w:szCs w:val="24"/>
            </w:rPr>
            <m:t xml:space="preserve">           mod(</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X</m:t>
              </m:r>
            </m:e>
            <m:sup>
              <m:r>
                <w:rPr>
                  <w:rFonts w:ascii="Cambria Math" w:eastAsia="Cambria Math" w:hAnsi="Cambria Math" w:cs="Cambria Math"/>
                  <w:color w:val="000000"/>
                  <w:sz w:val="24"/>
                  <w:szCs w:val="24"/>
                </w:rPr>
                <m:t>N</m:t>
              </m:r>
            </m:sup>
          </m:sSup>
          <m:r>
            <w:rPr>
              <w:rFonts w:ascii="Cambria Math" w:eastAsia="Cambria Math" w:hAnsi="Cambria Math" w:cs="Cambria Math"/>
              <w:color w:val="000000"/>
              <w:sz w:val="24"/>
              <w:szCs w:val="24"/>
            </w:rPr>
            <m:t>+1)</m:t>
          </m:r>
        </m:oMath>
      </m:oMathPara>
    </w:p>
    <w:p w14:paraId="34C3A321"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Where </w:t>
      </w:r>
      <m:oMath>
        <m:r>
          <w:rPr>
            <w:rFonts w:ascii="Cambria Math" w:eastAsia="Cambria Math" w:hAnsi="Cambria Math" w:cs="Cambria Math"/>
            <w:color w:val="000000"/>
            <w:sz w:val="24"/>
            <w:szCs w:val="24"/>
          </w:rPr>
          <m:t>(v)</m:t>
        </m:r>
      </m:oMath>
      <w:r>
        <w:rPr>
          <w:rFonts w:ascii="Times New Roman" w:eastAsia="Times New Roman" w:hAnsi="Times New Roman" w:cs="Times New Roman"/>
          <w:color w:val="000000"/>
          <w:sz w:val="24"/>
          <w:szCs w:val="24"/>
        </w:rPr>
        <w:t xml:space="preserve"> is the input vector, </w:t>
      </w:r>
      <m:oMath>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FFT</m:t>
            </m:r>
          </m:e>
          <m:sup>
            <m:r>
              <w:rPr>
                <w:rFonts w:ascii="Cambria Math" w:eastAsia="Cambria Math" w:hAnsi="Cambria Math" w:cs="Cambria Math"/>
                <w:color w:val="000000"/>
                <w:sz w:val="24"/>
                <w:szCs w:val="24"/>
              </w:rPr>
              <m:t>-1</m:t>
            </m:r>
          </m:sup>
        </m:sSup>
      </m:oMath>
      <w:r>
        <w:rPr>
          <w:rFonts w:ascii="Times New Roman" w:eastAsia="Times New Roman" w:hAnsi="Times New Roman" w:cs="Times New Roman"/>
          <w:color w:val="000000"/>
          <w:sz w:val="24"/>
          <w:szCs w:val="24"/>
        </w:rPr>
        <w:t xml:space="preserve"> is the inverse Fast Fourier Transform, </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is a scaling factor, and </w:t>
      </w:r>
      <m:oMath>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X</m:t>
            </m:r>
          </m:e>
          <m:sup>
            <m:r>
              <w:rPr>
                <w:rFonts w:ascii="Cambria Math" w:eastAsia="Cambria Math" w:hAnsi="Cambria Math" w:cs="Cambria Math"/>
                <w:color w:val="000000"/>
                <w:sz w:val="24"/>
                <w:szCs w:val="24"/>
              </w:rPr>
              <m:t>N</m:t>
            </m:r>
          </m:sup>
        </m:sSup>
      </m:oMath>
      <w:r>
        <w:rPr>
          <w:rFonts w:ascii="Times New Roman" w:eastAsia="Times New Roman" w:hAnsi="Times New Roman" w:cs="Times New Roman"/>
          <w:color w:val="000000"/>
          <w:sz w:val="24"/>
          <w:szCs w:val="24"/>
        </w:rPr>
        <w:t xml:space="preserve"> is the polynomial ring modulus, supporting approximate computations. Rescaling is performed via:</w:t>
      </w:r>
    </w:p>
    <w:p w14:paraId="5055E7B4" w14:textId="77777777" w:rsidR="00787A77" w:rsidRDefault="00193355">
      <w:pPr>
        <w:jc w:val="center"/>
        <w:rPr>
          <w:color w:val="000000"/>
        </w:rPr>
      </w:pPr>
      <m:oMathPara>
        <m:oMath>
          <m:r>
            <w:rPr>
              <w:rFonts w:ascii="Cambria Math" w:eastAsia="Cambria Math" w:hAnsi="Cambria Math" w:cs="Cambria Math"/>
              <w:color w:val="000000"/>
              <w:sz w:val="24"/>
              <w:szCs w:val="24"/>
            </w:rPr>
            <m:t>Rescale</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c</m:t>
              </m:r>
            </m:e>
          </m:d>
          <m:r>
            <w:rPr>
              <w:rFonts w:ascii="Cambria Math" w:eastAsia="Cambria Math" w:hAnsi="Cambria Math" w:cs="Cambria Math"/>
              <w:color w:val="000000"/>
              <w:sz w:val="24"/>
              <w:szCs w:val="24"/>
            </w:rPr>
            <m:t>=</m:t>
          </m:r>
          <m:r>
            <w:rPr>
              <w:rFonts w:ascii="Cambria Math" w:hAnsi="Cambria Math"/>
              <w:color w:val="000000"/>
            </w:rPr>
            <m:t>⌊</m:t>
          </m:r>
          <m:r>
            <w:rPr>
              <w:rFonts w:ascii="Cambria Math" w:eastAsia="Cambria Math" w:hAnsi="Cambria Math" w:cs="Cambria Math"/>
              <w:color w:val="000000"/>
              <w:sz w:val="24"/>
              <w:szCs w:val="24"/>
            </w:rPr>
            <m:t>c/p</m:t>
          </m:r>
          <m:r>
            <w:rPr>
              <w:rFonts w:ascii="Cambria Math" w:hAnsi="Cambria Math"/>
              <w:color w:val="000000"/>
            </w:rPr>
            <m:t>⌉</m:t>
          </m:r>
        </m:oMath>
      </m:oMathPara>
    </w:p>
    <w:p w14:paraId="0AA6BF82"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m:oMath>
        <m:r>
          <w:rPr>
            <w:rFonts w:ascii="Cambria Math" w:eastAsia="Cambria Math" w:hAnsi="Cambria Math" w:cs="Cambria Math"/>
            <w:color w:val="000000"/>
            <w:sz w:val="24"/>
            <w:szCs w:val="24"/>
          </w:rPr>
          <m:t>(c)</m:t>
        </m:r>
      </m:oMath>
      <w:r>
        <w:rPr>
          <w:rFonts w:ascii="Times New Roman" w:eastAsia="Times New Roman" w:hAnsi="Times New Roman" w:cs="Times New Roman"/>
          <w:color w:val="000000"/>
          <w:sz w:val="24"/>
          <w:szCs w:val="24"/>
        </w:rPr>
        <w:t xml:space="preserve"> is the ciphertext and </w:t>
      </w:r>
      <m:oMath>
        <m:r>
          <w:rPr>
            <w:rFonts w:ascii="Cambria Math" w:eastAsia="Cambria Math" w:hAnsi="Cambria Math" w:cs="Cambria Math"/>
            <w:color w:val="000000"/>
            <w:sz w:val="24"/>
            <w:szCs w:val="24"/>
          </w:rPr>
          <m:t>(p)</m:t>
        </m:r>
      </m:oMath>
      <w:r>
        <w:rPr>
          <w:rFonts w:ascii="Times New Roman" w:eastAsia="Times New Roman" w:hAnsi="Times New Roman" w:cs="Times New Roman"/>
          <w:color w:val="000000"/>
          <w:sz w:val="24"/>
          <w:szCs w:val="24"/>
        </w:rPr>
        <w:t xml:space="preserve"> is a prime, managing precision and noise. The AI optimization algorithm evaluates parameters using a composite score: </w:t>
      </w:r>
    </w:p>
    <w:p w14:paraId="3A0D8CE8" w14:textId="77777777" w:rsidR="00787A77" w:rsidRDefault="00193355">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Score</m:t>
          </m:r>
          <m:d>
            <m:dPr>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θ</m:t>
                  </m:r>
                </m:e>
                <m:sub>
                  <m:r>
                    <w:rPr>
                      <w:rFonts w:ascii="Cambria Math" w:eastAsia="Cambria Math" w:hAnsi="Cambria Math" w:cs="Cambria Math"/>
                      <w:color w:val="000000"/>
                      <w:sz w:val="24"/>
                      <w:szCs w:val="24"/>
                    </w:rPr>
                    <m:t>i</m:t>
                  </m:r>
                </m:sub>
              </m:sSub>
            </m:e>
          </m:d>
          <m:r>
            <w:rPr>
              <w:rFonts w:ascii="Cambria Math" w:eastAsia="Cambria Math" w:hAnsi="Cambria Math" w:cs="Cambria Math"/>
              <w:color w:val="000000"/>
              <w:sz w:val="24"/>
              <w:szCs w:val="24"/>
            </w:rPr>
            <m:t>=α⋅</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perf</m:t>
              </m:r>
            </m:sub>
          </m:sSub>
          <m:r>
            <w:rPr>
              <w:rFonts w:ascii="Cambria Math" w:eastAsia="Cambria Math" w:hAnsi="Cambria Math" w:cs="Cambria Math"/>
              <w:color w:val="000000"/>
              <w:sz w:val="24"/>
              <w:szCs w:val="24"/>
            </w:rPr>
            <m:t>+β⋅</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sec</m:t>
              </m:r>
            </m:sub>
          </m:sSub>
        </m:oMath>
      </m:oMathPara>
    </w:p>
    <w:p w14:paraId="34E38057"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perf</m:t>
            </m:r>
          </m:sub>
        </m:sSub>
      </m:oMath>
      <w:r>
        <w:rPr>
          <w:rFonts w:ascii="Times New Roman" w:eastAsia="Times New Roman" w:hAnsi="Times New Roman" w:cs="Times New Roman"/>
          <w:color w:val="000000"/>
          <w:sz w:val="24"/>
          <w:szCs w:val="24"/>
        </w:rPr>
        <w:t xml:space="preserve"> measures performance,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sec</m:t>
            </m:r>
          </m:sub>
        </m:sSub>
      </m:oMath>
      <w:r>
        <w:rPr>
          <w:rFonts w:ascii="Times New Roman" w:eastAsia="Times New Roman" w:hAnsi="Times New Roman" w:cs="Times New Roman"/>
          <w:color w:val="000000"/>
          <w:sz w:val="24"/>
          <w:szCs w:val="24"/>
        </w:rPr>
        <w:t xml:space="preserve"> quantifies security, and </w:t>
      </w:r>
      <m:oMath>
        <m:r>
          <w:rPr>
            <w:rFonts w:ascii="Cambria Math" w:hAnsi="Cambria Math"/>
          </w:rPr>
          <m:t>α</m:t>
        </m:r>
      </m:oMath>
      <w:r>
        <w:rPr>
          <w:rFonts w:ascii="Times New Roman" w:eastAsia="Times New Roman" w:hAnsi="Times New Roman" w:cs="Times New Roman"/>
          <w:color w:val="000000"/>
          <w:sz w:val="24"/>
          <w:szCs w:val="24"/>
        </w:rPr>
        <w:t xml:space="preserve"> and </w:t>
      </w:r>
      <m:oMath>
        <m:r>
          <w:rPr>
            <w:rFonts w:ascii="Cambria Math" w:hAnsi="Cambria Math"/>
          </w:rPr>
          <m:t>β</m:t>
        </m:r>
      </m:oMath>
      <w:r>
        <w:rPr>
          <w:rFonts w:ascii="Times New Roman" w:eastAsia="Times New Roman" w:hAnsi="Times New Roman" w:cs="Times New Roman"/>
          <w:color w:val="000000"/>
          <w:sz w:val="24"/>
          <w:szCs w:val="24"/>
        </w:rPr>
        <w:t xml:space="preserve"> are weights, selecting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t>
            </m:r>
          </m:e>
          <m:sub>
            <m:r>
              <w:rPr>
                <w:rFonts w:ascii="Cambria Math" w:eastAsia="Cambria Math" w:hAnsi="Cambria Math" w:cs="Cambria Math"/>
                <w:color w:val="000000"/>
                <w:sz w:val="24"/>
                <w:szCs w:val="24"/>
              </w:rPr>
              <m:t>opt</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argmax</m:t>
            </m:r>
          </m:e>
          <m:sub>
            <m:r>
              <w:rPr>
                <w:rFonts w:ascii="Cambria Math" w:eastAsia="Cambria Math" w:hAnsi="Cambria Math" w:cs="Cambria Math"/>
                <w:color w:val="000000"/>
                <w:sz w:val="24"/>
                <w:szCs w:val="24"/>
              </w:rPr>
              <m:t>θ</m:t>
            </m:r>
          </m:sub>
        </m:sSub>
        <m:r>
          <w:rPr>
            <w:rFonts w:ascii="Cambria Math" w:eastAsia="Cambria Math" w:hAnsi="Cambria Math" w:cs="Cambria Math"/>
            <w:color w:val="000000"/>
            <w:sz w:val="24"/>
            <w:szCs w:val="24"/>
          </w:rPr>
          <m:t>NN(θ, D, P, S)</m:t>
        </m:r>
      </m:oMath>
      <w:r>
        <w:rPr>
          <w:rFonts w:ascii="Times New Roman" w:eastAsia="Times New Roman" w:hAnsi="Times New Roman" w:cs="Times New Roman"/>
          <w:color w:val="000000"/>
          <w:sz w:val="24"/>
          <w:szCs w:val="24"/>
        </w:rPr>
        <w:t>. Adaptive parameter, management monitors the performance gap:</w:t>
      </w:r>
    </w:p>
    <w:p w14:paraId="16BF5E34" w14:textId="77777777" w:rsidR="00787A77" w:rsidRDefault="001923A5">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performance</m:t>
              </m:r>
            </m:e>
            <m:sub>
              <m:r>
                <w:rPr>
                  <w:rFonts w:ascii="Cambria Math" w:eastAsia="Cambria Math" w:hAnsi="Cambria Math" w:cs="Cambria Math"/>
                  <w:color w:val="000000"/>
                  <w:sz w:val="24"/>
                  <w:szCs w:val="24"/>
                </w:rPr>
                <m:t>gap</m:t>
              </m:r>
            </m:sub>
          </m:sSub>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CalculateGap</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M</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T</m:t>
          </m:r>
          <m:r>
            <w:rPr>
              <w:rFonts w:ascii="Cambria Math" w:eastAsia="Cambria Math" w:hAnsi="Cambria Math" w:cs="Cambria Math"/>
              <w:color w:val="000000"/>
              <w:sz w:val="24"/>
              <w:szCs w:val="24"/>
            </w:rPr>
            <m:t>)</m:t>
          </m:r>
        </m:oMath>
      </m:oMathPara>
    </w:p>
    <w:p w14:paraId="468DA723"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adjusting parameters if the gap exceeds threshold </w:t>
      </w:r>
      <m:oMath>
        <m:r>
          <w:rPr>
            <w:rFonts w:ascii="Cambria Math" w:hAnsi="Cambria Math"/>
          </w:rPr>
          <m:t>τ</m:t>
        </m:r>
      </m:oMath>
      <w:r>
        <w:rPr>
          <w:rFonts w:ascii="Times New Roman" w:eastAsia="Times New Roman" w:hAnsi="Times New Roman" w:cs="Times New Roman"/>
          <w:color w:val="000000"/>
          <w:sz w:val="24"/>
          <w:szCs w:val="24"/>
        </w:rPr>
        <w:t xml:space="preserve">. </w:t>
      </w:r>
    </w:p>
    <w:p w14:paraId="4351D709"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Memory optimization minimizes ciphertext size:</w:t>
      </w:r>
    </w:p>
    <w:p w14:paraId="35B34EA2" w14:textId="77777777" w:rsidR="00787A77" w:rsidRDefault="001923A5">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Risk</m:t>
              </m:r>
            </m:e>
            <m:sub>
              <m:r>
                <w:rPr>
                  <w:rFonts w:ascii="Cambria Math" w:eastAsia="Cambria Math" w:hAnsi="Cambria Math" w:cs="Cambria Math"/>
                  <w:color w:val="000000"/>
                  <w:sz w:val="24"/>
                  <w:szCs w:val="24"/>
                </w:rPr>
                <m:t>total</m:t>
              </m:r>
            </m:sub>
          </m:sSub>
          <m:r>
            <w:rPr>
              <w:rFonts w:ascii="Cambria Math" w:eastAsia="Cambria Math" w:hAnsi="Cambria Math" w:cs="Cambria Math"/>
              <w:color w:val="000000"/>
              <w:sz w:val="24"/>
              <w:szCs w:val="24"/>
            </w:rPr>
            <m:t>=</m:t>
          </m:r>
          <m:nary>
            <m:naryPr>
              <m:chr m:val="∑"/>
              <m:ctrlPr>
                <w:rPr>
                  <w:rFonts w:ascii="Cambria Math" w:eastAsia="Cambria Math" w:hAnsi="Cambria Math" w:cs="Cambria Math"/>
                  <w:color w:val="000000"/>
                  <w:sz w:val="24"/>
                  <w:szCs w:val="24"/>
                </w:rPr>
              </m:ctrlPr>
            </m:naryPr>
            <m:sub/>
            <m:sup/>
            <m:e/>
          </m:nary>
          <m:r>
            <w:rPr>
              <w:rFonts w:ascii="Cambria Math" w:eastAsia="Cambria Math" w:hAnsi="Cambria Math" w:cs="Cambria Math"/>
              <w:color w:val="000000"/>
              <w:sz w:val="24"/>
              <w:szCs w:val="24"/>
            </w:rPr>
            <m:t>P</m:t>
          </m:r>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Attack</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Impact</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Vulnerability</m:t>
              </m:r>
            </m:e>
            <m:sub>
              <m:r>
                <w:rPr>
                  <w:rFonts w:ascii="Cambria Math" w:eastAsia="Cambria Math" w:hAnsi="Cambria Math" w:cs="Cambria Math"/>
                  <w:color w:val="000000"/>
                  <w:sz w:val="24"/>
                  <w:szCs w:val="24"/>
                </w:rPr>
                <m:t>i</m:t>
              </m:r>
            </m:sub>
          </m:sSub>
        </m:oMath>
      </m:oMathPara>
    </w:p>
    <w:p w14:paraId="3ADC78F0"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m:oMath>
        <m:r>
          <w:rPr>
            <w:rFonts w:ascii="Cambria Math" w:eastAsia="Cambria Math" w:hAnsi="Cambria Math" w:cs="Cambria Math"/>
            <w:color w:val="000000"/>
            <w:sz w:val="24"/>
            <w:szCs w:val="24"/>
          </w:rPr>
          <m:t>P</m:t>
        </m:r>
        <m:d>
          <m:dPr>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Attack</m:t>
                </m:r>
              </m:e>
              <m:sub>
                <m:r>
                  <w:rPr>
                    <w:rFonts w:ascii="Cambria Math" w:eastAsia="Cambria Math" w:hAnsi="Cambria Math" w:cs="Cambria Math"/>
                    <w:color w:val="000000"/>
                    <w:sz w:val="24"/>
                    <w:szCs w:val="24"/>
                  </w:rPr>
                  <m:t>i</m:t>
                </m:r>
              </m:sub>
            </m:sSub>
          </m:e>
        </m:d>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Impact</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Vulnerability</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represent the probability, impact, and vulnerability of each attack. </w:t>
      </w:r>
    </w:p>
    <w:p w14:paraId="37187218"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Security is evaluated using:</w:t>
      </w:r>
    </w:p>
    <w:p w14:paraId="3FDDD391" w14:textId="77777777" w:rsidR="00787A77" w:rsidRDefault="00193355">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Semantic security</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Advantage</m:t>
            </m:r>
          </m:e>
          <m:sub>
            <m:r>
              <w:rPr>
                <w:rFonts w:ascii="Cambria Math" w:eastAsia="Cambria Math" w:hAnsi="Cambria Math" w:cs="Cambria Math"/>
                <w:color w:val="000000"/>
                <w:sz w:val="24"/>
                <w:szCs w:val="24"/>
              </w:rPr>
              <m:t>IND-CPA</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m:t>
            </m:r>
          </m:e>
        </m:d>
        <m:r>
          <w:rPr>
            <w:rFonts w:ascii="Cambria Math" w:eastAsia="Cambria Math" w:hAnsi="Cambria Math" w:cs="Cambria Math"/>
            <w:color w:val="000000"/>
            <w:sz w:val="24"/>
            <w:szCs w:val="24"/>
          </w:rPr>
          <m:t>=</m:t>
        </m:r>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Pr</m:t>
            </m:r>
            <m:d>
              <m:dPr>
                <m:begChr m:val="["/>
                <m:endChr m:val="]"/>
                <m:ctrlPr>
                  <w:rPr>
                    <w:rFonts w:ascii="Cambria Math" w:eastAsia="Cambria Math" w:hAnsi="Cambria Math" w:cs="Cambria Math"/>
                    <w:color w:val="000000"/>
                    <w:sz w:val="24"/>
                    <w:szCs w:val="24"/>
                  </w:rPr>
                </m:ctrlPr>
              </m:dPr>
              <m:e>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b</m:t>
                    </m:r>
                  </m:e>
                  <m:sup>
                    <m:r>
                      <w:rPr>
                        <w:rFonts w:ascii="Cambria Math" w:eastAsia="Cambria Math" w:hAnsi="Cambria Math" w:cs="Cambria Math"/>
                        <w:color w:val="000000"/>
                        <w:sz w:val="24"/>
                        <w:szCs w:val="24"/>
                      </w:rPr>
                      <m:t>'</m:t>
                    </m:r>
                  </m:sup>
                </m:sSup>
                <m:r>
                  <w:rPr>
                    <w:rFonts w:ascii="Cambria Math" w:eastAsia="Cambria Math" w:hAnsi="Cambria Math" w:cs="Cambria Math"/>
                    <w:color w:val="000000"/>
                    <w:sz w:val="24"/>
                    <w:szCs w:val="24"/>
                  </w:rPr>
                  <m:t>=b</m:t>
                </m:r>
              </m:e>
            </m:d>
            <m:r>
              <w:rPr>
                <w:rFonts w:ascii="Cambria Math" w:eastAsia="Cambria Math" w:hAnsi="Cambria Math" w:cs="Cambria Math"/>
                <w:color w:val="000000"/>
                <w:sz w:val="24"/>
                <w:szCs w:val="24"/>
              </w:rPr>
              <m:t>-1/2</m:t>
            </m:r>
          </m:e>
        </m:d>
      </m:oMath>
      <w:r>
        <w:rPr>
          <w:rFonts w:ascii="Times New Roman" w:eastAsia="Times New Roman" w:hAnsi="Times New Roman" w:cs="Times New Roman"/>
          <w:color w:val="000000"/>
          <w:sz w:val="24"/>
          <w:szCs w:val="24"/>
        </w:rPr>
        <w:t xml:space="preserve"> measuring an adversary’s ability to distinguish encrypted data.</w:t>
      </w:r>
    </w:p>
    <w:p w14:paraId="3C0A3B24" w14:textId="77777777" w:rsidR="00787A77" w:rsidRDefault="0019335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Homomorphic Security: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Advantage</m:t>
            </m:r>
          </m:e>
          <m:sub>
            <m:r>
              <w:rPr>
                <w:rFonts w:ascii="Cambria Math" w:eastAsia="Cambria Math" w:hAnsi="Cambria Math" w:cs="Cambria Math"/>
                <w:color w:val="000000"/>
                <w:sz w:val="24"/>
                <w:szCs w:val="24"/>
              </w:rPr>
              <m:t>HOM-SEC</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m:t>
            </m:r>
          </m:e>
        </m:d>
        <m:r>
          <w:rPr>
            <w:rFonts w:ascii="Cambria Math" w:eastAsia="Cambria Math" w:hAnsi="Cambria Math" w:cs="Cambria Math"/>
            <w:color w:val="000000"/>
            <w:sz w:val="24"/>
            <w:szCs w:val="24"/>
          </w:rPr>
          <m:t>=</m:t>
        </m:r>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Pr</m:t>
            </m:r>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HE.Eval</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f, c</m:t>
                        </m:r>
                      </m:e>
                    </m:d>
                  </m:e>
                </m:d>
                <m:r>
                  <w:rPr>
                    <w:rFonts w:ascii="Cambria Math" w:eastAsia="Cambria Math" w:hAnsi="Cambria Math" w:cs="Cambria Math"/>
                    <w:color w:val="000000"/>
                    <w:sz w:val="24"/>
                    <w:szCs w:val="24"/>
                  </w:rPr>
                  <m:t>=f(m)</m:t>
                </m:r>
              </m:e>
            </m:d>
            <m:r>
              <w:rPr>
                <w:rFonts w:ascii="Cambria Math" w:eastAsia="Cambria Math" w:hAnsi="Cambria Math" w:cs="Cambria Math"/>
                <w:color w:val="000000"/>
                <w:sz w:val="24"/>
                <w:szCs w:val="24"/>
              </w:rPr>
              <m:t>-negl(λ)</m:t>
            </m:r>
          </m:e>
        </m:d>
      </m:oMath>
      <w:r>
        <w:rPr>
          <w:rFonts w:ascii="Times New Roman" w:eastAsia="Times New Roman" w:hAnsi="Times New Roman" w:cs="Times New Roman"/>
          <w:color w:val="000000"/>
          <w:sz w:val="24"/>
          <w:szCs w:val="24"/>
        </w:rPr>
        <w:t xml:space="preserve">, ensuring secure computations, where </w:t>
      </w:r>
      <m:oMath>
        <m:r>
          <w:rPr>
            <w:rFonts w:ascii="Cambria Math" w:hAnsi="Cambria Math"/>
          </w:rPr>
          <m:t>λ</m:t>
        </m:r>
      </m:oMath>
      <w:r>
        <w:rPr>
          <w:rFonts w:ascii="Times New Roman" w:eastAsia="Times New Roman" w:hAnsi="Times New Roman" w:cs="Times New Roman"/>
          <w:color w:val="000000"/>
          <w:sz w:val="24"/>
          <w:szCs w:val="24"/>
        </w:rPr>
        <w:t xml:space="preserve"> is the security parameter.</w:t>
      </w:r>
    </w:p>
    <w:p w14:paraId="6F8BA945"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utilizes python libraries, including Microsoft SEAL for homomorphic operations, tensorflow for AI components, and NumPy/SciPy for data processing.</w:t>
      </w:r>
    </w:p>
    <w:p w14:paraId="5BE9AA0F"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Performance Metrics and Statistical Analysis</w:t>
      </w:r>
    </w:p>
    <w:p w14:paraId="2E2DF42A"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Performance evaluation encompasses computational, accuracy, security, and quality-of-service (QoS) metrics, benchmarked against baselines like AES-256 and standard SEAL implementations. Computational metrics include throughput:</w:t>
      </w:r>
    </w:p>
    <w:p w14:paraId="33FCCC9F" w14:textId="77777777" w:rsidR="00787A77" w:rsidRDefault="0019335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Throughtput: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Throughtput</m:t>
            </m:r>
          </m:e>
          <m:sub>
            <m:r>
              <w:rPr>
                <w:rFonts w:ascii="Cambria Math" w:eastAsia="Cambria Math" w:hAnsi="Cambria Math" w:cs="Cambria Math"/>
                <w:color w:val="000000"/>
                <w:sz w:val="24"/>
                <w:szCs w:val="24"/>
              </w:rPr>
              <m:t>enc</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Data</m:t>
            </m:r>
          </m:e>
          <m:sub>
            <m:r>
              <w:rPr>
                <w:rFonts w:ascii="Cambria Math" w:eastAsia="Cambria Math" w:hAnsi="Cambria Math" w:cs="Cambria Math"/>
                <w:color w:val="000000"/>
                <w:sz w:val="24"/>
                <w:szCs w:val="24"/>
              </w:rPr>
              <m:t>volume</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Time</m:t>
            </m:r>
          </m:e>
          <m:sub>
            <m:r>
              <w:rPr>
                <w:rFonts w:ascii="Cambria Math" w:eastAsia="Cambria Math" w:hAnsi="Cambria Math" w:cs="Cambria Math"/>
                <w:color w:val="000000"/>
                <w:sz w:val="24"/>
                <w:szCs w:val="24"/>
              </w:rPr>
              <m:t>enc</m:t>
            </m:r>
          </m:sub>
        </m:sSub>
        <m:r>
          <w:rPr>
            <w:rFonts w:ascii="Cambria Math" w:eastAsia="Cambria Math" w:hAnsi="Cambria Math" w:cs="Cambria Math"/>
            <w:color w:val="000000"/>
            <w:sz w:val="24"/>
            <w:szCs w:val="24"/>
          </w:rPr>
          <m:t>,</m:t>
        </m:r>
      </m:oMath>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measuring encryption speed in megabytes per second,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Data</m:t>
            </m:r>
          </m:e>
          <m:sub>
            <m:r>
              <w:rPr>
                <w:rFonts w:ascii="Cambria Math" w:eastAsia="Cambria Math" w:hAnsi="Cambria Math" w:cs="Cambria Math"/>
                <w:color w:val="000000"/>
                <w:sz w:val="24"/>
                <w:szCs w:val="24"/>
              </w:rPr>
              <m:t>volume</m:t>
            </m:r>
          </m:sub>
        </m:sSub>
      </m:oMath>
      <w:r>
        <w:rPr>
          <w:rFonts w:ascii="Times New Roman" w:eastAsia="Times New Roman" w:hAnsi="Times New Roman" w:cs="Times New Roman"/>
          <w:color w:val="000000"/>
          <w:sz w:val="24"/>
          <w:szCs w:val="24"/>
        </w:rPr>
        <w:t xml:space="preserve"> is the processed data size and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Time</m:t>
            </m:r>
          </m:e>
          <m:sub>
            <m:r>
              <w:rPr>
                <w:rFonts w:ascii="Cambria Math" w:eastAsia="Cambria Math" w:hAnsi="Cambria Math" w:cs="Cambria Math"/>
                <w:color w:val="000000"/>
                <w:sz w:val="24"/>
                <w:szCs w:val="24"/>
              </w:rPr>
              <m:t>enc</m:t>
            </m:r>
          </m:sub>
        </m:sSub>
      </m:oMath>
      <w:r>
        <w:rPr>
          <w:rFonts w:ascii="Times New Roman" w:eastAsia="Times New Roman" w:hAnsi="Times New Roman" w:cs="Times New Roman"/>
          <w:color w:val="000000"/>
          <w:sz w:val="24"/>
          <w:szCs w:val="24"/>
        </w:rPr>
        <w:t xml:space="preserve"> is the encryption time.</w:t>
      </w:r>
    </w:p>
    <w:p w14:paraId="0442AFAE" w14:textId="77777777" w:rsidR="00787A77" w:rsidRDefault="00193355">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Latency: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Latency</m:t>
            </m:r>
          </m:e>
          <m:sub>
            <m:r>
              <w:rPr>
                <w:rFonts w:ascii="Cambria Math" w:eastAsia="Cambria Math" w:hAnsi="Cambria Math" w:cs="Cambria Math"/>
                <w:color w:val="000000"/>
                <w:sz w:val="24"/>
                <w:szCs w:val="24"/>
              </w:rPr>
              <m:t>avg</m:t>
            </m:r>
          </m:sub>
        </m:sSub>
        <m:r>
          <w:rPr>
            <w:rFonts w:ascii="Cambria Math" w:eastAsia="Cambria Math" w:hAnsi="Cambria Math" w:cs="Cambria Math"/>
            <w:color w:val="000000"/>
            <w:sz w:val="24"/>
            <w:szCs w:val="24"/>
          </w:rPr>
          <m:t>=(1/n)</m:t>
        </m:r>
        <m:nary>
          <m:naryPr>
            <m:chr m:val="∑"/>
            <m:ctrlPr>
              <w:rPr>
                <w:rFonts w:ascii="Cambria Math" w:eastAsia="Cambria Math" w:hAnsi="Cambria Math" w:cs="Cambria Math"/>
                <w:color w:val="000000"/>
                <w:sz w:val="24"/>
                <w:szCs w:val="24"/>
              </w:rPr>
            </m:ctrlPr>
          </m:naryPr>
          <m:sub/>
          <m:sup/>
          <m:e/>
        </m:nary>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averaging operation times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over (n) operations</w:t>
      </w:r>
    </w:p>
    <w:p w14:paraId="0D5A575E"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Accuracy metrics include: </w:t>
      </w:r>
    </w:p>
    <w:p w14:paraId="5DD66A9E" w14:textId="77777777" w:rsidR="00787A77" w:rsidRDefault="0019335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Relative Error: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Error</m:t>
            </m:r>
          </m:e>
          <m:sub>
            <m:r>
              <w:rPr>
                <w:rFonts w:ascii="Cambria Math" w:eastAsia="Cambria Math" w:hAnsi="Cambria Math" w:cs="Cambria Math"/>
                <w:color w:val="000000"/>
                <w:sz w:val="24"/>
                <w:szCs w:val="24"/>
              </w:rPr>
              <m:t>rel</m:t>
            </m:r>
          </m:sub>
        </m:sSub>
        <m:r>
          <w:rPr>
            <w:rFonts w:ascii="Cambria Math" w:eastAsia="Cambria Math" w:hAnsi="Cambria Math" w:cs="Cambria Math"/>
            <w:color w:val="000000"/>
            <w:sz w:val="24"/>
            <w:szCs w:val="24"/>
          </w:rPr>
          <m:t>=</m:t>
        </m:r>
        <m:d>
          <m:dPr>
            <m:begChr m:val="|"/>
            <m:endChr m:val="|"/>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HE</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plaintext</m:t>
                </m:r>
              </m:sub>
            </m:sSub>
          </m:e>
        </m:d>
        <m:r>
          <w:rPr>
            <w:rFonts w:ascii="Cambria Math" w:eastAsia="Cambria Math" w:hAnsi="Cambria Math" w:cs="Cambria Math"/>
            <w:color w:val="000000"/>
            <w:sz w:val="24"/>
            <w:szCs w:val="24"/>
          </w:rPr>
          <m:t>/</m:t>
        </m:r>
        <m:d>
          <m:dPr>
            <m:begChr m:val="|"/>
            <m:endChr m:val="|"/>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plaintext</m:t>
                </m:r>
              </m:sub>
            </m:sSub>
          </m:e>
        </m:d>
        <m:r>
          <w:rPr>
            <w:rFonts w:ascii="Cambria Math" w:eastAsia="Cambria Math" w:hAnsi="Cambria Math" w:cs="Cambria Math"/>
            <w:color w:val="000000"/>
            <w:sz w:val="24"/>
            <w:szCs w:val="24"/>
          </w:rPr>
          <m:t>×100%,</m:t>
        </m:r>
      </m:oMath>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comparing homomorphic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HE</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and plaintext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Result</m:t>
            </m:r>
          </m:e>
          <m:sub>
            <m:r>
              <w:rPr>
                <w:rFonts w:ascii="Cambria Math" w:eastAsia="Cambria Math" w:hAnsi="Cambria Math" w:cs="Cambria Math"/>
                <w:color w:val="000000"/>
                <w:sz w:val="24"/>
                <w:szCs w:val="24"/>
              </w:rPr>
              <m:t>plaintext</m:t>
            </m:r>
          </m:sub>
        </m:sSub>
        <m:r>
          <w:rPr>
            <w:rFonts w:ascii="Cambria Math" w:eastAsia="Cambria Math" w:hAnsi="Cambria Math" w:cs="Cambria Math"/>
            <w:color w:val="000000"/>
            <w:sz w:val="24"/>
            <w:szCs w:val="24"/>
          </w:rPr>
          <m:t>) results</m:t>
        </m:r>
      </m:oMath>
      <w:r>
        <w:rPr>
          <w:rFonts w:ascii="Times New Roman" w:eastAsia="Times New Roman" w:hAnsi="Times New Roman" w:cs="Times New Roman"/>
          <w:color w:val="000000"/>
          <w:sz w:val="24"/>
          <w:szCs w:val="24"/>
        </w:rPr>
        <w:t>.</w:t>
      </w:r>
    </w:p>
    <w:p w14:paraId="05C51574" w14:textId="77777777" w:rsidR="00787A77" w:rsidRDefault="00193355">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Mean Squared Error: </w:t>
      </w:r>
      <m:oMath>
        <m:r>
          <w:rPr>
            <w:rFonts w:ascii="Cambria Math" w:eastAsia="Cambria Math" w:hAnsi="Cambria Math" w:cs="Cambria Math"/>
            <w:color w:val="000000"/>
            <w:sz w:val="24"/>
            <w:szCs w:val="24"/>
          </w:rPr>
          <m:t>MSE=(1/n)</m:t>
        </m:r>
        <m:nary>
          <m:naryPr>
            <m:chr m:val="∑"/>
            <m:ctrlPr>
              <w:rPr>
                <w:rFonts w:ascii="Cambria Math" w:eastAsia="Cambria Math" w:hAnsi="Cambria Math" w:cs="Cambria Math"/>
                <w:color w:val="000000"/>
                <w:sz w:val="24"/>
                <w:szCs w:val="24"/>
              </w:rPr>
            </m:ctrlPr>
          </m:naryPr>
          <m:sub/>
          <m:sup/>
          <m:e/>
        </m:nary>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y</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acc>
                  <m:accPr>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y</m:t>
                    </m:r>
                  </m:e>
                </m:acc>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e>
          <m:sup>
            <m:r>
              <w:rPr>
                <w:rFonts w:ascii="Cambria Math" w:eastAsia="Cambria Math" w:hAnsi="Cambria Math" w:cs="Cambria Math"/>
                <w:color w:val="000000"/>
                <w:sz w:val="24"/>
                <w:szCs w:val="24"/>
              </w:rPr>
              <m:t>2</m:t>
            </m:r>
          </m:sup>
        </m:sSup>
      </m:oMath>
      <w:r>
        <w:rPr>
          <w:rFonts w:ascii="Times New Roman" w:eastAsia="Times New Roman" w:hAnsi="Times New Roman" w:cs="Times New Roman"/>
          <w:color w:val="000000"/>
          <w:sz w:val="24"/>
          <w:szCs w:val="24"/>
        </w:rPr>
        <w:t xml:space="preserve">, quantifying precision between actual </w:t>
      </w:r>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y</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and predicted </w:t>
      </w:r>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acc>
              <m:accPr>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y</m:t>
                </m:r>
              </m:e>
            </m:acc>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values.</w:t>
      </w:r>
    </w:p>
    <w:p w14:paraId="74D4C5C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metrics include:</w:t>
      </w:r>
    </w:p>
    <w:p w14:paraId="21B342F3" w14:textId="77777777" w:rsidR="00787A77" w:rsidRDefault="0019335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 Entropy: </w:t>
      </w:r>
      <m:oMath>
        <m:r>
          <w:rPr>
            <w:rFonts w:ascii="Cambria Math" w:eastAsia="Cambria Math" w:hAnsi="Cambria Math" w:cs="Cambria Math"/>
            <w:color w:val="000000"/>
            <w:sz w:val="24"/>
            <w:szCs w:val="24"/>
          </w:rPr>
          <m:t>Entropy=-</m:t>
        </m:r>
        <m:nary>
          <m:naryPr>
            <m:chr m:val="∑"/>
            <m:ctrlPr>
              <w:rPr>
                <w:rFonts w:ascii="Cambria Math" w:eastAsia="Cambria Math" w:hAnsi="Cambria Math" w:cs="Cambria Math"/>
                <w:color w:val="000000"/>
                <w:sz w:val="24"/>
                <w:szCs w:val="24"/>
              </w:rPr>
            </m:ctrlPr>
          </m:naryPr>
          <m:sub/>
          <m:sup/>
          <m:e/>
        </m:nary>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m:t>
            </m:r>
          </m:e>
          <m:sub>
            <m:r>
              <w:rPr>
                <w:rFonts w:ascii="Cambria Math" w:eastAsia="Cambria Math" w:hAnsi="Cambria Math" w:cs="Cambria Math"/>
                <w:color w:val="000000"/>
                <w:sz w:val="24"/>
                <w:szCs w:val="24"/>
              </w:rPr>
              <m:t>i</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m:t>
            </m:r>
          </m:e>
          <m:sub>
            <m:r>
              <w:rPr>
                <w:rFonts w:ascii="Cambria Math" w:eastAsia="Cambria Math" w:hAnsi="Cambria Math" w:cs="Cambria Math"/>
                <w:color w:val="000000"/>
                <w:sz w:val="24"/>
                <w:szCs w:val="24"/>
              </w:rPr>
              <m:t>i</m:t>
            </m:r>
          </m:sub>
        </m:sSub>
        <m:r>
          <w:rPr>
            <w:rFonts w:ascii="Cambria Math" w:hAnsi="Cambria Math"/>
            <w:color w:val="000000"/>
          </w:rPr>
          <m:t xml:space="preserve"> </m:t>
        </m:r>
      </m:oMath>
      <w:r>
        <w:rPr>
          <w:rFonts w:ascii="Times New Roman" w:eastAsia="Times New Roman" w:hAnsi="Times New Roman" w:cs="Times New Roman"/>
          <w:color w:val="000000"/>
          <w:sz w:val="24"/>
          <w:szCs w:val="24"/>
        </w:rPr>
        <w:t xml:space="preserve">,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is the probability of each key state, ensuring randomness.</w:t>
      </w:r>
    </w:p>
    <w:p w14:paraId="751C22D7"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QoS metrics include response time distribution, availability, and scalability. Descriptive statistics summarize data with mean, median, variance, and coefficient of variation, while normality is tested using Shapiro-Wilk. Inferential analysis employs paired t-tests, ANOVA, and regression, with 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and RMSE for model fit. Time-series autocorrelation and non-parametric tests (Mann-Whitney U, Kruskal-Wallis) assess real-time performance. Figure 2 displays the Workflow of chaotic ACM encryption for secure health data transmission and validation</w:t>
      </w:r>
    </w:p>
    <w:p w14:paraId="537185A5"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520E861"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A7F9820"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BFBB0A9"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1B4FD3D"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763EFB1"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FEF2DBE"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5BAC70F"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9738004"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F02CCC7"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976D865" w14:textId="77777777"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9A37D92" w14:textId="414D1B5C" w:rsidR="001154FC" w:rsidRDefault="00193355" w:rsidP="001154FC">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lastRenderedPageBreak/>
        <w:t>Figure 2</w:t>
      </w:r>
      <w:r w:rsidR="001154FC">
        <w:rPr>
          <w:rFonts w:ascii="Times New Roman" w:eastAsia="Times New Roman" w:hAnsi="Times New Roman" w:cs="Times New Roman"/>
          <w:b/>
          <w:color w:val="000000"/>
          <w:sz w:val="24"/>
          <w:szCs w:val="24"/>
        </w:rPr>
        <w:t xml:space="preserve"> </w:t>
      </w:r>
      <w:r w:rsidR="001154FC">
        <w:rPr>
          <w:rFonts w:ascii="Times New Roman" w:eastAsia="Times New Roman" w:hAnsi="Times New Roman" w:cs="Times New Roman"/>
          <w:i/>
          <w:color w:val="000000"/>
          <w:sz w:val="24"/>
          <w:szCs w:val="24"/>
        </w:rPr>
        <w:t>Workflow of chaotic ACM encryption.</w:t>
      </w:r>
    </w:p>
    <w:p w14:paraId="4F5855F6" w14:textId="30150E86" w:rsidR="00787A77" w:rsidRDefault="00787A7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98FB044"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8004909" wp14:editId="3DFEC54C">
            <wp:extent cx="4573496" cy="542176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573496" cy="5421760"/>
                    </a:xfrm>
                    <a:prstGeom prst="rect">
                      <a:avLst/>
                    </a:prstGeom>
                    <a:ln/>
                  </pic:spPr>
                </pic:pic>
              </a:graphicData>
            </a:graphic>
          </wp:inline>
        </w:drawing>
      </w:r>
    </w:p>
    <w:p w14:paraId="2869EF88"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Validation and Ethical Considerations</w:t>
      </w:r>
      <w:r>
        <w:rPr>
          <w:rFonts w:ascii="Times New Roman" w:eastAsia="Times New Roman" w:hAnsi="Times New Roman" w:cs="Times New Roman"/>
          <w:color w:val="000000"/>
          <w:sz w:val="24"/>
          <w:szCs w:val="24"/>
        </w:rPr>
        <w:t xml:space="preserve"> </w:t>
      </w:r>
    </w:p>
    <w:p w14:paraId="0316EB2F"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Validation follows a hierarchical framework, testing cryptographic primitives at the unit level, workflows at the integration level, workloads at the system level, and telehealth scenarios at the domain-specific level. Hypothesis testing compares performance against baselines using t-tests and ANOVA, with sample size calculated as:</w:t>
      </w:r>
    </w:p>
    <w:p w14:paraId="21491516" w14:textId="77777777" w:rsidR="00787A77" w:rsidRDefault="00193355">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n=</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Z</m:t>
                  </m:r>
                </m:e>
                <m:sub>
                  <m:r>
                    <w:rPr>
                      <w:rFonts w:ascii="Cambria Math" w:eastAsia="Cambria Math" w:hAnsi="Cambria Math" w:cs="Cambria Math"/>
                      <w:color w:val="000000"/>
                      <w:sz w:val="24"/>
                      <w:szCs w:val="24"/>
                    </w:rPr>
                    <m:t>α/2</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Z</m:t>
                  </m:r>
                </m:e>
                <m:sub>
                  <m:r>
                    <w:rPr>
                      <w:rFonts w:ascii="Cambria Math" w:eastAsia="Cambria Math" w:hAnsi="Cambria Math" w:cs="Cambria Math"/>
                      <w:color w:val="000000"/>
                      <w:sz w:val="24"/>
                      <w:szCs w:val="24"/>
                    </w:rPr>
                    <m:t>β</m:t>
                  </m:r>
                </m:sub>
              </m:sSub>
              <m:r>
                <w:rPr>
                  <w:rFonts w:ascii="Cambria Math" w:eastAsia="Cambria Math" w:hAnsi="Cambria Math" w:cs="Cambria Math"/>
                  <w:color w:val="000000"/>
                  <w:sz w:val="24"/>
                  <w:szCs w:val="24"/>
                </w:rPr>
                <m:t>)</m:t>
              </m:r>
            </m:e>
            <m:sup>
              <m:r>
                <w:rPr>
                  <w:rFonts w:ascii="Cambria Math" w:eastAsia="Cambria Math" w:hAnsi="Cambria Math" w:cs="Cambria Math"/>
                  <w:color w:val="000000"/>
                  <w:sz w:val="24"/>
                  <w:szCs w:val="24"/>
                </w:rPr>
                <m:t>2</m:t>
              </m:r>
            </m:sup>
          </m:sSup>
          <m:r>
            <w:rPr>
              <w:rFonts w:ascii="Cambria Math" w:eastAsia="Cambria Math" w:hAnsi="Cambria Math" w:cs="Cambria Math"/>
              <w:color w:val="000000"/>
              <w:sz w:val="24"/>
              <w:szCs w:val="24"/>
            </w:rPr>
            <m:t>×2</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σ</m:t>
              </m:r>
            </m:e>
            <m:sup>
              <m:r>
                <w:rPr>
                  <w:rFonts w:ascii="Cambria Math" w:eastAsia="Cambria Math" w:hAnsi="Cambria Math" w:cs="Cambria Math"/>
                  <w:color w:val="000000"/>
                  <w:sz w:val="24"/>
                  <w:szCs w:val="24"/>
                </w:rPr>
                <m:t>2</m:t>
              </m:r>
            </m:sup>
          </m:sSup>
          <m:r>
            <w:rPr>
              <w:rFonts w:ascii="Cambria Math" w:eastAsia="Cambria Math" w:hAnsi="Cambria Math" w:cs="Cambria Math"/>
              <w:color w:val="000000"/>
              <w:sz w:val="24"/>
              <w:szCs w:val="24"/>
            </w:rPr>
            <m:t>/</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μ</m:t>
                  </m:r>
                </m:e>
                <m:sub>
                  <m:r>
                    <w:rPr>
                      <w:rFonts w:ascii="Cambria Math" w:eastAsia="Cambria Math" w:hAnsi="Cambria Math" w:cs="Cambria Math"/>
                      <w:color w:val="000000"/>
                      <w:sz w:val="24"/>
                      <w:szCs w:val="24"/>
                    </w:rPr>
                    <m:t>1</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μ</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e>
            <m:sup>
              <m:r>
                <w:rPr>
                  <w:rFonts w:ascii="Cambria Math" w:eastAsia="Cambria Math" w:hAnsi="Cambria Math" w:cs="Cambria Math"/>
                  <w:color w:val="000000"/>
                  <w:sz w:val="24"/>
                  <w:szCs w:val="24"/>
                </w:rPr>
                <m:t>2</m:t>
              </m:r>
            </m:sup>
          </m:sSup>
        </m:oMath>
      </m:oMathPara>
    </w:p>
    <w:p w14:paraId="0BBAAA84"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Reproducibility is ensured through seed-based randomization and Docker containers. Ethical compliance aligns with HIPAA via safeguards like encryption and audit logs, with a privacy score:</w:t>
      </w:r>
    </w:p>
    <w:p w14:paraId="132C32F1" w14:textId="77777777" w:rsidR="00787A77" w:rsidRDefault="001923A5">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Privacy</m:t>
              </m:r>
            </m:e>
            <m:sub>
              <m:r>
                <w:rPr>
                  <w:rFonts w:ascii="Cambria Math" w:eastAsia="Cambria Math" w:hAnsi="Cambria Math" w:cs="Cambria Math"/>
                  <w:color w:val="000000"/>
                  <w:sz w:val="24"/>
                  <w:szCs w:val="24"/>
                </w:rPr>
                <m:t>score</m:t>
              </m:r>
            </m:sub>
          </m:sSub>
          <m:r>
            <w:rPr>
              <w:rFonts w:ascii="Cambria Math" w:eastAsia="Cambria Math" w:hAnsi="Cambria Math" w:cs="Cambria Math"/>
              <w:color w:val="000000"/>
              <w:sz w:val="24"/>
              <w:szCs w:val="24"/>
            </w:rPr>
            <m:t>=</m:t>
          </m:r>
          <m:nary>
            <m:naryPr>
              <m:chr m:val="∑"/>
              <m:ctrlPr>
                <w:rPr>
                  <w:rFonts w:ascii="Cambria Math" w:eastAsia="Cambria Math" w:hAnsi="Cambria Math" w:cs="Cambria Math"/>
                  <w:color w:val="000000"/>
                  <w:sz w:val="24"/>
                  <w:szCs w:val="24"/>
                </w:rPr>
              </m:ctrlPr>
            </m:naryPr>
            <m:sub/>
            <m:sup/>
            <m:e/>
          </m:nary>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Privacy</m:t>
              </m:r>
            </m:e>
            <m: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component</m:t>
                  </m:r>
                </m:e>
                <m:sub>
                  <m:r>
                    <w:rPr>
                      <w:rFonts w:ascii="Cambria Math" w:eastAsia="Cambria Math" w:hAnsi="Cambria Math" w:cs="Cambria Math"/>
                      <w:color w:val="000000"/>
                      <w:sz w:val="24"/>
                      <w:szCs w:val="24"/>
                    </w:rPr>
                    <m:t>i</m:t>
                  </m:r>
                </m:sub>
              </m:sSub>
            </m:sub>
          </m:sSub>
        </m:oMath>
      </m:oMathPara>
    </w:p>
    <w:p w14:paraId="21AB08BE"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i</m:t>
            </m:r>
          </m:sub>
        </m:sSub>
      </m:oMath>
      <w:r>
        <w:rPr>
          <w:rFonts w:ascii="Times New Roman" w:eastAsia="Times New Roman" w:hAnsi="Times New Roman" w:cs="Times New Roman"/>
          <w:color w:val="000000"/>
          <w:sz w:val="24"/>
          <w:szCs w:val="24"/>
        </w:rPr>
        <w:t xml:space="preserve"> weights components like access control. GDPR principles ensure data minimization and purpose limitation. Scientific integrity includes conflict declarations and peer review. </w:t>
      </w:r>
    </w:p>
    <w:p w14:paraId="397B158D"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Limitations and Mitigation Strategies</w:t>
      </w:r>
    </w:p>
    <w:p w14:paraId="41F6825D" w14:textId="77777777" w:rsidR="00787A77" w:rsidRDefault="0019335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Synthetic datasets may not fully capture real-world nuances, mitigated by multi-source validation and sensitivity analysis. Computational constraints in remote setups are addressed using cloud resources and efficient algorithms. Challenges in reproducing production environments are countered with standardized protocols and statistical accounting for variations. A risk management matrix assesses probability and impact, with mitigation strategies like code reviews and monitoring. </w:t>
      </w:r>
    </w:p>
    <w:p w14:paraId="28F3EFD8" w14:textId="77777777" w:rsidR="00787A77" w:rsidRDefault="00787A7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14504F1"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Results and Discussion</w:t>
      </w:r>
    </w:p>
    <w:p w14:paraId="3FDB525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experimental evaluation, conducted through simulation-based testing as outlined in the methodology, provides comprehensive insights into the performance of the AI-driven homomorphic encryption framework for secure real-time telehealth data analysis. Following the quantitative design, results were derived from synthetic datasets generated to replicate telehealth scenarios, including remote monitoring streams and electronic health records, validated against anonymized summaries from sources like NHANES and MIMIC-III. The hybrid scheme integrating CKKS and BFV, optimized via neural networks, was benchmarked across computational, security, and quality metrics using Python with SEAL and TensorFlow on a multi-core setup.</w:t>
      </w:r>
    </w:p>
    <w:p w14:paraId="5BF39832"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assessing computational performance, the framework exhibited efficient encryption and decryption across varying dataset sizes and security levels. As shown in Table 1, which details mean times with standard deviations from 100 runs per condition, encryption times ranged from 45.2 ms for 1K records at 128-bit security to 1,876.3 ms for 100K records at 256-bit, with throughputs up to 634.2 MB/s. The Encryption Time Performance vs Dataset Size for Different Security Levels is shown in Figure 3. The AI optimization reduced overhead by 23.7% compared </w:t>
      </w:r>
      <w:r>
        <w:rPr>
          <w:rFonts w:ascii="Times New Roman" w:eastAsia="Times New Roman" w:hAnsi="Times New Roman" w:cs="Times New Roman"/>
          <w:sz w:val="24"/>
          <w:szCs w:val="24"/>
        </w:rPr>
        <w:lastRenderedPageBreak/>
        <w:t>to non-optimized baselines, evident in the linear scaling that maintained sub-linear memory growth.</w:t>
      </w:r>
    </w:p>
    <w:p w14:paraId="2B228AE9" w14:textId="6D9028E3"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Encryption/Decryption Performance Metrics</w:t>
      </w:r>
    </w:p>
    <w:tbl>
      <w:tblPr>
        <w:tblStyle w:val="a"/>
        <w:tblW w:w="9360" w:type="dxa"/>
        <w:tblInd w:w="0" w:type="dxa"/>
        <w:tblLayout w:type="fixed"/>
        <w:tblLook w:val="0400" w:firstRow="0" w:lastRow="0" w:firstColumn="0" w:lastColumn="0" w:noHBand="0" w:noVBand="1"/>
      </w:tblPr>
      <w:tblGrid>
        <w:gridCol w:w="1440"/>
        <w:gridCol w:w="1080"/>
        <w:gridCol w:w="1800"/>
        <w:gridCol w:w="1800"/>
        <w:gridCol w:w="1890"/>
        <w:gridCol w:w="1350"/>
      </w:tblGrid>
      <w:tr w:rsidR="00787A77" w14:paraId="6EF422CC" w14:textId="77777777">
        <w:trPr>
          <w:tblHeader/>
        </w:trPr>
        <w:tc>
          <w:tcPr>
            <w:tcW w:w="1440" w:type="dxa"/>
            <w:tcBorders>
              <w:top w:val="single" w:sz="4" w:space="0" w:color="000000"/>
              <w:bottom w:val="single" w:sz="4" w:space="0" w:color="000000"/>
            </w:tcBorders>
            <w:vAlign w:val="center"/>
          </w:tcPr>
          <w:p w14:paraId="63533A18"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Dataset Size</w:t>
            </w:r>
          </w:p>
        </w:tc>
        <w:tc>
          <w:tcPr>
            <w:tcW w:w="1080" w:type="dxa"/>
            <w:tcBorders>
              <w:top w:val="single" w:sz="4" w:space="0" w:color="000000"/>
              <w:bottom w:val="single" w:sz="4" w:space="0" w:color="000000"/>
            </w:tcBorders>
            <w:vAlign w:val="center"/>
          </w:tcPr>
          <w:p w14:paraId="0AE885D6"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Security Level</w:t>
            </w:r>
          </w:p>
        </w:tc>
        <w:tc>
          <w:tcPr>
            <w:tcW w:w="1800" w:type="dxa"/>
            <w:tcBorders>
              <w:top w:val="single" w:sz="4" w:space="0" w:color="000000"/>
              <w:bottom w:val="single" w:sz="4" w:space="0" w:color="000000"/>
            </w:tcBorders>
            <w:vAlign w:val="center"/>
          </w:tcPr>
          <w:p w14:paraId="1563116D"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Encryption Time (ms)</w:t>
            </w:r>
          </w:p>
        </w:tc>
        <w:tc>
          <w:tcPr>
            <w:tcW w:w="1800" w:type="dxa"/>
            <w:tcBorders>
              <w:top w:val="single" w:sz="4" w:space="0" w:color="000000"/>
              <w:bottom w:val="single" w:sz="4" w:space="0" w:color="000000"/>
            </w:tcBorders>
            <w:vAlign w:val="center"/>
          </w:tcPr>
          <w:p w14:paraId="14A03C4C"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Decryption Time (ms)</w:t>
            </w:r>
          </w:p>
        </w:tc>
        <w:tc>
          <w:tcPr>
            <w:tcW w:w="1890" w:type="dxa"/>
            <w:tcBorders>
              <w:top w:val="single" w:sz="4" w:space="0" w:color="000000"/>
              <w:bottom w:val="single" w:sz="4" w:space="0" w:color="000000"/>
            </w:tcBorders>
            <w:vAlign w:val="center"/>
          </w:tcPr>
          <w:p w14:paraId="6235DDD7"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Throughput (MB/s)</w:t>
            </w:r>
          </w:p>
        </w:tc>
        <w:tc>
          <w:tcPr>
            <w:tcW w:w="1350" w:type="dxa"/>
            <w:tcBorders>
              <w:top w:val="single" w:sz="4" w:space="0" w:color="000000"/>
              <w:bottom w:val="single" w:sz="4" w:space="0" w:color="000000"/>
            </w:tcBorders>
            <w:vAlign w:val="center"/>
          </w:tcPr>
          <w:p w14:paraId="478C5DB7" w14:textId="77777777" w:rsidR="00787A77" w:rsidRDefault="0019335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Memory Usage (MB)</w:t>
            </w:r>
          </w:p>
        </w:tc>
      </w:tr>
      <w:tr w:rsidR="00787A77" w14:paraId="4AAE4CD8" w14:textId="77777777">
        <w:tc>
          <w:tcPr>
            <w:tcW w:w="1440" w:type="dxa"/>
            <w:vAlign w:val="center"/>
          </w:tcPr>
          <w:p w14:paraId="26E7ECD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1K records</w:t>
            </w:r>
          </w:p>
        </w:tc>
        <w:tc>
          <w:tcPr>
            <w:tcW w:w="1080" w:type="dxa"/>
            <w:vAlign w:val="center"/>
          </w:tcPr>
          <w:p w14:paraId="2A75A9FB"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128-bit</w:t>
            </w:r>
          </w:p>
        </w:tc>
        <w:tc>
          <w:tcPr>
            <w:tcW w:w="1800" w:type="dxa"/>
            <w:vAlign w:val="center"/>
          </w:tcPr>
          <w:p w14:paraId="7F06CCA9"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 ± 2.1</w:t>
            </w:r>
          </w:p>
        </w:tc>
        <w:tc>
          <w:tcPr>
            <w:tcW w:w="1800" w:type="dxa"/>
            <w:vAlign w:val="center"/>
          </w:tcPr>
          <w:p w14:paraId="42E65E5D"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 ± 1.8</w:t>
            </w:r>
          </w:p>
        </w:tc>
        <w:tc>
          <w:tcPr>
            <w:tcW w:w="1890" w:type="dxa"/>
            <w:vAlign w:val="center"/>
          </w:tcPr>
          <w:p w14:paraId="1ABEF014"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142.3</w:t>
            </w:r>
          </w:p>
        </w:tc>
        <w:tc>
          <w:tcPr>
            <w:tcW w:w="1350" w:type="dxa"/>
            <w:vAlign w:val="center"/>
          </w:tcPr>
          <w:p w14:paraId="2A0CDE06"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128.5</w:t>
            </w:r>
          </w:p>
        </w:tc>
      </w:tr>
      <w:tr w:rsidR="00787A77" w14:paraId="16A720A8" w14:textId="77777777">
        <w:tc>
          <w:tcPr>
            <w:tcW w:w="1440" w:type="dxa"/>
            <w:vAlign w:val="center"/>
          </w:tcPr>
          <w:p w14:paraId="1BC6CAF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10K records</w:t>
            </w:r>
          </w:p>
        </w:tc>
        <w:tc>
          <w:tcPr>
            <w:tcW w:w="1080" w:type="dxa"/>
            <w:vAlign w:val="center"/>
          </w:tcPr>
          <w:p w14:paraId="34645C8A"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128-bit</w:t>
            </w:r>
          </w:p>
        </w:tc>
        <w:tc>
          <w:tcPr>
            <w:tcW w:w="1800" w:type="dxa"/>
            <w:vAlign w:val="center"/>
          </w:tcPr>
          <w:p w14:paraId="093EDD9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156.8 ± 7.3</w:t>
            </w:r>
          </w:p>
        </w:tc>
        <w:tc>
          <w:tcPr>
            <w:tcW w:w="1800" w:type="dxa"/>
            <w:vAlign w:val="center"/>
          </w:tcPr>
          <w:p w14:paraId="4BC6EFCC"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134.2 ± 5.9</w:t>
            </w:r>
          </w:p>
        </w:tc>
        <w:tc>
          <w:tcPr>
            <w:tcW w:w="1890" w:type="dxa"/>
            <w:vAlign w:val="center"/>
          </w:tcPr>
          <w:p w14:paraId="29EA431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387.4</w:t>
            </w:r>
          </w:p>
        </w:tc>
        <w:tc>
          <w:tcPr>
            <w:tcW w:w="1350" w:type="dxa"/>
            <w:vAlign w:val="center"/>
          </w:tcPr>
          <w:p w14:paraId="1B1BDAD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256.8</w:t>
            </w:r>
          </w:p>
        </w:tc>
      </w:tr>
      <w:tr w:rsidR="00787A77" w14:paraId="74C94779" w14:textId="77777777">
        <w:tc>
          <w:tcPr>
            <w:tcW w:w="1440" w:type="dxa"/>
            <w:vAlign w:val="center"/>
          </w:tcPr>
          <w:p w14:paraId="249C8980"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50K records</w:t>
            </w:r>
          </w:p>
        </w:tc>
        <w:tc>
          <w:tcPr>
            <w:tcW w:w="1080" w:type="dxa"/>
            <w:vAlign w:val="center"/>
          </w:tcPr>
          <w:p w14:paraId="2453BD6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128-bit</w:t>
            </w:r>
          </w:p>
        </w:tc>
        <w:tc>
          <w:tcPr>
            <w:tcW w:w="1800" w:type="dxa"/>
            <w:vAlign w:val="center"/>
          </w:tcPr>
          <w:p w14:paraId="3B950FD3"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678.9 ± 12.4</w:t>
            </w:r>
          </w:p>
        </w:tc>
        <w:tc>
          <w:tcPr>
            <w:tcW w:w="1800" w:type="dxa"/>
            <w:vAlign w:val="center"/>
          </w:tcPr>
          <w:p w14:paraId="608CE678"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589.3 ± 14.7</w:t>
            </w:r>
          </w:p>
        </w:tc>
        <w:tc>
          <w:tcPr>
            <w:tcW w:w="1890" w:type="dxa"/>
            <w:vAlign w:val="center"/>
          </w:tcPr>
          <w:p w14:paraId="18727B1D"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523.7</w:t>
            </w:r>
          </w:p>
        </w:tc>
        <w:tc>
          <w:tcPr>
            <w:tcW w:w="1350" w:type="dxa"/>
            <w:vAlign w:val="center"/>
          </w:tcPr>
          <w:p w14:paraId="7AE9C220"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512.3</w:t>
            </w:r>
          </w:p>
        </w:tc>
      </w:tr>
      <w:tr w:rsidR="00787A77" w14:paraId="1FD8F2E9" w14:textId="77777777">
        <w:tc>
          <w:tcPr>
            <w:tcW w:w="1440" w:type="dxa"/>
            <w:vAlign w:val="center"/>
          </w:tcPr>
          <w:p w14:paraId="68C7E4EA"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100K records</w:t>
            </w:r>
          </w:p>
        </w:tc>
        <w:tc>
          <w:tcPr>
            <w:tcW w:w="1080" w:type="dxa"/>
            <w:vAlign w:val="center"/>
          </w:tcPr>
          <w:p w14:paraId="57A5DDDE"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128-bit</w:t>
            </w:r>
          </w:p>
        </w:tc>
        <w:tc>
          <w:tcPr>
            <w:tcW w:w="1800" w:type="dxa"/>
            <w:vAlign w:val="center"/>
          </w:tcPr>
          <w:p w14:paraId="113D66F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1,234.5 ± 23.8</w:t>
            </w:r>
          </w:p>
        </w:tc>
        <w:tc>
          <w:tcPr>
            <w:tcW w:w="1800" w:type="dxa"/>
            <w:vAlign w:val="center"/>
          </w:tcPr>
          <w:p w14:paraId="7BA3D8FC"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1,089.7 ± 28.1</w:t>
            </w:r>
          </w:p>
        </w:tc>
        <w:tc>
          <w:tcPr>
            <w:tcW w:w="1890" w:type="dxa"/>
            <w:vAlign w:val="center"/>
          </w:tcPr>
          <w:p w14:paraId="57C831C8"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634.2</w:t>
            </w:r>
          </w:p>
        </w:tc>
        <w:tc>
          <w:tcPr>
            <w:tcW w:w="1350" w:type="dxa"/>
            <w:vAlign w:val="center"/>
          </w:tcPr>
          <w:p w14:paraId="362AB7C6"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1,024.6</w:t>
            </w:r>
          </w:p>
        </w:tc>
      </w:tr>
      <w:tr w:rsidR="00787A77" w14:paraId="7BB2E5B8" w14:textId="77777777">
        <w:tc>
          <w:tcPr>
            <w:tcW w:w="1440" w:type="dxa"/>
            <w:vAlign w:val="center"/>
          </w:tcPr>
          <w:p w14:paraId="60EB8F29"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1K records</w:t>
            </w:r>
          </w:p>
        </w:tc>
        <w:tc>
          <w:tcPr>
            <w:tcW w:w="1080" w:type="dxa"/>
            <w:vAlign w:val="center"/>
          </w:tcPr>
          <w:p w14:paraId="47E012C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256-bit</w:t>
            </w:r>
          </w:p>
        </w:tc>
        <w:tc>
          <w:tcPr>
            <w:tcW w:w="1800" w:type="dxa"/>
            <w:vAlign w:val="center"/>
          </w:tcPr>
          <w:p w14:paraId="7A3D31EF"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 ± 3.2</w:t>
            </w:r>
          </w:p>
        </w:tc>
        <w:tc>
          <w:tcPr>
            <w:tcW w:w="1800" w:type="dxa"/>
            <w:vAlign w:val="center"/>
          </w:tcPr>
          <w:p w14:paraId="18B18F45"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59.4 ± 2.7</w:t>
            </w:r>
          </w:p>
        </w:tc>
        <w:tc>
          <w:tcPr>
            <w:tcW w:w="1890" w:type="dxa"/>
            <w:vAlign w:val="center"/>
          </w:tcPr>
          <w:p w14:paraId="6ED1FDD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1350" w:type="dxa"/>
            <w:vAlign w:val="center"/>
          </w:tcPr>
          <w:p w14:paraId="09040EA8"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185.4</w:t>
            </w:r>
          </w:p>
        </w:tc>
      </w:tr>
      <w:tr w:rsidR="00787A77" w14:paraId="1E0F04DF" w14:textId="77777777">
        <w:tc>
          <w:tcPr>
            <w:tcW w:w="1440" w:type="dxa"/>
            <w:vAlign w:val="center"/>
          </w:tcPr>
          <w:p w14:paraId="1923C7DF"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10K records</w:t>
            </w:r>
          </w:p>
        </w:tc>
        <w:tc>
          <w:tcPr>
            <w:tcW w:w="1080" w:type="dxa"/>
            <w:vAlign w:val="center"/>
          </w:tcPr>
          <w:p w14:paraId="0CB76B9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256-bit</w:t>
            </w:r>
          </w:p>
        </w:tc>
        <w:tc>
          <w:tcPr>
            <w:tcW w:w="1800" w:type="dxa"/>
            <w:vAlign w:val="center"/>
          </w:tcPr>
          <w:p w14:paraId="73A72E75"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234.7 ± 9.8</w:t>
            </w:r>
          </w:p>
        </w:tc>
        <w:tc>
          <w:tcPr>
            <w:tcW w:w="1800" w:type="dxa"/>
            <w:vAlign w:val="center"/>
          </w:tcPr>
          <w:p w14:paraId="6FAE3DF4"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201.3 ± 8.4</w:t>
            </w:r>
          </w:p>
        </w:tc>
        <w:tc>
          <w:tcPr>
            <w:tcW w:w="1890" w:type="dxa"/>
            <w:vAlign w:val="center"/>
          </w:tcPr>
          <w:p w14:paraId="0A8BB8CC"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267.9</w:t>
            </w:r>
          </w:p>
        </w:tc>
        <w:tc>
          <w:tcPr>
            <w:tcW w:w="1350" w:type="dxa"/>
            <w:vAlign w:val="center"/>
          </w:tcPr>
          <w:p w14:paraId="2D3D2707"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371.2</w:t>
            </w:r>
          </w:p>
        </w:tc>
      </w:tr>
      <w:tr w:rsidR="00787A77" w14:paraId="100A507C" w14:textId="77777777">
        <w:tc>
          <w:tcPr>
            <w:tcW w:w="1440" w:type="dxa"/>
            <w:vAlign w:val="center"/>
          </w:tcPr>
          <w:p w14:paraId="413AA3DF"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50K records</w:t>
            </w:r>
          </w:p>
        </w:tc>
        <w:tc>
          <w:tcPr>
            <w:tcW w:w="1080" w:type="dxa"/>
            <w:vAlign w:val="center"/>
          </w:tcPr>
          <w:p w14:paraId="01AD7915"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256-bit</w:t>
            </w:r>
          </w:p>
        </w:tc>
        <w:tc>
          <w:tcPr>
            <w:tcW w:w="1800" w:type="dxa"/>
            <w:vAlign w:val="center"/>
          </w:tcPr>
          <w:p w14:paraId="770AD0A6"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1,023.4 ± 18.7</w:t>
            </w:r>
          </w:p>
        </w:tc>
        <w:tc>
          <w:tcPr>
            <w:tcW w:w="1800" w:type="dxa"/>
            <w:vAlign w:val="center"/>
          </w:tcPr>
          <w:p w14:paraId="74F36F15"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887.6 ± 21.3</w:t>
            </w:r>
          </w:p>
        </w:tc>
        <w:tc>
          <w:tcPr>
            <w:tcW w:w="1890" w:type="dxa"/>
            <w:vAlign w:val="center"/>
          </w:tcPr>
          <w:p w14:paraId="39F9766F"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394.8</w:t>
            </w:r>
          </w:p>
        </w:tc>
        <w:tc>
          <w:tcPr>
            <w:tcW w:w="1350" w:type="dxa"/>
            <w:vAlign w:val="center"/>
          </w:tcPr>
          <w:p w14:paraId="32415944"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742.8</w:t>
            </w:r>
          </w:p>
        </w:tc>
      </w:tr>
      <w:tr w:rsidR="00787A77" w14:paraId="4DD5B64C" w14:textId="77777777">
        <w:tc>
          <w:tcPr>
            <w:tcW w:w="1440" w:type="dxa"/>
            <w:tcBorders>
              <w:bottom w:val="single" w:sz="4" w:space="0" w:color="000000"/>
            </w:tcBorders>
            <w:vAlign w:val="center"/>
          </w:tcPr>
          <w:p w14:paraId="76BE6329"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100K records</w:t>
            </w:r>
          </w:p>
        </w:tc>
        <w:tc>
          <w:tcPr>
            <w:tcW w:w="1080" w:type="dxa"/>
            <w:tcBorders>
              <w:bottom w:val="single" w:sz="4" w:space="0" w:color="000000"/>
            </w:tcBorders>
            <w:vAlign w:val="center"/>
          </w:tcPr>
          <w:p w14:paraId="00EF0BFE"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256-bit</w:t>
            </w:r>
          </w:p>
        </w:tc>
        <w:tc>
          <w:tcPr>
            <w:tcW w:w="1800" w:type="dxa"/>
            <w:tcBorders>
              <w:bottom w:val="single" w:sz="4" w:space="0" w:color="000000"/>
            </w:tcBorders>
            <w:vAlign w:val="center"/>
          </w:tcPr>
          <w:p w14:paraId="6DABB88E"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1,876.3 ± 34.2</w:t>
            </w:r>
          </w:p>
        </w:tc>
        <w:tc>
          <w:tcPr>
            <w:tcW w:w="1800" w:type="dxa"/>
            <w:tcBorders>
              <w:bottom w:val="single" w:sz="4" w:space="0" w:color="000000"/>
            </w:tcBorders>
            <w:vAlign w:val="center"/>
          </w:tcPr>
          <w:p w14:paraId="6FD42302"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1,623.8 ± 38.9</w:t>
            </w:r>
          </w:p>
        </w:tc>
        <w:tc>
          <w:tcPr>
            <w:tcW w:w="1890" w:type="dxa"/>
            <w:tcBorders>
              <w:bottom w:val="single" w:sz="4" w:space="0" w:color="000000"/>
            </w:tcBorders>
            <w:vAlign w:val="center"/>
          </w:tcPr>
          <w:p w14:paraId="38500009"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456.1</w:t>
            </w:r>
          </w:p>
        </w:tc>
        <w:tc>
          <w:tcPr>
            <w:tcW w:w="1350" w:type="dxa"/>
            <w:tcBorders>
              <w:bottom w:val="single" w:sz="4" w:space="0" w:color="000000"/>
            </w:tcBorders>
            <w:vAlign w:val="center"/>
          </w:tcPr>
          <w:p w14:paraId="701E19EE" w14:textId="77777777" w:rsidR="00787A77" w:rsidRDefault="001933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1,485.7</w:t>
            </w:r>
          </w:p>
        </w:tc>
      </w:tr>
    </w:tbl>
    <w:p w14:paraId="3D1C6D35" w14:textId="77777777" w:rsidR="001154FC" w:rsidRDefault="00193355" w:rsidP="001154FC">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Figure 3</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Encryption Time Performance vs Dataset Size for Different Security Levels.</w:t>
      </w:r>
    </w:p>
    <w:p w14:paraId="0A7E745C"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E3C528" wp14:editId="4CC78CF0">
            <wp:extent cx="5924550" cy="30861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8894"/>
                    <a:stretch>
                      <a:fillRect/>
                    </a:stretch>
                  </pic:blipFill>
                  <pic:spPr>
                    <a:xfrm>
                      <a:off x="0" y="0"/>
                      <a:ext cx="5925506" cy="3086598"/>
                    </a:xfrm>
                    <a:prstGeom prst="rect">
                      <a:avLst/>
                    </a:prstGeom>
                    <a:ln/>
                  </pic:spPr>
                </pic:pic>
              </a:graphicData>
            </a:graphic>
          </wp:inline>
        </w:drawing>
      </w:r>
    </w:p>
    <w:p w14:paraId="3042A5C5"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Homomorphic operations further highlighted the hybrid approach's efficacy, with execution times and accuracy detailed in Table 2 from factorial experiments varying operation types. Multiplication in the hybrid mode averaged 67.9 ms with 99.89% accuracy and 1.15x noise growth, outperforming single schemes by 18.4% in speed while keeping relative error below 0.11%.</w:t>
      </w:r>
    </w:p>
    <w:p w14:paraId="07DE40D3" w14:textId="6FA65708"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Homomorphic Operation Performance</w:t>
      </w:r>
    </w:p>
    <w:tbl>
      <w:tblPr>
        <w:tblStyle w:val="a0"/>
        <w:tblW w:w="9239" w:type="dxa"/>
        <w:tblInd w:w="0" w:type="dxa"/>
        <w:tblLayout w:type="fixed"/>
        <w:tblLook w:val="0400" w:firstRow="0" w:lastRow="0" w:firstColumn="0" w:lastColumn="0" w:noHBand="0" w:noVBand="1"/>
      </w:tblPr>
      <w:tblGrid>
        <w:gridCol w:w="1710"/>
        <w:gridCol w:w="1530"/>
        <w:gridCol w:w="1620"/>
        <w:gridCol w:w="1584"/>
        <w:gridCol w:w="1566"/>
        <w:gridCol w:w="1229"/>
      </w:tblGrid>
      <w:tr w:rsidR="00787A77" w14:paraId="7DC6A2C9" w14:textId="77777777">
        <w:trPr>
          <w:tblHeader/>
        </w:trPr>
        <w:tc>
          <w:tcPr>
            <w:tcW w:w="1710" w:type="dxa"/>
            <w:tcBorders>
              <w:top w:val="single" w:sz="4" w:space="0" w:color="000000"/>
              <w:bottom w:val="single" w:sz="4" w:space="0" w:color="000000"/>
            </w:tcBorders>
            <w:vAlign w:val="center"/>
          </w:tcPr>
          <w:p w14:paraId="11206D46"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Operation Type</w:t>
            </w:r>
          </w:p>
        </w:tc>
        <w:tc>
          <w:tcPr>
            <w:tcW w:w="1530" w:type="dxa"/>
            <w:tcBorders>
              <w:top w:val="single" w:sz="4" w:space="0" w:color="000000"/>
              <w:bottom w:val="single" w:sz="4" w:space="0" w:color="000000"/>
            </w:tcBorders>
            <w:vAlign w:val="center"/>
          </w:tcPr>
          <w:p w14:paraId="240CE388"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BFV Time (ms)</w:t>
            </w:r>
          </w:p>
        </w:tc>
        <w:tc>
          <w:tcPr>
            <w:tcW w:w="1620" w:type="dxa"/>
            <w:tcBorders>
              <w:top w:val="single" w:sz="4" w:space="0" w:color="000000"/>
              <w:bottom w:val="single" w:sz="4" w:space="0" w:color="000000"/>
            </w:tcBorders>
            <w:vAlign w:val="center"/>
          </w:tcPr>
          <w:p w14:paraId="1D81AEBA"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CKKS Time (ms)</w:t>
            </w:r>
          </w:p>
        </w:tc>
        <w:tc>
          <w:tcPr>
            <w:tcW w:w="1584" w:type="dxa"/>
            <w:tcBorders>
              <w:top w:val="single" w:sz="4" w:space="0" w:color="000000"/>
              <w:bottom w:val="single" w:sz="4" w:space="0" w:color="000000"/>
            </w:tcBorders>
            <w:vAlign w:val="center"/>
          </w:tcPr>
          <w:p w14:paraId="1318D2A4"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Hybrid Time (ms)</w:t>
            </w:r>
          </w:p>
        </w:tc>
        <w:tc>
          <w:tcPr>
            <w:tcW w:w="1566" w:type="dxa"/>
            <w:tcBorders>
              <w:top w:val="single" w:sz="4" w:space="0" w:color="000000"/>
              <w:bottom w:val="single" w:sz="4" w:space="0" w:color="000000"/>
            </w:tcBorders>
            <w:vAlign w:val="center"/>
          </w:tcPr>
          <w:p w14:paraId="3A55927A"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Accuracy (%)</w:t>
            </w:r>
          </w:p>
        </w:tc>
        <w:tc>
          <w:tcPr>
            <w:tcW w:w="1229" w:type="dxa"/>
            <w:tcBorders>
              <w:top w:val="single" w:sz="4" w:space="0" w:color="000000"/>
              <w:bottom w:val="single" w:sz="4" w:space="0" w:color="000000"/>
            </w:tcBorders>
            <w:vAlign w:val="center"/>
          </w:tcPr>
          <w:p w14:paraId="7FE1354C"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Noise Growth</w:t>
            </w:r>
          </w:p>
        </w:tc>
      </w:tr>
      <w:tr w:rsidR="00787A77" w14:paraId="0DD6E874" w14:textId="77777777">
        <w:tc>
          <w:tcPr>
            <w:tcW w:w="1710" w:type="dxa"/>
            <w:vAlign w:val="center"/>
          </w:tcPr>
          <w:p w14:paraId="485FF4B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w:t>
            </w:r>
          </w:p>
        </w:tc>
        <w:tc>
          <w:tcPr>
            <w:tcW w:w="1530" w:type="dxa"/>
            <w:vAlign w:val="center"/>
          </w:tcPr>
          <w:p w14:paraId="243C593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 0.1</w:t>
            </w:r>
          </w:p>
        </w:tc>
        <w:tc>
          <w:tcPr>
            <w:tcW w:w="1620" w:type="dxa"/>
            <w:vAlign w:val="center"/>
          </w:tcPr>
          <w:p w14:paraId="3A375E0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0.2</w:t>
            </w:r>
          </w:p>
        </w:tc>
        <w:tc>
          <w:tcPr>
            <w:tcW w:w="1584" w:type="dxa"/>
            <w:vAlign w:val="center"/>
          </w:tcPr>
          <w:p w14:paraId="79203F6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 0.1</w:t>
            </w:r>
          </w:p>
        </w:tc>
        <w:tc>
          <w:tcPr>
            <w:tcW w:w="1566" w:type="dxa"/>
            <w:vAlign w:val="center"/>
          </w:tcPr>
          <w:p w14:paraId="652E8B4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99.97</w:t>
            </w:r>
          </w:p>
        </w:tc>
        <w:tc>
          <w:tcPr>
            <w:tcW w:w="1229" w:type="dxa"/>
            <w:vAlign w:val="center"/>
          </w:tcPr>
          <w:p w14:paraId="45A2B3C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1.02x</w:t>
            </w:r>
          </w:p>
        </w:tc>
      </w:tr>
      <w:tr w:rsidR="00787A77" w14:paraId="72B9A892" w14:textId="77777777">
        <w:tc>
          <w:tcPr>
            <w:tcW w:w="1710" w:type="dxa"/>
            <w:vAlign w:val="center"/>
          </w:tcPr>
          <w:p w14:paraId="08A06ED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Subtraction</w:t>
            </w:r>
          </w:p>
        </w:tc>
        <w:tc>
          <w:tcPr>
            <w:tcW w:w="1530" w:type="dxa"/>
            <w:vAlign w:val="center"/>
          </w:tcPr>
          <w:p w14:paraId="0DC96A5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 0.2</w:t>
            </w:r>
          </w:p>
        </w:tc>
        <w:tc>
          <w:tcPr>
            <w:tcW w:w="1620" w:type="dxa"/>
            <w:vAlign w:val="center"/>
          </w:tcPr>
          <w:p w14:paraId="0300D6C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 0.3</w:t>
            </w:r>
          </w:p>
        </w:tc>
        <w:tc>
          <w:tcPr>
            <w:tcW w:w="1584" w:type="dxa"/>
            <w:vAlign w:val="center"/>
          </w:tcPr>
          <w:p w14:paraId="523C8E5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 0.2</w:t>
            </w:r>
          </w:p>
        </w:tc>
        <w:tc>
          <w:tcPr>
            <w:tcW w:w="1566" w:type="dxa"/>
            <w:vAlign w:val="center"/>
          </w:tcPr>
          <w:p w14:paraId="782CCD8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99.96</w:t>
            </w:r>
          </w:p>
        </w:tc>
        <w:tc>
          <w:tcPr>
            <w:tcW w:w="1229" w:type="dxa"/>
            <w:vAlign w:val="center"/>
          </w:tcPr>
          <w:p w14:paraId="69D6DBC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1.03x</w:t>
            </w:r>
          </w:p>
        </w:tc>
      </w:tr>
      <w:tr w:rsidR="00787A77" w14:paraId="4B7DCD6B" w14:textId="77777777">
        <w:tc>
          <w:tcPr>
            <w:tcW w:w="1710" w:type="dxa"/>
            <w:vAlign w:val="center"/>
          </w:tcPr>
          <w:p w14:paraId="5784D5F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Multiplication</w:t>
            </w:r>
          </w:p>
        </w:tc>
        <w:tc>
          <w:tcPr>
            <w:tcW w:w="1530" w:type="dxa"/>
            <w:vAlign w:val="center"/>
          </w:tcPr>
          <w:p w14:paraId="1E12029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78.6 ± 4.3</w:t>
            </w:r>
          </w:p>
        </w:tc>
        <w:tc>
          <w:tcPr>
            <w:tcW w:w="1620" w:type="dxa"/>
            <w:vAlign w:val="center"/>
          </w:tcPr>
          <w:p w14:paraId="33F9E66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82.4 ± 5.1</w:t>
            </w:r>
          </w:p>
        </w:tc>
        <w:tc>
          <w:tcPr>
            <w:tcW w:w="1584" w:type="dxa"/>
            <w:vAlign w:val="center"/>
          </w:tcPr>
          <w:p w14:paraId="1508897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67.9 ± 3.8</w:t>
            </w:r>
          </w:p>
        </w:tc>
        <w:tc>
          <w:tcPr>
            <w:tcW w:w="1566" w:type="dxa"/>
            <w:vAlign w:val="center"/>
          </w:tcPr>
          <w:p w14:paraId="038F16E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99.89</w:t>
            </w:r>
          </w:p>
        </w:tc>
        <w:tc>
          <w:tcPr>
            <w:tcW w:w="1229" w:type="dxa"/>
            <w:vAlign w:val="center"/>
          </w:tcPr>
          <w:p w14:paraId="236DEF3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1.15x</w:t>
            </w:r>
          </w:p>
        </w:tc>
      </w:tr>
      <w:tr w:rsidR="00787A77" w14:paraId="6C945688" w14:textId="77777777">
        <w:tc>
          <w:tcPr>
            <w:tcW w:w="1710" w:type="dxa"/>
            <w:vAlign w:val="center"/>
          </w:tcPr>
          <w:p w14:paraId="343E589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Aggregation</w:t>
            </w:r>
          </w:p>
        </w:tc>
        <w:tc>
          <w:tcPr>
            <w:tcW w:w="1530" w:type="dxa"/>
            <w:vAlign w:val="center"/>
          </w:tcPr>
          <w:p w14:paraId="56D86C3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45.7 ± 2.8</w:t>
            </w:r>
          </w:p>
        </w:tc>
        <w:tc>
          <w:tcPr>
            <w:tcW w:w="1620" w:type="dxa"/>
            <w:vAlign w:val="center"/>
          </w:tcPr>
          <w:p w14:paraId="47BC8D5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 ± 3.4</w:t>
            </w:r>
          </w:p>
        </w:tc>
        <w:tc>
          <w:tcPr>
            <w:tcW w:w="1584" w:type="dxa"/>
            <w:vAlign w:val="center"/>
          </w:tcPr>
          <w:p w14:paraId="27880DA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38.2 ± 2.1</w:t>
            </w:r>
          </w:p>
        </w:tc>
        <w:tc>
          <w:tcPr>
            <w:tcW w:w="1566" w:type="dxa"/>
            <w:vAlign w:val="center"/>
          </w:tcPr>
          <w:p w14:paraId="298012C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99.94</w:t>
            </w:r>
          </w:p>
        </w:tc>
        <w:tc>
          <w:tcPr>
            <w:tcW w:w="1229" w:type="dxa"/>
            <w:vAlign w:val="center"/>
          </w:tcPr>
          <w:p w14:paraId="315D8A6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1.08x</w:t>
            </w:r>
          </w:p>
        </w:tc>
      </w:tr>
      <w:tr w:rsidR="00787A77" w14:paraId="3032E02E" w14:textId="77777777">
        <w:tc>
          <w:tcPr>
            <w:tcW w:w="1710" w:type="dxa"/>
            <w:vAlign w:val="center"/>
          </w:tcPr>
          <w:p w14:paraId="11C87E9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w:t>
            </w:r>
          </w:p>
        </w:tc>
        <w:tc>
          <w:tcPr>
            <w:tcW w:w="1530" w:type="dxa"/>
            <w:vAlign w:val="center"/>
          </w:tcPr>
          <w:p w14:paraId="53AC4E8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156.8 ± 8.7</w:t>
            </w:r>
          </w:p>
        </w:tc>
        <w:tc>
          <w:tcPr>
            <w:tcW w:w="1620" w:type="dxa"/>
            <w:vAlign w:val="center"/>
          </w:tcPr>
          <w:p w14:paraId="144D605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584" w:type="dxa"/>
            <w:vAlign w:val="center"/>
          </w:tcPr>
          <w:p w14:paraId="7774E4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134.2 ± 7.2</w:t>
            </w:r>
          </w:p>
        </w:tc>
        <w:tc>
          <w:tcPr>
            <w:tcW w:w="1566" w:type="dxa"/>
            <w:vAlign w:val="center"/>
          </w:tcPr>
          <w:p w14:paraId="5A5BFFB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99.82</w:t>
            </w:r>
          </w:p>
        </w:tc>
        <w:tc>
          <w:tcPr>
            <w:tcW w:w="1229" w:type="dxa"/>
            <w:vAlign w:val="center"/>
          </w:tcPr>
          <w:p w14:paraId="166EB56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1.23x</w:t>
            </w:r>
          </w:p>
        </w:tc>
      </w:tr>
      <w:tr w:rsidR="00787A77" w14:paraId="0E06E249" w14:textId="77777777">
        <w:tc>
          <w:tcPr>
            <w:tcW w:w="1710" w:type="dxa"/>
            <w:tcBorders>
              <w:bottom w:val="single" w:sz="4" w:space="0" w:color="000000"/>
            </w:tcBorders>
            <w:vAlign w:val="center"/>
          </w:tcPr>
          <w:p w14:paraId="2ACF066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w:t>
            </w:r>
          </w:p>
        </w:tc>
        <w:tc>
          <w:tcPr>
            <w:tcW w:w="1530" w:type="dxa"/>
            <w:tcBorders>
              <w:bottom w:val="single" w:sz="4" w:space="0" w:color="000000"/>
            </w:tcBorders>
            <w:vAlign w:val="center"/>
          </w:tcPr>
          <w:p w14:paraId="6336428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234.5 ± 12.4</w:t>
            </w:r>
          </w:p>
        </w:tc>
        <w:tc>
          <w:tcPr>
            <w:tcW w:w="1620" w:type="dxa"/>
            <w:tcBorders>
              <w:bottom w:val="single" w:sz="4" w:space="0" w:color="000000"/>
            </w:tcBorders>
            <w:vAlign w:val="center"/>
          </w:tcPr>
          <w:p w14:paraId="33A371C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198.7 ± 9.8</w:t>
            </w:r>
          </w:p>
        </w:tc>
        <w:tc>
          <w:tcPr>
            <w:tcW w:w="1584" w:type="dxa"/>
            <w:tcBorders>
              <w:bottom w:val="single" w:sz="4" w:space="0" w:color="000000"/>
            </w:tcBorders>
            <w:vAlign w:val="center"/>
          </w:tcPr>
          <w:p w14:paraId="20511B1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187.3 ± 8.9</w:t>
            </w:r>
          </w:p>
        </w:tc>
        <w:tc>
          <w:tcPr>
            <w:tcW w:w="1566" w:type="dxa"/>
            <w:tcBorders>
              <w:bottom w:val="single" w:sz="4" w:space="0" w:color="000000"/>
            </w:tcBorders>
            <w:vAlign w:val="center"/>
          </w:tcPr>
          <w:p w14:paraId="628815F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99.78</w:t>
            </w:r>
          </w:p>
        </w:tc>
        <w:tc>
          <w:tcPr>
            <w:tcW w:w="1229" w:type="dxa"/>
            <w:tcBorders>
              <w:bottom w:val="single" w:sz="4" w:space="0" w:color="000000"/>
            </w:tcBorders>
            <w:vAlign w:val="center"/>
          </w:tcPr>
          <w:p w14:paraId="19C0A1A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1.18x</w:t>
            </w:r>
          </w:p>
        </w:tc>
      </w:tr>
    </w:tbl>
    <w:p w14:paraId="3923B0BC" w14:textId="401D3E38"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 optimization converged in 12.3 iterations on average, yielding 31.2% overhead reduction, as visualized in Figure 4, which plots convergence curves for latency minimization showing prediction accuracy rising to 94.7% after 50,000 requests.</w:t>
      </w:r>
    </w:p>
    <w:p w14:paraId="293FE833"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validation through attack tree modeling showed low success rates, detailed in Table 3, where brute-force attacks had 0% success and lattice attacks 0.2%. Figure 4 displays the attack vector security metrics</w:t>
      </w:r>
    </w:p>
    <w:p w14:paraId="13BBC672" w14:textId="1A6958A0"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Security Validation Metrics</w:t>
      </w:r>
    </w:p>
    <w:tbl>
      <w:tblPr>
        <w:tblStyle w:val="a1"/>
        <w:tblW w:w="9317" w:type="dxa"/>
        <w:tblInd w:w="0" w:type="dxa"/>
        <w:tblLayout w:type="fixed"/>
        <w:tblLook w:val="0400" w:firstRow="0" w:lastRow="0" w:firstColumn="0" w:lastColumn="0" w:noHBand="0" w:noVBand="1"/>
      </w:tblPr>
      <w:tblGrid>
        <w:gridCol w:w="1709"/>
        <w:gridCol w:w="1833"/>
        <w:gridCol w:w="2033"/>
        <w:gridCol w:w="2127"/>
        <w:gridCol w:w="1615"/>
      </w:tblGrid>
      <w:tr w:rsidR="00787A77" w14:paraId="729E220A" w14:textId="77777777">
        <w:trPr>
          <w:tblHeader/>
        </w:trPr>
        <w:tc>
          <w:tcPr>
            <w:tcW w:w="1709" w:type="dxa"/>
            <w:tcBorders>
              <w:top w:val="single" w:sz="4" w:space="0" w:color="000000"/>
              <w:bottom w:val="single" w:sz="4" w:space="0" w:color="000000"/>
            </w:tcBorders>
            <w:vAlign w:val="center"/>
          </w:tcPr>
          <w:p w14:paraId="3A1F1C92"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Attack Vector</w:t>
            </w:r>
          </w:p>
        </w:tc>
        <w:tc>
          <w:tcPr>
            <w:tcW w:w="1833" w:type="dxa"/>
            <w:tcBorders>
              <w:top w:val="single" w:sz="4" w:space="0" w:color="000000"/>
              <w:bottom w:val="single" w:sz="4" w:space="0" w:color="000000"/>
            </w:tcBorders>
            <w:vAlign w:val="center"/>
          </w:tcPr>
          <w:p w14:paraId="5697DBA3"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Success Rate (%)</w:t>
            </w:r>
          </w:p>
        </w:tc>
        <w:tc>
          <w:tcPr>
            <w:tcW w:w="2033" w:type="dxa"/>
            <w:tcBorders>
              <w:top w:val="single" w:sz="4" w:space="0" w:color="000000"/>
              <w:bottom w:val="single" w:sz="4" w:space="0" w:color="000000"/>
            </w:tcBorders>
            <w:vAlign w:val="center"/>
          </w:tcPr>
          <w:p w14:paraId="1AD1EAD0"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Detection Rate (%)</w:t>
            </w:r>
          </w:p>
        </w:tc>
        <w:tc>
          <w:tcPr>
            <w:tcW w:w="2127" w:type="dxa"/>
            <w:tcBorders>
              <w:top w:val="single" w:sz="4" w:space="0" w:color="000000"/>
              <w:bottom w:val="single" w:sz="4" w:space="0" w:color="000000"/>
            </w:tcBorders>
            <w:vAlign w:val="center"/>
          </w:tcPr>
          <w:p w14:paraId="0229E4F0"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 Time (ms)</w:t>
            </w:r>
          </w:p>
        </w:tc>
        <w:tc>
          <w:tcPr>
            <w:tcW w:w="1615" w:type="dxa"/>
            <w:tcBorders>
              <w:top w:val="single" w:sz="4" w:space="0" w:color="000000"/>
              <w:bottom w:val="single" w:sz="4" w:space="0" w:color="000000"/>
            </w:tcBorders>
            <w:vAlign w:val="center"/>
          </w:tcPr>
          <w:p w14:paraId="1C408795"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Mitigation (%)</w:t>
            </w:r>
          </w:p>
        </w:tc>
      </w:tr>
      <w:tr w:rsidR="00787A77" w14:paraId="5EDD7CD8" w14:textId="77777777">
        <w:tc>
          <w:tcPr>
            <w:tcW w:w="1709" w:type="dxa"/>
            <w:vAlign w:val="center"/>
          </w:tcPr>
          <w:p w14:paraId="378CD25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Brute Force</w:t>
            </w:r>
          </w:p>
        </w:tc>
        <w:tc>
          <w:tcPr>
            <w:tcW w:w="1833" w:type="dxa"/>
            <w:vAlign w:val="center"/>
          </w:tcPr>
          <w:p w14:paraId="306E456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033" w:type="dxa"/>
            <w:vAlign w:val="center"/>
          </w:tcPr>
          <w:p w14:paraId="116A16B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2127" w:type="dxa"/>
            <w:vAlign w:val="center"/>
          </w:tcPr>
          <w:p w14:paraId="2DF5C26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1615" w:type="dxa"/>
            <w:vAlign w:val="center"/>
          </w:tcPr>
          <w:p w14:paraId="482F6FB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787A77" w14:paraId="4C22B6C3" w14:textId="77777777">
        <w:tc>
          <w:tcPr>
            <w:tcW w:w="1709" w:type="dxa"/>
            <w:vAlign w:val="center"/>
          </w:tcPr>
          <w:p w14:paraId="720B619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Side-Channel</w:t>
            </w:r>
          </w:p>
        </w:tc>
        <w:tc>
          <w:tcPr>
            <w:tcW w:w="1833" w:type="dxa"/>
            <w:vAlign w:val="center"/>
          </w:tcPr>
          <w:p w14:paraId="39AC49C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033" w:type="dxa"/>
            <w:vAlign w:val="center"/>
          </w:tcPr>
          <w:p w14:paraId="21983D3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97.7</w:t>
            </w:r>
          </w:p>
        </w:tc>
        <w:tc>
          <w:tcPr>
            <w:tcW w:w="2127" w:type="dxa"/>
            <w:vAlign w:val="center"/>
          </w:tcPr>
          <w:p w14:paraId="6871A84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615" w:type="dxa"/>
            <w:vAlign w:val="center"/>
          </w:tcPr>
          <w:p w14:paraId="6B52375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98.4</w:t>
            </w:r>
          </w:p>
        </w:tc>
      </w:tr>
      <w:tr w:rsidR="00787A77" w14:paraId="15C6EF68" w14:textId="77777777">
        <w:tc>
          <w:tcPr>
            <w:tcW w:w="1709" w:type="dxa"/>
            <w:vAlign w:val="center"/>
          </w:tcPr>
          <w:p w14:paraId="6ACA37D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Chosen Plaintext</w:t>
            </w:r>
          </w:p>
        </w:tc>
        <w:tc>
          <w:tcPr>
            <w:tcW w:w="1833" w:type="dxa"/>
            <w:vAlign w:val="center"/>
          </w:tcPr>
          <w:p w14:paraId="6ACE487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2033" w:type="dxa"/>
            <w:vAlign w:val="center"/>
          </w:tcPr>
          <w:p w14:paraId="06BEF12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99.2</w:t>
            </w:r>
          </w:p>
        </w:tc>
        <w:tc>
          <w:tcPr>
            <w:tcW w:w="2127" w:type="dxa"/>
            <w:vAlign w:val="center"/>
          </w:tcPr>
          <w:p w14:paraId="6635F24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w:t>
            </w:r>
          </w:p>
        </w:tc>
        <w:tc>
          <w:tcPr>
            <w:tcW w:w="1615" w:type="dxa"/>
            <w:vAlign w:val="center"/>
          </w:tcPr>
          <w:p w14:paraId="3E9C85D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99.6</w:t>
            </w:r>
          </w:p>
        </w:tc>
      </w:tr>
      <w:tr w:rsidR="00787A77" w14:paraId="09F9B77E" w14:textId="77777777">
        <w:tc>
          <w:tcPr>
            <w:tcW w:w="1709" w:type="dxa"/>
            <w:vAlign w:val="center"/>
          </w:tcPr>
          <w:p w14:paraId="0BDB370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Known Plaintext</w:t>
            </w:r>
          </w:p>
        </w:tc>
        <w:tc>
          <w:tcPr>
            <w:tcW w:w="1833" w:type="dxa"/>
            <w:vAlign w:val="center"/>
          </w:tcPr>
          <w:p w14:paraId="73DA137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033" w:type="dxa"/>
            <w:vAlign w:val="center"/>
          </w:tcPr>
          <w:p w14:paraId="102A21A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98.6</w:t>
            </w:r>
          </w:p>
        </w:tc>
        <w:tc>
          <w:tcPr>
            <w:tcW w:w="2127" w:type="dxa"/>
            <w:vAlign w:val="center"/>
          </w:tcPr>
          <w:p w14:paraId="3B5A316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c>
          <w:tcPr>
            <w:tcW w:w="1615" w:type="dxa"/>
            <w:vAlign w:val="center"/>
          </w:tcPr>
          <w:p w14:paraId="0E27050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w:t>
            </w:r>
          </w:p>
        </w:tc>
      </w:tr>
      <w:tr w:rsidR="00787A77" w14:paraId="6B1420BF" w14:textId="77777777">
        <w:tc>
          <w:tcPr>
            <w:tcW w:w="1709" w:type="dxa"/>
            <w:vAlign w:val="center"/>
          </w:tcPr>
          <w:p w14:paraId="4C01023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Fault Injection</w:t>
            </w:r>
          </w:p>
        </w:tc>
        <w:tc>
          <w:tcPr>
            <w:tcW w:w="1833" w:type="dxa"/>
            <w:vAlign w:val="center"/>
          </w:tcPr>
          <w:p w14:paraId="5DBFB11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033" w:type="dxa"/>
            <w:vAlign w:val="center"/>
          </w:tcPr>
          <w:p w14:paraId="1DFA359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96.9</w:t>
            </w:r>
          </w:p>
        </w:tc>
        <w:tc>
          <w:tcPr>
            <w:tcW w:w="2127" w:type="dxa"/>
            <w:vAlign w:val="center"/>
          </w:tcPr>
          <w:p w14:paraId="22E5F6E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78.3</w:t>
            </w:r>
          </w:p>
        </w:tc>
        <w:tc>
          <w:tcPr>
            <w:tcW w:w="1615" w:type="dxa"/>
            <w:vAlign w:val="center"/>
          </w:tcPr>
          <w:p w14:paraId="6B3F00F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p>
        </w:tc>
      </w:tr>
      <w:tr w:rsidR="00787A77" w14:paraId="36139AA4" w14:textId="77777777">
        <w:tc>
          <w:tcPr>
            <w:tcW w:w="1709" w:type="dxa"/>
            <w:vAlign w:val="center"/>
          </w:tcPr>
          <w:p w14:paraId="7E3941A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Lattice Attack</w:t>
            </w:r>
          </w:p>
        </w:tc>
        <w:tc>
          <w:tcPr>
            <w:tcW w:w="1833" w:type="dxa"/>
            <w:vAlign w:val="center"/>
          </w:tcPr>
          <w:p w14:paraId="7599D1F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2033" w:type="dxa"/>
            <w:vAlign w:val="center"/>
          </w:tcPr>
          <w:p w14:paraId="29196A5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w:t>
            </w:r>
          </w:p>
        </w:tc>
        <w:tc>
          <w:tcPr>
            <w:tcW w:w="2127" w:type="dxa"/>
            <w:vAlign w:val="center"/>
          </w:tcPr>
          <w:p w14:paraId="4F10811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156.7</w:t>
            </w:r>
          </w:p>
        </w:tc>
        <w:tc>
          <w:tcPr>
            <w:tcW w:w="1615" w:type="dxa"/>
            <w:vAlign w:val="center"/>
          </w:tcPr>
          <w:p w14:paraId="4734224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r>
      <w:tr w:rsidR="00787A77" w14:paraId="5625B956" w14:textId="77777777">
        <w:tc>
          <w:tcPr>
            <w:tcW w:w="1709" w:type="dxa"/>
            <w:tcBorders>
              <w:bottom w:val="single" w:sz="4" w:space="0" w:color="000000"/>
            </w:tcBorders>
            <w:vAlign w:val="center"/>
          </w:tcPr>
          <w:p w14:paraId="29205CC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Insider Threat</w:t>
            </w:r>
          </w:p>
        </w:tc>
        <w:tc>
          <w:tcPr>
            <w:tcW w:w="1833" w:type="dxa"/>
            <w:tcBorders>
              <w:bottom w:val="single" w:sz="4" w:space="0" w:color="000000"/>
            </w:tcBorders>
            <w:vAlign w:val="center"/>
          </w:tcPr>
          <w:p w14:paraId="5994C21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033" w:type="dxa"/>
            <w:tcBorders>
              <w:bottom w:val="single" w:sz="4" w:space="0" w:color="000000"/>
            </w:tcBorders>
            <w:vAlign w:val="center"/>
          </w:tcPr>
          <w:p w14:paraId="3AE5FCB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tc>
        <w:tc>
          <w:tcPr>
            <w:tcW w:w="2127" w:type="dxa"/>
            <w:tcBorders>
              <w:bottom w:val="single" w:sz="4" w:space="0" w:color="000000"/>
            </w:tcBorders>
            <w:vAlign w:val="center"/>
          </w:tcPr>
          <w:p w14:paraId="241CB99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234.6</w:t>
            </w:r>
          </w:p>
        </w:tc>
        <w:tc>
          <w:tcPr>
            <w:tcW w:w="1615" w:type="dxa"/>
            <w:tcBorders>
              <w:bottom w:val="single" w:sz="4" w:space="0" w:color="000000"/>
            </w:tcBorders>
            <w:vAlign w:val="center"/>
          </w:tcPr>
          <w:p w14:paraId="7D08D02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tc>
      </w:tr>
    </w:tbl>
    <w:p w14:paraId="1F2E4CEE" w14:textId="77777777" w:rsidR="00D47A74" w:rsidRDefault="00D47A74" w:rsidP="001154FC">
      <w:pPr>
        <w:spacing w:line="360" w:lineRule="auto"/>
        <w:jc w:val="both"/>
        <w:rPr>
          <w:rFonts w:ascii="Times New Roman" w:eastAsia="Times New Roman" w:hAnsi="Times New Roman" w:cs="Times New Roman"/>
          <w:b/>
          <w:sz w:val="24"/>
          <w:szCs w:val="24"/>
        </w:rPr>
      </w:pPr>
    </w:p>
    <w:p w14:paraId="07177D16" w14:textId="77777777" w:rsidR="00D47A74" w:rsidRDefault="00D47A74" w:rsidP="001154FC">
      <w:pPr>
        <w:spacing w:line="360" w:lineRule="auto"/>
        <w:jc w:val="both"/>
        <w:rPr>
          <w:rFonts w:ascii="Times New Roman" w:eastAsia="Times New Roman" w:hAnsi="Times New Roman" w:cs="Times New Roman"/>
          <w:b/>
          <w:sz w:val="24"/>
          <w:szCs w:val="24"/>
        </w:rPr>
      </w:pPr>
    </w:p>
    <w:p w14:paraId="7D7C7E80" w14:textId="77777777" w:rsidR="00D47A74" w:rsidRDefault="00D47A74" w:rsidP="001154FC">
      <w:pPr>
        <w:spacing w:line="360" w:lineRule="auto"/>
        <w:jc w:val="both"/>
        <w:rPr>
          <w:rFonts w:ascii="Times New Roman" w:eastAsia="Times New Roman" w:hAnsi="Times New Roman" w:cs="Times New Roman"/>
          <w:b/>
          <w:sz w:val="24"/>
          <w:szCs w:val="24"/>
        </w:rPr>
      </w:pPr>
    </w:p>
    <w:p w14:paraId="33F28E1E" w14:textId="2B2675A8" w:rsidR="001154FC" w:rsidRDefault="00193355" w:rsidP="001154F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Figure 4</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Attack Vector Security Metrics</w:t>
      </w:r>
    </w:p>
    <w:p w14:paraId="0044045E" w14:textId="7B42D974" w:rsidR="00787A77" w:rsidRDefault="00787A77">
      <w:pPr>
        <w:spacing w:line="360" w:lineRule="auto"/>
        <w:jc w:val="both"/>
        <w:rPr>
          <w:rFonts w:ascii="Times New Roman" w:eastAsia="Times New Roman" w:hAnsi="Times New Roman" w:cs="Times New Roman"/>
          <w:b/>
          <w:sz w:val="24"/>
          <w:szCs w:val="24"/>
        </w:rPr>
      </w:pPr>
    </w:p>
    <w:p w14:paraId="56AF0DAF"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CE41E0" wp14:editId="4B00BC0F">
            <wp:extent cx="5905500" cy="325755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15384"/>
                    <a:stretch>
                      <a:fillRect/>
                    </a:stretch>
                  </pic:blipFill>
                  <pic:spPr>
                    <a:xfrm>
                      <a:off x="0" y="0"/>
                      <a:ext cx="5906950" cy="3258350"/>
                    </a:xfrm>
                    <a:prstGeom prst="rect">
                      <a:avLst/>
                    </a:prstGeom>
                    <a:ln/>
                  </pic:spPr>
                </pic:pic>
              </a:graphicData>
            </a:graphic>
          </wp:inline>
        </w:drawing>
      </w:r>
    </w:p>
    <w:p w14:paraId="14ACDDE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HIPAA compliance reached 96.9%, as in Table 4, with perfect scores in integrity and transmission. Figure 5 depicts the HIPAA Compliance Scores showing the  Framework vs Industry Benchmark.</w:t>
      </w:r>
    </w:p>
    <w:p w14:paraId="46C8920C" w14:textId="204528FD" w:rsidR="00787A77" w:rsidRDefault="001933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HIPAA Compliance Scores</w:t>
      </w:r>
      <w:r>
        <w:rPr>
          <w:rFonts w:ascii="Times New Roman" w:eastAsia="Times New Roman" w:hAnsi="Times New Roman" w:cs="Times New Roman"/>
          <w:b/>
          <w:sz w:val="24"/>
          <w:szCs w:val="24"/>
        </w:rPr>
        <w:br/>
      </w:r>
    </w:p>
    <w:tbl>
      <w:tblPr>
        <w:tblStyle w:val="a2"/>
        <w:tblW w:w="9158" w:type="dxa"/>
        <w:tblInd w:w="0" w:type="dxa"/>
        <w:tblLayout w:type="fixed"/>
        <w:tblLook w:val="0400" w:firstRow="0" w:lastRow="0" w:firstColumn="0" w:lastColumn="0" w:noHBand="0" w:noVBand="1"/>
      </w:tblPr>
      <w:tblGrid>
        <w:gridCol w:w="2776"/>
        <w:gridCol w:w="2460"/>
        <w:gridCol w:w="1360"/>
        <w:gridCol w:w="1536"/>
        <w:gridCol w:w="1026"/>
      </w:tblGrid>
      <w:tr w:rsidR="00787A77" w14:paraId="5F760B2F" w14:textId="77777777">
        <w:trPr>
          <w:trHeight w:val="561"/>
          <w:tblHeader/>
        </w:trPr>
        <w:tc>
          <w:tcPr>
            <w:tcW w:w="2776" w:type="dxa"/>
            <w:tcBorders>
              <w:top w:val="single" w:sz="4" w:space="0" w:color="000000"/>
              <w:bottom w:val="single" w:sz="4" w:space="0" w:color="000000"/>
            </w:tcBorders>
            <w:vAlign w:val="center"/>
          </w:tcPr>
          <w:p w14:paraId="1797AEA1"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460" w:type="dxa"/>
            <w:tcBorders>
              <w:top w:val="single" w:sz="4" w:space="0" w:color="000000"/>
              <w:bottom w:val="single" w:sz="4" w:space="0" w:color="000000"/>
            </w:tcBorders>
            <w:vAlign w:val="center"/>
          </w:tcPr>
          <w:p w14:paraId="311308EB"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Requirements Met</w:t>
            </w:r>
          </w:p>
        </w:tc>
        <w:tc>
          <w:tcPr>
            <w:tcW w:w="1360" w:type="dxa"/>
            <w:tcBorders>
              <w:top w:val="single" w:sz="4" w:space="0" w:color="000000"/>
              <w:bottom w:val="single" w:sz="4" w:space="0" w:color="000000"/>
            </w:tcBorders>
            <w:vAlign w:val="center"/>
          </w:tcPr>
          <w:p w14:paraId="4249DC37"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 (%)</w:t>
            </w:r>
          </w:p>
        </w:tc>
        <w:tc>
          <w:tcPr>
            <w:tcW w:w="1536" w:type="dxa"/>
            <w:tcBorders>
              <w:top w:val="single" w:sz="4" w:space="0" w:color="000000"/>
              <w:bottom w:val="single" w:sz="4" w:space="0" w:color="000000"/>
            </w:tcBorders>
            <w:vAlign w:val="center"/>
          </w:tcPr>
          <w:p w14:paraId="2691F057"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Quality</w:t>
            </w:r>
          </w:p>
        </w:tc>
        <w:tc>
          <w:tcPr>
            <w:tcW w:w="1026" w:type="dxa"/>
            <w:tcBorders>
              <w:top w:val="single" w:sz="4" w:space="0" w:color="000000"/>
              <w:bottom w:val="single" w:sz="4" w:space="0" w:color="000000"/>
            </w:tcBorders>
            <w:vAlign w:val="center"/>
          </w:tcPr>
          <w:p w14:paraId="47BE0296"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Gaps</w:t>
            </w:r>
          </w:p>
        </w:tc>
      </w:tr>
      <w:tr w:rsidR="00787A77" w14:paraId="66C0F80F" w14:textId="77777777">
        <w:trPr>
          <w:trHeight w:val="580"/>
        </w:trPr>
        <w:tc>
          <w:tcPr>
            <w:tcW w:w="2776" w:type="dxa"/>
            <w:vAlign w:val="center"/>
          </w:tcPr>
          <w:p w14:paraId="4E97E9F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Control</w:t>
            </w:r>
          </w:p>
        </w:tc>
        <w:tc>
          <w:tcPr>
            <w:tcW w:w="2460" w:type="dxa"/>
            <w:vAlign w:val="center"/>
          </w:tcPr>
          <w:p w14:paraId="34F82F3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45/47</w:t>
            </w:r>
          </w:p>
        </w:tc>
        <w:tc>
          <w:tcPr>
            <w:tcW w:w="1360" w:type="dxa"/>
            <w:vAlign w:val="center"/>
          </w:tcPr>
          <w:p w14:paraId="3037C2B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95.7</w:t>
            </w:r>
          </w:p>
        </w:tc>
        <w:tc>
          <w:tcPr>
            <w:tcW w:w="1536" w:type="dxa"/>
            <w:vAlign w:val="center"/>
          </w:tcPr>
          <w:p w14:paraId="6636DF9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026" w:type="dxa"/>
            <w:vAlign w:val="center"/>
          </w:tcPr>
          <w:p w14:paraId="622CABA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minor</w:t>
            </w:r>
          </w:p>
        </w:tc>
      </w:tr>
      <w:tr w:rsidR="00787A77" w14:paraId="39E97CDF" w14:textId="77777777">
        <w:trPr>
          <w:trHeight w:val="580"/>
        </w:trPr>
        <w:tc>
          <w:tcPr>
            <w:tcW w:w="2776" w:type="dxa"/>
            <w:vAlign w:val="center"/>
          </w:tcPr>
          <w:p w14:paraId="13F9369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 Controls</w:t>
            </w:r>
          </w:p>
        </w:tc>
        <w:tc>
          <w:tcPr>
            <w:tcW w:w="2460" w:type="dxa"/>
            <w:vAlign w:val="center"/>
          </w:tcPr>
          <w:p w14:paraId="5AB0CC5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23/24</w:t>
            </w:r>
          </w:p>
        </w:tc>
        <w:tc>
          <w:tcPr>
            <w:tcW w:w="1360" w:type="dxa"/>
            <w:vAlign w:val="center"/>
          </w:tcPr>
          <w:p w14:paraId="4B9D403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tc>
        <w:tc>
          <w:tcPr>
            <w:tcW w:w="1536" w:type="dxa"/>
            <w:vAlign w:val="center"/>
          </w:tcPr>
          <w:p w14:paraId="6AB5407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026" w:type="dxa"/>
            <w:vAlign w:val="center"/>
          </w:tcPr>
          <w:p w14:paraId="46760D4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doc</w:t>
            </w:r>
          </w:p>
        </w:tc>
      </w:tr>
      <w:tr w:rsidR="00787A77" w14:paraId="50FA1E92" w14:textId="77777777">
        <w:trPr>
          <w:trHeight w:val="580"/>
        </w:trPr>
        <w:tc>
          <w:tcPr>
            <w:tcW w:w="2776" w:type="dxa"/>
            <w:vAlign w:val="center"/>
          </w:tcPr>
          <w:p w14:paraId="4D68437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Integrity</w:t>
            </w:r>
          </w:p>
        </w:tc>
        <w:tc>
          <w:tcPr>
            <w:tcW w:w="2460" w:type="dxa"/>
            <w:vAlign w:val="center"/>
          </w:tcPr>
          <w:p w14:paraId="33F0040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18/18</w:t>
            </w:r>
          </w:p>
        </w:tc>
        <w:tc>
          <w:tcPr>
            <w:tcW w:w="1360" w:type="dxa"/>
            <w:vAlign w:val="center"/>
          </w:tcPr>
          <w:p w14:paraId="19D6EF9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36" w:type="dxa"/>
            <w:vAlign w:val="center"/>
          </w:tcPr>
          <w:p w14:paraId="65B30B9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Outstanding</w:t>
            </w:r>
          </w:p>
        </w:tc>
        <w:tc>
          <w:tcPr>
            <w:tcW w:w="1026" w:type="dxa"/>
            <w:vAlign w:val="center"/>
          </w:tcPr>
          <w:p w14:paraId="20CF6FA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787A77" w14:paraId="0D287539" w14:textId="77777777">
        <w:trPr>
          <w:trHeight w:val="580"/>
        </w:trPr>
        <w:tc>
          <w:tcPr>
            <w:tcW w:w="2776" w:type="dxa"/>
            <w:vAlign w:val="center"/>
          </w:tcPr>
          <w:p w14:paraId="2673B1E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Authentication</w:t>
            </w:r>
          </w:p>
        </w:tc>
        <w:tc>
          <w:tcPr>
            <w:tcW w:w="2460" w:type="dxa"/>
            <w:vAlign w:val="center"/>
          </w:tcPr>
          <w:p w14:paraId="3F7C2C0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15/16</w:t>
            </w:r>
          </w:p>
        </w:tc>
        <w:tc>
          <w:tcPr>
            <w:tcW w:w="1360" w:type="dxa"/>
            <w:vAlign w:val="center"/>
          </w:tcPr>
          <w:p w14:paraId="19B2DFB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93.8</w:t>
            </w:r>
          </w:p>
        </w:tc>
        <w:tc>
          <w:tcPr>
            <w:tcW w:w="1536" w:type="dxa"/>
            <w:vAlign w:val="center"/>
          </w:tcPr>
          <w:p w14:paraId="7E3D460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w:t>
            </w:r>
          </w:p>
        </w:tc>
        <w:tc>
          <w:tcPr>
            <w:tcW w:w="1026" w:type="dxa"/>
            <w:vAlign w:val="center"/>
          </w:tcPr>
          <w:p w14:paraId="0FB4262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tech</w:t>
            </w:r>
          </w:p>
        </w:tc>
      </w:tr>
      <w:tr w:rsidR="00787A77" w14:paraId="3A29F212" w14:textId="77777777">
        <w:trPr>
          <w:trHeight w:val="580"/>
        </w:trPr>
        <w:tc>
          <w:tcPr>
            <w:tcW w:w="2776" w:type="dxa"/>
            <w:vAlign w:val="center"/>
          </w:tcPr>
          <w:p w14:paraId="6425B10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Transmission Security</w:t>
            </w:r>
          </w:p>
        </w:tc>
        <w:tc>
          <w:tcPr>
            <w:tcW w:w="2460" w:type="dxa"/>
            <w:vAlign w:val="center"/>
          </w:tcPr>
          <w:p w14:paraId="1504F83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22/22</w:t>
            </w:r>
          </w:p>
        </w:tc>
        <w:tc>
          <w:tcPr>
            <w:tcW w:w="1360" w:type="dxa"/>
            <w:vAlign w:val="center"/>
          </w:tcPr>
          <w:p w14:paraId="7AB22E7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36" w:type="dxa"/>
            <w:vAlign w:val="center"/>
          </w:tcPr>
          <w:p w14:paraId="20AC793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Outstanding</w:t>
            </w:r>
          </w:p>
        </w:tc>
        <w:tc>
          <w:tcPr>
            <w:tcW w:w="1026" w:type="dxa"/>
            <w:vAlign w:val="center"/>
          </w:tcPr>
          <w:p w14:paraId="13B24C6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787A77" w14:paraId="3C9FAFDD" w14:textId="77777777">
        <w:trPr>
          <w:trHeight w:val="580"/>
        </w:trPr>
        <w:tc>
          <w:tcPr>
            <w:tcW w:w="2776" w:type="dxa"/>
            <w:tcBorders>
              <w:bottom w:val="single" w:sz="4" w:space="0" w:color="000000"/>
            </w:tcBorders>
            <w:vAlign w:val="center"/>
          </w:tcPr>
          <w:p w14:paraId="7638708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p>
        </w:tc>
        <w:tc>
          <w:tcPr>
            <w:tcW w:w="2460" w:type="dxa"/>
            <w:tcBorders>
              <w:bottom w:val="single" w:sz="4" w:space="0" w:color="000000"/>
            </w:tcBorders>
            <w:vAlign w:val="center"/>
          </w:tcPr>
          <w:p w14:paraId="6E4202F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123/127</w:t>
            </w:r>
          </w:p>
        </w:tc>
        <w:tc>
          <w:tcPr>
            <w:tcW w:w="1360" w:type="dxa"/>
            <w:tcBorders>
              <w:bottom w:val="single" w:sz="4" w:space="0" w:color="000000"/>
            </w:tcBorders>
            <w:vAlign w:val="center"/>
          </w:tcPr>
          <w:p w14:paraId="7579D88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96.9</w:t>
            </w:r>
          </w:p>
        </w:tc>
        <w:tc>
          <w:tcPr>
            <w:tcW w:w="1536" w:type="dxa"/>
            <w:tcBorders>
              <w:bottom w:val="single" w:sz="4" w:space="0" w:color="000000"/>
            </w:tcBorders>
            <w:vAlign w:val="center"/>
          </w:tcPr>
          <w:p w14:paraId="5E75E3C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026" w:type="dxa"/>
            <w:tcBorders>
              <w:bottom w:val="single" w:sz="4" w:space="0" w:color="000000"/>
            </w:tcBorders>
            <w:vAlign w:val="center"/>
          </w:tcPr>
          <w:p w14:paraId="6BAF3C0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minor</w:t>
            </w:r>
          </w:p>
        </w:tc>
      </w:tr>
    </w:tbl>
    <w:p w14:paraId="3A330DBE" w14:textId="39E71C8B" w:rsidR="001154FC" w:rsidRDefault="00193355" w:rsidP="001154FC">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Figure 5</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HIPAA Compliance Scores</w:t>
      </w:r>
      <w:r w:rsidR="00033D49">
        <w:rPr>
          <w:rFonts w:ascii="Times New Roman" w:eastAsia="Times New Roman" w:hAnsi="Times New Roman" w:cs="Times New Roman"/>
          <w:i/>
          <w:sz w:val="24"/>
          <w:szCs w:val="24"/>
        </w:rPr>
        <w:t>.</w:t>
      </w:r>
    </w:p>
    <w:p w14:paraId="552A95EA" w14:textId="53A3069E" w:rsidR="00787A77" w:rsidRDefault="00787A77">
      <w:pPr>
        <w:spacing w:line="360" w:lineRule="auto"/>
        <w:jc w:val="both"/>
        <w:rPr>
          <w:rFonts w:ascii="Times New Roman" w:eastAsia="Times New Roman" w:hAnsi="Times New Roman" w:cs="Times New Roman"/>
          <w:b/>
          <w:sz w:val="24"/>
          <w:szCs w:val="24"/>
        </w:rPr>
      </w:pPr>
    </w:p>
    <w:p w14:paraId="116DF942"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14:anchorId="39E4A19C" wp14:editId="1E83700A">
            <wp:extent cx="5905500" cy="3600450"/>
            <wp:effectExtent l="0" t="0" r="0" b="0"/>
            <wp:docPr id="4" name="image4.png"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diagram of a diagram&#10;&#10;AI-generated content may be incorrect."/>
                    <pic:cNvPicPr preferRelativeResize="0"/>
                  </pic:nvPicPr>
                  <pic:blipFill>
                    <a:blip r:embed="rId11"/>
                    <a:srcRect t="8750"/>
                    <a:stretch>
                      <a:fillRect/>
                    </a:stretch>
                  </pic:blipFill>
                  <pic:spPr>
                    <a:xfrm>
                      <a:off x="0" y="0"/>
                      <a:ext cx="5906132" cy="3600835"/>
                    </a:xfrm>
                    <a:prstGeom prst="rect">
                      <a:avLst/>
                    </a:prstGeom>
                    <a:ln/>
                  </pic:spPr>
                </pic:pic>
              </a:graphicData>
            </a:graphic>
          </wp:inline>
        </w:drawing>
      </w:r>
    </w:p>
    <w:p w14:paraId="4300106C"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data quality exceeded thresholds, per Table 5 with metrics like completeness 98.7%. The data quality assurance metrics is shown in Figure 6.</w:t>
      </w:r>
    </w:p>
    <w:p w14:paraId="7482E8F5" w14:textId="6E873603"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Synthetic Data Quality</w:t>
      </w:r>
    </w:p>
    <w:tbl>
      <w:tblPr>
        <w:tblStyle w:val="a3"/>
        <w:tblW w:w="9211" w:type="dxa"/>
        <w:tblInd w:w="0" w:type="dxa"/>
        <w:tblLayout w:type="fixed"/>
        <w:tblLook w:val="0400" w:firstRow="0" w:lastRow="0" w:firstColumn="0" w:lastColumn="0" w:noHBand="0" w:noVBand="1"/>
      </w:tblPr>
      <w:tblGrid>
        <w:gridCol w:w="2128"/>
        <w:gridCol w:w="1820"/>
        <w:gridCol w:w="2204"/>
        <w:gridCol w:w="911"/>
        <w:gridCol w:w="2148"/>
      </w:tblGrid>
      <w:tr w:rsidR="00787A77" w14:paraId="17F0927A" w14:textId="77777777">
        <w:trPr>
          <w:trHeight w:val="484"/>
          <w:tblHeader/>
        </w:trPr>
        <w:tc>
          <w:tcPr>
            <w:tcW w:w="2128" w:type="dxa"/>
            <w:tcBorders>
              <w:top w:val="single" w:sz="4" w:space="0" w:color="000000"/>
              <w:bottom w:val="single" w:sz="4" w:space="0" w:color="000000"/>
            </w:tcBorders>
            <w:vAlign w:val="center"/>
          </w:tcPr>
          <w:p w14:paraId="1150B4C4"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Dimension</w:t>
            </w:r>
          </w:p>
        </w:tc>
        <w:tc>
          <w:tcPr>
            <w:tcW w:w="1820" w:type="dxa"/>
            <w:tcBorders>
              <w:top w:val="single" w:sz="4" w:space="0" w:color="000000"/>
              <w:bottom w:val="single" w:sz="4" w:space="0" w:color="000000"/>
            </w:tcBorders>
            <w:vAlign w:val="center"/>
          </w:tcPr>
          <w:p w14:paraId="60337BB3"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Target (%)</w:t>
            </w:r>
          </w:p>
        </w:tc>
        <w:tc>
          <w:tcPr>
            <w:tcW w:w="2204" w:type="dxa"/>
            <w:tcBorders>
              <w:top w:val="single" w:sz="4" w:space="0" w:color="000000"/>
              <w:bottom w:val="single" w:sz="4" w:space="0" w:color="000000"/>
            </w:tcBorders>
            <w:vAlign w:val="center"/>
          </w:tcPr>
          <w:p w14:paraId="321D5A38"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Achieved (%)</w:t>
            </w:r>
          </w:p>
        </w:tc>
        <w:tc>
          <w:tcPr>
            <w:tcW w:w="911" w:type="dxa"/>
            <w:tcBorders>
              <w:top w:val="single" w:sz="4" w:space="0" w:color="000000"/>
              <w:bottom w:val="single" w:sz="4" w:space="0" w:color="000000"/>
            </w:tcBorders>
            <w:vAlign w:val="center"/>
          </w:tcPr>
          <w:p w14:paraId="2B1AE82B"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2148" w:type="dxa"/>
            <w:tcBorders>
              <w:top w:val="single" w:sz="4" w:space="0" w:color="000000"/>
              <w:bottom w:val="single" w:sz="4" w:space="0" w:color="000000"/>
            </w:tcBorders>
            <w:vAlign w:val="center"/>
          </w:tcPr>
          <w:p w14:paraId="42497A96"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 (95%)</w:t>
            </w:r>
          </w:p>
        </w:tc>
      </w:tr>
      <w:tr w:rsidR="00787A77" w14:paraId="059A49EC" w14:textId="77777777">
        <w:trPr>
          <w:trHeight w:val="501"/>
        </w:trPr>
        <w:tc>
          <w:tcPr>
            <w:tcW w:w="2128" w:type="dxa"/>
            <w:vAlign w:val="center"/>
          </w:tcPr>
          <w:p w14:paraId="03301ED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Completeness</w:t>
            </w:r>
          </w:p>
        </w:tc>
        <w:tc>
          <w:tcPr>
            <w:tcW w:w="1820" w:type="dxa"/>
            <w:vAlign w:val="center"/>
          </w:tcPr>
          <w:p w14:paraId="681B499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95.0</w:t>
            </w:r>
          </w:p>
        </w:tc>
        <w:tc>
          <w:tcPr>
            <w:tcW w:w="2204" w:type="dxa"/>
            <w:vAlign w:val="center"/>
          </w:tcPr>
          <w:p w14:paraId="79E2DD8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911" w:type="dxa"/>
            <w:vAlign w:val="center"/>
          </w:tcPr>
          <w:p w14:paraId="0F59735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48" w:type="dxa"/>
            <w:vAlign w:val="center"/>
          </w:tcPr>
          <w:p w14:paraId="75A993D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 99.1]</w:t>
            </w:r>
          </w:p>
        </w:tc>
      </w:tr>
      <w:tr w:rsidR="00787A77" w14:paraId="00DFE6BD" w14:textId="77777777">
        <w:trPr>
          <w:trHeight w:val="501"/>
        </w:trPr>
        <w:tc>
          <w:tcPr>
            <w:tcW w:w="2128" w:type="dxa"/>
            <w:vAlign w:val="center"/>
          </w:tcPr>
          <w:p w14:paraId="0B12A4E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Consistency</w:t>
            </w:r>
          </w:p>
        </w:tc>
        <w:tc>
          <w:tcPr>
            <w:tcW w:w="1820" w:type="dxa"/>
            <w:vAlign w:val="center"/>
          </w:tcPr>
          <w:p w14:paraId="654CCDF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c>
          <w:tcPr>
            <w:tcW w:w="2204" w:type="dxa"/>
            <w:vAlign w:val="center"/>
          </w:tcPr>
          <w:p w14:paraId="4E856DD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99.4</w:t>
            </w:r>
          </w:p>
        </w:tc>
        <w:tc>
          <w:tcPr>
            <w:tcW w:w="911" w:type="dxa"/>
            <w:vAlign w:val="center"/>
          </w:tcPr>
          <w:p w14:paraId="6FD3C26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2148" w:type="dxa"/>
            <w:vAlign w:val="center"/>
          </w:tcPr>
          <w:p w14:paraId="29D58F1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 99.7]</w:t>
            </w:r>
          </w:p>
        </w:tc>
      </w:tr>
      <w:tr w:rsidR="00787A77" w14:paraId="15735020" w14:textId="77777777">
        <w:trPr>
          <w:trHeight w:val="501"/>
        </w:trPr>
        <w:tc>
          <w:tcPr>
            <w:tcW w:w="2128" w:type="dxa"/>
            <w:vAlign w:val="center"/>
          </w:tcPr>
          <w:p w14:paraId="28A391A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Accuracy</w:t>
            </w:r>
          </w:p>
        </w:tc>
        <w:tc>
          <w:tcPr>
            <w:tcW w:w="1820" w:type="dxa"/>
            <w:vAlign w:val="center"/>
          </w:tcPr>
          <w:p w14:paraId="2617F8A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99.0</w:t>
            </w:r>
          </w:p>
        </w:tc>
        <w:tc>
          <w:tcPr>
            <w:tcW w:w="2204" w:type="dxa"/>
            <w:vAlign w:val="center"/>
          </w:tcPr>
          <w:p w14:paraId="00AB187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99.6</w:t>
            </w:r>
          </w:p>
        </w:tc>
        <w:tc>
          <w:tcPr>
            <w:tcW w:w="911" w:type="dxa"/>
            <w:vAlign w:val="center"/>
          </w:tcPr>
          <w:p w14:paraId="3ED65DB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2148" w:type="dxa"/>
            <w:vAlign w:val="center"/>
          </w:tcPr>
          <w:p w14:paraId="40D70F5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[99.4, 99.8]</w:t>
            </w:r>
          </w:p>
        </w:tc>
      </w:tr>
      <w:tr w:rsidR="00787A77" w14:paraId="50DE3CA0" w14:textId="77777777">
        <w:trPr>
          <w:trHeight w:val="501"/>
        </w:trPr>
        <w:tc>
          <w:tcPr>
            <w:tcW w:w="2128" w:type="dxa"/>
            <w:vAlign w:val="center"/>
          </w:tcPr>
          <w:p w14:paraId="03D589D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Uniqueness</w:t>
            </w:r>
          </w:p>
        </w:tc>
        <w:tc>
          <w:tcPr>
            <w:tcW w:w="1820" w:type="dxa"/>
            <w:vAlign w:val="center"/>
          </w:tcPr>
          <w:p w14:paraId="3216732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w:t>
            </w:r>
          </w:p>
        </w:tc>
        <w:tc>
          <w:tcPr>
            <w:tcW w:w="2204" w:type="dxa"/>
            <w:vAlign w:val="center"/>
          </w:tcPr>
          <w:p w14:paraId="224D25F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99.95</w:t>
            </w:r>
          </w:p>
        </w:tc>
        <w:tc>
          <w:tcPr>
            <w:tcW w:w="911" w:type="dxa"/>
            <w:vAlign w:val="center"/>
          </w:tcPr>
          <w:p w14:paraId="04B568E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2148" w:type="dxa"/>
            <w:vAlign w:val="center"/>
          </w:tcPr>
          <w:p w14:paraId="3E86B51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[99.93, 99.97]</w:t>
            </w:r>
          </w:p>
        </w:tc>
      </w:tr>
      <w:tr w:rsidR="00787A77" w14:paraId="0C1CB44F" w14:textId="77777777">
        <w:trPr>
          <w:trHeight w:val="501"/>
        </w:trPr>
        <w:tc>
          <w:tcPr>
            <w:tcW w:w="2128" w:type="dxa"/>
            <w:vAlign w:val="center"/>
          </w:tcPr>
          <w:p w14:paraId="78C896F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Validity</w:t>
            </w:r>
          </w:p>
        </w:tc>
        <w:tc>
          <w:tcPr>
            <w:tcW w:w="1820" w:type="dxa"/>
            <w:vAlign w:val="center"/>
          </w:tcPr>
          <w:p w14:paraId="4254A7E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97.0</w:t>
            </w:r>
          </w:p>
        </w:tc>
        <w:tc>
          <w:tcPr>
            <w:tcW w:w="2204" w:type="dxa"/>
            <w:vAlign w:val="center"/>
          </w:tcPr>
          <w:p w14:paraId="44BADE1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w:t>
            </w:r>
          </w:p>
        </w:tc>
        <w:tc>
          <w:tcPr>
            <w:tcW w:w="911" w:type="dxa"/>
            <w:vAlign w:val="center"/>
          </w:tcPr>
          <w:p w14:paraId="4FE67AD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2148" w:type="dxa"/>
            <w:vAlign w:val="center"/>
          </w:tcPr>
          <w:p w14:paraId="580327D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[98.6, 99.2]</w:t>
            </w:r>
          </w:p>
        </w:tc>
      </w:tr>
      <w:tr w:rsidR="00787A77" w14:paraId="31F351EE" w14:textId="77777777">
        <w:trPr>
          <w:trHeight w:val="501"/>
        </w:trPr>
        <w:tc>
          <w:tcPr>
            <w:tcW w:w="2128" w:type="dxa"/>
            <w:tcBorders>
              <w:bottom w:val="single" w:sz="4" w:space="0" w:color="000000"/>
            </w:tcBorders>
            <w:vAlign w:val="center"/>
          </w:tcPr>
          <w:p w14:paraId="443DF39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p>
        </w:tc>
        <w:tc>
          <w:tcPr>
            <w:tcW w:w="1820" w:type="dxa"/>
            <w:tcBorders>
              <w:bottom w:val="single" w:sz="4" w:space="0" w:color="000000"/>
            </w:tcBorders>
            <w:vAlign w:val="center"/>
          </w:tcPr>
          <w:p w14:paraId="17B5FCB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97.8</w:t>
            </w:r>
          </w:p>
        </w:tc>
        <w:tc>
          <w:tcPr>
            <w:tcW w:w="2204" w:type="dxa"/>
            <w:tcBorders>
              <w:bottom w:val="single" w:sz="4" w:space="0" w:color="000000"/>
            </w:tcBorders>
            <w:vAlign w:val="center"/>
          </w:tcPr>
          <w:p w14:paraId="3BAC8F5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tc>
        <w:tc>
          <w:tcPr>
            <w:tcW w:w="911" w:type="dxa"/>
            <w:tcBorders>
              <w:bottom w:val="single" w:sz="4" w:space="0" w:color="000000"/>
            </w:tcBorders>
            <w:vAlign w:val="center"/>
          </w:tcPr>
          <w:p w14:paraId="6603991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2148" w:type="dxa"/>
            <w:tcBorders>
              <w:bottom w:val="single" w:sz="4" w:space="0" w:color="000000"/>
            </w:tcBorders>
            <w:vAlign w:val="center"/>
          </w:tcPr>
          <w:p w14:paraId="33146F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[99.0, 99.6]</w:t>
            </w:r>
          </w:p>
        </w:tc>
      </w:tr>
    </w:tbl>
    <w:p w14:paraId="19806CD6" w14:textId="77777777" w:rsidR="001154FC" w:rsidRDefault="00193355" w:rsidP="001154FC">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Figure 6</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Data Quality Assurance Metrics.</w:t>
      </w:r>
    </w:p>
    <w:p w14:paraId="34B9282B"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C61CEF" wp14:editId="1BCDFFEA">
            <wp:extent cx="5934075" cy="3219450"/>
            <wp:effectExtent l="0" t="0" r="9525"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9687"/>
                    <a:stretch>
                      <a:fillRect/>
                    </a:stretch>
                  </pic:blipFill>
                  <pic:spPr>
                    <a:xfrm>
                      <a:off x="0" y="0"/>
                      <a:ext cx="5934834" cy="3219862"/>
                    </a:xfrm>
                    <a:prstGeom prst="rect">
                      <a:avLst/>
                    </a:prstGeom>
                    <a:ln/>
                  </pic:spPr>
                </pic:pic>
              </a:graphicData>
            </a:graphic>
          </wp:inline>
        </w:drawing>
      </w:r>
    </w:p>
    <w:p w14:paraId="3E46DAF4" w14:textId="77777777" w:rsidR="00787A77" w:rsidRDefault="0019335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Real-time streaming maintained latencies under 535 ms at 5,000 records/sec, as in Table 6.</w:t>
      </w:r>
    </w:p>
    <w:p w14:paraId="3F4A9A9B" w14:textId="11853358"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Real-Time Streaming Performance</w:t>
      </w:r>
    </w:p>
    <w:tbl>
      <w:tblPr>
        <w:tblStyle w:val="a4"/>
        <w:tblW w:w="9248" w:type="dxa"/>
        <w:tblInd w:w="0" w:type="dxa"/>
        <w:tblLayout w:type="fixed"/>
        <w:tblLook w:val="0400" w:firstRow="0" w:lastRow="0" w:firstColumn="0" w:lastColumn="0" w:noHBand="0" w:noVBand="1"/>
      </w:tblPr>
      <w:tblGrid>
        <w:gridCol w:w="1809"/>
        <w:gridCol w:w="1570"/>
        <w:gridCol w:w="2335"/>
        <w:gridCol w:w="1330"/>
        <w:gridCol w:w="1255"/>
        <w:gridCol w:w="949"/>
      </w:tblGrid>
      <w:tr w:rsidR="00787A77" w14:paraId="23784360" w14:textId="77777777">
        <w:trPr>
          <w:trHeight w:val="477"/>
          <w:tblHeader/>
        </w:trPr>
        <w:tc>
          <w:tcPr>
            <w:tcW w:w="1809" w:type="dxa"/>
            <w:tcBorders>
              <w:top w:val="single" w:sz="4" w:space="0" w:color="000000"/>
              <w:bottom w:val="single" w:sz="4" w:space="0" w:color="000000"/>
            </w:tcBorders>
            <w:vAlign w:val="center"/>
          </w:tcPr>
          <w:p w14:paraId="7ED4E12E"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Velocity (rec/s)</w:t>
            </w:r>
          </w:p>
        </w:tc>
        <w:tc>
          <w:tcPr>
            <w:tcW w:w="1570" w:type="dxa"/>
            <w:tcBorders>
              <w:top w:val="single" w:sz="4" w:space="0" w:color="000000"/>
              <w:bottom w:val="single" w:sz="4" w:space="0" w:color="000000"/>
            </w:tcBorders>
            <w:vAlign w:val="center"/>
          </w:tcPr>
          <w:p w14:paraId="47CF8CEF"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Latency (ms)</w:t>
            </w:r>
          </w:p>
        </w:tc>
        <w:tc>
          <w:tcPr>
            <w:tcW w:w="2335" w:type="dxa"/>
            <w:tcBorders>
              <w:top w:val="single" w:sz="4" w:space="0" w:color="000000"/>
              <w:bottom w:val="single" w:sz="4" w:space="0" w:color="000000"/>
            </w:tcBorders>
            <w:vAlign w:val="center"/>
          </w:tcPr>
          <w:p w14:paraId="005E83F8"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Throughput (MB/s)</w:t>
            </w:r>
          </w:p>
        </w:tc>
        <w:tc>
          <w:tcPr>
            <w:tcW w:w="1330" w:type="dxa"/>
            <w:tcBorders>
              <w:top w:val="single" w:sz="4" w:space="0" w:color="000000"/>
              <w:bottom w:val="single" w:sz="4" w:space="0" w:color="000000"/>
            </w:tcBorders>
            <w:vAlign w:val="center"/>
          </w:tcPr>
          <w:p w14:paraId="44F97E16"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Buffer (%)</w:t>
            </w:r>
          </w:p>
        </w:tc>
        <w:tc>
          <w:tcPr>
            <w:tcW w:w="1255" w:type="dxa"/>
            <w:tcBorders>
              <w:top w:val="single" w:sz="4" w:space="0" w:color="000000"/>
              <w:bottom w:val="single" w:sz="4" w:space="0" w:color="000000"/>
            </w:tcBorders>
            <w:vAlign w:val="center"/>
          </w:tcPr>
          <w:p w14:paraId="3266E64A"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Error (%)</w:t>
            </w:r>
          </w:p>
        </w:tc>
        <w:tc>
          <w:tcPr>
            <w:tcW w:w="949" w:type="dxa"/>
            <w:tcBorders>
              <w:top w:val="single" w:sz="4" w:space="0" w:color="000000"/>
              <w:bottom w:val="single" w:sz="4" w:space="0" w:color="000000"/>
            </w:tcBorders>
            <w:vAlign w:val="center"/>
          </w:tcPr>
          <w:p w14:paraId="309D7402"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Quality</w:t>
            </w:r>
          </w:p>
        </w:tc>
      </w:tr>
      <w:tr w:rsidR="00787A77" w14:paraId="3D7031AF" w14:textId="77777777">
        <w:trPr>
          <w:trHeight w:val="493"/>
        </w:trPr>
        <w:tc>
          <w:tcPr>
            <w:tcW w:w="1809" w:type="dxa"/>
            <w:vAlign w:val="center"/>
          </w:tcPr>
          <w:p w14:paraId="57BD7AC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70" w:type="dxa"/>
            <w:vAlign w:val="center"/>
          </w:tcPr>
          <w:p w14:paraId="1B1B703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 ± 2.1</w:t>
            </w:r>
          </w:p>
        </w:tc>
        <w:tc>
          <w:tcPr>
            <w:tcW w:w="2335" w:type="dxa"/>
            <w:vAlign w:val="center"/>
          </w:tcPr>
          <w:p w14:paraId="06ACE4F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1330" w:type="dxa"/>
            <w:vAlign w:val="center"/>
          </w:tcPr>
          <w:p w14:paraId="31D8C2A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255" w:type="dxa"/>
            <w:vAlign w:val="center"/>
          </w:tcPr>
          <w:p w14:paraId="63B0623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49" w:type="dxa"/>
            <w:vAlign w:val="center"/>
          </w:tcPr>
          <w:p w14:paraId="00B5119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w:t>
            </w:r>
          </w:p>
        </w:tc>
      </w:tr>
      <w:tr w:rsidR="00787A77" w14:paraId="7A9AF7CD" w14:textId="77777777">
        <w:trPr>
          <w:trHeight w:val="493"/>
        </w:trPr>
        <w:tc>
          <w:tcPr>
            <w:tcW w:w="1809" w:type="dxa"/>
            <w:vAlign w:val="center"/>
          </w:tcPr>
          <w:p w14:paraId="142ED50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70" w:type="dxa"/>
            <w:vAlign w:val="center"/>
          </w:tcPr>
          <w:p w14:paraId="63AF334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67.3 ± 4.8</w:t>
            </w:r>
          </w:p>
        </w:tc>
        <w:tc>
          <w:tcPr>
            <w:tcW w:w="2335" w:type="dxa"/>
            <w:vAlign w:val="center"/>
          </w:tcPr>
          <w:p w14:paraId="534FEEE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189.2</w:t>
            </w:r>
          </w:p>
        </w:tc>
        <w:tc>
          <w:tcPr>
            <w:tcW w:w="1330" w:type="dxa"/>
            <w:vAlign w:val="center"/>
          </w:tcPr>
          <w:p w14:paraId="3C8E181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1255" w:type="dxa"/>
            <w:vAlign w:val="center"/>
          </w:tcPr>
          <w:p w14:paraId="32403A2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949" w:type="dxa"/>
            <w:vAlign w:val="center"/>
          </w:tcPr>
          <w:p w14:paraId="65048CD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r>
      <w:tr w:rsidR="00787A77" w14:paraId="5A68AEC5" w14:textId="77777777">
        <w:trPr>
          <w:trHeight w:val="493"/>
        </w:trPr>
        <w:tc>
          <w:tcPr>
            <w:tcW w:w="1809" w:type="dxa"/>
            <w:vAlign w:val="center"/>
          </w:tcPr>
          <w:p w14:paraId="2621776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70" w:type="dxa"/>
            <w:vAlign w:val="center"/>
          </w:tcPr>
          <w:p w14:paraId="6CEF3F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123.6 ± 8.2</w:t>
            </w:r>
          </w:p>
        </w:tc>
        <w:tc>
          <w:tcPr>
            <w:tcW w:w="2335" w:type="dxa"/>
            <w:vAlign w:val="center"/>
          </w:tcPr>
          <w:p w14:paraId="3155A71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342.1</w:t>
            </w:r>
          </w:p>
        </w:tc>
        <w:tc>
          <w:tcPr>
            <w:tcW w:w="1330" w:type="dxa"/>
            <w:vAlign w:val="center"/>
          </w:tcPr>
          <w:p w14:paraId="3DF8BA0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255" w:type="dxa"/>
            <w:vAlign w:val="center"/>
          </w:tcPr>
          <w:p w14:paraId="0A04BA9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949" w:type="dxa"/>
            <w:vAlign w:val="center"/>
          </w:tcPr>
          <w:p w14:paraId="727700D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98.4</w:t>
            </w:r>
          </w:p>
        </w:tc>
      </w:tr>
      <w:tr w:rsidR="00787A77" w14:paraId="5B259743" w14:textId="77777777">
        <w:trPr>
          <w:trHeight w:val="493"/>
        </w:trPr>
        <w:tc>
          <w:tcPr>
            <w:tcW w:w="1809" w:type="dxa"/>
            <w:vAlign w:val="center"/>
          </w:tcPr>
          <w:p w14:paraId="7D0593E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570" w:type="dxa"/>
            <w:vAlign w:val="center"/>
          </w:tcPr>
          <w:p w14:paraId="5A080B0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287.4 ± 15.6</w:t>
            </w:r>
          </w:p>
        </w:tc>
        <w:tc>
          <w:tcPr>
            <w:tcW w:w="2335" w:type="dxa"/>
            <w:vAlign w:val="center"/>
          </w:tcPr>
          <w:p w14:paraId="019C5DD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623.7</w:t>
            </w:r>
          </w:p>
        </w:tc>
        <w:tc>
          <w:tcPr>
            <w:tcW w:w="1330" w:type="dxa"/>
            <w:vAlign w:val="center"/>
          </w:tcPr>
          <w:p w14:paraId="66C9E25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82.3</w:t>
            </w:r>
          </w:p>
        </w:tc>
        <w:tc>
          <w:tcPr>
            <w:tcW w:w="1255" w:type="dxa"/>
            <w:vAlign w:val="center"/>
          </w:tcPr>
          <w:p w14:paraId="69FC21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949" w:type="dxa"/>
            <w:vAlign w:val="center"/>
          </w:tcPr>
          <w:p w14:paraId="088B180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98.1</w:t>
            </w:r>
          </w:p>
        </w:tc>
      </w:tr>
      <w:tr w:rsidR="00787A77" w14:paraId="78153DBF" w14:textId="77777777">
        <w:trPr>
          <w:trHeight w:val="493"/>
        </w:trPr>
        <w:tc>
          <w:tcPr>
            <w:tcW w:w="1809" w:type="dxa"/>
            <w:tcBorders>
              <w:bottom w:val="single" w:sz="4" w:space="0" w:color="000000"/>
            </w:tcBorders>
            <w:vAlign w:val="center"/>
          </w:tcPr>
          <w:p w14:paraId="4C28D38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570" w:type="dxa"/>
            <w:tcBorders>
              <w:bottom w:val="single" w:sz="4" w:space="0" w:color="000000"/>
            </w:tcBorders>
            <w:vAlign w:val="center"/>
          </w:tcPr>
          <w:p w14:paraId="5548F63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534.8 ± 24.3</w:t>
            </w:r>
          </w:p>
        </w:tc>
        <w:tc>
          <w:tcPr>
            <w:tcW w:w="2335" w:type="dxa"/>
            <w:tcBorders>
              <w:bottom w:val="single" w:sz="4" w:space="0" w:color="000000"/>
            </w:tcBorders>
            <w:vAlign w:val="center"/>
          </w:tcPr>
          <w:p w14:paraId="6B1A204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987.4</w:t>
            </w:r>
          </w:p>
        </w:tc>
        <w:tc>
          <w:tcPr>
            <w:tcW w:w="1330" w:type="dxa"/>
            <w:tcBorders>
              <w:bottom w:val="single" w:sz="4" w:space="0" w:color="000000"/>
            </w:tcBorders>
            <w:vAlign w:val="center"/>
          </w:tcPr>
          <w:p w14:paraId="64541EA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94.6</w:t>
            </w:r>
          </w:p>
        </w:tc>
        <w:tc>
          <w:tcPr>
            <w:tcW w:w="1255" w:type="dxa"/>
            <w:tcBorders>
              <w:bottom w:val="single" w:sz="4" w:space="0" w:color="000000"/>
            </w:tcBorders>
            <w:vAlign w:val="center"/>
          </w:tcPr>
          <w:p w14:paraId="0A28B99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949" w:type="dxa"/>
            <w:tcBorders>
              <w:bottom w:val="single" w:sz="4" w:space="0" w:color="000000"/>
            </w:tcBorders>
            <w:vAlign w:val="center"/>
          </w:tcPr>
          <w:p w14:paraId="5765D12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97.6</w:t>
            </w:r>
          </w:p>
        </w:tc>
      </w:tr>
    </w:tbl>
    <w:p w14:paraId="61EEC943"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benchmarks showed superiority, per Table 7 with improvements up to 56.6% in latency. Figure 7 depicts the normalized comparative metrics across encryption frameworks.</w:t>
      </w:r>
    </w:p>
    <w:p w14:paraId="19D6B909" w14:textId="77777777" w:rsidR="00D47A74" w:rsidRDefault="00D47A74">
      <w:pPr>
        <w:spacing w:line="360" w:lineRule="auto"/>
        <w:jc w:val="both"/>
        <w:rPr>
          <w:rFonts w:ascii="Times New Roman" w:eastAsia="Times New Roman" w:hAnsi="Times New Roman" w:cs="Times New Roman"/>
          <w:b/>
          <w:sz w:val="24"/>
          <w:szCs w:val="24"/>
        </w:rPr>
      </w:pPr>
    </w:p>
    <w:p w14:paraId="5F00EDFC" w14:textId="77777777" w:rsidR="00D47A74" w:rsidRDefault="00D47A74">
      <w:pPr>
        <w:spacing w:line="360" w:lineRule="auto"/>
        <w:jc w:val="both"/>
        <w:rPr>
          <w:rFonts w:ascii="Times New Roman" w:eastAsia="Times New Roman" w:hAnsi="Times New Roman" w:cs="Times New Roman"/>
          <w:b/>
          <w:sz w:val="24"/>
          <w:szCs w:val="24"/>
        </w:rPr>
      </w:pPr>
    </w:p>
    <w:p w14:paraId="1B7F6E9F" w14:textId="77777777" w:rsidR="00D47A74" w:rsidRDefault="00D47A74">
      <w:pPr>
        <w:spacing w:line="360" w:lineRule="auto"/>
        <w:jc w:val="both"/>
        <w:rPr>
          <w:rFonts w:ascii="Times New Roman" w:eastAsia="Times New Roman" w:hAnsi="Times New Roman" w:cs="Times New Roman"/>
          <w:b/>
          <w:sz w:val="24"/>
          <w:szCs w:val="24"/>
        </w:rPr>
      </w:pPr>
    </w:p>
    <w:p w14:paraId="20ABF95E" w14:textId="41B6C3B9"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7</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Comparative Benchmarks</w:t>
      </w:r>
    </w:p>
    <w:tbl>
      <w:tblPr>
        <w:tblStyle w:val="a5"/>
        <w:tblW w:w="9360" w:type="dxa"/>
        <w:tblInd w:w="0" w:type="dxa"/>
        <w:tblLayout w:type="fixed"/>
        <w:tblLook w:val="0400" w:firstRow="0" w:lastRow="0" w:firstColumn="0" w:lastColumn="0" w:noHBand="0" w:noVBand="1"/>
      </w:tblPr>
      <w:tblGrid>
        <w:gridCol w:w="2150"/>
        <w:gridCol w:w="1079"/>
        <w:gridCol w:w="1253"/>
        <w:gridCol w:w="1522"/>
        <w:gridCol w:w="1881"/>
        <w:gridCol w:w="1475"/>
      </w:tblGrid>
      <w:tr w:rsidR="00787A77" w14:paraId="2E67D625" w14:textId="77777777">
        <w:trPr>
          <w:tblHeader/>
        </w:trPr>
        <w:tc>
          <w:tcPr>
            <w:tcW w:w="2150" w:type="dxa"/>
            <w:tcBorders>
              <w:top w:val="single" w:sz="4" w:space="0" w:color="000000"/>
              <w:bottom w:val="single" w:sz="4" w:space="0" w:color="000000"/>
            </w:tcBorders>
            <w:vAlign w:val="center"/>
          </w:tcPr>
          <w:p w14:paraId="52B0F060"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Metric</w:t>
            </w:r>
          </w:p>
        </w:tc>
        <w:tc>
          <w:tcPr>
            <w:tcW w:w="1079" w:type="dxa"/>
            <w:tcBorders>
              <w:top w:val="single" w:sz="4" w:space="0" w:color="000000"/>
              <w:bottom w:val="single" w:sz="4" w:space="0" w:color="000000"/>
            </w:tcBorders>
            <w:vAlign w:val="center"/>
          </w:tcPr>
          <w:p w14:paraId="6902654C"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Proposed</w:t>
            </w:r>
          </w:p>
        </w:tc>
        <w:tc>
          <w:tcPr>
            <w:tcW w:w="1253" w:type="dxa"/>
            <w:tcBorders>
              <w:top w:val="single" w:sz="4" w:space="0" w:color="000000"/>
              <w:bottom w:val="single" w:sz="4" w:space="0" w:color="000000"/>
            </w:tcBorders>
            <w:vAlign w:val="center"/>
          </w:tcPr>
          <w:p w14:paraId="1BF4F26C"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AES-256</w:t>
            </w:r>
          </w:p>
        </w:tc>
        <w:tc>
          <w:tcPr>
            <w:tcW w:w="1522" w:type="dxa"/>
            <w:tcBorders>
              <w:top w:val="single" w:sz="4" w:space="0" w:color="000000"/>
              <w:bottom w:val="single" w:sz="4" w:space="0" w:color="000000"/>
            </w:tcBorders>
            <w:vAlign w:val="center"/>
          </w:tcPr>
          <w:p w14:paraId="1F04DC99"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Paillier</w:t>
            </w:r>
          </w:p>
        </w:tc>
        <w:tc>
          <w:tcPr>
            <w:tcW w:w="1881" w:type="dxa"/>
            <w:tcBorders>
              <w:top w:val="single" w:sz="4" w:space="0" w:color="000000"/>
              <w:bottom w:val="single" w:sz="4" w:space="0" w:color="000000"/>
            </w:tcBorders>
            <w:vAlign w:val="center"/>
          </w:tcPr>
          <w:p w14:paraId="188F9860"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FHE</w:t>
            </w:r>
          </w:p>
        </w:tc>
        <w:tc>
          <w:tcPr>
            <w:tcW w:w="1475" w:type="dxa"/>
            <w:tcBorders>
              <w:top w:val="single" w:sz="4" w:space="0" w:color="000000"/>
              <w:bottom w:val="single" w:sz="4" w:space="0" w:color="000000"/>
            </w:tcBorders>
            <w:vAlign w:val="center"/>
          </w:tcPr>
          <w:p w14:paraId="57D55697"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Improvement (%)</w:t>
            </w:r>
          </w:p>
        </w:tc>
      </w:tr>
      <w:tr w:rsidR="00787A77" w14:paraId="4081B8CA" w14:textId="77777777">
        <w:tc>
          <w:tcPr>
            <w:tcW w:w="2150" w:type="dxa"/>
            <w:vAlign w:val="center"/>
          </w:tcPr>
          <w:p w14:paraId="608F038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Encryption Speed (ms/MB)</w:t>
            </w:r>
          </w:p>
        </w:tc>
        <w:tc>
          <w:tcPr>
            <w:tcW w:w="1079" w:type="dxa"/>
            <w:vAlign w:val="center"/>
          </w:tcPr>
          <w:p w14:paraId="698689A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 1.8</w:t>
            </w:r>
          </w:p>
        </w:tc>
        <w:tc>
          <w:tcPr>
            <w:tcW w:w="1253" w:type="dxa"/>
            <w:vAlign w:val="center"/>
          </w:tcPr>
          <w:p w14:paraId="695C06C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45.7 ± 3.2</w:t>
            </w:r>
          </w:p>
        </w:tc>
        <w:tc>
          <w:tcPr>
            <w:tcW w:w="1522" w:type="dxa"/>
            <w:vAlign w:val="center"/>
          </w:tcPr>
          <w:p w14:paraId="0A7C560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234.6 ± 18.4</w:t>
            </w:r>
          </w:p>
        </w:tc>
        <w:tc>
          <w:tcPr>
            <w:tcW w:w="1881" w:type="dxa"/>
            <w:vAlign w:val="center"/>
          </w:tcPr>
          <w:p w14:paraId="5EFD600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1,234.7 ± 87.3</w:t>
            </w:r>
          </w:p>
        </w:tc>
        <w:tc>
          <w:tcPr>
            <w:tcW w:w="1475" w:type="dxa"/>
            <w:vAlign w:val="center"/>
          </w:tcPr>
          <w:p w14:paraId="3959AE5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r>
      <w:tr w:rsidR="00787A77" w14:paraId="76BF7CD7" w14:textId="77777777">
        <w:tc>
          <w:tcPr>
            <w:tcW w:w="2150" w:type="dxa"/>
            <w:vAlign w:val="center"/>
          </w:tcPr>
          <w:p w14:paraId="4B9AE2E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Latency (ms)</w:t>
            </w:r>
          </w:p>
        </w:tc>
        <w:tc>
          <w:tcPr>
            <w:tcW w:w="1079" w:type="dxa"/>
            <w:vAlign w:val="center"/>
          </w:tcPr>
          <w:p w14:paraId="10001A6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67.8 ± 4.2</w:t>
            </w:r>
          </w:p>
        </w:tc>
        <w:tc>
          <w:tcPr>
            <w:tcW w:w="1253" w:type="dxa"/>
            <w:vAlign w:val="center"/>
          </w:tcPr>
          <w:p w14:paraId="6F02A54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156.3 ± 9.7</w:t>
            </w:r>
          </w:p>
        </w:tc>
        <w:tc>
          <w:tcPr>
            <w:tcW w:w="1522" w:type="dxa"/>
            <w:vAlign w:val="center"/>
          </w:tcPr>
          <w:p w14:paraId="538AB0C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2,345.8 ± 156.2</w:t>
            </w:r>
          </w:p>
        </w:tc>
        <w:tc>
          <w:tcPr>
            <w:tcW w:w="1881" w:type="dxa"/>
            <w:vAlign w:val="center"/>
          </w:tcPr>
          <w:p w14:paraId="0AAC165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15,678.4 ± 1,234.6</w:t>
            </w:r>
          </w:p>
        </w:tc>
        <w:tc>
          <w:tcPr>
            <w:tcW w:w="1475" w:type="dxa"/>
            <w:vAlign w:val="center"/>
          </w:tcPr>
          <w:p w14:paraId="06E0BD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p>
        </w:tc>
      </w:tr>
      <w:tr w:rsidR="00787A77" w14:paraId="276CBE02" w14:textId="77777777">
        <w:tc>
          <w:tcPr>
            <w:tcW w:w="2150" w:type="dxa"/>
            <w:vAlign w:val="center"/>
          </w:tcPr>
          <w:p w14:paraId="2B254E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Memory Efficiency (%)</w:t>
            </w:r>
          </w:p>
        </w:tc>
        <w:tc>
          <w:tcPr>
            <w:tcW w:w="1079" w:type="dxa"/>
            <w:vAlign w:val="center"/>
          </w:tcPr>
          <w:p w14:paraId="5132EB94"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87.3 ± 3.1</w:t>
            </w:r>
          </w:p>
        </w:tc>
        <w:tc>
          <w:tcPr>
            <w:tcW w:w="1253" w:type="dxa"/>
            <w:vAlign w:val="center"/>
          </w:tcPr>
          <w:p w14:paraId="2984715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76.4 ± 4.8</w:t>
            </w:r>
          </w:p>
        </w:tc>
        <w:tc>
          <w:tcPr>
            <w:tcW w:w="1522" w:type="dxa"/>
            <w:vAlign w:val="center"/>
          </w:tcPr>
          <w:p w14:paraId="58FC277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 ± 7.3</w:t>
            </w:r>
          </w:p>
        </w:tc>
        <w:tc>
          <w:tcPr>
            <w:tcW w:w="1881" w:type="dxa"/>
            <w:vAlign w:val="center"/>
          </w:tcPr>
          <w:p w14:paraId="5C83B1F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 ± 5.2</w:t>
            </w:r>
          </w:p>
        </w:tc>
        <w:tc>
          <w:tcPr>
            <w:tcW w:w="1475" w:type="dxa"/>
            <w:vAlign w:val="center"/>
          </w:tcPr>
          <w:p w14:paraId="434E21A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r>
      <w:tr w:rsidR="00787A77" w14:paraId="065BA520" w14:textId="77777777">
        <w:tc>
          <w:tcPr>
            <w:tcW w:w="2150" w:type="dxa"/>
            <w:vAlign w:val="center"/>
          </w:tcPr>
          <w:p w14:paraId="11C226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Score</w:t>
            </w:r>
          </w:p>
        </w:tc>
        <w:tc>
          <w:tcPr>
            <w:tcW w:w="1079" w:type="dxa"/>
            <w:vAlign w:val="center"/>
          </w:tcPr>
          <w:p w14:paraId="603D537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96.7 ± 1.2</w:t>
            </w:r>
          </w:p>
        </w:tc>
        <w:tc>
          <w:tcPr>
            <w:tcW w:w="1253" w:type="dxa"/>
            <w:vAlign w:val="center"/>
          </w:tcPr>
          <w:p w14:paraId="2BB805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89.4 ± 2.1</w:t>
            </w:r>
          </w:p>
        </w:tc>
        <w:tc>
          <w:tcPr>
            <w:tcW w:w="1522" w:type="dxa"/>
            <w:vAlign w:val="center"/>
          </w:tcPr>
          <w:p w14:paraId="4DA970F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92.3 ± 1.8</w:t>
            </w:r>
          </w:p>
        </w:tc>
        <w:tc>
          <w:tcPr>
            <w:tcW w:w="1881" w:type="dxa"/>
            <w:vAlign w:val="center"/>
          </w:tcPr>
          <w:p w14:paraId="7860AE5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 ± 1.5</w:t>
            </w:r>
          </w:p>
        </w:tc>
        <w:tc>
          <w:tcPr>
            <w:tcW w:w="1475" w:type="dxa"/>
            <w:vAlign w:val="center"/>
          </w:tcPr>
          <w:p w14:paraId="300D394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787A77" w14:paraId="4C9B7532" w14:textId="77777777">
        <w:tc>
          <w:tcPr>
            <w:tcW w:w="2150" w:type="dxa"/>
            <w:tcBorders>
              <w:bottom w:val="single" w:sz="4" w:space="0" w:color="000000"/>
            </w:tcBorders>
            <w:vAlign w:val="center"/>
          </w:tcPr>
          <w:p w14:paraId="04DA7CE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 Factor</w:t>
            </w:r>
          </w:p>
        </w:tc>
        <w:tc>
          <w:tcPr>
            <w:tcW w:w="1079" w:type="dxa"/>
            <w:tcBorders>
              <w:bottom w:val="single" w:sz="4" w:space="0" w:color="000000"/>
            </w:tcBorders>
            <w:vAlign w:val="center"/>
          </w:tcPr>
          <w:p w14:paraId="4CF6F10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4.23 ± 0.18</w:t>
            </w:r>
          </w:p>
        </w:tc>
        <w:tc>
          <w:tcPr>
            <w:tcW w:w="1253" w:type="dxa"/>
            <w:tcBorders>
              <w:bottom w:val="single" w:sz="4" w:space="0" w:color="000000"/>
            </w:tcBorders>
            <w:vAlign w:val="center"/>
          </w:tcPr>
          <w:p w14:paraId="38887E9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 ± 0.23</w:t>
            </w:r>
          </w:p>
        </w:tc>
        <w:tc>
          <w:tcPr>
            <w:tcW w:w="1522" w:type="dxa"/>
            <w:tcBorders>
              <w:bottom w:val="single" w:sz="4" w:space="0" w:color="000000"/>
            </w:tcBorders>
            <w:vAlign w:val="center"/>
          </w:tcPr>
          <w:p w14:paraId="676D4EC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 ± 0.34</w:t>
            </w:r>
          </w:p>
        </w:tc>
        <w:tc>
          <w:tcPr>
            <w:tcW w:w="1881" w:type="dxa"/>
            <w:tcBorders>
              <w:bottom w:val="single" w:sz="4" w:space="0" w:color="000000"/>
            </w:tcBorders>
            <w:vAlign w:val="center"/>
          </w:tcPr>
          <w:p w14:paraId="6774260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 0.28</w:t>
            </w:r>
          </w:p>
        </w:tc>
        <w:tc>
          <w:tcPr>
            <w:tcW w:w="1475" w:type="dxa"/>
            <w:tcBorders>
              <w:bottom w:val="single" w:sz="4" w:space="0" w:color="000000"/>
            </w:tcBorders>
            <w:vAlign w:val="center"/>
          </w:tcPr>
          <w:p w14:paraId="6DE3861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47.4</w:t>
            </w:r>
          </w:p>
        </w:tc>
      </w:tr>
    </w:tbl>
    <w:p w14:paraId="7626AE7E" w14:textId="4D86F94F" w:rsidR="001154FC" w:rsidRDefault="00193355" w:rsidP="00D47A74">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Figure 7</w:t>
      </w:r>
      <w:r w:rsidR="001154FC">
        <w:rPr>
          <w:rFonts w:ascii="Times New Roman" w:eastAsia="Times New Roman" w:hAnsi="Times New Roman" w:cs="Times New Roman"/>
          <w:b/>
          <w:sz w:val="24"/>
          <w:szCs w:val="24"/>
        </w:rPr>
        <w:t xml:space="preserve"> </w:t>
      </w:r>
      <w:r w:rsidR="001154FC">
        <w:rPr>
          <w:rFonts w:ascii="Times New Roman" w:eastAsia="Times New Roman" w:hAnsi="Times New Roman" w:cs="Times New Roman"/>
          <w:i/>
          <w:sz w:val="24"/>
          <w:szCs w:val="24"/>
        </w:rPr>
        <w:t>Normalized Comparative Metrics</w:t>
      </w:r>
      <w:r w:rsidR="00033D49">
        <w:rPr>
          <w:rFonts w:ascii="Times New Roman" w:eastAsia="Times New Roman" w:hAnsi="Times New Roman" w:cs="Times New Roman"/>
          <w:i/>
          <w:sz w:val="24"/>
          <w:szCs w:val="24"/>
        </w:rPr>
        <w:t>.</w:t>
      </w:r>
    </w:p>
    <w:p w14:paraId="07607E8F"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F22455" wp14:editId="3B9774E0">
            <wp:extent cx="5934075" cy="3343275"/>
            <wp:effectExtent l="0" t="0" r="9525" b="9525"/>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t="9006"/>
                    <a:stretch>
                      <a:fillRect/>
                    </a:stretch>
                  </pic:blipFill>
                  <pic:spPr>
                    <a:xfrm>
                      <a:off x="0" y="0"/>
                      <a:ext cx="5934497" cy="3343513"/>
                    </a:xfrm>
                    <a:prstGeom prst="rect">
                      <a:avLst/>
                    </a:prstGeom>
                    <a:ln/>
                  </pic:spPr>
                </pic:pic>
              </a:graphicData>
            </a:graphic>
          </wp:inline>
        </w:drawing>
      </w:r>
    </w:p>
    <w:p w14:paraId="1BE3DEA9"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significance was confirmed, as in Table 8 with p&lt;0.001 and large Cohen's d.</w:t>
      </w:r>
    </w:p>
    <w:p w14:paraId="0114069E" w14:textId="77777777" w:rsidR="00D47A74" w:rsidRDefault="00D47A74">
      <w:pPr>
        <w:spacing w:line="360" w:lineRule="auto"/>
        <w:jc w:val="both"/>
        <w:rPr>
          <w:rFonts w:ascii="Times New Roman" w:eastAsia="Times New Roman" w:hAnsi="Times New Roman" w:cs="Times New Roman"/>
          <w:b/>
          <w:sz w:val="24"/>
          <w:szCs w:val="24"/>
        </w:rPr>
      </w:pPr>
    </w:p>
    <w:p w14:paraId="780B61B6" w14:textId="77777777" w:rsidR="00D47A74" w:rsidRDefault="00D47A74">
      <w:pPr>
        <w:spacing w:line="360" w:lineRule="auto"/>
        <w:jc w:val="both"/>
        <w:rPr>
          <w:rFonts w:ascii="Times New Roman" w:eastAsia="Times New Roman" w:hAnsi="Times New Roman" w:cs="Times New Roman"/>
          <w:b/>
          <w:sz w:val="24"/>
          <w:szCs w:val="24"/>
        </w:rPr>
      </w:pPr>
    </w:p>
    <w:p w14:paraId="76B9946B" w14:textId="77777777" w:rsidR="00D47A74" w:rsidRDefault="00D47A74">
      <w:pPr>
        <w:spacing w:line="360" w:lineRule="auto"/>
        <w:jc w:val="both"/>
        <w:rPr>
          <w:rFonts w:ascii="Times New Roman" w:eastAsia="Times New Roman" w:hAnsi="Times New Roman" w:cs="Times New Roman"/>
          <w:b/>
          <w:sz w:val="24"/>
          <w:szCs w:val="24"/>
        </w:rPr>
      </w:pPr>
    </w:p>
    <w:p w14:paraId="0FE1C167" w14:textId="67B06FB0"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8</w:t>
      </w:r>
      <w:r>
        <w:rPr>
          <w:rFonts w:ascii="Times New Roman" w:eastAsia="Times New Roman" w:hAnsi="Times New Roman" w:cs="Times New Roman"/>
          <w:sz w:val="24"/>
          <w:szCs w:val="24"/>
        </w:rPr>
        <w:t xml:space="preserve"> </w:t>
      </w:r>
      <w:r w:rsidR="001154FC">
        <w:rPr>
          <w:rFonts w:ascii="Times New Roman" w:eastAsia="Times New Roman" w:hAnsi="Times New Roman" w:cs="Times New Roman"/>
          <w:sz w:val="24"/>
          <w:szCs w:val="24"/>
        </w:rPr>
        <w:t xml:space="preserve"> </w:t>
      </w:r>
      <w:r w:rsidR="001154FC">
        <w:rPr>
          <w:rFonts w:ascii="Times New Roman" w:eastAsia="Times New Roman" w:hAnsi="Times New Roman" w:cs="Times New Roman"/>
          <w:i/>
          <w:sz w:val="24"/>
          <w:szCs w:val="24"/>
        </w:rPr>
        <w:t>Statistical Tests</w:t>
      </w:r>
    </w:p>
    <w:tbl>
      <w:tblPr>
        <w:tblStyle w:val="a6"/>
        <w:tblW w:w="9427" w:type="dxa"/>
        <w:tblInd w:w="0" w:type="dxa"/>
        <w:tblLayout w:type="fixed"/>
        <w:tblLook w:val="0400" w:firstRow="0" w:lastRow="0" w:firstColumn="0" w:lastColumn="0" w:noHBand="0" w:noVBand="1"/>
      </w:tblPr>
      <w:tblGrid>
        <w:gridCol w:w="2160"/>
        <w:gridCol w:w="2070"/>
        <w:gridCol w:w="810"/>
        <w:gridCol w:w="1440"/>
        <w:gridCol w:w="1259"/>
        <w:gridCol w:w="1594"/>
        <w:gridCol w:w="94"/>
      </w:tblGrid>
      <w:tr w:rsidR="00787A77" w14:paraId="14F72766" w14:textId="77777777">
        <w:trPr>
          <w:trHeight w:val="518"/>
          <w:tblHeader/>
        </w:trPr>
        <w:tc>
          <w:tcPr>
            <w:tcW w:w="2160" w:type="dxa"/>
            <w:tcBorders>
              <w:top w:val="single" w:sz="4" w:space="0" w:color="000000"/>
              <w:bottom w:val="single" w:sz="4" w:space="0" w:color="000000"/>
            </w:tcBorders>
            <w:vAlign w:val="center"/>
          </w:tcPr>
          <w:p w14:paraId="47644101"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Comparison</w:t>
            </w:r>
          </w:p>
        </w:tc>
        <w:tc>
          <w:tcPr>
            <w:tcW w:w="2070" w:type="dxa"/>
            <w:tcBorders>
              <w:top w:val="single" w:sz="4" w:space="0" w:color="000000"/>
              <w:bottom w:val="single" w:sz="4" w:space="0" w:color="000000"/>
            </w:tcBorders>
            <w:vAlign w:val="center"/>
          </w:tcPr>
          <w:p w14:paraId="6C1EAB83"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Type</w:t>
            </w:r>
          </w:p>
        </w:tc>
        <w:tc>
          <w:tcPr>
            <w:tcW w:w="810" w:type="dxa"/>
            <w:tcBorders>
              <w:top w:val="single" w:sz="4" w:space="0" w:color="000000"/>
              <w:bottom w:val="single" w:sz="4" w:space="0" w:color="000000"/>
            </w:tcBorders>
            <w:vAlign w:val="center"/>
          </w:tcPr>
          <w:p w14:paraId="6FA6ACDC"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Size</w:t>
            </w:r>
          </w:p>
        </w:tc>
        <w:tc>
          <w:tcPr>
            <w:tcW w:w="1440" w:type="dxa"/>
            <w:tcBorders>
              <w:top w:val="single" w:sz="4" w:space="0" w:color="000000"/>
              <w:bottom w:val="single" w:sz="4" w:space="0" w:color="000000"/>
            </w:tcBorders>
            <w:vAlign w:val="center"/>
          </w:tcPr>
          <w:p w14:paraId="68425FE4"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Cohen's d</w:t>
            </w:r>
          </w:p>
        </w:tc>
        <w:tc>
          <w:tcPr>
            <w:tcW w:w="1259" w:type="dxa"/>
            <w:tcBorders>
              <w:top w:val="single" w:sz="4" w:space="0" w:color="000000"/>
              <w:bottom w:val="single" w:sz="4" w:space="0" w:color="000000"/>
            </w:tcBorders>
            <w:vAlign w:val="center"/>
          </w:tcPr>
          <w:p w14:paraId="5565A44A"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c>
          <w:tcPr>
            <w:tcW w:w="1594" w:type="dxa"/>
            <w:tcBorders>
              <w:top w:val="single" w:sz="4" w:space="0" w:color="000000"/>
              <w:bottom w:val="single" w:sz="4" w:space="0" w:color="000000"/>
            </w:tcBorders>
            <w:vAlign w:val="center"/>
          </w:tcPr>
          <w:p w14:paraId="375C8B64" w14:textId="77777777" w:rsidR="00787A77" w:rsidRDefault="0019335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w:t>
            </w:r>
          </w:p>
        </w:tc>
        <w:tc>
          <w:tcPr>
            <w:tcW w:w="94" w:type="dxa"/>
            <w:tcBorders>
              <w:top w:val="single" w:sz="4" w:space="0" w:color="000000"/>
              <w:bottom w:val="single" w:sz="4" w:space="0" w:color="000000"/>
            </w:tcBorders>
            <w:vAlign w:val="center"/>
          </w:tcPr>
          <w:p w14:paraId="745C535E" w14:textId="77777777" w:rsidR="00787A77" w:rsidRDefault="00787A77">
            <w:pPr>
              <w:spacing w:line="240" w:lineRule="auto"/>
              <w:jc w:val="both"/>
              <w:rPr>
                <w:rFonts w:ascii="Times New Roman" w:eastAsia="Times New Roman" w:hAnsi="Times New Roman" w:cs="Times New Roman"/>
                <w:b/>
                <w:sz w:val="24"/>
                <w:szCs w:val="24"/>
              </w:rPr>
            </w:pPr>
          </w:p>
        </w:tc>
      </w:tr>
      <w:tr w:rsidR="00787A77" w14:paraId="15A90B00" w14:textId="77777777">
        <w:trPr>
          <w:trHeight w:val="518"/>
        </w:trPr>
        <w:tc>
          <w:tcPr>
            <w:tcW w:w="2160" w:type="dxa"/>
            <w:vAlign w:val="center"/>
          </w:tcPr>
          <w:p w14:paraId="68AF3D68"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 AES-256</w:t>
            </w:r>
          </w:p>
        </w:tc>
        <w:tc>
          <w:tcPr>
            <w:tcW w:w="2070" w:type="dxa"/>
            <w:vAlign w:val="center"/>
          </w:tcPr>
          <w:p w14:paraId="25D3B85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Paired t</w:t>
            </w:r>
          </w:p>
        </w:tc>
        <w:tc>
          <w:tcPr>
            <w:tcW w:w="810" w:type="dxa"/>
            <w:vAlign w:val="center"/>
          </w:tcPr>
          <w:p w14:paraId="4652C6B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440" w:type="dxa"/>
            <w:vAlign w:val="center"/>
          </w:tcPr>
          <w:p w14:paraId="709EBC7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1259" w:type="dxa"/>
            <w:vAlign w:val="center"/>
          </w:tcPr>
          <w:p w14:paraId="14B0F47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vAlign w:val="center"/>
          </w:tcPr>
          <w:p w14:paraId="639FBEA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2.12]</w:t>
            </w:r>
          </w:p>
        </w:tc>
        <w:tc>
          <w:tcPr>
            <w:tcW w:w="94" w:type="dxa"/>
            <w:vAlign w:val="center"/>
          </w:tcPr>
          <w:p w14:paraId="02627181" w14:textId="77777777" w:rsidR="00787A77" w:rsidRDefault="00787A77">
            <w:pPr>
              <w:spacing w:line="240" w:lineRule="auto"/>
              <w:jc w:val="both"/>
              <w:rPr>
                <w:rFonts w:ascii="Times New Roman" w:eastAsia="Times New Roman" w:hAnsi="Times New Roman" w:cs="Times New Roman"/>
                <w:sz w:val="24"/>
                <w:szCs w:val="24"/>
              </w:rPr>
            </w:pPr>
          </w:p>
        </w:tc>
      </w:tr>
      <w:tr w:rsidR="00787A77" w14:paraId="2529639C" w14:textId="77777777">
        <w:trPr>
          <w:trHeight w:val="518"/>
        </w:trPr>
        <w:tc>
          <w:tcPr>
            <w:tcW w:w="2160" w:type="dxa"/>
            <w:vAlign w:val="center"/>
          </w:tcPr>
          <w:p w14:paraId="1117CE2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 Paillier</w:t>
            </w:r>
          </w:p>
        </w:tc>
        <w:tc>
          <w:tcPr>
            <w:tcW w:w="2070" w:type="dxa"/>
            <w:vAlign w:val="center"/>
          </w:tcPr>
          <w:p w14:paraId="594B8B4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Mann-Whitney</w:t>
            </w:r>
          </w:p>
        </w:tc>
        <w:tc>
          <w:tcPr>
            <w:tcW w:w="810" w:type="dxa"/>
            <w:vAlign w:val="center"/>
          </w:tcPr>
          <w:p w14:paraId="422ADA9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440" w:type="dxa"/>
            <w:vAlign w:val="center"/>
          </w:tcPr>
          <w:p w14:paraId="01119F3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259" w:type="dxa"/>
            <w:vAlign w:val="center"/>
          </w:tcPr>
          <w:p w14:paraId="1C16B7B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vAlign w:val="center"/>
          </w:tcPr>
          <w:p w14:paraId="2E927EB6"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 2.67]</w:t>
            </w:r>
          </w:p>
        </w:tc>
        <w:tc>
          <w:tcPr>
            <w:tcW w:w="94" w:type="dxa"/>
            <w:vAlign w:val="center"/>
          </w:tcPr>
          <w:p w14:paraId="4513D6EF" w14:textId="77777777" w:rsidR="00787A77" w:rsidRDefault="00787A77">
            <w:pPr>
              <w:spacing w:line="240" w:lineRule="auto"/>
              <w:jc w:val="both"/>
              <w:rPr>
                <w:rFonts w:ascii="Times New Roman" w:eastAsia="Times New Roman" w:hAnsi="Times New Roman" w:cs="Times New Roman"/>
                <w:sz w:val="24"/>
                <w:szCs w:val="24"/>
              </w:rPr>
            </w:pPr>
          </w:p>
        </w:tc>
      </w:tr>
      <w:tr w:rsidR="00787A77" w14:paraId="4E471C0B" w14:textId="77777777">
        <w:trPr>
          <w:trHeight w:val="518"/>
        </w:trPr>
        <w:tc>
          <w:tcPr>
            <w:tcW w:w="2160" w:type="dxa"/>
            <w:vAlign w:val="center"/>
          </w:tcPr>
          <w:p w14:paraId="3FDF0C1F"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 Standard FHE</w:t>
            </w:r>
          </w:p>
        </w:tc>
        <w:tc>
          <w:tcPr>
            <w:tcW w:w="2070" w:type="dxa"/>
            <w:vAlign w:val="center"/>
          </w:tcPr>
          <w:p w14:paraId="6AE0E0CB"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Paired t</w:t>
            </w:r>
          </w:p>
        </w:tc>
        <w:tc>
          <w:tcPr>
            <w:tcW w:w="810" w:type="dxa"/>
            <w:vAlign w:val="center"/>
          </w:tcPr>
          <w:p w14:paraId="501CBC4A"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440" w:type="dxa"/>
            <w:vAlign w:val="center"/>
          </w:tcPr>
          <w:p w14:paraId="79703620"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1259" w:type="dxa"/>
            <w:vAlign w:val="center"/>
          </w:tcPr>
          <w:p w14:paraId="60D9624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vAlign w:val="center"/>
          </w:tcPr>
          <w:p w14:paraId="0E9B68E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 3.28]</w:t>
            </w:r>
          </w:p>
        </w:tc>
        <w:tc>
          <w:tcPr>
            <w:tcW w:w="94" w:type="dxa"/>
            <w:vAlign w:val="center"/>
          </w:tcPr>
          <w:p w14:paraId="7B14211C" w14:textId="77777777" w:rsidR="00787A77" w:rsidRDefault="00787A77">
            <w:pPr>
              <w:spacing w:line="240" w:lineRule="auto"/>
              <w:jc w:val="both"/>
              <w:rPr>
                <w:rFonts w:ascii="Times New Roman" w:eastAsia="Times New Roman" w:hAnsi="Times New Roman" w:cs="Times New Roman"/>
                <w:sz w:val="24"/>
                <w:szCs w:val="24"/>
              </w:rPr>
            </w:pPr>
          </w:p>
        </w:tc>
      </w:tr>
      <w:tr w:rsidR="00787A77" w14:paraId="15397C41" w14:textId="77777777">
        <w:trPr>
          <w:trHeight w:val="518"/>
        </w:trPr>
        <w:tc>
          <w:tcPr>
            <w:tcW w:w="2160" w:type="dxa"/>
            <w:vAlign w:val="center"/>
          </w:tcPr>
          <w:p w14:paraId="190BA8F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tc>
        <w:tc>
          <w:tcPr>
            <w:tcW w:w="2070" w:type="dxa"/>
            <w:vAlign w:val="center"/>
          </w:tcPr>
          <w:p w14:paraId="6F5EC753"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ANOVA</w:t>
            </w:r>
          </w:p>
        </w:tc>
        <w:tc>
          <w:tcPr>
            <w:tcW w:w="810" w:type="dxa"/>
            <w:vAlign w:val="center"/>
          </w:tcPr>
          <w:p w14:paraId="2211BE0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440" w:type="dxa"/>
            <w:vAlign w:val="center"/>
          </w:tcPr>
          <w:p w14:paraId="1DB4DF27"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259" w:type="dxa"/>
            <w:vAlign w:val="center"/>
          </w:tcPr>
          <w:p w14:paraId="3EE19A42"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vAlign w:val="center"/>
          </w:tcPr>
          <w:p w14:paraId="6FE7AD9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1.69]</w:t>
            </w:r>
          </w:p>
        </w:tc>
        <w:tc>
          <w:tcPr>
            <w:tcW w:w="94" w:type="dxa"/>
            <w:vAlign w:val="center"/>
          </w:tcPr>
          <w:p w14:paraId="25FA7A7B" w14:textId="77777777" w:rsidR="00787A77" w:rsidRDefault="00787A77">
            <w:pPr>
              <w:spacing w:line="240" w:lineRule="auto"/>
              <w:jc w:val="both"/>
              <w:rPr>
                <w:rFonts w:ascii="Times New Roman" w:eastAsia="Times New Roman" w:hAnsi="Times New Roman" w:cs="Times New Roman"/>
                <w:sz w:val="24"/>
                <w:szCs w:val="24"/>
              </w:rPr>
            </w:pPr>
          </w:p>
        </w:tc>
      </w:tr>
      <w:tr w:rsidR="00787A77" w14:paraId="61A15C60" w14:textId="77777777">
        <w:trPr>
          <w:trHeight w:val="518"/>
        </w:trPr>
        <w:tc>
          <w:tcPr>
            <w:tcW w:w="2160" w:type="dxa"/>
            <w:tcBorders>
              <w:bottom w:val="single" w:sz="4" w:space="0" w:color="000000"/>
            </w:tcBorders>
            <w:vAlign w:val="center"/>
          </w:tcPr>
          <w:p w14:paraId="59608C99"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w:t>
            </w:r>
          </w:p>
        </w:tc>
        <w:tc>
          <w:tcPr>
            <w:tcW w:w="2070" w:type="dxa"/>
            <w:tcBorders>
              <w:bottom w:val="single" w:sz="4" w:space="0" w:color="000000"/>
            </w:tcBorders>
            <w:vAlign w:val="center"/>
          </w:tcPr>
          <w:p w14:paraId="67FEB241"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810" w:type="dxa"/>
            <w:tcBorders>
              <w:bottom w:val="single" w:sz="4" w:space="0" w:color="000000"/>
            </w:tcBorders>
            <w:vAlign w:val="center"/>
          </w:tcPr>
          <w:p w14:paraId="31095E4D"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440" w:type="dxa"/>
            <w:tcBorders>
              <w:bottom w:val="single" w:sz="4" w:space="0" w:color="000000"/>
            </w:tcBorders>
            <w:vAlign w:val="center"/>
          </w:tcPr>
          <w:p w14:paraId="4F737F05"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1259" w:type="dxa"/>
            <w:tcBorders>
              <w:bottom w:val="single" w:sz="4" w:space="0" w:color="000000"/>
            </w:tcBorders>
            <w:vAlign w:val="center"/>
          </w:tcPr>
          <w:p w14:paraId="1CDCD4DC"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594" w:type="dxa"/>
            <w:tcBorders>
              <w:bottom w:val="single" w:sz="4" w:space="0" w:color="000000"/>
            </w:tcBorders>
            <w:vAlign w:val="center"/>
          </w:tcPr>
          <w:p w14:paraId="5EDEC0EE" w14:textId="77777777" w:rsidR="00787A77" w:rsidRDefault="001933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 1.98]</w:t>
            </w:r>
          </w:p>
        </w:tc>
        <w:tc>
          <w:tcPr>
            <w:tcW w:w="94" w:type="dxa"/>
            <w:tcBorders>
              <w:bottom w:val="single" w:sz="4" w:space="0" w:color="000000"/>
            </w:tcBorders>
            <w:vAlign w:val="center"/>
          </w:tcPr>
          <w:p w14:paraId="229C4F77" w14:textId="77777777" w:rsidR="00787A77" w:rsidRDefault="00787A77">
            <w:pPr>
              <w:spacing w:line="240" w:lineRule="auto"/>
              <w:jc w:val="both"/>
              <w:rPr>
                <w:rFonts w:ascii="Times New Roman" w:eastAsia="Times New Roman" w:hAnsi="Times New Roman" w:cs="Times New Roman"/>
                <w:sz w:val="24"/>
                <w:szCs w:val="24"/>
              </w:rPr>
            </w:pPr>
          </w:p>
        </w:tc>
      </w:tr>
    </w:tbl>
    <w:p w14:paraId="6B786750" w14:textId="77777777" w:rsidR="00787A77" w:rsidRDefault="00193355" w:rsidP="00D47A7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520668C"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affirm the framework's effectiveness in designing an optimized homomorphic encryption system for telehealth, with hybrid schemes and AI yielding 23.7% overhead reduction, aligning with studies on lattice-based optimizations in healthcare data (Alzubi et al., 2024). Computational efficiencies, such as throughputs up to 987.4 MB/s in streaming, enable real-time analytics without decryption, addressing gaps in traditional methods where latencies hinder clinical decisions (Badawi et al., 2020). This supports scalable telehealth, as evidenced by sub-0.2% error rates, consistent with benchmarks showing HE's potential for physiological data processing (Cheon et al., 2017).</w:t>
      </w:r>
    </w:p>
    <w:p w14:paraId="470AAD59"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outcomes, with attack success below 6% and 96.9% HIPAA compliance, surpass prior frameworks, where insider threats often exceed 10% vulnerability (Froelicher et al., 2021). The adaptive AI parameters enhance resistance to lattice attacks (0.2% success), echoing research on dynamic encryption in medical imaging (Al-Hazaimeh et al., 2023). Data quality at 99.3% validates synthetic generation for simulation, mirroring real-world patterns without privacy risks, as in genomic data studies (Munjal &amp; Bhatia, 2022).</w:t>
      </w:r>
    </w:p>
    <w:p w14:paraId="7FA91AC7"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Comparative advantages, like 56.6% latency improvement over AES-256, highlight practical superiority, backed by statistical significance (p&lt;0.001), similar to evaluations showing HE's edge in cloud healthcare (Jiang et al., 2018). These imply clinical benefits, enabling secure collaborative analytics for better outcomes in chronic care, as per federated learning integrations (Podschwadt &amp; Takabi, 2020).</w:t>
      </w:r>
    </w:p>
    <w:p w14:paraId="15753044"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Limitations</w:t>
      </w:r>
    </w:p>
    <w:p w14:paraId="4BC970CD"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Limitations include reliance on synthetic data, potentially overlooking rare clinical anomalies in actual deployments, and home-based constraints limiting live validations, though mitigated by rigorous simulations (80 words).</w:t>
      </w:r>
    </w:p>
    <w:p w14:paraId="09F948FC"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Future Considerations</w:t>
      </w:r>
    </w:p>
    <w:p w14:paraId="3B719D3A"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considerations involve integrating differential privacy for enhanced robustness and piloting in hospitals to assess quantum threats, informing recommendations like hybrid implementations. Overall, the framework advances privacy-preserving telehealth, with implications for equitable access and reduced breach costs, paving for AI-HE hybrids in emerging regulations (Truex et al., 2019; Halevi et al., 2019).</w:t>
      </w:r>
    </w:p>
    <w:p w14:paraId="10A97DF5" w14:textId="77777777" w:rsidR="00787A77" w:rsidRDefault="00787A77">
      <w:pPr>
        <w:spacing w:line="360" w:lineRule="auto"/>
        <w:jc w:val="both"/>
        <w:rPr>
          <w:rFonts w:ascii="Times New Roman" w:eastAsia="Times New Roman" w:hAnsi="Times New Roman" w:cs="Times New Roman"/>
          <w:sz w:val="24"/>
          <w:szCs w:val="24"/>
        </w:rPr>
      </w:pPr>
    </w:p>
    <w:p w14:paraId="5151E935"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Conclusions and Recommendations</w:t>
      </w:r>
    </w:p>
    <w:p w14:paraId="4E6C81DA"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w:t>
      </w:r>
    </w:p>
    <w:p w14:paraId="33BE5BBE"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developed an AI-driven homomorphic encryption framework for secure telehealth data analysis, integrating hybrid CKKS-BFV schemes and neural network optimization. The system achieved 23.7% overhead reduction, processing latencies below 535 ms for 5,000 records/sec, and 96.9% HIPAA compliance. Synthetic datasets, validated at 99.3% quality, enabled robust testing, with security assessments showing attack success rates below 6%. Despite efficiencies, limitations include synthetic data constraints and home-based testing, requiring real-world validation. The framework effectively supports secure, scalable telehealth analytics, enhancing patient data protection and clinical decision-making.</w:t>
      </w:r>
    </w:p>
    <w:p w14:paraId="28D24FCE" w14:textId="77777777" w:rsidR="00787A77" w:rsidRDefault="001933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14:paraId="274C6C20"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researchers should develop real-world telehealth datasets to enhance framework generalizability. Integrating explainable AI techniques can improve transparency in encryption parameter decisions, fostering trust. Deploying the framework in clinical settings, such as telemedicine platforms, will validate real-time performance and scalability. Collaborative efforts among healthcare providers, tech developers, and regulators should establish standardized security metrics for medical IoT. Exploring adaptive algorithms to counter evolving threats, like quantum </w:t>
      </w:r>
      <w:r>
        <w:rPr>
          <w:rFonts w:ascii="Times New Roman" w:eastAsia="Times New Roman" w:hAnsi="Times New Roman" w:cs="Times New Roman"/>
          <w:sz w:val="24"/>
          <w:szCs w:val="24"/>
        </w:rPr>
        <w:lastRenderedPageBreak/>
        <w:t>attacks, will ensure long-term resilience. These steps will strengthen secure telehealth deployment, aligning with evolving privacy needs and clinical demands.</w:t>
      </w:r>
    </w:p>
    <w:p w14:paraId="39DCDCBF" w14:textId="77777777" w:rsidR="00787A77" w:rsidRDefault="00787A77">
      <w:pPr>
        <w:spacing w:line="360" w:lineRule="auto"/>
        <w:jc w:val="both"/>
        <w:rPr>
          <w:rFonts w:ascii="Times New Roman" w:eastAsia="Times New Roman" w:hAnsi="Times New Roman" w:cs="Times New Roman"/>
          <w:sz w:val="24"/>
          <w:szCs w:val="24"/>
        </w:rPr>
      </w:pPr>
    </w:p>
    <w:p w14:paraId="690D4C0C"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Disclaimer (Artificial intelligence)</w:t>
      </w:r>
    </w:p>
    <w:p w14:paraId="3E2B5F32" w14:textId="77777777" w:rsidR="00787A77" w:rsidRDefault="00787A77">
      <w:pPr>
        <w:spacing w:line="360" w:lineRule="auto"/>
        <w:jc w:val="both"/>
        <w:rPr>
          <w:rFonts w:ascii="Times New Roman" w:eastAsia="Times New Roman" w:hAnsi="Times New Roman" w:cs="Times New Roman"/>
          <w:sz w:val="24"/>
          <w:szCs w:val="24"/>
        </w:rPr>
      </w:pPr>
    </w:p>
    <w:p w14:paraId="20EFDE27" w14:textId="77777777" w:rsidR="00787A77" w:rsidRDefault="001933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2D2A419B" w14:textId="77777777" w:rsidR="00787A77" w:rsidRDefault="00787A77">
      <w:pPr>
        <w:spacing w:line="360" w:lineRule="auto"/>
        <w:jc w:val="both"/>
        <w:rPr>
          <w:rFonts w:ascii="Times New Roman" w:eastAsia="Times New Roman" w:hAnsi="Times New Roman" w:cs="Times New Roman"/>
          <w:sz w:val="24"/>
          <w:szCs w:val="24"/>
        </w:rPr>
      </w:pPr>
    </w:p>
    <w:p w14:paraId="49239D11" w14:textId="77777777" w:rsidR="00787A77" w:rsidRDefault="00787A77">
      <w:pPr>
        <w:spacing w:line="360" w:lineRule="auto"/>
        <w:jc w:val="both"/>
        <w:rPr>
          <w:rFonts w:ascii="Times New Roman" w:eastAsia="Times New Roman" w:hAnsi="Times New Roman" w:cs="Times New Roman"/>
          <w:sz w:val="24"/>
          <w:szCs w:val="24"/>
        </w:rPr>
      </w:pPr>
    </w:p>
    <w:p w14:paraId="764D7322" w14:textId="77777777" w:rsidR="00787A77" w:rsidRDefault="0019335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12F90558"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Alabdulatif, A., Khalil, I., &amp; Saidur Rahman, M. (2022). A novel homomorphic approach for preserving privacy of patient data processing. </w:t>
      </w:r>
      <w:r w:rsidRPr="00D86F0A">
        <w:rPr>
          <w:rFonts w:ascii="Times New Roman" w:eastAsia="Times New Roman" w:hAnsi="Times New Roman" w:cs="Times New Roman"/>
          <w:i/>
          <w:iCs/>
          <w:sz w:val="24"/>
          <w:szCs w:val="24"/>
          <w:lang w:val="en-US"/>
        </w:rPr>
        <w:t>Sensors, 22</w:t>
      </w:r>
      <w:r w:rsidRPr="00D86F0A">
        <w:rPr>
          <w:rFonts w:ascii="Times New Roman" w:eastAsia="Times New Roman" w:hAnsi="Times New Roman" w:cs="Times New Roman"/>
          <w:sz w:val="24"/>
          <w:szCs w:val="24"/>
          <w:lang w:val="en-US"/>
        </w:rPr>
        <w:t xml:space="preserve">(12), Article 4432. </w:t>
      </w:r>
      <w:hyperlink r:id="rId14" w:tgtFrame="_new" w:history="1">
        <w:r w:rsidRPr="00D86F0A">
          <w:rPr>
            <w:rStyle w:val="Hyperlink"/>
            <w:rFonts w:ascii="Times New Roman" w:eastAsia="Times New Roman" w:hAnsi="Times New Roman" w:cs="Times New Roman"/>
            <w:sz w:val="24"/>
            <w:szCs w:val="24"/>
            <w:lang w:val="en-US"/>
          </w:rPr>
          <w:t>https://doi.org/10.3390/s22124432</w:t>
        </w:r>
      </w:hyperlink>
    </w:p>
    <w:p w14:paraId="764EAD2C"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Al-Hazaimeh, O. M., Al-Jamal, M. F., Alomari, O. A., Bawaneh, M. J., &amp; Tahat, N. (2023). An efficient medical image encryption algorithm for telemedicine applications. </w:t>
      </w:r>
      <w:r w:rsidRPr="00D86F0A">
        <w:rPr>
          <w:rFonts w:ascii="Times New Roman" w:eastAsia="Times New Roman" w:hAnsi="Times New Roman" w:cs="Times New Roman"/>
          <w:i/>
          <w:iCs/>
          <w:sz w:val="24"/>
          <w:szCs w:val="24"/>
          <w:lang w:val="en-US"/>
        </w:rPr>
        <w:t>Microprocessors and Microsystems, 101</w:t>
      </w:r>
      <w:r w:rsidRPr="00D86F0A">
        <w:rPr>
          <w:rFonts w:ascii="Times New Roman" w:eastAsia="Times New Roman" w:hAnsi="Times New Roman" w:cs="Times New Roman"/>
          <w:sz w:val="24"/>
          <w:szCs w:val="24"/>
          <w:lang w:val="en-US"/>
        </w:rPr>
        <w:t xml:space="preserve">, Article 104927. </w:t>
      </w:r>
      <w:hyperlink r:id="rId15" w:tgtFrame="_new" w:history="1">
        <w:r w:rsidRPr="00D86F0A">
          <w:rPr>
            <w:rStyle w:val="Hyperlink"/>
            <w:rFonts w:ascii="Times New Roman" w:eastAsia="Times New Roman" w:hAnsi="Times New Roman" w:cs="Times New Roman"/>
            <w:sz w:val="24"/>
            <w:szCs w:val="24"/>
            <w:lang w:val="en-US"/>
          </w:rPr>
          <w:t>https://doi.org/10.1016/j.micpro.2023.104927</w:t>
        </w:r>
      </w:hyperlink>
    </w:p>
    <w:p w14:paraId="435677A1"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Alowais, S. A., Alghamdi, S. S., Alsuhebany, N., Alqahtani, T., Alshaya, A. I., Almohareb, S. N., Aldairem, A., Alrashed, M., bin Saleh, K., Badreldin, H. A., Al Yami, M. S., Al Harbi, S., &amp; Albekairy, A. M. (2023). Revolutionizing healthcare: The role of artificial intelligence in clinical practice. </w:t>
      </w:r>
      <w:r w:rsidRPr="00D86F0A">
        <w:rPr>
          <w:rFonts w:ascii="Times New Roman" w:eastAsia="Times New Roman" w:hAnsi="Times New Roman" w:cs="Times New Roman"/>
          <w:i/>
          <w:iCs/>
          <w:sz w:val="24"/>
          <w:szCs w:val="24"/>
          <w:lang w:val="en-US"/>
        </w:rPr>
        <w:t>BMC Medical Education, 23</w:t>
      </w:r>
      <w:r w:rsidRPr="00D86F0A">
        <w:rPr>
          <w:rFonts w:ascii="Times New Roman" w:eastAsia="Times New Roman" w:hAnsi="Times New Roman" w:cs="Times New Roman"/>
          <w:sz w:val="24"/>
          <w:szCs w:val="24"/>
          <w:lang w:val="en-US"/>
        </w:rPr>
        <w:t xml:space="preserve">(1), Article 698. </w:t>
      </w:r>
      <w:hyperlink r:id="rId16" w:tgtFrame="_new" w:history="1">
        <w:r w:rsidRPr="00D86F0A">
          <w:rPr>
            <w:rStyle w:val="Hyperlink"/>
            <w:rFonts w:ascii="Times New Roman" w:eastAsia="Times New Roman" w:hAnsi="Times New Roman" w:cs="Times New Roman"/>
            <w:sz w:val="24"/>
            <w:szCs w:val="24"/>
            <w:lang w:val="en-US"/>
          </w:rPr>
          <w:t>https://doi.org/10.1186/s12909-023-04698-z</w:t>
        </w:r>
      </w:hyperlink>
    </w:p>
    <w:p w14:paraId="6738450F"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Alzubi, J. A., Alzubi, O. A., Singh, A., Singh, T., &amp; Ramachandran, M. (2024a). Enhancing healthcare data security with homomorphic encryption. In </w:t>
      </w:r>
      <w:r w:rsidRPr="00D86F0A">
        <w:rPr>
          <w:rFonts w:ascii="Times New Roman" w:eastAsia="Times New Roman" w:hAnsi="Times New Roman" w:cs="Times New Roman"/>
          <w:i/>
          <w:iCs/>
          <w:sz w:val="24"/>
          <w:szCs w:val="24"/>
          <w:lang w:val="en-US"/>
        </w:rPr>
        <w:t>Smart computing and self-adaptive systems</w:t>
      </w:r>
      <w:r w:rsidRPr="00D86F0A">
        <w:rPr>
          <w:rFonts w:ascii="Times New Roman" w:eastAsia="Times New Roman" w:hAnsi="Times New Roman" w:cs="Times New Roman"/>
          <w:sz w:val="24"/>
          <w:szCs w:val="24"/>
          <w:lang w:val="en-US"/>
        </w:rPr>
        <w:t xml:space="preserve"> (pp. 103–117). Springer. </w:t>
      </w:r>
      <w:hyperlink r:id="rId17" w:tgtFrame="_new" w:history="1">
        <w:r w:rsidRPr="00D86F0A">
          <w:rPr>
            <w:rStyle w:val="Hyperlink"/>
            <w:rFonts w:ascii="Times New Roman" w:eastAsia="Times New Roman" w:hAnsi="Times New Roman" w:cs="Times New Roman"/>
            <w:sz w:val="24"/>
            <w:szCs w:val="24"/>
            <w:lang w:val="en-US"/>
          </w:rPr>
          <w:t>https://doi.org/10.1007/978-3-031-76610-7_7</w:t>
        </w:r>
      </w:hyperlink>
    </w:p>
    <w:p w14:paraId="74BE4E07"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Alzubi, J. A., Alzubi, O. A., Singh, A., Singh, T., &amp; Ramachandran, M. (2024b). Privacy-preserving data sharing in telehealth services. </w:t>
      </w:r>
      <w:r w:rsidRPr="00D86F0A">
        <w:rPr>
          <w:rFonts w:ascii="Times New Roman" w:eastAsia="Times New Roman" w:hAnsi="Times New Roman" w:cs="Times New Roman"/>
          <w:i/>
          <w:iCs/>
          <w:sz w:val="24"/>
          <w:szCs w:val="24"/>
          <w:lang w:val="en-US"/>
        </w:rPr>
        <w:t>Applied Sciences, 14</w:t>
      </w:r>
      <w:r w:rsidRPr="00D86F0A">
        <w:rPr>
          <w:rFonts w:ascii="Times New Roman" w:eastAsia="Times New Roman" w:hAnsi="Times New Roman" w:cs="Times New Roman"/>
          <w:sz w:val="24"/>
          <w:szCs w:val="24"/>
          <w:lang w:val="en-US"/>
        </w:rPr>
        <w:t xml:space="preserve">(23), Article 10808. </w:t>
      </w:r>
      <w:hyperlink r:id="rId18" w:tgtFrame="_new" w:history="1">
        <w:r w:rsidRPr="00D86F0A">
          <w:rPr>
            <w:rStyle w:val="Hyperlink"/>
            <w:rFonts w:ascii="Times New Roman" w:eastAsia="Times New Roman" w:hAnsi="Times New Roman" w:cs="Times New Roman"/>
            <w:sz w:val="24"/>
            <w:szCs w:val="24"/>
            <w:lang w:val="en-US"/>
          </w:rPr>
          <w:t>https://doi.org/10.3390/app142310808</w:t>
        </w:r>
      </w:hyperlink>
    </w:p>
    <w:p w14:paraId="43C44CDE"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Ara, A., Al-Rodhaan, M., Tian, Y., &amp; Al-Dhelaan, A. (2017). A secure privacy-preserving data aggregation scheme based on bilinear ElGamal cryptosystem for remote health monitoring systems. </w:t>
      </w:r>
      <w:r w:rsidRPr="00D86F0A">
        <w:rPr>
          <w:rFonts w:ascii="Times New Roman" w:eastAsia="Times New Roman" w:hAnsi="Times New Roman" w:cs="Times New Roman"/>
          <w:i/>
          <w:iCs/>
          <w:sz w:val="24"/>
          <w:szCs w:val="24"/>
          <w:lang w:val="en-US"/>
        </w:rPr>
        <w:t>IEEE Access, 5</w:t>
      </w:r>
      <w:r w:rsidRPr="00D86F0A">
        <w:rPr>
          <w:rFonts w:ascii="Times New Roman" w:eastAsia="Times New Roman" w:hAnsi="Times New Roman" w:cs="Times New Roman"/>
          <w:sz w:val="24"/>
          <w:szCs w:val="24"/>
          <w:lang w:val="en-US"/>
        </w:rPr>
        <w:t xml:space="preserve">, 12601–12617. </w:t>
      </w:r>
      <w:hyperlink r:id="rId19" w:tgtFrame="_new" w:history="1">
        <w:r w:rsidRPr="00D86F0A">
          <w:rPr>
            <w:rStyle w:val="Hyperlink"/>
            <w:rFonts w:ascii="Times New Roman" w:eastAsia="Times New Roman" w:hAnsi="Times New Roman" w:cs="Times New Roman"/>
            <w:sz w:val="24"/>
            <w:szCs w:val="24"/>
            <w:lang w:val="en-US"/>
          </w:rPr>
          <w:t>https://doi.org/10.1109/ACCESS.2017.2716439</w:t>
        </w:r>
      </w:hyperlink>
    </w:p>
    <w:p w14:paraId="5CC5B0E5"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lastRenderedPageBreak/>
        <w:t xml:space="preserve">Badawi, A. A., Veeravalli, B., Mun, C. F., Aung, K. M. M., Hoang, D. T., &amp; Steinfeld, R. (2020). High-performance FV somewhat homomorphic encryption scheme enabled by a novel encoding method. </w:t>
      </w:r>
      <w:r w:rsidRPr="00D86F0A">
        <w:rPr>
          <w:rFonts w:ascii="Times New Roman" w:eastAsia="Times New Roman" w:hAnsi="Times New Roman" w:cs="Times New Roman"/>
          <w:i/>
          <w:iCs/>
          <w:sz w:val="24"/>
          <w:szCs w:val="24"/>
          <w:lang w:val="en-US"/>
        </w:rPr>
        <w:t>IEEE Transactions on Information Forensics and Security, 16</w:t>
      </w:r>
      <w:r w:rsidRPr="00D86F0A">
        <w:rPr>
          <w:rFonts w:ascii="Times New Roman" w:eastAsia="Times New Roman" w:hAnsi="Times New Roman" w:cs="Times New Roman"/>
          <w:sz w:val="24"/>
          <w:szCs w:val="24"/>
          <w:lang w:val="en-US"/>
        </w:rPr>
        <w:t xml:space="preserve">, 4603–4618. </w:t>
      </w:r>
      <w:hyperlink r:id="rId20" w:tgtFrame="_new" w:history="1">
        <w:r w:rsidRPr="00D86F0A">
          <w:rPr>
            <w:rStyle w:val="Hyperlink"/>
            <w:rFonts w:ascii="Times New Roman" w:eastAsia="Times New Roman" w:hAnsi="Times New Roman" w:cs="Times New Roman"/>
            <w:sz w:val="24"/>
            <w:szCs w:val="24"/>
            <w:lang w:val="en-US"/>
          </w:rPr>
          <w:t>https://doi.org/10.1109/TIFS.2021.3109982</w:t>
        </w:r>
      </w:hyperlink>
    </w:p>
    <w:p w14:paraId="27202FA3"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Bos, J. W., Lauter, K., &amp; Naehrig, M. (2014). Private predictive analysis on encrypted medical data. </w:t>
      </w:r>
      <w:r w:rsidRPr="00D86F0A">
        <w:rPr>
          <w:rFonts w:ascii="Times New Roman" w:eastAsia="Times New Roman" w:hAnsi="Times New Roman" w:cs="Times New Roman"/>
          <w:i/>
          <w:iCs/>
          <w:sz w:val="24"/>
          <w:szCs w:val="24"/>
          <w:lang w:val="en-US"/>
        </w:rPr>
        <w:t>Journal of Biomedical Informatics, 50</w:t>
      </w:r>
      <w:r w:rsidRPr="00D86F0A">
        <w:rPr>
          <w:rFonts w:ascii="Times New Roman" w:eastAsia="Times New Roman" w:hAnsi="Times New Roman" w:cs="Times New Roman"/>
          <w:sz w:val="24"/>
          <w:szCs w:val="24"/>
          <w:lang w:val="en-US"/>
        </w:rPr>
        <w:t xml:space="preserve">, 234–243. </w:t>
      </w:r>
      <w:hyperlink r:id="rId21" w:tgtFrame="_new" w:history="1">
        <w:r w:rsidRPr="00D86F0A">
          <w:rPr>
            <w:rStyle w:val="Hyperlink"/>
            <w:rFonts w:ascii="Times New Roman" w:eastAsia="Times New Roman" w:hAnsi="Times New Roman" w:cs="Times New Roman"/>
            <w:sz w:val="24"/>
            <w:szCs w:val="24"/>
            <w:lang w:val="en-US"/>
          </w:rPr>
          <w:t>https://doi.org/10.1016/j.jbi.2014.04.003</w:t>
        </w:r>
      </w:hyperlink>
    </w:p>
    <w:p w14:paraId="18D05004"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Carpov, S., Gama, N., Georgieva, M., &amp; Troncoso-Pastoriza, J. R. (2020). Privacy-preserving semi-parallel logistic regression training with fully homomorphic encryption. </w:t>
      </w:r>
      <w:r w:rsidRPr="00D86F0A">
        <w:rPr>
          <w:rFonts w:ascii="Times New Roman" w:eastAsia="Times New Roman" w:hAnsi="Times New Roman" w:cs="Times New Roman"/>
          <w:i/>
          <w:iCs/>
          <w:sz w:val="24"/>
          <w:szCs w:val="24"/>
          <w:lang w:val="en-US"/>
        </w:rPr>
        <w:t>BMC Medical Genomics, 13</w:t>
      </w:r>
      <w:r w:rsidRPr="00D86F0A">
        <w:rPr>
          <w:rFonts w:ascii="Times New Roman" w:eastAsia="Times New Roman" w:hAnsi="Times New Roman" w:cs="Times New Roman"/>
          <w:sz w:val="24"/>
          <w:szCs w:val="24"/>
          <w:lang w:val="en-US"/>
        </w:rPr>
        <w:t xml:space="preserve">(Suppl 7), Article 88. </w:t>
      </w:r>
      <w:hyperlink r:id="rId22" w:tgtFrame="_new" w:history="1">
        <w:r w:rsidRPr="00D86F0A">
          <w:rPr>
            <w:rStyle w:val="Hyperlink"/>
            <w:rFonts w:ascii="Times New Roman" w:eastAsia="Times New Roman" w:hAnsi="Times New Roman" w:cs="Times New Roman"/>
            <w:sz w:val="24"/>
            <w:szCs w:val="24"/>
            <w:lang w:val="en-US"/>
          </w:rPr>
          <w:t>https://doi.org/10.1186/s12920-020-0743-0</w:t>
        </w:r>
      </w:hyperlink>
    </w:p>
    <w:p w14:paraId="0A9A6E17"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Chatterjee, A., Kaushal, G., &amp; Kundu, S. (2023). Privacy-preserving artificial intelligence in biomedicine. </w:t>
      </w:r>
      <w:r w:rsidRPr="00D86F0A">
        <w:rPr>
          <w:rFonts w:ascii="Times New Roman" w:eastAsia="Times New Roman" w:hAnsi="Times New Roman" w:cs="Times New Roman"/>
          <w:i/>
          <w:iCs/>
          <w:sz w:val="24"/>
          <w:szCs w:val="24"/>
          <w:lang w:val="en-US"/>
        </w:rPr>
        <w:t>Computers in Biology and Medicine, 158</w:t>
      </w:r>
      <w:r w:rsidRPr="00D86F0A">
        <w:rPr>
          <w:rFonts w:ascii="Times New Roman" w:eastAsia="Times New Roman" w:hAnsi="Times New Roman" w:cs="Times New Roman"/>
          <w:sz w:val="24"/>
          <w:szCs w:val="24"/>
          <w:lang w:val="en-US"/>
        </w:rPr>
        <w:t xml:space="preserve">, Article 106848. </w:t>
      </w:r>
      <w:hyperlink r:id="rId23" w:tgtFrame="_new" w:history="1">
        <w:r w:rsidRPr="00D86F0A">
          <w:rPr>
            <w:rStyle w:val="Hyperlink"/>
            <w:rFonts w:ascii="Times New Roman" w:eastAsia="Times New Roman" w:hAnsi="Times New Roman" w:cs="Times New Roman"/>
            <w:sz w:val="24"/>
            <w:szCs w:val="24"/>
            <w:lang w:val="en-US"/>
          </w:rPr>
          <w:t>https://doi.org/10.1016/j.compbiomed.2023.106848</w:t>
        </w:r>
      </w:hyperlink>
    </w:p>
    <w:p w14:paraId="617E2A84"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Cheon, J. H., Kim, A., Kim, M., &amp; Song, Y. (2017). Homomorphic encryption for arithmetic of approximate numbers. In </w:t>
      </w:r>
      <w:r w:rsidRPr="00D86F0A">
        <w:rPr>
          <w:rFonts w:ascii="Times New Roman" w:eastAsia="Times New Roman" w:hAnsi="Times New Roman" w:cs="Times New Roman"/>
          <w:i/>
          <w:iCs/>
          <w:sz w:val="24"/>
          <w:szCs w:val="24"/>
          <w:lang w:val="en-US"/>
        </w:rPr>
        <w:t>Advances in cryptology – ASIACRYPT 2017</w:t>
      </w:r>
      <w:r w:rsidRPr="00D86F0A">
        <w:rPr>
          <w:rFonts w:ascii="Times New Roman" w:eastAsia="Times New Roman" w:hAnsi="Times New Roman" w:cs="Times New Roman"/>
          <w:sz w:val="24"/>
          <w:szCs w:val="24"/>
          <w:lang w:val="en-US"/>
        </w:rPr>
        <w:t xml:space="preserve"> (pp. 409–437). Springer. </w:t>
      </w:r>
      <w:hyperlink r:id="rId24" w:tgtFrame="_new" w:history="1">
        <w:r w:rsidRPr="00D86F0A">
          <w:rPr>
            <w:rStyle w:val="Hyperlink"/>
            <w:rFonts w:ascii="Times New Roman" w:eastAsia="Times New Roman" w:hAnsi="Times New Roman" w:cs="Times New Roman"/>
            <w:sz w:val="24"/>
            <w:szCs w:val="24"/>
            <w:lang w:val="en-US"/>
          </w:rPr>
          <w:t>https://doi.org/10.1007/978-3-319-70694-8_15</w:t>
        </w:r>
      </w:hyperlink>
    </w:p>
    <w:p w14:paraId="4031F2B4"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Djatmiko, M., Friedman, A., Boreli, R., Lawrence, F., Thorne, B., &amp; Hardy, S. (2014). Secure evaluation protocol for personalized medicine. In </w:t>
      </w:r>
      <w:r w:rsidRPr="00D86F0A">
        <w:rPr>
          <w:rFonts w:ascii="Times New Roman" w:eastAsia="Times New Roman" w:hAnsi="Times New Roman" w:cs="Times New Roman"/>
          <w:i/>
          <w:iCs/>
          <w:sz w:val="24"/>
          <w:szCs w:val="24"/>
          <w:lang w:val="en-US"/>
        </w:rPr>
        <w:t>Proceedings of the 13th Workshop on Privacy in the Electronic Society</w:t>
      </w:r>
      <w:r w:rsidRPr="00D86F0A">
        <w:rPr>
          <w:rFonts w:ascii="Times New Roman" w:eastAsia="Times New Roman" w:hAnsi="Times New Roman" w:cs="Times New Roman"/>
          <w:sz w:val="24"/>
          <w:szCs w:val="24"/>
          <w:lang w:val="en-US"/>
        </w:rPr>
        <w:t xml:space="preserve"> (pp. 159–162). ACM. </w:t>
      </w:r>
      <w:hyperlink r:id="rId25" w:tgtFrame="_new" w:history="1">
        <w:r w:rsidRPr="00D86F0A">
          <w:rPr>
            <w:rStyle w:val="Hyperlink"/>
            <w:rFonts w:ascii="Times New Roman" w:eastAsia="Times New Roman" w:hAnsi="Times New Roman" w:cs="Times New Roman"/>
            <w:sz w:val="24"/>
            <w:szCs w:val="24"/>
            <w:lang w:val="en-US"/>
          </w:rPr>
          <w:t>https://doi.org/10.1145/2665943.2665958</w:t>
        </w:r>
      </w:hyperlink>
    </w:p>
    <w:p w14:paraId="5738BAAE"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Dong, W., Lin, C., He, X., Huang, X., &amp; Xu, S. (2024). Privacy-preserving federated learning via homomorphic adversarial networks. </w:t>
      </w:r>
      <w:r w:rsidRPr="00D86F0A">
        <w:rPr>
          <w:rFonts w:ascii="Times New Roman" w:eastAsia="Times New Roman" w:hAnsi="Times New Roman" w:cs="Times New Roman"/>
          <w:i/>
          <w:iCs/>
          <w:sz w:val="24"/>
          <w:szCs w:val="24"/>
          <w:lang w:val="en-US"/>
        </w:rPr>
        <w:t>ArXiv (Cornell University).</w:t>
      </w:r>
      <w:r w:rsidRPr="00D86F0A">
        <w:rPr>
          <w:rFonts w:ascii="Times New Roman" w:eastAsia="Times New Roman" w:hAnsi="Times New Roman" w:cs="Times New Roman"/>
          <w:sz w:val="24"/>
          <w:szCs w:val="24"/>
          <w:lang w:val="en-US"/>
        </w:rPr>
        <w:t xml:space="preserve"> </w:t>
      </w:r>
      <w:hyperlink r:id="rId26" w:tgtFrame="_new" w:history="1">
        <w:r w:rsidRPr="00D86F0A">
          <w:rPr>
            <w:rStyle w:val="Hyperlink"/>
            <w:rFonts w:ascii="Times New Roman" w:eastAsia="Times New Roman" w:hAnsi="Times New Roman" w:cs="Times New Roman"/>
            <w:sz w:val="24"/>
            <w:szCs w:val="24"/>
            <w:lang w:val="en-US"/>
          </w:rPr>
          <w:t>https://doi.org/10.48550/arxiv.2412.01650</w:t>
        </w:r>
      </w:hyperlink>
    </w:p>
    <w:p w14:paraId="365E9681"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Froelicher, D., Troncoso-Pastoriza, J. R., Raisaro, J. L., Cuendet, M. A., Sousa, J. S., Cho, H., Berger, B., Fellay, J., &amp; Hubaux, J.-P. (2021). Truly privacy-preserving federated analytics for better insights into health and healthcare. </w:t>
      </w:r>
      <w:r w:rsidRPr="00D86F0A">
        <w:rPr>
          <w:rFonts w:ascii="Times New Roman" w:eastAsia="Times New Roman" w:hAnsi="Times New Roman" w:cs="Times New Roman"/>
          <w:i/>
          <w:iCs/>
          <w:sz w:val="24"/>
          <w:szCs w:val="24"/>
          <w:lang w:val="en-US"/>
        </w:rPr>
        <w:t>Communications of the ACM, 64</w:t>
      </w:r>
      <w:r w:rsidRPr="00D86F0A">
        <w:rPr>
          <w:rFonts w:ascii="Times New Roman" w:eastAsia="Times New Roman" w:hAnsi="Times New Roman" w:cs="Times New Roman"/>
          <w:sz w:val="24"/>
          <w:szCs w:val="24"/>
          <w:lang w:val="en-US"/>
        </w:rPr>
        <w:t xml:space="preserve">(11), 42–49. </w:t>
      </w:r>
      <w:hyperlink r:id="rId27" w:tgtFrame="_new" w:history="1">
        <w:r w:rsidRPr="00D86F0A">
          <w:rPr>
            <w:rStyle w:val="Hyperlink"/>
            <w:rFonts w:ascii="Times New Roman" w:eastAsia="Times New Roman" w:hAnsi="Times New Roman" w:cs="Times New Roman"/>
            <w:sz w:val="24"/>
            <w:szCs w:val="24"/>
            <w:lang w:val="en-US"/>
          </w:rPr>
          <w:t>https://doi.org/10.1145/3481603</w:t>
        </w:r>
      </w:hyperlink>
    </w:p>
    <w:p w14:paraId="65C09EEA"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Halevi, S., Polyakov, Y., &amp; Shoup, V. (2019). An improved RNS variant of the BFV homomorphic encryption scheme. In </w:t>
      </w:r>
      <w:r w:rsidRPr="00D86F0A">
        <w:rPr>
          <w:rFonts w:ascii="Times New Roman" w:eastAsia="Times New Roman" w:hAnsi="Times New Roman" w:cs="Times New Roman"/>
          <w:i/>
          <w:iCs/>
          <w:sz w:val="24"/>
          <w:szCs w:val="24"/>
          <w:lang w:val="en-US"/>
        </w:rPr>
        <w:t>Topics in cryptology – CT-RSA 2019</w:t>
      </w:r>
      <w:r w:rsidRPr="00D86F0A">
        <w:rPr>
          <w:rFonts w:ascii="Times New Roman" w:eastAsia="Times New Roman" w:hAnsi="Times New Roman" w:cs="Times New Roman"/>
          <w:sz w:val="24"/>
          <w:szCs w:val="24"/>
          <w:lang w:val="en-US"/>
        </w:rPr>
        <w:t xml:space="preserve"> (pp. 83–105). Springer. </w:t>
      </w:r>
      <w:hyperlink r:id="rId28" w:tgtFrame="_new" w:history="1">
        <w:r w:rsidRPr="00D86F0A">
          <w:rPr>
            <w:rStyle w:val="Hyperlink"/>
            <w:rFonts w:ascii="Times New Roman" w:eastAsia="Times New Roman" w:hAnsi="Times New Roman" w:cs="Times New Roman"/>
            <w:sz w:val="24"/>
            <w:szCs w:val="24"/>
            <w:lang w:val="en-US"/>
          </w:rPr>
          <w:t>https://doi.org/10.1007/978-3-030-12612-4_5</w:t>
        </w:r>
      </w:hyperlink>
    </w:p>
    <w:p w14:paraId="299D5EDC"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Jiang, Y., Hamer, J., Wang, C., Jiang, X., Kim, M., Song, Y., Xia, Y., Mohammed, N., Sadat, M. N., &amp; Wang, S. (2018). SecureLR: Secure logistic regression model via a hybrid cryptographic protocol. </w:t>
      </w:r>
      <w:r w:rsidRPr="00D86F0A">
        <w:rPr>
          <w:rFonts w:ascii="Times New Roman" w:eastAsia="Times New Roman" w:hAnsi="Times New Roman" w:cs="Times New Roman"/>
          <w:i/>
          <w:iCs/>
          <w:sz w:val="24"/>
          <w:szCs w:val="24"/>
          <w:lang w:val="en-US"/>
        </w:rPr>
        <w:t>IEEE/ACM Transactions on Computational Biology and Bioinformatics, 16</w:t>
      </w:r>
      <w:r w:rsidRPr="00D86F0A">
        <w:rPr>
          <w:rFonts w:ascii="Times New Roman" w:eastAsia="Times New Roman" w:hAnsi="Times New Roman" w:cs="Times New Roman"/>
          <w:sz w:val="24"/>
          <w:szCs w:val="24"/>
          <w:lang w:val="en-US"/>
        </w:rPr>
        <w:t xml:space="preserve">(1), 113–123. </w:t>
      </w:r>
      <w:hyperlink r:id="rId29" w:tgtFrame="_new" w:history="1">
        <w:r w:rsidRPr="00D86F0A">
          <w:rPr>
            <w:rStyle w:val="Hyperlink"/>
            <w:rFonts w:ascii="Times New Roman" w:eastAsia="Times New Roman" w:hAnsi="Times New Roman" w:cs="Times New Roman"/>
            <w:sz w:val="24"/>
            <w:szCs w:val="24"/>
            <w:lang w:val="en-US"/>
          </w:rPr>
          <w:t>https://doi.org/10.1109/TCBB.2018.2833463</w:t>
        </w:r>
      </w:hyperlink>
    </w:p>
    <w:p w14:paraId="154CEE53"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Kaiser, L. (2025). New method to analyze safely encrypted medical data using AI. </w:t>
      </w:r>
      <w:r w:rsidRPr="00D86F0A">
        <w:rPr>
          <w:rFonts w:ascii="Times New Roman" w:eastAsia="Times New Roman" w:hAnsi="Times New Roman" w:cs="Times New Roman"/>
          <w:i/>
          <w:iCs/>
          <w:sz w:val="24"/>
          <w:szCs w:val="24"/>
          <w:lang w:val="en-US"/>
        </w:rPr>
        <w:t>University at Buffalo.</w:t>
      </w:r>
      <w:r w:rsidRPr="00D86F0A">
        <w:rPr>
          <w:rFonts w:ascii="Times New Roman" w:eastAsia="Times New Roman" w:hAnsi="Times New Roman" w:cs="Times New Roman"/>
          <w:sz w:val="24"/>
          <w:szCs w:val="24"/>
          <w:lang w:val="en-US"/>
        </w:rPr>
        <w:t xml:space="preserve"> </w:t>
      </w:r>
      <w:hyperlink r:id="rId30" w:tgtFrame="_new" w:history="1">
        <w:r w:rsidRPr="00D86F0A">
          <w:rPr>
            <w:rStyle w:val="Hyperlink"/>
            <w:rFonts w:ascii="Times New Roman" w:eastAsia="Times New Roman" w:hAnsi="Times New Roman" w:cs="Times New Roman"/>
            <w:sz w:val="24"/>
            <w:szCs w:val="24"/>
            <w:lang w:val="en-US"/>
          </w:rPr>
          <w:t>https://www.buffalo.edu/grad/news.host.html/content/shared/university/news/ub-reporter-articles/stories/2025/01/medical-data-encryption.detail.html</w:t>
        </w:r>
      </w:hyperlink>
    </w:p>
    <w:p w14:paraId="435F95CF"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lastRenderedPageBreak/>
        <w:t xml:space="preserve">Kar, D. M., Lazrig, I., Ray, I., &amp; Ray, I. (2017). Priremat: A distributed tool for privacy preserving record linking in healthcare. In </w:t>
      </w:r>
      <w:r w:rsidRPr="00D86F0A">
        <w:rPr>
          <w:rFonts w:ascii="Times New Roman" w:eastAsia="Times New Roman" w:hAnsi="Times New Roman" w:cs="Times New Roman"/>
          <w:i/>
          <w:iCs/>
          <w:sz w:val="24"/>
          <w:szCs w:val="24"/>
          <w:lang w:val="en-US"/>
        </w:rPr>
        <w:t>Proceedings of the 2017 ACM SIGSAC Conference on Computer and Communications Security</w:t>
      </w:r>
      <w:r w:rsidRPr="00D86F0A">
        <w:rPr>
          <w:rFonts w:ascii="Times New Roman" w:eastAsia="Times New Roman" w:hAnsi="Times New Roman" w:cs="Times New Roman"/>
          <w:sz w:val="24"/>
          <w:szCs w:val="24"/>
          <w:lang w:val="en-US"/>
        </w:rPr>
        <w:t xml:space="preserve"> (pp. 2603–2605). ACM. </w:t>
      </w:r>
      <w:hyperlink r:id="rId31" w:tgtFrame="_new" w:history="1">
        <w:r w:rsidRPr="00D86F0A">
          <w:rPr>
            <w:rStyle w:val="Hyperlink"/>
            <w:rFonts w:ascii="Times New Roman" w:eastAsia="Times New Roman" w:hAnsi="Times New Roman" w:cs="Times New Roman"/>
            <w:sz w:val="24"/>
            <w:szCs w:val="24"/>
            <w:lang w:val="en-US"/>
          </w:rPr>
          <w:t>https://doi.org/10.1145/3133956.3138822</w:t>
        </w:r>
      </w:hyperlink>
    </w:p>
    <w:p w14:paraId="4502EDC1"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Khedr, A., &amp; Gulak, G. (2018). SecureMed: Secure medical computation using GPU-accelerated homomorphic encryption scheme. </w:t>
      </w:r>
      <w:r w:rsidRPr="00D86F0A">
        <w:rPr>
          <w:rFonts w:ascii="Times New Roman" w:eastAsia="Times New Roman" w:hAnsi="Times New Roman" w:cs="Times New Roman"/>
          <w:i/>
          <w:iCs/>
          <w:sz w:val="24"/>
          <w:szCs w:val="24"/>
          <w:lang w:val="en-US"/>
        </w:rPr>
        <w:t>IEEE Journal of Biomedical and Health Informatics, 22</w:t>
      </w:r>
      <w:r w:rsidRPr="00D86F0A">
        <w:rPr>
          <w:rFonts w:ascii="Times New Roman" w:eastAsia="Times New Roman" w:hAnsi="Times New Roman" w:cs="Times New Roman"/>
          <w:sz w:val="24"/>
          <w:szCs w:val="24"/>
          <w:lang w:val="en-US"/>
        </w:rPr>
        <w:t xml:space="preserve">(2), 597–606. </w:t>
      </w:r>
      <w:hyperlink r:id="rId32" w:tgtFrame="_new" w:history="1">
        <w:r w:rsidRPr="00D86F0A">
          <w:rPr>
            <w:rStyle w:val="Hyperlink"/>
            <w:rFonts w:ascii="Times New Roman" w:eastAsia="Times New Roman" w:hAnsi="Times New Roman" w:cs="Times New Roman"/>
            <w:sz w:val="24"/>
            <w:szCs w:val="24"/>
            <w:lang w:val="en-US"/>
          </w:rPr>
          <w:t>https://doi.org/10.1109/JBHI.2017.2659686</w:t>
        </w:r>
      </w:hyperlink>
    </w:p>
    <w:p w14:paraId="1C67F0DD"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Kim, M., &amp; Lauter, K. (2015). Private genome analysis through homomorphic encryption. </w:t>
      </w:r>
      <w:r w:rsidRPr="00D86F0A">
        <w:rPr>
          <w:rFonts w:ascii="Times New Roman" w:eastAsia="Times New Roman" w:hAnsi="Times New Roman" w:cs="Times New Roman"/>
          <w:i/>
          <w:iCs/>
          <w:sz w:val="24"/>
          <w:szCs w:val="24"/>
          <w:lang w:val="en-US"/>
        </w:rPr>
        <w:t>BMC Medical Informatics and Decision Making, 15</w:t>
      </w:r>
      <w:r w:rsidRPr="00D86F0A">
        <w:rPr>
          <w:rFonts w:ascii="Times New Roman" w:eastAsia="Times New Roman" w:hAnsi="Times New Roman" w:cs="Times New Roman"/>
          <w:sz w:val="24"/>
          <w:szCs w:val="24"/>
          <w:lang w:val="en-US"/>
        </w:rPr>
        <w:t xml:space="preserve">(Suppl 5), Article S3. </w:t>
      </w:r>
      <w:hyperlink r:id="rId33" w:tgtFrame="_new" w:history="1">
        <w:r w:rsidRPr="00D86F0A">
          <w:rPr>
            <w:rStyle w:val="Hyperlink"/>
            <w:rFonts w:ascii="Times New Roman" w:eastAsia="Times New Roman" w:hAnsi="Times New Roman" w:cs="Times New Roman"/>
            <w:sz w:val="24"/>
            <w:szCs w:val="24"/>
            <w:lang w:val="en-US"/>
          </w:rPr>
          <w:t>https://doi.org/10.1186/1472-6947-15-S5-S3</w:t>
        </w:r>
      </w:hyperlink>
    </w:p>
    <w:p w14:paraId="5A900967"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Kocabas, O., &amp; Soyata, T. (2015). Utilizing homomorphic encryption to implement secure and private medical cloud computing. In </w:t>
      </w:r>
      <w:r w:rsidRPr="00D86F0A">
        <w:rPr>
          <w:rFonts w:ascii="Times New Roman" w:eastAsia="Times New Roman" w:hAnsi="Times New Roman" w:cs="Times New Roman"/>
          <w:i/>
          <w:iCs/>
          <w:sz w:val="24"/>
          <w:szCs w:val="24"/>
          <w:lang w:val="en-US"/>
        </w:rPr>
        <w:t>Proceedings of the 2015 IEEE 8th International Conference on Cloud Computing</w:t>
      </w:r>
      <w:r w:rsidRPr="00D86F0A">
        <w:rPr>
          <w:rFonts w:ascii="Times New Roman" w:eastAsia="Times New Roman" w:hAnsi="Times New Roman" w:cs="Times New Roman"/>
          <w:sz w:val="24"/>
          <w:szCs w:val="24"/>
          <w:lang w:val="en-US"/>
        </w:rPr>
        <w:t xml:space="preserve"> (pp. 540–547). IEEE. </w:t>
      </w:r>
      <w:hyperlink r:id="rId34" w:tgtFrame="_new" w:history="1">
        <w:r w:rsidRPr="00D86F0A">
          <w:rPr>
            <w:rStyle w:val="Hyperlink"/>
            <w:rFonts w:ascii="Times New Roman" w:eastAsia="Times New Roman" w:hAnsi="Times New Roman" w:cs="Times New Roman"/>
            <w:sz w:val="24"/>
            <w:szCs w:val="24"/>
            <w:lang w:val="en-US"/>
          </w:rPr>
          <w:t>https://doi.org/10.1109/CLOUD.2015.77</w:t>
        </w:r>
      </w:hyperlink>
    </w:p>
    <w:p w14:paraId="62C59A52"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Kocabas, O., Soyata, T., &amp; Aktas, M. K. (2016). Emerging security mechanisms for medical cyber physical systems. </w:t>
      </w:r>
      <w:r w:rsidRPr="00D86F0A">
        <w:rPr>
          <w:rFonts w:ascii="Times New Roman" w:eastAsia="Times New Roman" w:hAnsi="Times New Roman" w:cs="Times New Roman"/>
          <w:i/>
          <w:iCs/>
          <w:sz w:val="24"/>
          <w:szCs w:val="24"/>
          <w:lang w:val="en-US"/>
        </w:rPr>
        <w:t>IEEE/ACM Transactions on Computational Biology and Bioinformatics, 13</w:t>
      </w:r>
      <w:r w:rsidRPr="00D86F0A">
        <w:rPr>
          <w:rFonts w:ascii="Times New Roman" w:eastAsia="Times New Roman" w:hAnsi="Times New Roman" w:cs="Times New Roman"/>
          <w:sz w:val="24"/>
          <w:szCs w:val="24"/>
          <w:lang w:val="en-US"/>
        </w:rPr>
        <w:t xml:space="preserve">(3), 401–416. </w:t>
      </w:r>
      <w:hyperlink r:id="rId35" w:tgtFrame="_new" w:history="1">
        <w:r w:rsidRPr="00D86F0A">
          <w:rPr>
            <w:rStyle w:val="Hyperlink"/>
            <w:rFonts w:ascii="Times New Roman" w:eastAsia="Times New Roman" w:hAnsi="Times New Roman" w:cs="Times New Roman"/>
            <w:sz w:val="24"/>
            <w:szCs w:val="24"/>
            <w:lang w:val="en-US"/>
          </w:rPr>
          <w:t>https://doi.org/10.1109/TCBB.2015.2511757</w:t>
        </w:r>
      </w:hyperlink>
    </w:p>
    <w:p w14:paraId="51BE16D4"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Li, L., Lu, R., Choo, K. K. R., Datta, A., &amp; Shao, J. (2016). Privacy-preserving-outsourced association rule mining on vertically partitioned databases. </w:t>
      </w:r>
      <w:r w:rsidRPr="00D86F0A">
        <w:rPr>
          <w:rFonts w:ascii="Times New Roman" w:eastAsia="Times New Roman" w:hAnsi="Times New Roman" w:cs="Times New Roman"/>
          <w:i/>
          <w:iCs/>
          <w:sz w:val="24"/>
          <w:szCs w:val="24"/>
          <w:lang w:val="en-US"/>
        </w:rPr>
        <w:t>IEEE Transactions on Information Forensics and Security, 11</w:t>
      </w:r>
      <w:r w:rsidRPr="00D86F0A">
        <w:rPr>
          <w:rFonts w:ascii="Times New Roman" w:eastAsia="Times New Roman" w:hAnsi="Times New Roman" w:cs="Times New Roman"/>
          <w:sz w:val="24"/>
          <w:szCs w:val="24"/>
          <w:lang w:val="en-US"/>
        </w:rPr>
        <w:t xml:space="preserve">(8), 1847–1861. </w:t>
      </w:r>
      <w:hyperlink r:id="rId36" w:tgtFrame="_new" w:history="1">
        <w:r w:rsidRPr="00D86F0A">
          <w:rPr>
            <w:rStyle w:val="Hyperlink"/>
            <w:rFonts w:ascii="Times New Roman" w:eastAsia="Times New Roman" w:hAnsi="Times New Roman" w:cs="Times New Roman"/>
            <w:sz w:val="24"/>
            <w:szCs w:val="24"/>
            <w:lang w:val="en-US"/>
          </w:rPr>
          <w:t>https://doi.org/10.1109/TIFS.2016.2562729</w:t>
        </w:r>
      </w:hyperlink>
    </w:p>
    <w:p w14:paraId="047E9118"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Mohan, V. (n.d.). HIPAA guidelines for telehealth companies. </w:t>
      </w:r>
      <w:r w:rsidRPr="00D86F0A">
        <w:rPr>
          <w:rFonts w:ascii="Times New Roman" w:eastAsia="Times New Roman" w:hAnsi="Times New Roman" w:cs="Times New Roman"/>
          <w:i/>
          <w:iCs/>
          <w:sz w:val="24"/>
          <w:szCs w:val="24"/>
          <w:lang w:val="en-US"/>
        </w:rPr>
        <w:t>Sprinto.</w:t>
      </w:r>
      <w:r w:rsidRPr="00D86F0A">
        <w:rPr>
          <w:rFonts w:ascii="Times New Roman" w:eastAsia="Times New Roman" w:hAnsi="Times New Roman" w:cs="Times New Roman"/>
          <w:sz w:val="24"/>
          <w:szCs w:val="24"/>
          <w:lang w:val="en-US"/>
        </w:rPr>
        <w:t xml:space="preserve"> </w:t>
      </w:r>
      <w:hyperlink r:id="rId37" w:tgtFrame="_new" w:history="1">
        <w:r w:rsidRPr="00D86F0A">
          <w:rPr>
            <w:rStyle w:val="Hyperlink"/>
            <w:rFonts w:ascii="Times New Roman" w:eastAsia="Times New Roman" w:hAnsi="Times New Roman" w:cs="Times New Roman"/>
            <w:sz w:val="24"/>
            <w:szCs w:val="24"/>
            <w:lang w:val="en-US"/>
          </w:rPr>
          <w:t>https://sprinto.com/blog/hipaa-compliance-for-telehealth/</w:t>
        </w:r>
      </w:hyperlink>
    </w:p>
    <w:p w14:paraId="0691038A"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Munjal, K., &amp; Bhatia, R. (2022). A systematic review of homomorphic encryption and its contributions in healthcare industry. </w:t>
      </w:r>
      <w:r w:rsidRPr="00D86F0A">
        <w:rPr>
          <w:rFonts w:ascii="Times New Roman" w:eastAsia="Times New Roman" w:hAnsi="Times New Roman" w:cs="Times New Roman"/>
          <w:i/>
          <w:iCs/>
          <w:sz w:val="24"/>
          <w:szCs w:val="24"/>
          <w:lang w:val="en-US"/>
        </w:rPr>
        <w:t>Complex &amp; Intelligent Systems, 9</w:t>
      </w:r>
      <w:r w:rsidRPr="00D86F0A">
        <w:rPr>
          <w:rFonts w:ascii="Times New Roman" w:eastAsia="Times New Roman" w:hAnsi="Times New Roman" w:cs="Times New Roman"/>
          <w:sz w:val="24"/>
          <w:szCs w:val="24"/>
          <w:lang w:val="en-US"/>
        </w:rPr>
        <w:t xml:space="preserve">(1), 375–394. </w:t>
      </w:r>
      <w:hyperlink r:id="rId38" w:tgtFrame="_new" w:history="1">
        <w:r w:rsidRPr="00D86F0A">
          <w:rPr>
            <w:rStyle w:val="Hyperlink"/>
            <w:rFonts w:ascii="Times New Roman" w:eastAsia="Times New Roman" w:hAnsi="Times New Roman" w:cs="Times New Roman"/>
            <w:sz w:val="24"/>
            <w:szCs w:val="24"/>
            <w:lang w:val="en-US"/>
          </w:rPr>
          <w:t>https://doi.org/10.1007/s40747-022-00756</w:t>
        </w:r>
      </w:hyperlink>
    </w:p>
    <w:p w14:paraId="044172FE"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Ogunmolu, A. M. (2025). Federated detection systems for insider threats in energy facilities using biomechanical access control and AI-based cybersecurity. </w:t>
      </w:r>
      <w:r w:rsidRPr="00D86F0A">
        <w:rPr>
          <w:rFonts w:ascii="Times New Roman" w:eastAsia="Times New Roman" w:hAnsi="Times New Roman" w:cs="Times New Roman"/>
          <w:i/>
          <w:iCs/>
          <w:sz w:val="24"/>
          <w:szCs w:val="24"/>
          <w:lang w:val="en-US"/>
        </w:rPr>
        <w:t>Journal of Engineering Research and Reports, 27</w:t>
      </w:r>
      <w:r w:rsidRPr="00D86F0A">
        <w:rPr>
          <w:rFonts w:ascii="Times New Roman" w:eastAsia="Times New Roman" w:hAnsi="Times New Roman" w:cs="Times New Roman"/>
          <w:sz w:val="24"/>
          <w:szCs w:val="24"/>
          <w:lang w:val="en-US"/>
        </w:rPr>
        <w:t xml:space="preserve">(6), 65–82. </w:t>
      </w:r>
      <w:hyperlink r:id="rId39" w:tgtFrame="_new" w:history="1">
        <w:r w:rsidRPr="00D86F0A">
          <w:rPr>
            <w:rStyle w:val="Hyperlink"/>
            <w:rFonts w:ascii="Times New Roman" w:eastAsia="Times New Roman" w:hAnsi="Times New Roman" w:cs="Times New Roman"/>
            <w:sz w:val="24"/>
            <w:szCs w:val="24"/>
            <w:lang w:val="en-US"/>
          </w:rPr>
          <w:t>https://doi.org/10.9734/jerr/2025/v27i61528</w:t>
        </w:r>
      </w:hyperlink>
    </w:p>
    <w:p w14:paraId="5DE5340B"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Oyekunle, S. M., Olaniyi, O. M., Oluyinka, E. A., Gbadebo, M. O., &amp; Olasege, R. O. (2025). Adaptive AI pipelines in population health analytics for enhanced security and data governance. </w:t>
      </w:r>
      <w:r w:rsidRPr="00D86F0A">
        <w:rPr>
          <w:rFonts w:ascii="Times New Roman" w:eastAsia="Times New Roman" w:hAnsi="Times New Roman" w:cs="Times New Roman"/>
          <w:i/>
          <w:iCs/>
          <w:sz w:val="24"/>
          <w:szCs w:val="24"/>
          <w:lang w:val="en-US"/>
        </w:rPr>
        <w:t>Journal of Engineering Research and Reports, 27</w:t>
      </w:r>
      <w:r w:rsidRPr="00D86F0A">
        <w:rPr>
          <w:rFonts w:ascii="Times New Roman" w:eastAsia="Times New Roman" w:hAnsi="Times New Roman" w:cs="Times New Roman"/>
          <w:sz w:val="24"/>
          <w:szCs w:val="24"/>
          <w:lang w:val="en-US"/>
        </w:rPr>
        <w:t xml:space="preserve">(10), 338–358. </w:t>
      </w:r>
      <w:hyperlink r:id="rId40" w:tgtFrame="_new" w:history="1">
        <w:r w:rsidRPr="00D86F0A">
          <w:rPr>
            <w:rStyle w:val="Hyperlink"/>
            <w:rFonts w:ascii="Times New Roman" w:eastAsia="Times New Roman" w:hAnsi="Times New Roman" w:cs="Times New Roman"/>
            <w:sz w:val="24"/>
            <w:szCs w:val="24"/>
            <w:lang w:val="en-US"/>
          </w:rPr>
          <w:t>https://doi.org/10.9734/jerr/2025/v27i101677</w:t>
        </w:r>
      </w:hyperlink>
    </w:p>
    <w:p w14:paraId="3D0A658F"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Page, A., Kocabas, O., Ames, S., Venkitasubramaniam, M., &amp; Soyata, T. (2014). Cloud-based secure health monitoring: Optimizing fully-homomorphic encryption for streaming algorithms. In </w:t>
      </w:r>
      <w:r w:rsidRPr="00D86F0A">
        <w:rPr>
          <w:rFonts w:ascii="Times New Roman" w:eastAsia="Times New Roman" w:hAnsi="Times New Roman" w:cs="Times New Roman"/>
          <w:i/>
          <w:iCs/>
          <w:sz w:val="24"/>
          <w:szCs w:val="24"/>
          <w:lang w:val="en-US"/>
        </w:rPr>
        <w:t>Proceedings of the 2014 IEEE Globecom Workshops</w:t>
      </w:r>
      <w:r w:rsidRPr="00D86F0A">
        <w:rPr>
          <w:rFonts w:ascii="Times New Roman" w:eastAsia="Times New Roman" w:hAnsi="Times New Roman" w:cs="Times New Roman"/>
          <w:sz w:val="24"/>
          <w:szCs w:val="24"/>
          <w:lang w:val="en-US"/>
        </w:rPr>
        <w:t xml:space="preserve"> (pp. 48–52). IEEE. </w:t>
      </w:r>
      <w:hyperlink r:id="rId41" w:tgtFrame="_new" w:history="1">
        <w:r w:rsidRPr="00D86F0A">
          <w:rPr>
            <w:rStyle w:val="Hyperlink"/>
            <w:rFonts w:ascii="Times New Roman" w:eastAsia="Times New Roman" w:hAnsi="Times New Roman" w:cs="Times New Roman"/>
            <w:sz w:val="24"/>
            <w:szCs w:val="24"/>
            <w:lang w:val="en-US"/>
          </w:rPr>
          <w:t>https://doi.org/10.1109/GLOCOMW.2014.7063391</w:t>
        </w:r>
      </w:hyperlink>
    </w:p>
    <w:p w14:paraId="52E6F770"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lastRenderedPageBreak/>
        <w:t xml:space="preserve">Podschwadt, R., &amp; Takabi, D. (2020). Privacy preserving neural network inference on encrypted data. In </w:t>
      </w:r>
      <w:r w:rsidRPr="00D86F0A">
        <w:rPr>
          <w:rFonts w:ascii="Times New Roman" w:eastAsia="Times New Roman" w:hAnsi="Times New Roman" w:cs="Times New Roman"/>
          <w:i/>
          <w:iCs/>
          <w:sz w:val="24"/>
          <w:szCs w:val="24"/>
          <w:lang w:val="en-US"/>
        </w:rPr>
        <w:t>2020 IEEE International Conference on Big Data (Big Data)</w:t>
      </w:r>
      <w:r w:rsidRPr="00D86F0A">
        <w:rPr>
          <w:rFonts w:ascii="Times New Roman" w:eastAsia="Times New Roman" w:hAnsi="Times New Roman" w:cs="Times New Roman"/>
          <w:sz w:val="24"/>
          <w:szCs w:val="24"/>
          <w:lang w:val="en-US"/>
        </w:rPr>
        <w:t xml:space="preserve"> (pp. 2260–2269). IEEE. </w:t>
      </w:r>
      <w:hyperlink r:id="rId42" w:tgtFrame="_new" w:history="1">
        <w:r w:rsidRPr="00D86F0A">
          <w:rPr>
            <w:rStyle w:val="Hyperlink"/>
            <w:rFonts w:ascii="Times New Roman" w:eastAsia="Times New Roman" w:hAnsi="Times New Roman" w:cs="Times New Roman"/>
            <w:sz w:val="24"/>
            <w:szCs w:val="24"/>
            <w:lang w:val="en-US"/>
          </w:rPr>
          <w:t>https://doi.org/10.1109/BigData50022.2020.9378453</w:t>
        </w:r>
      </w:hyperlink>
    </w:p>
    <w:p w14:paraId="01AF7163"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Price, L. (2023). What is homomorphic encryption for healthcare data? </w:t>
      </w:r>
      <w:r w:rsidRPr="00D86F0A">
        <w:rPr>
          <w:rFonts w:ascii="Times New Roman" w:eastAsia="Times New Roman" w:hAnsi="Times New Roman" w:cs="Times New Roman"/>
          <w:i/>
          <w:iCs/>
          <w:sz w:val="24"/>
          <w:szCs w:val="24"/>
          <w:lang w:val="en-US"/>
        </w:rPr>
        <w:t>Healthcare Digital.</w:t>
      </w:r>
      <w:r w:rsidRPr="00D86F0A">
        <w:rPr>
          <w:rFonts w:ascii="Times New Roman" w:eastAsia="Times New Roman" w:hAnsi="Times New Roman" w:cs="Times New Roman"/>
          <w:sz w:val="24"/>
          <w:szCs w:val="24"/>
          <w:lang w:val="en-US"/>
        </w:rPr>
        <w:t xml:space="preserve"> </w:t>
      </w:r>
      <w:hyperlink r:id="rId43" w:tgtFrame="_new" w:history="1">
        <w:r w:rsidRPr="00D86F0A">
          <w:rPr>
            <w:rStyle w:val="Hyperlink"/>
            <w:rFonts w:ascii="Times New Roman" w:eastAsia="Times New Roman" w:hAnsi="Times New Roman" w:cs="Times New Roman"/>
            <w:sz w:val="24"/>
            <w:szCs w:val="24"/>
            <w:lang w:val="en-US"/>
          </w:rPr>
          <w:t>https://www.healthcare.digital/single-post/what-is-homomorphic-encryption-for-healthcare-data</w:t>
        </w:r>
      </w:hyperlink>
    </w:p>
    <w:p w14:paraId="429D9372"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Scheibner, J., Ienca, M., &amp; Vayena, E. (2022). Health data privacy through homomorphic encryption and distributed ledger computing: An ethical-legal qualitative expert assessment study. </w:t>
      </w:r>
      <w:r w:rsidRPr="00D86F0A">
        <w:rPr>
          <w:rFonts w:ascii="Times New Roman" w:eastAsia="Times New Roman" w:hAnsi="Times New Roman" w:cs="Times New Roman"/>
          <w:i/>
          <w:iCs/>
          <w:sz w:val="24"/>
          <w:szCs w:val="24"/>
          <w:lang w:val="en-US"/>
        </w:rPr>
        <w:t>BMC Medical Ethics, 23</w:t>
      </w:r>
      <w:r w:rsidRPr="00D86F0A">
        <w:rPr>
          <w:rFonts w:ascii="Times New Roman" w:eastAsia="Times New Roman" w:hAnsi="Times New Roman" w:cs="Times New Roman"/>
          <w:sz w:val="24"/>
          <w:szCs w:val="24"/>
          <w:lang w:val="en-US"/>
        </w:rPr>
        <w:t xml:space="preserve">(1), Article 85. </w:t>
      </w:r>
      <w:hyperlink r:id="rId44" w:tgtFrame="_new" w:history="1">
        <w:r w:rsidRPr="00D86F0A">
          <w:rPr>
            <w:rStyle w:val="Hyperlink"/>
            <w:rFonts w:ascii="Times New Roman" w:eastAsia="Times New Roman" w:hAnsi="Times New Roman" w:cs="Times New Roman"/>
            <w:sz w:val="24"/>
            <w:szCs w:val="24"/>
            <w:lang w:val="en-US"/>
          </w:rPr>
          <w:t>https://doi.org/10.1186/s12910-022-00852-2</w:t>
        </w:r>
      </w:hyperlink>
    </w:p>
    <w:p w14:paraId="322E43E6"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Sharma, K. (2023). Data privacy and security in AI-driven healthcare: A critical analysis. </w:t>
      </w:r>
      <w:r w:rsidRPr="00D86F0A">
        <w:rPr>
          <w:rFonts w:ascii="Times New Roman" w:eastAsia="Times New Roman" w:hAnsi="Times New Roman" w:cs="Times New Roman"/>
          <w:i/>
          <w:iCs/>
          <w:sz w:val="24"/>
          <w:szCs w:val="24"/>
          <w:lang w:val="en-US"/>
        </w:rPr>
        <w:t>International Journal of Sustainable Development in Computing Science, 5</w:t>
      </w:r>
      <w:r w:rsidRPr="00D86F0A">
        <w:rPr>
          <w:rFonts w:ascii="Times New Roman" w:eastAsia="Times New Roman" w:hAnsi="Times New Roman" w:cs="Times New Roman"/>
          <w:sz w:val="24"/>
          <w:szCs w:val="24"/>
          <w:lang w:val="en-US"/>
        </w:rPr>
        <w:t xml:space="preserve">(2), 1–13. </w:t>
      </w:r>
      <w:hyperlink r:id="rId45" w:tgtFrame="_new" w:history="1">
        <w:r w:rsidRPr="00D86F0A">
          <w:rPr>
            <w:rStyle w:val="Hyperlink"/>
            <w:rFonts w:ascii="Times New Roman" w:eastAsia="Times New Roman" w:hAnsi="Times New Roman" w:cs="Times New Roman"/>
            <w:sz w:val="24"/>
            <w:szCs w:val="24"/>
            <w:lang w:val="en-US"/>
          </w:rPr>
          <w:t>https://ijsdcs.com/index.php/ijsdcs/article/view/416</w:t>
        </w:r>
      </w:hyperlink>
    </w:p>
    <w:p w14:paraId="33EFA3F9"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Shen, C., Zhang, W., Zhou, T., &amp; Zhang, L. (2024). A security-enhanced federated learning scheme based on homomorphic encryption and secret sharing. </w:t>
      </w:r>
      <w:r w:rsidRPr="00D86F0A">
        <w:rPr>
          <w:rFonts w:ascii="Times New Roman" w:eastAsia="Times New Roman" w:hAnsi="Times New Roman" w:cs="Times New Roman"/>
          <w:i/>
          <w:iCs/>
          <w:sz w:val="24"/>
          <w:szCs w:val="24"/>
          <w:lang w:val="en-US"/>
        </w:rPr>
        <w:t>Mathematics, 12</w:t>
      </w:r>
      <w:r w:rsidRPr="00D86F0A">
        <w:rPr>
          <w:rFonts w:ascii="Times New Roman" w:eastAsia="Times New Roman" w:hAnsi="Times New Roman" w:cs="Times New Roman"/>
          <w:sz w:val="24"/>
          <w:szCs w:val="24"/>
          <w:lang w:val="en-US"/>
        </w:rPr>
        <w:t xml:space="preserve">(13), 1993–1993. </w:t>
      </w:r>
      <w:hyperlink r:id="rId46" w:tgtFrame="_new" w:history="1">
        <w:r w:rsidRPr="00D86F0A">
          <w:rPr>
            <w:rStyle w:val="Hyperlink"/>
            <w:rFonts w:ascii="Times New Roman" w:eastAsia="Times New Roman" w:hAnsi="Times New Roman" w:cs="Times New Roman"/>
            <w:sz w:val="24"/>
            <w:szCs w:val="24"/>
            <w:lang w:val="en-US"/>
          </w:rPr>
          <w:t>https://doi.org/10.3390/math12131993</w:t>
        </w:r>
      </w:hyperlink>
    </w:p>
    <w:p w14:paraId="0B7263FF"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Soyata, T., Kocabas, O., Ames, S., Venkitasubramaniam, M., &amp; Page, A. (2015). Cloud-based secure health monitoring: Optimizing fully-homomorphic encryption for streaming algorithms. </w:t>
      </w:r>
      <w:r w:rsidRPr="00D86F0A">
        <w:rPr>
          <w:rFonts w:ascii="Times New Roman" w:eastAsia="Times New Roman" w:hAnsi="Times New Roman" w:cs="Times New Roman"/>
          <w:i/>
          <w:iCs/>
          <w:sz w:val="24"/>
          <w:szCs w:val="24"/>
          <w:lang w:val="en-US"/>
        </w:rPr>
        <w:t>IEEE Globecom Workshops.</w:t>
      </w:r>
      <w:r w:rsidRPr="00D86F0A">
        <w:rPr>
          <w:rFonts w:ascii="Times New Roman" w:eastAsia="Times New Roman" w:hAnsi="Times New Roman" w:cs="Times New Roman"/>
          <w:sz w:val="24"/>
          <w:szCs w:val="24"/>
          <w:lang w:val="en-US"/>
        </w:rPr>
        <w:t xml:space="preserve"> </w:t>
      </w:r>
      <w:hyperlink r:id="rId47" w:tgtFrame="_new" w:history="1">
        <w:r w:rsidRPr="00D86F0A">
          <w:rPr>
            <w:rStyle w:val="Hyperlink"/>
            <w:rFonts w:ascii="Times New Roman" w:eastAsia="Times New Roman" w:hAnsi="Times New Roman" w:cs="Times New Roman"/>
            <w:sz w:val="24"/>
            <w:szCs w:val="24"/>
            <w:lang w:val="en-US"/>
          </w:rPr>
          <w:t>https://doi.org/10.1109/GLOCOMW.2014.7063391</w:t>
        </w:r>
      </w:hyperlink>
    </w:p>
    <w:p w14:paraId="3E72EDA0"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Truex, S., Baracaldo, N., Anwar, A., Steinke, T., Ludwig, H., Zhang, R., &amp; Zhou, Y. (2019). A hybrid approach to privacy-preserving federated learning. In </w:t>
      </w:r>
      <w:r w:rsidRPr="00D86F0A">
        <w:rPr>
          <w:rFonts w:ascii="Times New Roman" w:eastAsia="Times New Roman" w:hAnsi="Times New Roman" w:cs="Times New Roman"/>
          <w:i/>
          <w:iCs/>
          <w:sz w:val="24"/>
          <w:szCs w:val="24"/>
          <w:lang w:val="en-US"/>
        </w:rPr>
        <w:t>Proceedings of the 12th ACM Workshop on Artificial Intelligence and Security</w:t>
      </w:r>
      <w:r w:rsidRPr="00D86F0A">
        <w:rPr>
          <w:rFonts w:ascii="Times New Roman" w:eastAsia="Times New Roman" w:hAnsi="Times New Roman" w:cs="Times New Roman"/>
          <w:sz w:val="24"/>
          <w:szCs w:val="24"/>
          <w:lang w:val="en-US"/>
        </w:rPr>
        <w:t xml:space="preserve"> (pp. 1–11). ACM. </w:t>
      </w:r>
      <w:hyperlink r:id="rId48" w:tgtFrame="_new" w:history="1">
        <w:r w:rsidRPr="00D86F0A">
          <w:rPr>
            <w:rStyle w:val="Hyperlink"/>
            <w:rFonts w:ascii="Times New Roman" w:eastAsia="Times New Roman" w:hAnsi="Times New Roman" w:cs="Times New Roman"/>
            <w:sz w:val="24"/>
            <w:szCs w:val="24"/>
            <w:lang w:val="en-US"/>
          </w:rPr>
          <w:t>https://doi.org/10.1145/3338501.3357370</w:t>
        </w:r>
      </w:hyperlink>
    </w:p>
    <w:p w14:paraId="5A12F19C"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Vayena, E., Scheibner, J., &amp; Ienca, M. (2022). Health data privacy through homomorphic encryption and distributed ledger computing: An ethical-legal qualitative expert assessment study. </w:t>
      </w:r>
      <w:r w:rsidRPr="00D86F0A">
        <w:rPr>
          <w:rFonts w:ascii="Times New Roman" w:eastAsia="Times New Roman" w:hAnsi="Times New Roman" w:cs="Times New Roman"/>
          <w:i/>
          <w:iCs/>
          <w:sz w:val="24"/>
          <w:szCs w:val="24"/>
          <w:lang w:val="en-US"/>
        </w:rPr>
        <w:t>BMC Medical Ethics, 23</w:t>
      </w:r>
      <w:r w:rsidRPr="00D86F0A">
        <w:rPr>
          <w:rFonts w:ascii="Times New Roman" w:eastAsia="Times New Roman" w:hAnsi="Times New Roman" w:cs="Times New Roman"/>
          <w:sz w:val="24"/>
          <w:szCs w:val="24"/>
          <w:lang w:val="en-US"/>
        </w:rPr>
        <w:t xml:space="preserve">, Article 85. </w:t>
      </w:r>
      <w:hyperlink r:id="rId49" w:tgtFrame="_new" w:history="1">
        <w:r w:rsidRPr="00D86F0A">
          <w:rPr>
            <w:rStyle w:val="Hyperlink"/>
            <w:rFonts w:ascii="Times New Roman" w:eastAsia="Times New Roman" w:hAnsi="Times New Roman" w:cs="Times New Roman"/>
            <w:sz w:val="24"/>
            <w:szCs w:val="24"/>
            <w:lang w:val="en-US"/>
          </w:rPr>
          <w:t>https://doi.org/10.1186/s12910-022-00852-2</w:t>
        </w:r>
      </w:hyperlink>
    </w:p>
    <w:p w14:paraId="23CBC963"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Vengadapurvaja, A. M., Nisha, G., Aarthy, R., &amp; Sasikaladevi, N. (2017). An efficient homomorphic medical image encryption algorithm for cloud storage security. </w:t>
      </w:r>
      <w:r w:rsidRPr="00D86F0A">
        <w:rPr>
          <w:rFonts w:ascii="Times New Roman" w:eastAsia="Times New Roman" w:hAnsi="Times New Roman" w:cs="Times New Roman"/>
          <w:i/>
          <w:iCs/>
          <w:sz w:val="24"/>
          <w:szCs w:val="24"/>
          <w:lang w:val="en-US"/>
        </w:rPr>
        <w:t>Procedia Computer Science, 115</w:t>
      </w:r>
      <w:r w:rsidRPr="00D86F0A">
        <w:rPr>
          <w:rFonts w:ascii="Times New Roman" w:eastAsia="Times New Roman" w:hAnsi="Times New Roman" w:cs="Times New Roman"/>
          <w:sz w:val="24"/>
          <w:szCs w:val="24"/>
          <w:lang w:val="en-US"/>
        </w:rPr>
        <w:t xml:space="preserve">, 643–650. </w:t>
      </w:r>
      <w:hyperlink r:id="rId50" w:tgtFrame="_new" w:history="1">
        <w:r w:rsidRPr="00D86F0A">
          <w:rPr>
            <w:rStyle w:val="Hyperlink"/>
            <w:rFonts w:ascii="Times New Roman" w:eastAsia="Times New Roman" w:hAnsi="Times New Roman" w:cs="Times New Roman"/>
            <w:sz w:val="24"/>
            <w:szCs w:val="24"/>
            <w:lang w:val="en-US"/>
          </w:rPr>
          <w:t>https://doi.org/10.1016/j.procs.2017.09.150</w:t>
        </w:r>
      </w:hyperlink>
    </w:p>
    <w:p w14:paraId="5BF99B07" w14:textId="77777777" w:rsidR="00D86F0A" w:rsidRPr="00D86F0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Wang, X., &amp; Zhang, Z. (2015). Data division scheme based on homomorphic encryption in WSNs for health care. </w:t>
      </w:r>
      <w:r w:rsidRPr="00D86F0A">
        <w:rPr>
          <w:rFonts w:ascii="Times New Roman" w:eastAsia="Times New Roman" w:hAnsi="Times New Roman" w:cs="Times New Roman"/>
          <w:i/>
          <w:iCs/>
          <w:sz w:val="24"/>
          <w:szCs w:val="24"/>
          <w:lang w:val="en-US"/>
        </w:rPr>
        <w:t>Journal of Medical Systems, 39</w:t>
      </w:r>
      <w:r w:rsidRPr="00D86F0A">
        <w:rPr>
          <w:rFonts w:ascii="Times New Roman" w:eastAsia="Times New Roman" w:hAnsi="Times New Roman" w:cs="Times New Roman"/>
          <w:sz w:val="24"/>
          <w:szCs w:val="24"/>
          <w:lang w:val="en-US"/>
        </w:rPr>
        <w:t xml:space="preserve">(12), Article 188. </w:t>
      </w:r>
      <w:hyperlink r:id="rId51" w:tgtFrame="_new" w:history="1">
        <w:r w:rsidRPr="00D86F0A">
          <w:rPr>
            <w:rStyle w:val="Hyperlink"/>
            <w:rFonts w:ascii="Times New Roman" w:eastAsia="Times New Roman" w:hAnsi="Times New Roman" w:cs="Times New Roman"/>
            <w:sz w:val="24"/>
            <w:szCs w:val="24"/>
            <w:lang w:val="en-US"/>
          </w:rPr>
          <w:t>https://doi.org/10.1007/s10916-015-0368-0</w:t>
        </w:r>
      </w:hyperlink>
    </w:p>
    <w:p w14:paraId="0C343E09" w14:textId="44CD56F3" w:rsidR="00787A77" w:rsidRPr="00D771FA" w:rsidRDefault="00D86F0A" w:rsidP="00D86F0A">
      <w:pPr>
        <w:ind w:left="720" w:hanging="720"/>
        <w:jc w:val="both"/>
        <w:rPr>
          <w:rFonts w:ascii="Times New Roman" w:eastAsia="Times New Roman" w:hAnsi="Times New Roman" w:cs="Times New Roman"/>
          <w:sz w:val="24"/>
          <w:szCs w:val="24"/>
          <w:lang w:val="en-US"/>
        </w:rPr>
      </w:pPr>
      <w:r w:rsidRPr="00D86F0A">
        <w:rPr>
          <w:rFonts w:ascii="Times New Roman" w:eastAsia="Times New Roman" w:hAnsi="Times New Roman" w:cs="Times New Roman"/>
          <w:sz w:val="24"/>
          <w:szCs w:val="24"/>
          <w:lang w:val="en-US"/>
        </w:rPr>
        <w:t xml:space="preserve">Wood, A., Altman, M., Bembenek, J., Bun, M., Gaboardi, M., Honaker, J., Nissim, K., O'Brien, D. R., Steinke, T., &amp; Vadhan, S. (2021). Differential privacy: A primer for a non-technical audience. </w:t>
      </w:r>
      <w:r w:rsidRPr="00D86F0A">
        <w:rPr>
          <w:rFonts w:ascii="Times New Roman" w:eastAsia="Times New Roman" w:hAnsi="Times New Roman" w:cs="Times New Roman"/>
          <w:i/>
          <w:iCs/>
          <w:sz w:val="24"/>
          <w:szCs w:val="24"/>
          <w:lang w:val="en-US"/>
        </w:rPr>
        <w:t>Vanderbilt Journal of Entertainment &amp; Technology Law, 21</w:t>
      </w:r>
      <w:r w:rsidRPr="00D86F0A">
        <w:rPr>
          <w:rFonts w:ascii="Times New Roman" w:eastAsia="Times New Roman" w:hAnsi="Times New Roman" w:cs="Times New Roman"/>
          <w:sz w:val="24"/>
          <w:szCs w:val="24"/>
          <w:lang w:val="en-US"/>
        </w:rPr>
        <w:t>(1), 209–275.</w:t>
      </w:r>
    </w:p>
    <w:sectPr w:rsidR="00787A77" w:rsidRPr="00D771FA">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F115" w14:textId="77777777" w:rsidR="0005624D" w:rsidRDefault="0005624D" w:rsidP="00AF7B94">
      <w:pPr>
        <w:spacing w:after="0" w:line="240" w:lineRule="auto"/>
      </w:pPr>
      <w:r>
        <w:separator/>
      </w:r>
    </w:p>
  </w:endnote>
  <w:endnote w:type="continuationSeparator" w:id="0">
    <w:p w14:paraId="30729264" w14:textId="77777777" w:rsidR="0005624D" w:rsidRDefault="0005624D" w:rsidP="00AF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C2CE" w14:textId="77777777" w:rsidR="00AF7B94" w:rsidRDefault="00AF7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1943" w14:textId="77777777" w:rsidR="00AF7B94" w:rsidRDefault="00AF7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C220" w14:textId="77777777" w:rsidR="00AF7B94" w:rsidRDefault="00AF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2CB4" w14:textId="77777777" w:rsidR="0005624D" w:rsidRDefault="0005624D" w:rsidP="00AF7B94">
      <w:pPr>
        <w:spacing w:after="0" w:line="240" w:lineRule="auto"/>
      </w:pPr>
      <w:r>
        <w:separator/>
      </w:r>
    </w:p>
  </w:footnote>
  <w:footnote w:type="continuationSeparator" w:id="0">
    <w:p w14:paraId="444D26C4" w14:textId="77777777" w:rsidR="0005624D" w:rsidRDefault="0005624D" w:rsidP="00AF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3AB8" w14:textId="4C9472C0" w:rsidR="00AF7B94" w:rsidRDefault="001923A5">
    <w:pPr>
      <w:pStyle w:val="Header"/>
    </w:pPr>
    <w:r>
      <w:rPr>
        <w:noProof/>
      </w:rPr>
      <w:pict w14:anchorId="1503C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203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C094" w14:textId="46016CDA" w:rsidR="00AF7B94" w:rsidRDefault="001923A5">
    <w:pPr>
      <w:pStyle w:val="Header"/>
    </w:pPr>
    <w:r>
      <w:rPr>
        <w:noProof/>
      </w:rPr>
      <w:pict w14:anchorId="0AFDC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203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58E8" w14:textId="0A925111" w:rsidR="00AF7B94" w:rsidRDefault="001923A5">
    <w:pPr>
      <w:pStyle w:val="Header"/>
    </w:pPr>
    <w:r>
      <w:rPr>
        <w:noProof/>
      </w:rPr>
      <w:pict w14:anchorId="1ECBC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203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3B15"/>
    <w:multiLevelType w:val="multilevel"/>
    <w:tmpl w:val="FACC06E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0B0409"/>
    <w:multiLevelType w:val="multilevel"/>
    <w:tmpl w:val="D8B08766"/>
    <w:lvl w:ilvl="0">
      <w:start w:val="1"/>
      <w:numFmt w:val="low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15:restartNumberingAfterBreak="0">
    <w:nsid w:val="195D3A88"/>
    <w:multiLevelType w:val="multilevel"/>
    <w:tmpl w:val="4BA42DDC"/>
    <w:lvl w:ilvl="0">
      <w:start w:val="1"/>
      <w:numFmt w:val="lowerRoman"/>
      <w:lvlText w:val="%1."/>
      <w:lvlJc w:val="righ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FF5108"/>
    <w:multiLevelType w:val="multilevel"/>
    <w:tmpl w:val="AEAEE84C"/>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2E5A52"/>
    <w:multiLevelType w:val="multilevel"/>
    <w:tmpl w:val="7E4A7B4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DF2A96"/>
    <w:multiLevelType w:val="multilevel"/>
    <w:tmpl w:val="DE947CB6"/>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422F13"/>
    <w:multiLevelType w:val="multilevel"/>
    <w:tmpl w:val="537E675E"/>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1741336">
    <w:abstractNumId w:val="0"/>
  </w:num>
  <w:num w:numId="2" w16cid:durableId="421341809">
    <w:abstractNumId w:val="1"/>
  </w:num>
  <w:num w:numId="3" w16cid:durableId="737168795">
    <w:abstractNumId w:val="2"/>
  </w:num>
  <w:num w:numId="4" w16cid:durableId="218591916">
    <w:abstractNumId w:val="6"/>
  </w:num>
  <w:num w:numId="5" w16cid:durableId="815876446">
    <w:abstractNumId w:val="4"/>
  </w:num>
  <w:num w:numId="6" w16cid:durableId="387849864">
    <w:abstractNumId w:val="3"/>
  </w:num>
  <w:num w:numId="7" w16cid:durableId="1229535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77"/>
    <w:rsid w:val="00033D49"/>
    <w:rsid w:val="00035AB5"/>
    <w:rsid w:val="0005624D"/>
    <w:rsid w:val="001154FC"/>
    <w:rsid w:val="001923A5"/>
    <w:rsid w:val="00193355"/>
    <w:rsid w:val="00300DD3"/>
    <w:rsid w:val="00374DD5"/>
    <w:rsid w:val="00787A77"/>
    <w:rsid w:val="0096143F"/>
    <w:rsid w:val="00A86F1B"/>
    <w:rsid w:val="00AD67C2"/>
    <w:rsid w:val="00AF7B94"/>
    <w:rsid w:val="00B6067E"/>
    <w:rsid w:val="00BC1D60"/>
    <w:rsid w:val="00D47A74"/>
    <w:rsid w:val="00D771FA"/>
    <w:rsid w:val="00D86F0A"/>
    <w:rsid w:val="00DE0B40"/>
    <w:rsid w:val="00DE5F5D"/>
    <w:rsid w:val="00E345D2"/>
    <w:rsid w:val="00EF4242"/>
    <w:rsid w:val="00F077F8"/>
    <w:rsid w:val="00F8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7FEB9"/>
  <w15:docId w15:val="{D5DEFA72-973F-42C5-AC8B-A768FF86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paragraph" w:styleId="NoSpacing">
    <w:name w:val="No Spacing"/>
    <w:uiPriority w:val="1"/>
    <w:qFormat/>
    <w:rsid w:val="00E345D2"/>
    <w:pPr>
      <w:spacing w:after="0" w:line="240" w:lineRule="auto"/>
    </w:pPr>
    <w:rPr>
      <w:rFonts w:asciiTheme="minorHAnsi" w:eastAsiaTheme="minorHAnsi" w:hAnsiTheme="minorHAnsi" w:cstheme="minorBidi"/>
      <w:kern w:val="2"/>
      <w:lang w:val="en-US"/>
      <w14:ligatures w14:val="standardContextual"/>
    </w:rPr>
  </w:style>
  <w:style w:type="character" w:styleId="Hyperlink">
    <w:name w:val="Hyperlink"/>
    <w:basedOn w:val="DefaultParagraphFont"/>
    <w:uiPriority w:val="99"/>
    <w:unhideWhenUsed/>
    <w:rsid w:val="00B6067E"/>
    <w:rPr>
      <w:color w:val="0000FF" w:themeColor="hyperlink"/>
      <w:u w:val="single"/>
    </w:rPr>
  </w:style>
  <w:style w:type="character" w:styleId="UnresolvedMention">
    <w:name w:val="Unresolved Mention"/>
    <w:basedOn w:val="DefaultParagraphFont"/>
    <w:uiPriority w:val="99"/>
    <w:semiHidden/>
    <w:unhideWhenUsed/>
    <w:rsid w:val="00B6067E"/>
    <w:rPr>
      <w:color w:val="605E5C"/>
      <w:shd w:val="clear" w:color="auto" w:fill="E1DFDD"/>
    </w:rPr>
  </w:style>
  <w:style w:type="paragraph" w:styleId="Header">
    <w:name w:val="header"/>
    <w:basedOn w:val="Normal"/>
    <w:link w:val="HeaderChar"/>
    <w:uiPriority w:val="99"/>
    <w:unhideWhenUsed/>
    <w:rsid w:val="00AF7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B94"/>
  </w:style>
  <w:style w:type="paragraph" w:styleId="Footer">
    <w:name w:val="footer"/>
    <w:basedOn w:val="Normal"/>
    <w:link w:val="FooterChar"/>
    <w:uiPriority w:val="99"/>
    <w:unhideWhenUsed/>
    <w:rsid w:val="00AF7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3390/app142310808" TargetMode="External"/><Relationship Id="rId26" Type="http://schemas.openxmlformats.org/officeDocument/2006/relationships/hyperlink" Target="https://doi.org/10.48550/arxiv.2412.01650" TargetMode="External"/><Relationship Id="rId39" Type="http://schemas.openxmlformats.org/officeDocument/2006/relationships/hyperlink" Target="https://doi.org/10.9734/jerr/2025/v27i61528" TargetMode="External"/><Relationship Id="rId21" Type="http://schemas.openxmlformats.org/officeDocument/2006/relationships/hyperlink" Target="https://doi.org/10.1016/j.jbi.2014.04.003" TargetMode="External"/><Relationship Id="rId34" Type="http://schemas.openxmlformats.org/officeDocument/2006/relationships/hyperlink" Target="https://doi.org/10.1109/CLOUD.2015.77" TargetMode="External"/><Relationship Id="rId42" Type="http://schemas.openxmlformats.org/officeDocument/2006/relationships/hyperlink" Target="https://doi.org/10.1109/BigData50022.2020.9378453" TargetMode="External"/><Relationship Id="rId47" Type="http://schemas.openxmlformats.org/officeDocument/2006/relationships/hyperlink" Target="https://doi.org/10.1109/GLOCOMW.2014.7063391" TargetMode="External"/><Relationship Id="rId50" Type="http://schemas.openxmlformats.org/officeDocument/2006/relationships/hyperlink" Target="https://doi.org/10.1016/j.procs.2017.09.150" TargetMode="External"/><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86/s12909-023-04698-z" TargetMode="External"/><Relationship Id="rId29" Type="http://schemas.openxmlformats.org/officeDocument/2006/relationships/hyperlink" Target="https://doi.org/10.1109/TCBB.2018.2833463" TargetMode="External"/><Relationship Id="rId11" Type="http://schemas.openxmlformats.org/officeDocument/2006/relationships/image" Target="media/image5.png"/><Relationship Id="rId24" Type="http://schemas.openxmlformats.org/officeDocument/2006/relationships/hyperlink" Target="https://doi.org/10.1007/978-3-319-70694-8_15" TargetMode="External"/><Relationship Id="rId32" Type="http://schemas.openxmlformats.org/officeDocument/2006/relationships/hyperlink" Target="https://doi.org/10.1109/JBHI.2017.2659686" TargetMode="External"/><Relationship Id="rId37" Type="http://schemas.openxmlformats.org/officeDocument/2006/relationships/hyperlink" Target="https://sprinto.com/blog/hipaa-compliance-for-telehealth/" TargetMode="External"/><Relationship Id="rId40" Type="http://schemas.openxmlformats.org/officeDocument/2006/relationships/hyperlink" Target="https://doi.org/10.9734/jerr/2025/v27i101677" TargetMode="External"/><Relationship Id="rId45" Type="http://schemas.openxmlformats.org/officeDocument/2006/relationships/hyperlink" Target="https://ijsdcs.com/index.php/ijsdcs/article/view/416"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109/ACCESS.2017.271643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s22124432" TargetMode="External"/><Relationship Id="rId22" Type="http://schemas.openxmlformats.org/officeDocument/2006/relationships/hyperlink" Target="https://doi.org/10.1186/s12920-020-0743-0" TargetMode="External"/><Relationship Id="rId27" Type="http://schemas.openxmlformats.org/officeDocument/2006/relationships/hyperlink" Target="https://doi.org/10.1145/3481603" TargetMode="External"/><Relationship Id="rId30" Type="http://schemas.openxmlformats.org/officeDocument/2006/relationships/hyperlink" Target="https://www.buffalo.edu/grad/news.host.html/content/shared/university/news/ub-reporter-articles/stories/2025/01/medical-data-encryption.detail.html" TargetMode="External"/><Relationship Id="rId35" Type="http://schemas.openxmlformats.org/officeDocument/2006/relationships/hyperlink" Target="https://doi.org/10.1109/TCBB.2015.2511757" TargetMode="External"/><Relationship Id="rId43" Type="http://schemas.openxmlformats.org/officeDocument/2006/relationships/hyperlink" Target="https://www.healthcare.digital/single-post/what-is-homomorphic-encryption-for-healthcare-data" TargetMode="External"/><Relationship Id="rId48" Type="http://schemas.openxmlformats.org/officeDocument/2006/relationships/hyperlink" Target="https://doi.org/10.1145/3338501.3357370" TargetMode="External"/><Relationship Id="rId56"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hyperlink" Target="https://doi.org/10.1007/s10916-015-0368-0"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07/978-3-031-76610-7_7" TargetMode="External"/><Relationship Id="rId25" Type="http://schemas.openxmlformats.org/officeDocument/2006/relationships/hyperlink" Target="https://doi.org/10.1145/2665943.2665958" TargetMode="External"/><Relationship Id="rId33" Type="http://schemas.openxmlformats.org/officeDocument/2006/relationships/hyperlink" Target="https://doi.org/10.1186/1472-6947-15-S5-S3" TargetMode="External"/><Relationship Id="rId38" Type="http://schemas.openxmlformats.org/officeDocument/2006/relationships/hyperlink" Target="https://doi.org/10.1007/s40747-022-00756" TargetMode="External"/><Relationship Id="rId46" Type="http://schemas.openxmlformats.org/officeDocument/2006/relationships/hyperlink" Target="https://doi.org/10.3390/math12131993" TargetMode="External"/><Relationship Id="rId59" Type="http://schemas.openxmlformats.org/officeDocument/2006/relationships/theme" Target="theme/theme1.xml"/><Relationship Id="rId20" Type="http://schemas.openxmlformats.org/officeDocument/2006/relationships/hyperlink" Target="https://doi.org/10.1109/TIFS.2021.3109982" TargetMode="External"/><Relationship Id="rId41" Type="http://schemas.openxmlformats.org/officeDocument/2006/relationships/hyperlink" Target="https://doi.org/10.1109/GLOCOMW.2014.7063391"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micpro.2023.104927" TargetMode="External"/><Relationship Id="rId23" Type="http://schemas.openxmlformats.org/officeDocument/2006/relationships/hyperlink" Target="https://doi.org/10.1016/j.compbiomed.2023.106848" TargetMode="External"/><Relationship Id="rId28" Type="http://schemas.openxmlformats.org/officeDocument/2006/relationships/hyperlink" Target="https://doi.org/10.1007/978-3-030-12612-4_5" TargetMode="External"/><Relationship Id="rId36" Type="http://schemas.openxmlformats.org/officeDocument/2006/relationships/hyperlink" Target="https://doi.org/10.1109/TIFS.2016.2562729" TargetMode="External"/><Relationship Id="rId49" Type="http://schemas.openxmlformats.org/officeDocument/2006/relationships/hyperlink" Target="https://doi.org/10.1186/s12910-022-00852-2" TargetMode="External"/><Relationship Id="rId57" Type="http://schemas.openxmlformats.org/officeDocument/2006/relationships/footer" Target="footer3.xml"/><Relationship Id="rId10" Type="http://schemas.openxmlformats.org/officeDocument/2006/relationships/image" Target="media/image4.png"/><Relationship Id="rId31" Type="http://schemas.openxmlformats.org/officeDocument/2006/relationships/hyperlink" Target="https://doi.org/10.1145/3133956.3138822" TargetMode="External"/><Relationship Id="rId44" Type="http://schemas.openxmlformats.org/officeDocument/2006/relationships/hyperlink" Target="https://doi.org/10.1186/s12910-022-00852-2"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6455</Words>
  <Characters>43379</Characters>
  <Application>Microsoft Office Word</Application>
  <DocSecurity>4</DocSecurity>
  <Lines>803</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Oluwaseun Olaniyi</dc:creator>
  <cp:lastModifiedBy>Oluwaseun Olaniyi</cp:lastModifiedBy>
  <cp:revision>2</cp:revision>
  <dcterms:created xsi:type="dcterms:W3CDTF">2025-10-14T17:17:00Z</dcterms:created>
  <dcterms:modified xsi:type="dcterms:W3CDTF">2025-10-14T17:17:00Z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80a69706-8e34-4ab4-b97a-081f4e917610</vt:lpwstr>
  </property>
</Properties>
</file>