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E3BAFA" w14:textId="77777777" w:rsidR="00131608" w:rsidRDefault="00131608" w:rsidP="00F22428">
      <w:pPr>
        <w:pStyle w:val="address"/>
        <w:spacing w:line="360" w:lineRule="auto"/>
        <w:rPr>
          <w:rFonts w:asciiTheme="majorBidi" w:eastAsiaTheme="majorEastAsia" w:hAnsiTheme="majorBidi" w:cstheme="majorBidi"/>
          <w:b/>
          <w:bCs/>
          <w:color w:val="345A8A" w:themeColor="accent1" w:themeShade="B5"/>
          <w:sz w:val="36"/>
          <w:szCs w:val="36"/>
        </w:rPr>
      </w:pPr>
      <w:r w:rsidRPr="00131608">
        <w:rPr>
          <w:rFonts w:asciiTheme="majorBidi" w:eastAsiaTheme="majorEastAsia" w:hAnsiTheme="majorBidi" w:cstheme="majorBidi"/>
          <w:b/>
          <w:bCs/>
          <w:color w:val="345A8A" w:themeColor="accent1" w:themeShade="B5"/>
          <w:sz w:val="36"/>
          <w:szCs w:val="36"/>
        </w:rPr>
        <w:t>Review Article</w:t>
      </w:r>
    </w:p>
    <w:p w14:paraId="5F7E57D7" w14:textId="77777777" w:rsidR="00131608" w:rsidRDefault="00131608" w:rsidP="00F22428">
      <w:pPr>
        <w:pStyle w:val="address"/>
        <w:spacing w:line="360" w:lineRule="auto"/>
        <w:rPr>
          <w:rFonts w:asciiTheme="majorBidi" w:eastAsiaTheme="majorEastAsia" w:hAnsiTheme="majorBidi" w:cstheme="majorBidi"/>
          <w:b/>
          <w:bCs/>
          <w:color w:val="345A8A" w:themeColor="accent1" w:themeShade="B5"/>
          <w:sz w:val="36"/>
          <w:szCs w:val="36"/>
        </w:rPr>
      </w:pPr>
    </w:p>
    <w:p w14:paraId="72358437" w14:textId="7E88C1C3" w:rsidR="00967A51" w:rsidRDefault="00967A51" w:rsidP="00F22428">
      <w:pPr>
        <w:pStyle w:val="address"/>
        <w:spacing w:line="360" w:lineRule="auto"/>
        <w:rPr>
          <w:rFonts w:asciiTheme="majorBidi" w:eastAsiaTheme="majorEastAsia" w:hAnsiTheme="majorBidi" w:cstheme="majorBidi"/>
          <w:b/>
          <w:bCs/>
          <w:color w:val="345A8A" w:themeColor="accent1" w:themeShade="B5"/>
          <w:sz w:val="36"/>
          <w:szCs w:val="36"/>
        </w:rPr>
      </w:pPr>
      <w:r w:rsidRPr="001B60EE">
        <w:rPr>
          <w:rFonts w:asciiTheme="majorBidi" w:eastAsiaTheme="majorEastAsia" w:hAnsiTheme="majorBidi" w:cstheme="majorBidi"/>
          <w:b/>
          <w:bCs/>
          <w:color w:val="345A8A" w:themeColor="accent1" w:themeShade="B5"/>
          <w:sz w:val="36"/>
          <w:szCs w:val="36"/>
        </w:rPr>
        <w:t>Data Sovereignty and Digital Health Transformation in Saudi Arabia: A Review with Policy Implications for Vision 2030</w:t>
      </w:r>
    </w:p>
    <w:p w14:paraId="68E738D0" w14:textId="77777777" w:rsidR="00B346C0" w:rsidRPr="001B60EE" w:rsidRDefault="00B346C0" w:rsidP="00F22428">
      <w:pPr>
        <w:pStyle w:val="address"/>
        <w:spacing w:line="360" w:lineRule="auto"/>
        <w:rPr>
          <w:rFonts w:asciiTheme="majorBidi" w:eastAsiaTheme="majorEastAsia" w:hAnsiTheme="majorBidi" w:cstheme="majorBidi"/>
          <w:b/>
          <w:bCs/>
          <w:color w:val="345A8A" w:themeColor="accent1" w:themeShade="B5"/>
          <w:sz w:val="36"/>
          <w:szCs w:val="36"/>
          <w:rtl/>
        </w:rPr>
      </w:pPr>
    </w:p>
    <w:p w14:paraId="0E73CA9C" w14:textId="62914DBB" w:rsidR="00967A51" w:rsidRPr="001B60EE" w:rsidRDefault="00F502B2" w:rsidP="007F02B1">
      <w:pPr>
        <w:pStyle w:val="BodyText"/>
        <w:jc w:val="both"/>
        <w:rPr>
          <w:rFonts w:asciiTheme="majorBidi" w:hAnsiTheme="majorBidi" w:cstheme="majorBidi"/>
        </w:rPr>
      </w:pPr>
      <w:r w:rsidRPr="001B60EE">
        <w:rPr>
          <w:rFonts w:asciiTheme="majorBidi" w:hAnsiTheme="majorBidi" w:cstheme="majorBidi"/>
          <w:b/>
        </w:rPr>
        <w:t xml:space="preserve">Abstract: </w:t>
      </w:r>
      <w:r w:rsidR="0060310D" w:rsidRPr="0060310D">
        <w:rPr>
          <w:rFonts w:asciiTheme="majorBidi" w:hAnsiTheme="majorBidi" w:cstheme="majorBidi"/>
          <w:bCs/>
        </w:rPr>
        <w:t>The rapid expansion of artificial intelligence (AI) and digital health technologies has made data sovereignty a critical policy concern. In Saudi Arabia, Vision 2030 emphasizes technological innovation, economic diversification, and resilient digital infrastructures, positioning data governance as a foundation for national transformation. This review examines how data sovereignty strategies can support the Kingdom’s digital health transformation while ensuring compliance with international standards. Using a qualitative approach, the study synthesizes policy documents, institutional reports, and peer-reviewed literature. The analysis identifies both enablers and barriers: strong institutions such as the Saudi Data and Artificial Intelligence Authority (SDAIA) and the National Data Management Office (NDMO), alignment of the Personal Data Protection Law (PDPL) with frameworks like the GDPR, but also challenges including rigid intellectual property rules, fragmented cloud data governance, and weak sector-specific policies. The study’s objectives are to clarify these challenges, assess their impact on generative AI adoption, and recommend reforms that align with Vision 2030’s innovation goals. Policy recommendations include adaptive IP frameworks, sector-specific governance models, inter-agency coordination, and public–private partnerships to expand access to lawful datasets. The findings demonstrate that data sovereignty, when strategically designed, functions not as a barrier but as an enabler of secure, scalable, and ethically responsible innovation in healthcare and beyond. This work contributes actionable insights for policymakers, regulators, and researchers in Saudi Arabia and offers lessons for other nations navigating the balance between sovereignty and competitiveness in the digital era</w:t>
      </w:r>
      <w:r w:rsidR="00967A51" w:rsidRPr="001B60EE">
        <w:rPr>
          <w:rFonts w:asciiTheme="majorBidi" w:hAnsiTheme="majorBidi" w:cstheme="majorBidi"/>
        </w:rPr>
        <w:t>.</w:t>
      </w:r>
    </w:p>
    <w:p w14:paraId="1E36D5BC" w14:textId="7A3450F3" w:rsidR="00EC00F9" w:rsidRDefault="00CD702C" w:rsidP="0060310D">
      <w:pPr>
        <w:pStyle w:val="NormalWeb"/>
      </w:pPr>
      <w:r w:rsidRPr="001B60EE">
        <w:rPr>
          <w:rFonts w:asciiTheme="majorBidi" w:hAnsiTheme="majorBidi" w:cstheme="majorBidi"/>
          <w:b/>
        </w:rPr>
        <w:t>Keywords</w:t>
      </w:r>
      <w:r w:rsidRPr="001B60EE">
        <w:rPr>
          <w:rFonts w:asciiTheme="majorBidi" w:hAnsiTheme="majorBidi" w:cstheme="majorBidi"/>
        </w:rPr>
        <w:t xml:space="preserve">: </w:t>
      </w:r>
      <w:r w:rsidR="0060310D">
        <w:t>Data Sovereignty; Digital Health; Vision 2030; Saudi Arabia; Artificial Intelligence; Generative AI; Data Governance; Policy Reform; Personal Data Protection Law (PDPL); AI Governance</w:t>
      </w:r>
    </w:p>
    <w:p w14:paraId="6B87F39D" w14:textId="77777777" w:rsidR="00DF5F41" w:rsidRDefault="00DF5F41" w:rsidP="0060310D">
      <w:pPr>
        <w:pStyle w:val="NormalWeb"/>
      </w:pPr>
    </w:p>
    <w:p w14:paraId="7CAC4A5A" w14:textId="77777777" w:rsidR="00DF5F41" w:rsidRPr="0060310D" w:rsidRDefault="00DF5F41" w:rsidP="0060310D">
      <w:pPr>
        <w:pStyle w:val="NormalWeb"/>
      </w:pPr>
    </w:p>
    <w:p w14:paraId="6D502306" w14:textId="231AE5A2" w:rsidR="0060310D" w:rsidRDefault="0060310D" w:rsidP="0060310D">
      <w:pPr>
        <w:pStyle w:val="Heading1"/>
      </w:pPr>
      <w:r>
        <w:lastRenderedPageBreak/>
        <w:t>1. Introduction</w:t>
      </w:r>
    </w:p>
    <w:p w14:paraId="365C936B" w14:textId="77777777" w:rsidR="0060310D" w:rsidRDefault="0060310D" w:rsidP="0060310D">
      <w:pPr>
        <w:pStyle w:val="NormalWeb"/>
        <w:jc w:val="both"/>
      </w:pPr>
      <w:r>
        <w:t xml:space="preserve">The rapid advancement of artificial intelligence (AI), particularly generative AI technologies, has brought data governance and data sovereignty to the forefront of national policy agendas [1,2]. As countries seek to leverage AI for economic growth and technological leadership, the ability to manage, protect, and govern data within national borders—commonly referred to as </w:t>
      </w:r>
      <w:r>
        <w:rPr>
          <w:rStyle w:val="Emphasis"/>
        </w:rPr>
        <w:t>data sovereignty</w:t>
      </w:r>
      <w:r>
        <w:t>—has become a strategic imperative [3].</w:t>
      </w:r>
    </w:p>
    <w:p w14:paraId="18903BA0" w14:textId="77777777" w:rsidR="0060310D" w:rsidRDefault="0060310D" w:rsidP="0060310D">
      <w:pPr>
        <w:pStyle w:val="NormalWeb"/>
        <w:jc w:val="both"/>
      </w:pPr>
      <w:r>
        <w:t xml:space="preserve">In Saudi Arabia, where digital transformation is central to national development, data is increasingly recognized as a critical asset. The Kingdom’s </w:t>
      </w:r>
      <w:r>
        <w:rPr>
          <w:rStyle w:val="Strong"/>
        </w:rPr>
        <w:t>Vision 2030</w:t>
      </w:r>
      <w:r>
        <w:t xml:space="preserve">—a comprehensive roadmap for economic diversification and innovation—highlights the importance of building a knowledge-based economy driven by advanced technologies such as AI [4]. To this end, institutions such as the </w:t>
      </w:r>
      <w:r>
        <w:rPr>
          <w:rStyle w:val="Strong"/>
        </w:rPr>
        <w:t>Saudi Data and Artificial Intelligence Authority (SDAIA)</w:t>
      </w:r>
      <w:r>
        <w:t xml:space="preserve"> and the </w:t>
      </w:r>
      <w:r>
        <w:rPr>
          <w:rStyle w:val="Strong"/>
        </w:rPr>
        <w:t>National Data Management Office (NDMO)</w:t>
      </w:r>
      <w:r>
        <w:t xml:space="preserve"> have been established, alongside initiatives such as the </w:t>
      </w:r>
      <w:r>
        <w:rPr>
          <w:rStyle w:val="Strong"/>
        </w:rPr>
        <w:t>National Strategy for Data and AI (NSDAI)</w:t>
      </w:r>
      <w:r>
        <w:t>, to foster responsible data use and AI innovation [5,6].</w:t>
      </w:r>
    </w:p>
    <w:p w14:paraId="369E0754" w14:textId="0450996F" w:rsidR="0060310D" w:rsidRDefault="0060310D" w:rsidP="0060310D">
      <w:pPr>
        <w:pStyle w:val="NormalWeb"/>
        <w:jc w:val="both"/>
      </w:pPr>
      <w:r>
        <w:t xml:space="preserve">Generative AI, with its capacity to produce text, images, audio, and even code, relies heavily on vast and diverse datasets [7]. However, without robust data governance frameworks that balance access with security and privacy, the potential of these technologies may be constrained [8]. Effective </w:t>
      </w:r>
      <w:proofErr w:type="gramStart"/>
      <w:r>
        <w:t>strategies—</w:t>
      </w:r>
      <w:proofErr w:type="gramEnd"/>
      <w:r>
        <w:t xml:space="preserve">including adaptive licensing models, open data initiatives, and secure national data </w:t>
      </w:r>
      <w:proofErr w:type="gramStart"/>
      <w:r>
        <w:t>infrastructures—</w:t>
      </w:r>
      <w:proofErr w:type="gramEnd"/>
      <w:r>
        <w:t>are essential to unlocking generative AI’s potential while aligning it with national values and objectives [9].</w:t>
      </w:r>
    </w:p>
    <w:p w14:paraId="678BF61C" w14:textId="77777777" w:rsidR="0060310D" w:rsidRDefault="0060310D" w:rsidP="0060310D">
      <w:pPr>
        <w:pStyle w:val="Heading2"/>
      </w:pPr>
      <w:r>
        <w:t>1.1 Problem Statement</w:t>
      </w:r>
    </w:p>
    <w:p w14:paraId="7F6D6CC8" w14:textId="77777777" w:rsidR="0060310D" w:rsidRDefault="0060310D" w:rsidP="0060310D">
      <w:pPr>
        <w:pStyle w:val="NormalWeb"/>
        <w:jc w:val="both"/>
      </w:pPr>
      <w:r>
        <w:t>Despite significant investments in AI infrastructure, regulatory frameworks, and digital transformation initiatives, Saudi Arabia faces challenges in aligning data governance policies with the practical needs of generative AI development. Issues such as restrictive intellectual property laws, fragmented cloud data governance, cybersecurity risks, and limited inter-agency data sharing mechanisms continue to impede progress [10,11].</w:t>
      </w:r>
    </w:p>
    <w:p w14:paraId="416B4E42" w14:textId="215668AA" w:rsidR="0060310D" w:rsidRDefault="0060310D" w:rsidP="0060310D">
      <w:pPr>
        <w:pStyle w:val="NormalWeb"/>
        <w:jc w:val="both"/>
      </w:pPr>
      <w:r>
        <w:t>This study explores how data sovereignty strategies—when effectively designed and implemented—can bridge these gaps and support the realization of Vision 2030’s goals related to innovation, competitiveness, and economic diversification through generative AI.</w:t>
      </w:r>
    </w:p>
    <w:p w14:paraId="5FEA6AA2" w14:textId="26BDABD4" w:rsidR="00DF5F41" w:rsidRPr="00DF5F41" w:rsidRDefault="00DF5F41" w:rsidP="00DF5F41">
      <w:pPr>
        <w:pStyle w:val="Heading3"/>
        <w:rPr>
          <w:rFonts w:asciiTheme="majorBidi" w:hAnsiTheme="majorBidi"/>
        </w:rPr>
      </w:pPr>
      <w:r>
        <w:rPr>
          <w:rFonts w:asciiTheme="majorBidi" w:hAnsiTheme="majorBidi"/>
        </w:rPr>
        <w:t xml:space="preserve">1.1.1 </w:t>
      </w:r>
      <w:r w:rsidR="0060310D" w:rsidRPr="00DF5F41">
        <w:rPr>
          <w:rFonts w:asciiTheme="majorBidi" w:hAnsiTheme="majorBidi"/>
        </w:rPr>
        <w:t>Novelty of the Study</w:t>
      </w:r>
    </w:p>
    <w:p w14:paraId="4BD46F9F" w14:textId="289DAA27" w:rsidR="0060310D" w:rsidRDefault="0060310D" w:rsidP="00DF5F41">
      <w:pPr>
        <w:pStyle w:val="BodyText"/>
        <w:jc w:val="both"/>
      </w:pPr>
      <w:r w:rsidRPr="0060310D">
        <w:t>While several studies have examined data sovereignty in general digital governance contexts, very few have focused specifically on the intersection of data sovereignty and generative AI in Saudi Arabia. This review addresses that gap by providing a comprehensive synthesis of national policies, institutional structures, and sectoral applications, uniquely aligning them with the Vision 2030 transformation agenda. The novelty of this study lies in its integrated analysis of legal frameworks, governance mechanisms, and innovation goals, which has not been systematically explored in prior literature.</w:t>
      </w:r>
      <w:r w:rsidRPr="0060310D">
        <w:t xml:space="preserve"> </w:t>
      </w:r>
      <w:r w:rsidRPr="0060310D">
        <w:t xml:space="preserve">Importantly, this study also extends its scope by comparing Saudi Arabia’s </w:t>
      </w:r>
      <w:r w:rsidRPr="0060310D">
        <w:lastRenderedPageBreak/>
        <w:t>evolving frameworks with international best practices such as the GDPR (European Union), HIPAA (United States health sector), and governance models from Southeast Asia and neighboring Gulf nations. This comparative approach clarifies how Saudi strategies build on, but also diverge from, existing systems worldwide.</w:t>
      </w:r>
    </w:p>
    <w:p w14:paraId="2FCB0DCA" w14:textId="77777777" w:rsidR="0060310D" w:rsidRDefault="0060310D" w:rsidP="0060310D">
      <w:pPr>
        <w:pStyle w:val="Heading2"/>
      </w:pPr>
      <w:r>
        <w:t>1.2 Research Objectives and Significance</w:t>
      </w:r>
    </w:p>
    <w:p w14:paraId="1BDCCEDC" w14:textId="77777777" w:rsidR="0060310D" w:rsidRDefault="0060310D" w:rsidP="0060310D">
      <w:pPr>
        <w:pStyle w:val="NormalWeb"/>
      </w:pPr>
      <w:r>
        <w:t>The primary objectives of this study are to:</w:t>
      </w:r>
    </w:p>
    <w:p w14:paraId="00F8848C" w14:textId="77777777" w:rsidR="0060310D" w:rsidRDefault="0060310D" w:rsidP="0060310D">
      <w:pPr>
        <w:pStyle w:val="NormalWeb"/>
        <w:numPr>
          <w:ilvl w:val="0"/>
          <w:numId w:val="27"/>
        </w:numPr>
      </w:pPr>
      <w:r>
        <w:t>Analyze current data sovereignty strategies relevant to generative AI in Saudi Arabia.</w:t>
      </w:r>
    </w:p>
    <w:p w14:paraId="5901B24B" w14:textId="77777777" w:rsidR="0060310D" w:rsidRDefault="0060310D" w:rsidP="0060310D">
      <w:pPr>
        <w:pStyle w:val="NormalWeb"/>
        <w:numPr>
          <w:ilvl w:val="0"/>
          <w:numId w:val="27"/>
        </w:numPr>
      </w:pPr>
      <w:r>
        <w:t>Examine how these strategies align with and support the technological innovation goals outlined in Vision 2030.</w:t>
      </w:r>
    </w:p>
    <w:p w14:paraId="3121D35F" w14:textId="77777777" w:rsidR="0060310D" w:rsidRDefault="0060310D" w:rsidP="0060310D">
      <w:pPr>
        <w:pStyle w:val="NormalWeb"/>
        <w:numPr>
          <w:ilvl w:val="0"/>
          <w:numId w:val="27"/>
        </w:numPr>
      </w:pPr>
      <w:r>
        <w:t>Identify key barriers and enablers influencing the implementation of effective data governance frameworks.</w:t>
      </w:r>
    </w:p>
    <w:p w14:paraId="79B6A692" w14:textId="77777777" w:rsidR="0060310D" w:rsidRDefault="0060310D" w:rsidP="0060310D">
      <w:pPr>
        <w:pStyle w:val="NormalWeb"/>
        <w:numPr>
          <w:ilvl w:val="0"/>
          <w:numId w:val="27"/>
        </w:numPr>
      </w:pPr>
      <w:r>
        <w:t>Evaluate the role of national institutions, such as SDAIA and the NDMO, in facilitating secure and efficient data use.</w:t>
      </w:r>
    </w:p>
    <w:p w14:paraId="6F211EAE" w14:textId="77777777" w:rsidR="0060310D" w:rsidRDefault="0060310D" w:rsidP="0060310D">
      <w:pPr>
        <w:pStyle w:val="NormalWeb"/>
        <w:numPr>
          <w:ilvl w:val="0"/>
          <w:numId w:val="27"/>
        </w:numPr>
      </w:pPr>
      <w:r>
        <w:t>Recommend policy, legal, and technological reforms to enhance the Kingdom’s readiness for generative AI development under Vision 2030.</w:t>
      </w:r>
    </w:p>
    <w:p w14:paraId="5941C088" w14:textId="51D2976F" w:rsidR="0060310D" w:rsidRDefault="0060310D" w:rsidP="0060310D">
      <w:pPr>
        <w:pStyle w:val="NormalWeb"/>
        <w:jc w:val="both"/>
      </w:pPr>
      <w:r>
        <w:t>This research contributes to the growing discourse on the intersection of data sovereignty and AI innovation. By focusing on the Saudi Arabian context, it provides actionable insights for policymakers, regulators, and technology stakeholders aiming to align AI advancements with national development priorities [12]. Furthermore, the findings offer valuable lessons for other nations navigating the complex balance between digital sovereignty and global competitiveness in an era of data-driven innovation [13].</w:t>
      </w:r>
    </w:p>
    <w:p w14:paraId="4A840EA7" w14:textId="77777777" w:rsidR="0060310D" w:rsidRDefault="0060310D" w:rsidP="0060310D">
      <w:pPr>
        <w:pStyle w:val="Heading2"/>
      </w:pPr>
      <w:r>
        <w:t>1.3 Research Questions</w:t>
      </w:r>
    </w:p>
    <w:p w14:paraId="4732F010" w14:textId="77777777" w:rsidR="0060310D" w:rsidRDefault="0060310D" w:rsidP="0060310D">
      <w:pPr>
        <w:pStyle w:val="NormalWeb"/>
      </w:pPr>
      <w:r>
        <w:t>The central research question guiding this study is:</w:t>
      </w:r>
    </w:p>
    <w:p w14:paraId="08307606" w14:textId="77777777" w:rsidR="0060310D" w:rsidRDefault="0060310D" w:rsidP="0060310D">
      <w:pPr>
        <w:pStyle w:val="NormalWeb"/>
      </w:pPr>
      <w:r>
        <w:rPr>
          <w:rStyle w:val="Strong"/>
        </w:rPr>
        <w:t>How can data sovereignty strategies in generative AI support the technological innovation goals of Saudi Arabia’s Vision 2030?</w:t>
      </w:r>
    </w:p>
    <w:p w14:paraId="462C8059" w14:textId="77777777" w:rsidR="0060310D" w:rsidRDefault="0060310D" w:rsidP="0060310D">
      <w:pPr>
        <w:pStyle w:val="NormalWeb"/>
      </w:pPr>
      <w:r>
        <w:t>Subsidiary questions include:</w:t>
      </w:r>
    </w:p>
    <w:p w14:paraId="3444AAB4" w14:textId="77777777" w:rsidR="0060310D" w:rsidRDefault="0060310D" w:rsidP="0060310D">
      <w:pPr>
        <w:pStyle w:val="NormalWeb"/>
        <w:numPr>
          <w:ilvl w:val="0"/>
          <w:numId w:val="28"/>
        </w:numPr>
      </w:pPr>
      <w:r>
        <w:t>What are the current legal, institutional, and technological frameworks governing AI and data in Saudi Arabia?</w:t>
      </w:r>
    </w:p>
    <w:p w14:paraId="49558319" w14:textId="77777777" w:rsidR="0060310D" w:rsidRDefault="0060310D" w:rsidP="0060310D">
      <w:pPr>
        <w:pStyle w:val="NormalWeb"/>
        <w:numPr>
          <w:ilvl w:val="0"/>
          <w:numId w:val="28"/>
        </w:numPr>
      </w:pPr>
      <w:r>
        <w:t>How do these frameworks enable or constrain the development of generative AI?</w:t>
      </w:r>
    </w:p>
    <w:p w14:paraId="58A82DA8" w14:textId="6E74F660" w:rsidR="0060310D" w:rsidRDefault="0060310D" w:rsidP="0060310D">
      <w:pPr>
        <w:pStyle w:val="NormalWeb"/>
        <w:numPr>
          <w:ilvl w:val="0"/>
          <w:numId w:val="28"/>
        </w:numPr>
      </w:pPr>
      <w:r>
        <w:t xml:space="preserve">What </w:t>
      </w:r>
      <w:proofErr w:type="gramStart"/>
      <w:r>
        <w:t>international best</w:t>
      </w:r>
      <w:proofErr w:type="gramEnd"/>
      <w:r>
        <w:t xml:space="preserve"> practices can be adapted to promote innovation while maintaining data control and privacy?</w:t>
      </w:r>
    </w:p>
    <w:p w14:paraId="1BFAE0DE" w14:textId="5A85F4AB" w:rsidR="00DF5F41" w:rsidRDefault="00DF5F41" w:rsidP="00DF5F41">
      <w:pPr>
        <w:pStyle w:val="NormalWeb"/>
        <w:jc w:val="both"/>
      </w:pPr>
      <w:r w:rsidRPr="00DF5F41">
        <w:t>The chosen keywords—Data Sovereignty, Digital Health, Vision 2030, Artificial Intelligence, Generative AI, and Policy Reform—reflect the intersection of national strategy and technological innovation, ensuring the study’s scope is both policy-relevant and technically grounded.</w:t>
      </w:r>
    </w:p>
    <w:p w14:paraId="46EC6CC2" w14:textId="77777777" w:rsidR="0060310D" w:rsidRDefault="0060310D" w:rsidP="0060310D">
      <w:pPr>
        <w:pStyle w:val="Heading2"/>
      </w:pPr>
      <w:r>
        <w:lastRenderedPageBreak/>
        <w:t>1.4 Research Gaps</w:t>
      </w:r>
    </w:p>
    <w:p w14:paraId="77152970" w14:textId="77777777" w:rsidR="0060310D" w:rsidRDefault="0060310D" w:rsidP="0060310D">
      <w:pPr>
        <w:pStyle w:val="NormalWeb"/>
      </w:pPr>
      <w:r>
        <w:t>Beyond the identified limitations, three critical research gaps remain:</w:t>
      </w:r>
    </w:p>
    <w:p w14:paraId="01E39B29" w14:textId="77777777" w:rsidR="0060310D" w:rsidRDefault="0060310D" w:rsidP="0060310D">
      <w:pPr>
        <w:pStyle w:val="NormalWeb"/>
        <w:numPr>
          <w:ilvl w:val="0"/>
          <w:numId w:val="29"/>
        </w:numPr>
      </w:pPr>
      <w:r>
        <w:rPr>
          <w:rStyle w:val="Strong"/>
        </w:rPr>
        <w:t>Comparative Analysis:</w:t>
      </w:r>
      <w:r>
        <w:t xml:space="preserve"> There is insufficient comparative work situating Saudi data sovereignty within the broader experiences of Southeast Asia and neighboring Gulf nations.</w:t>
      </w:r>
    </w:p>
    <w:p w14:paraId="13C435E9" w14:textId="77777777" w:rsidR="0060310D" w:rsidRDefault="0060310D" w:rsidP="0060310D">
      <w:pPr>
        <w:pStyle w:val="NormalWeb"/>
        <w:numPr>
          <w:ilvl w:val="0"/>
          <w:numId w:val="29"/>
        </w:numPr>
      </w:pPr>
      <w:r>
        <w:rPr>
          <w:rStyle w:val="Strong"/>
        </w:rPr>
        <w:t>Policy Enforcement:</w:t>
      </w:r>
      <w:r>
        <w:t xml:space="preserve"> While frameworks such as the </w:t>
      </w:r>
      <w:r>
        <w:rPr>
          <w:rStyle w:val="Strong"/>
        </w:rPr>
        <w:t>Personal Data Protection Law (PDPL)</w:t>
      </w:r>
      <w:r>
        <w:t xml:space="preserve"> are aligned with the GDPR, empirical studies assessing their enforcement and impact on innovation are limited.</w:t>
      </w:r>
    </w:p>
    <w:p w14:paraId="6954E018" w14:textId="77777777" w:rsidR="0060310D" w:rsidRDefault="0060310D" w:rsidP="0060310D">
      <w:pPr>
        <w:pStyle w:val="NormalWeb"/>
        <w:numPr>
          <w:ilvl w:val="0"/>
          <w:numId w:val="29"/>
        </w:numPr>
      </w:pPr>
      <w:r>
        <w:rPr>
          <w:rStyle w:val="Strong"/>
        </w:rPr>
        <w:t>Sectoral Diversity:</w:t>
      </w:r>
      <w:r>
        <w:t xml:space="preserve"> Case studies outside health and labor—particularly in education, finance, and energy—are largely missing, restricting a holistic understanding of data sovereignty’s impact.</w:t>
      </w:r>
    </w:p>
    <w:p w14:paraId="7825EF41" w14:textId="00331681" w:rsidR="0060310D" w:rsidRPr="0060310D" w:rsidRDefault="0060310D" w:rsidP="0060310D">
      <w:pPr>
        <w:pStyle w:val="NormalWeb"/>
        <w:jc w:val="both"/>
        <w:rPr>
          <w:rFonts w:asciiTheme="majorBidi" w:hAnsiTheme="majorBidi" w:cstheme="majorBidi"/>
        </w:rPr>
      </w:pPr>
      <w:r>
        <w:t>Addressing these gaps will enable a more comprehensive view of how data sovereignty can accelerate or hinder AI adoption under Vision 2030.</w:t>
      </w:r>
      <w:r>
        <w:t xml:space="preserve"> </w:t>
      </w:r>
      <w:r w:rsidRPr="001B60EE">
        <w:rPr>
          <w:rFonts w:asciiTheme="majorBidi" w:hAnsiTheme="majorBidi" w:cstheme="majorBidi"/>
        </w:rPr>
        <w:t xml:space="preserve">Gaps </w:t>
      </w:r>
      <w:proofErr w:type="gramStart"/>
      <w:r w:rsidRPr="001B60EE">
        <w:rPr>
          <w:rFonts w:asciiTheme="majorBidi" w:hAnsiTheme="majorBidi" w:cstheme="majorBidi"/>
        </w:rPr>
        <w:t>include:</w:t>
      </w:r>
      <w:proofErr w:type="gramEnd"/>
      <w:r w:rsidRPr="001B60EE">
        <w:rPr>
          <w:rFonts w:asciiTheme="majorBidi" w:hAnsiTheme="majorBidi" w:cstheme="majorBidi"/>
        </w:rPr>
        <w:t xml:space="preserve"> limited empirical work on the economic impact of data sovereignty; few cross-sector analyses beyond health and labor; insufficient evaluation of cross-border data-flow policies in the Gulf; sparse citizen-engagement research; limited assessment of sector-specific models; and inadequate study of bias-mitigation within sovereign AI frameworks [22,24–31].</w:t>
      </w:r>
    </w:p>
    <w:p w14:paraId="2CCA25A8" w14:textId="4CD11237" w:rsidR="0060310D" w:rsidRDefault="0060310D" w:rsidP="0060310D">
      <w:pPr>
        <w:pStyle w:val="Caption"/>
        <w:keepNext/>
      </w:pPr>
      <w:r>
        <w:t xml:space="preserve">Table </w:t>
      </w:r>
      <w:fldSimple w:instr=" SEQ Table \* ARABIC ">
        <w:r w:rsidR="00F204C6">
          <w:rPr>
            <w:noProof/>
          </w:rPr>
          <w:t>1</w:t>
        </w:r>
      </w:fldSimple>
      <w:r>
        <w:t xml:space="preserve">: </w:t>
      </w:r>
      <w:r w:rsidR="00DF5F41" w:rsidRPr="00DF5F41">
        <w:t xml:space="preserve">Research Gaps in </w:t>
      </w:r>
      <w:proofErr w:type="gramStart"/>
      <w:r w:rsidR="00DF5F41" w:rsidRPr="00DF5F41">
        <w:t>the Literature</w:t>
      </w:r>
      <w:proofErr w:type="gramEnd"/>
      <w:r w:rsidR="00DF5F41" w:rsidRPr="00DF5F41">
        <w:t xml:space="preserve"> and Contributions </w:t>
      </w:r>
      <w:proofErr w:type="gramStart"/>
      <w:r w:rsidR="00DF5F41" w:rsidRPr="00DF5F41">
        <w:t>of</w:t>
      </w:r>
      <w:proofErr w:type="gramEnd"/>
      <w:r w:rsidR="00DF5F41" w:rsidRPr="00DF5F41">
        <w:t xml:space="preserve"> This Study</w:t>
      </w:r>
    </w:p>
    <w:tbl>
      <w:tblPr>
        <w:tblStyle w:val="PlainTable1"/>
        <w:tblW w:w="0" w:type="auto"/>
        <w:tblLook w:val="04A0" w:firstRow="1" w:lastRow="0" w:firstColumn="1" w:lastColumn="0" w:noHBand="0" w:noVBand="1"/>
      </w:tblPr>
      <w:tblGrid>
        <w:gridCol w:w="3315"/>
        <w:gridCol w:w="3148"/>
        <w:gridCol w:w="3113"/>
      </w:tblGrid>
      <w:tr w:rsidR="0060310D" w:rsidRPr="0060310D" w14:paraId="23945FD3" w14:textId="77777777" w:rsidTr="00603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88E54D" w14:textId="77777777" w:rsidR="0060310D" w:rsidRPr="0060310D" w:rsidRDefault="0060310D" w:rsidP="0060310D">
            <w:pPr>
              <w:jc w:val="center"/>
              <w:rPr>
                <w:rFonts w:ascii="Times New Roman" w:eastAsia="Times New Roman" w:hAnsi="Times New Roman" w:cs="Times New Roman"/>
              </w:rPr>
            </w:pPr>
            <w:r w:rsidRPr="0060310D">
              <w:rPr>
                <w:rFonts w:ascii="Times New Roman" w:eastAsia="Times New Roman" w:hAnsi="Times New Roman" w:cs="Times New Roman"/>
              </w:rPr>
              <w:t>Research Gap Identified</w:t>
            </w:r>
          </w:p>
        </w:tc>
        <w:tc>
          <w:tcPr>
            <w:tcW w:w="0" w:type="auto"/>
            <w:hideMark/>
          </w:tcPr>
          <w:p w14:paraId="1CD16AC8" w14:textId="77777777" w:rsidR="0060310D" w:rsidRPr="0060310D" w:rsidRDefault="0060310D" w:rsidP="006031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0310D">
              <w:rPr>
                <w:rFonts w:ascii="Times New Roman" w:eastAsia="Times New Roman" w:hAnsi="Times New Roman" w:cs="Times New Roman"/>
              </w:rPr>
              <w:t>Evidence in Literature</w:t>
            </w:r>
          </w:p>
        </w:tc>
        <w:tc>
          <w:tcPr>
            <w:tcW w:w="0" w:type="auto"/>
            <w:hideMark/>
          </w:tcPr>
          <w:p w14:paraId="28FA40CA" w14:textId="77777777" w:rsidR="0060310D" w:rsidRPr="0060310D" w:rsidRDefault="0060310D" w:rsidP="006031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0310D">
              <w:rPr>
                <w:rFonts w:ascii="Times New Roman" w:eastAsia="Times New Roman" w:hAnsi="Times New Roman" w:cs="Times New Roman"/>
              </w:rPr>
              <w:t>Contribution of This Study</w:t>
            </w:r>
          </w:p>
        </w:tc>
      </w:tr>
      <w:tr w:rsidR="0060310D" w:rsidRPr="0060310D" w14:paraId="6F6CB62F" w14:textId="77777777" w:rsidTr="00603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2CDE59" w14:textId="77777777" w:rsidR="0060310D" w:rsidRPr="0060310D" w:rsidRDefault="0060310D" w:rsidP="0060310D">
            <w:pPr>
              <w:rPr>
                <w:rFonts w:ascii="Times New Roman" w:eastAsia="Times New Roman" w:hAnsi="Times New Roman" w:cs="Times New Roman"/>
              </w:rPr>
            </w:pPr>
            <w:r w:rsidRPr="0060310D">
              <w:rPr>
                <w:rFonts w:ascii="Times New Roman" w:eastAsia="Times New Roman" w:hAnsi="Times New Roman" w:cs="Times New Roman"/>
              </w:rPr>
              <w:t>Lack of comparative analysis of Saudi Arabia’s data sovereignty with other regions</w:t>
            </w:r>
          </w:p>
        </w:tc>
        <w:tc>
          <w:tcPr>
            <w:tcW w:w="0" w:type="auto"/>
            <w:hideMark/>
          </w:tcPr>
          <w:p w14:paraId="6A5AB4C0" w14:textId="77777777" w:rsidR="0060310D" w:rsidRPr="0060310D" w:rsidRDefault="0060310D" w:rsidP="006031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0310D">
              <w:rPr>
                <w:rFonts w:ascii="Times New Roman" w:eastAsia="Times New Roman" w:hAnsi="Times New Roman" w:cs="Times New Roman"/>
              </w:rPr>
              <w:t>Most studies focus only on Saudi Arabia’s domestic frameworks; few examine Gulf or Southeast Asian models [22,24]</w:t>
            </w:r>
          </w:p>
        </w:tc>
        <w:tc>
          <w:tcPr>
            <w:tcW w:w="0" w:type="auto"/>
            <w:hideMark/>
          </w:tcPr>
          <w:p w14:paraId="34D52156" w14:textId="77777777" w:rsidR="0060310D" w:rsidRPr="0060310D" w:rsidRDefault="0060310D" w:rsidP="006031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0310D">
              <w:rPr>
                <w:rFonts w:ascii="Times New Roman" w:eastAsia="Times New Roman" w:hAnsi="Times New Roman" w:cs="Times New Roman"/>
              </w:rPr>
              <w:t>Provides comparative discussion with GDPR (EU), HIPAA (US), and selected Gulf/Southeast Asian governance models</w:t>
            </w:r>
          </w:p>
        </w:tc>
      </w:tr>
      <w:tr w:rsidR="0060310D" w:rsidRPr="0060310D" w14:paraId="1FF7C197" w14:textId="77777777" w:rsidTr="0060310D">
        <w:tc>
          <w:tcPr>
            <w:cnfStyle w:val="001000000000" w:firstRow="0" w:lastRow="0" w:firstColumn="1" w:lastColumn="0" w:oddVBand="0" w:evenVBand="0" w:oddHBand="0" w:evenHBand="0" w:firstRowFirstColumn="0" w:firstRowLastColumn="0" w:lastRowFirstColumn="0" w:lastRowLastColumn="0"/>
            <w:tcW w:w="0" w:type="auto"/>
            <w:hideMark/>
          </w:tcPr>
          <w:p w14:paraId="38961007" w14:textId="77777777" w:rsidR="0060310D" w:rsidRPr="0060310D" w:rsidRDefault="0060310D" w:rsidP="0060310D">
            <w:pPr>
              <w:rPr>
                <w:rFonts w:ascii="Times New Roman" w:eastAsia="Times New Roman" w:hAnsi="Times New Roman" w:cs="Times New Roman"/>
              </w:rPr>
            </w:pPr>
            <w:r w:rsidRPr="0060310D">
              <w:rPr>
                <w:rFonts w:ascii="Times New Roman" w:eastAsia="Times New Roman" w:hAnsi="Times New Roman" w:cs="Times New Roman"/>
              </w:rPr>
              <w:t>Limited evaluation of PDPL enforcement and its impact on innovation</w:t>
            </w:r>
          </w:p>
        </w:tc>
        <w:tc>
          <w:tcPr>
            <w:tcW w:w="0" w:type="auto"/>
            <w:hideMark/>
          </w:tcPr>
          <w:p w14:paraId="6FF1A632" w14:textId="77777777" w:rsidR="0060310D" w:rsidRPr="0060310D" w:rsidRDefault="0060310D" w:rsidP="00603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0310D">
              <w:rPr>
                <w:rFonts w:ascii="Times New Roman" w:eastAsia="Times New Roman" w:hAnsi="Times New Roman" w:cs="Times New Roman"/>
              </w:rPr>
              <w:t>Existing works note PDPL–GDPR alignment but rarely assess implementation outcomes [27,28]</w:t>
            </w:r>
          </w:p>
        </w:tc>
        <w:tc>
          <w:tcPr>
            <w:tcW w:w="0" w:type="auto"/>
            <w:hideMark/>
          </w:tcPr>
          <w:p w14:paraId="2481BB36" w14:textId="77777777" w:rsidR="0060310D" w:rsidRPr="0060310D" w:rsidRDefault="0060310D" w:rsidP="00603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0310D">
              <w:rPr>
                <w:rFonts w:ascii="Times New Roman" w:eastAsia="Times New Roman" w:hAnsi="Times New Roman" w:cs="Times New Roman"/>
              </w:rPr>
              <w:t>Critically analyzes PDPL’s enforcement challenges and links them to generative AI readiness under Vision 2030</w:t>
            </w:r>
          </w:p>
        </w:tc>
      </w:tr>
      <w:tr w:rsidR="0060310D" w:rsidRPr="0060310D" w14:paraId="0B49E511" w14:textId="77777777" w:rsidTr="00603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CA6F74" w14:textId="77777777" w:rsidR="0060310D" w:rsidRPr="0060310D" w:rsidRDefault="0060310D" w:rsidP="0060310D">
            <w:pPr>
              <w:rPr>
                <w:rFonts w:ascii="Times New Roman" w:eastAsia="Times New Roman" w:hAnsi="Times New Roman" w:cs="Times New Roman"/>
              </w:rPr>
            </w:pPr>
            <w:r w:rsidRPr="0060310D">
              <w:rPr>
                <w:rFonts w:ascii="Times New Roman" w:eastAsia="Times New Roman" w:hAnsi="Times New Roman" w:cs="Times New Roman"/>
              </w:rPr>
              <w:t>Narrow sectoral focus (mainly health and labor)</w:t>
            </w:r>
          </w:p>
        </w:tc>
        <w:tc>
          <w:tcPr>
            <w:tcW w:w="0" w:type="auto"/>
            <w:hideMark/>
          </w:tcPr>
          <w:p w14:paraId="3722BEC9" w14:textId="77777777" w:rsidR="0060310D" w:rsidRPr="0060310D" w:rsidRDefault="0060310D" w:rsidP="006031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0310D">
              <w:rPr>
                <w:rFonts w:ascii="Times New Roman" w:eastAsia="Times New Roman" w:hAnsi="Times New Roman" w:cs="Times New Roman"/>
              </w:rPr>
              <w:t>Case studies center on health data governance and AI in employment [26,30,31]</w:t>
            </w:r>
          </w:p>
        </w:tc>
        <w:tc>
          <w:tcPr>
            <w:tcW w:w="0" w:type="auto"/>
            <w:hideMark/>
          </w:tcPr>
          <w:p w14:paraId="4AFDF26C" w14:textId="77777777" w:rsidR="0060310D" w:rsidRPr="0060310D" w:rsidRDefault="0060310D" w:rsidP="006031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0310D">
              <w:rPr>
                <w:rFonts w:ascii="Times New Roman" w:eastAsia="Times New Roman" w:hAnsi="Times New Roman" w:cs="Times New Roman"/>
              </w:rPr>
              <w:t>Expands the scope by including implications for education, finance, and national security sectors</w:t>
            </w:r>
          </w:p>
        </w:tc>
      </w:tr>
      <w:tr w:rsidR="0060310D" w:rsidRPr="0060310D" w14:paraId="74E31448" w14:textId="77777777" w:rsidTr="0060310D">
        <w:tc>
          <w:tcPr>
            <w:cnfStyle w:val="001000000000" w:firstRow="0" w:lastRow="0" w:firstColumn="1" w:lastColumn="0" w:oddVBand="0" w:evenVBand="0" w:oddHBand="0" w:evenHBand="0" w:firstRowFirstColumn="0" w:firstRowLastColumn="0" w:lastRowFirstColumn="0" w:lastRowLastColumn="0"/>
            <w:tcW w:w="0" w:type="auto"/>
            <w:hideMark/>
          </w:tcPr>
          <w:p w14:paraId="2CE569C2" w14:textId="77777777" w:rsidR="0060310D" w:rsidRPr="0060310D" w:rsidRDefault="0060310D" w:rsidP="0060310D">
            <w:pPr>
              <w:rPr>
                <w:rFonts w:ascii="Times New Roman" w:eastAsia="Times New Roman" w:hAnsi="Times New Roman" w:cs="Times New Roman"/>
              </w:rPr>
            </w:pPr>
            <w:r w:rsidRPr="0060310D">
              <w:rPr>
                <w:rFonts w:ascii="Times New Roman" w:eastAsia="Times New Roman" w:hAnsi="Times New Roman" w:cs="Times New Roman"/>
              </w:rPr>
              <w:t>Sparse evidence on citizen engagement and trust in sovereign AI systems</w:t>
            </w:r>
          </w:p>
        </w:tc>
        <w:tc>
          <w:tcPr>
            <w:tcW w:w="0" w:type="auto"/>
            <w:hideMark/>
          </w:tcPr>
          <w:p w14:paraId="7817143C" w14:textId="77777777" w:rsidR="0060310D" w:rsidRPr="0060310D" w:rsidRDefault="0060310D" w:rsidP="00603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0310D">
              <w:rPr>
                <w:rFonts w:ascii="Times New Roman" w:eastAsia="Times New Roman" w:hAnsi="Times New Roman" w:cs="Times New Roman"/>
              </w:rPr>
              <w:t>Few works consider societal perspectives or trust-building mechanisms [25,29]</w:t>
            </w:r>
          </w:p>
        </w:tc>
        <w:tc>
          <w:tcPr>
            <w:tcW w:w="0" w:type="auto"/>
            <w:hideMark/>
          </w:tcPr>
          <w:p w14:paraId="28703D0E" w14:textId="77777777" w:rsidR="0060310D" w:rsidRPr="0060310D" w:rsidRDefault="0060310D" w:rsidP="006031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0310D">
              <w:rPr>
                <w:rFonts w:ascii="Times New Roman" w:eastAsia="Times New Roman" w:hAnsi="Times New Roman" w:cs="Times New Roman"/>
              </w:rPr>
              <w:t>Highlights the importance of transparency, capacity building, and ethical safeguards for public trust</w:t>
            </w:r>
          </w:p>
        </w:tc>
      </w:tr>
      <w:tr w:rsidR="0060310D" w:rsidRPr="0060310D" w14:paraId="7604A68C" w14:textId="77777777" w:rsidTr="00603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8DF1F6" w14:textId="77777777" w:rsidR="0060310D" w:rsidRPr="0060310D" w:rsidRDefault="0060310D" w:rsidP="0060310D">
            <w:pPr>
              <w:rPr>
                <w:rFonts w:ascii="Times New Roman" w:eastAsia="Times New Roman" w:hAnsi="Times New Roman" w:cs="Times New Roman"/>
              </w:rPr>
            </w:pPr>
            <w:r w:rsidRPr="0060310D">
              <w:rPr>
                <w:rFonts w:ascii="Times New Roman" w:eastAsia="Times New Roman" w:hAnsi="Times New Roman" w:cs="Times New Roman"/>
              </w:rPr>
              <w:t>Insufficient policy-oriented recommendations that integrate legal, institutional, and technical dimensions</w:t>
            </w:r>
          </w:p>
        </w:tc>
        <w:tc>
          <w:tcPr>
            <w:tcW w:w="0" w:type="auto"/>
            <w:hideMark/>
          </w:tcPr>
          <w:p w14:paraId="4E88421C" w14:textId="77777777" w:rsidR="0060310D" w:rsidRPr="0060310D" w:rsidRDefault="0060310D" w:rsidP="006031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0310D">
              <w:rPr>
                <w:rFonts w:ascii="Times New Roman" w:eastAsia="Times New Roman" w:hAnsi="Times New Roman" w:cs="Times New Roman"/>
              </w:rPr>
              <w:t>Many studies identify issues but stop short of integrated reforms [22,24–31]</w:t>
            </w:r>
          </w:p>
        </w:tc>
        <w:tc>
          <w:tcPr>
            <w:tcW w:w="0" w:type="auto"/>
            <w:hideMark/>
          </w:tcPr>
          <w:p w14:paraId="5C5CFA8C" w14:textId="77777777" w:rsidR="0060310D" w:rsidRPr="0060310D" w:rsidRDefault="0060310D" w:rsidP="006031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0310D">
              <w:rPr>
                <w:rFonts w:ascii="Times New Roman" w:eastAsia="Times New Roman" w:hAnsi="Times New Roman" w:cs="Times New Roman"/>
              </w:rPr>
              <w:t>Proposes actionable reforms: adaptive IP frameworks, sector-specific rules, AI sandboxes, and inter-agency coordination</w:t>
            </w:r>
          </w:p>
        </w:tc>
      </w:tr>
    </w:tbl>
    <w:p w14:paraId="62587816" w14:textId="2B8F9C93" w:rsidR="0060310D" w:rsidRDefault="0060310D" w:rsidP="0060310D"/>
    <w:p w14:paraId="7703DE59" w14:textId="77777777" w:rsidR="0060310D" w:rsidRDefault="0060310D" w:rsidP="0060310D">
      <w:pPr>
        <w:pStyle w:val="Heading2"/>
      </w:pPr>
      <w:r>
        <w:t>1.5 Theoretical Framework</w:t>
      </w:r>
    </w:p>
    <w:p w14:paraId="49355EA9" w14:textId="0342A94A" w:rsidR="0060310D" w:rsidRDefault="0060310D" w:rsidP="0060310D">
      <w:pPr>
        <w:pStyle w:val="NormalWeb"/>
        <w:jc w:val="both"/>
      </w:pPr>
      <w:r>
        <w:t xml:space="preserve">This study is grounded in </w:t>
      </w:r>
      <w:r>
        <w:rPr>
          <w:rStyle w:val="Strong"/>
        </w:rPr>
        <w:t>innovation theory</w:t>
      </w:r>
      <w:r>
        <w:t xml:space="preserve"> and </w:t>
      </w:r>
      <w:r>
        <w:rPr>
          <w:rStyle w:val="Strong"/>
        </w:rPr>
        <w:t>technology governance frameworks</w:t>
      </w:r>
      <w:r>
        <w:t xml:space="preserve">, which provide a foundation for understanding how policy interventions can facilitate or hinder technological advancement [18]. The research draws upon the </w:t>
      </w:r>
      <w:r>
        <w:rPr>
          <w:rStyle w:val="Strong"/>
        </w:rPr>
        <w:t>National Innovation System theory</w:t>
      </w:r>
      <w:r>
        <w:t xml:space="preserve">, originally developed by Christopher Freeman and Bengt-Åke Lundvall, which emphasizes the role of institutions, policies, and governance structures in fostering innovation [19]. Additionally, it incorporates the </w:t>
      </w:r>
      <w:r>
        <w:rPr>
          <w:rStyle w:val="Strong"/>
        </w:rPr>
        <w:t>Technology Governance framework</w:t>
      </w:r>
      <w:r>
        <w:t>, which examines how regulatory approaches can balance innovation promotion with risk management, drawing from Sheila Jasanoff’s work on the co-production of science and governance [20].</w:t>
      </w:r>
    </w:p>
    <w:p w14:paraId="4501E84C" w14:textId="12FAA321" w:rsidR="0060310D" w:rsidRPr="001B60EE" w:rsidRDefault="0060310D" w:rsidP="0060310D">
      <w:pPr>
        <w:pStyle w:val="Heading3"/>
        <w:rPr>
          <w:rFonts w:asciiTheme="majorBidi" w:hAnsiTheme="majorBidi"/>
        </w:rPr>
      </w:pPr>
      <w:r>
        <w:rPr>
          <w:rFonts w:asciiTheme="majorBidi" w:hAnsiTheme="majorBidi"/>
        </w:rPr>
        <w:t xml:space="preserve">1.5.1 </w:t>
      </w:r>
      <w:r w:rsidRPr="001B60EE">
        <w:rPr>
          <w:rFonts w:asciiTheme="majorBidi" w:hAnsiTheme="majorBidi"/>
        </w:rPr>
        <w:t>Conceptual Framework</w:t>
      </w:r>
    </w:p>
    <w:p w14:paraId="75398D76" w14:textId="77777777" w:rsidR="0060310D" w:rsidRPr="001B60EE" w:rsidRDefault="0060310D" w:rsidP="0060310D">
      <w:pPr>
        <w:pStyle w:val="NormalWeb"/>
        <w:jc w:val="both"/>
        <w:rPr>
          <w:rFonts w:asciiTheme="majorBidi" w:hAnsiTheme="majorBidi" w:cstheme="majorBidi"/>
        </w:rPr>
      </w:pPr>
      <w:r w:rsidRPr="001B60EE">
        <w:rPr>
          <w:rStyle w:val="Strong"/>
          <w:rFonts w:asciiTheme="majorBidi" w:hAnsiTheme="majorBidi" w:cstheme="majorBidi"/>
        </w:rPr>
        <w:t>Figure 1</w:t>
      </w:r>
      <w:r w:rsidRPr="001B60EE">
        <w:rPr>
          <w:rFonts w:asciiTheme="majorBidi" w:hAnsiTheme="majorBidi" w:cstheme="majorBidi"/>
        </w:rPr>
        <w:t xml:space="preserve"> situates </w:t>
      </w:r>
      <w:r w:rsidRPr="001B60EE">
        <w:rPr>
          <w:rStyle w:val="Strong"/>
          <w:rFonts w:asciiTheme="majorBidi" w:hAnsiTheme="majorBidi" w:cstheme="majorBidi"/>
        </w:rPr>
        <w:t>data sovereignty</w:t>
      </w:r>
      <w:r w:rsidRPr="001B60EE">
        <w:rPr>
          <w:rFonts w:asciiTheme="majorBidi" w:hAnsiTheme="majorBidi" w:cstheme="majorBidi"/>
        </w:rPr>
        <w:t xml:space="preserve"> as the mediating layer between </w:t>
      </w:r>
      <w:r w:rsidRPr="001B60EE">
        <w:rPr>
          <w:rStyle w:val="Strong"/>
          <w:rFonts w:asciiTheme="majorBidi" w:hAnsiTheme="majorBidi" w:cstheme="majorBidi"/>
        </w:rPr>
        <w:t>Vision 2030</w:t>
      </w:r>
      <w:r w:rsidRPr="001B60EE">
        <w:rPr>
          <w:rFonts w:asciiTheme="majorBidi" w:hAnsiTheme="majorBidi" w:cstheme="majorBidi"/>
        </w:rPr>
        <w:t xml:space="preserve"> digital-transformation goals and </w:t>
      </w:r>
      <w:r w:rsidRPr="001B60EE">
        <w:rPr>
          <w:rStyle w:val="Strong"/>
          <w:rFonts w:asciiTheme="majorBidi" w:hAnsiTheme="majorBidi" w:cstheme="majorBidi"/>
        </w:rPr>
        <w:t>generative-AI development</w:t>
      </w:r>
      <w:r w:rsidRPr="001B60EE">
        <w:rPr>
          <w:rFonts w:asciiTheme="majorBidi" w:hAnsiTheme="majorBidi" w:cstheme="majorBidi"/>
        </w:rPr>
        <w:t xml:space="preserve">, coordinated through </w:t>
      </w:r>
      <w:r w:rsidRPr="001B60EE">
        <w:rPr>
          <w:rStyle w:val="Strong"/>
          <w:rFonts w:asciiTheme="majorBidi" w:hAnsiTheme="majorBidi" w:cstheme="majorBidi"/>
        </w:rPr>
        <w:t>institutional governance</w:t>
      </w:r>
      <w:r w:rsidRPr="001B60EE">
        <w:rPr>
          <w:rFonts w:asciiTheme="majorBidi" w:hAnsiTheme="majorBidi" w:cstheme="majorBidi"/>
        </w:rPr>
        <w:t xml:space="preserve"> (SDAIA, NDMO), </w:t>
      </w:r>
      <w:r w:rsidRPr="001B60EE">
        <w:rPr>
          <w:rStyle w:val="Strong"/>
          <w:rFonts w:asciiTheme="majorBidi" w:hAnsiTheme="majorBidi" w:cstheme="majorBidi"/>
        </w:rPr>
        <w:t>legal frameworks</w:t>
      </w:r>
      <w:r w:rsidRPr="001B60EE">
        <w:rPr>
          <w:rFonts w:asciiTheme="majorBidi" w:hAnsiTheme="majorBidi" w:cstheme="majorBidi"/>
        </w:rPr>
        <w:t xml:space="preserve">, and </w:t>
      </w:r>
      <w:r w:rsidRPr="001B60EE">
        <w:rPr>
          <w:rStyle w:val="Strong"/>
          <w:rFonts w:asciiTheme="majorBidi" w:hAnsiTheme="majorBidi" w:cstheme="majorBidi"/>
        </w:rPr>
        <w:t>technological infrastructure</w:t>
      </w:r>
      <w:r w:rsidRPr="001B60EE">
        <w:rPr>
          <w:rFonts w:asciiTheme="majorBidi" w:hAnsiTheme="majorBidi" w:cstheme="majorBidi"/>
        </w:rPr>
        <w:t xml:space="preserve"> (cloud, security). Barriers (legal rigidity, fragmentation, cybersecurity risk) and enablers (adaptive licensing, open data, PPPs) shape innovation outcomes and, ultimately, economic diversification and competitiveness [4–6,14,15,22,24–32].</w:t>
      </w:r>
    </w:p>
    <w:p w14:paraId="3BF4F09D" w14:textId="77777777" w:rsidR="0060310D" w:rsidRPr="001B60EE" w:rsidRDefault="0060310D" w:rsidP="0060310D">
      <w:pPr>
        <w:pStyle w:val="NormalWeb"/>
        <w:keepNext/>
        <w:jc w:val="both"/>
        <w:rPr>
          <w:rFonts w:asciiTheme="majorBidi" w:hAnsiTheme="majorBidi" w:cstheme="majorBidi"/>
        </w:rPr>
      </w:pPr>
      <w:r w:rsidRPr="001B60EE">
        <w:rPr>
          <w:rFonts w:asciiTheme="majorBidi" w:hAnsiTheme="majorBidi" w:cstheme="majorBidi"/>
          <w:noProof/>
        </w:rPr>
        <w:lastRenderedPageBreak/>
        <w:drawing>
          <wp:inline distT="0" distB="0" distL="0" distR="0" wp14:anchorId="4ED13BA9" wp14:editId="4BEAA85F">
            <wp:extent cx="3749040" cy="4008120"/>
            <wp:effectExtent l="0" t="0" r="0" b="0"/>
            <wp:docPr id="1" name="Picture" descr="Conceptual Framework of Data Sovereignty, Generative AI, and Vision 2030 Innovation Goals "/>
            <wp:cNvGraphicFramePr/>
            <a:graphic xmlns:a="http://schemas.openxmlformats.org/drawingml/2006/main">
              <a:graphicData uri="http://schemas.openxmlformats.org/drawingml/2006/picture">
                <pic:pic xmlns:pic="http://schemas.openxmlformats.org/drawingml/2006/picture">
                  <pic:nvPicPr>
                    <pic:cNvPr id="0" name="Picture" descr="figures/Picture1/Picture1.png"/>
                    <pic:cNvPicPr>
                      <a:picLocks noChangeAspect="1" noChangeArrowheads="1"/>
                    </pic:cNvPicPr>
                  </pic:nvPicPr>
                  <pic:blipFill>
                    <a:blip r:embed="rId8"/>
                    <a:stretch>
                      <a:fillRect/>
                    </a:stretch>
                  </pic:blipFill>
                  <pic:spPr bwMode="auto">
                    <a:xfrm>
                      <a:off x="0" y="0"/>
                      <a:ext cx="3750558" cy="4009743"/>
                    </a:xfrm>
                    <a:prstGeom prst="rect">
                      <a:avLst/>
                    </a:prstGeom>
                    <a:noFill/>
                    <a:ln w="9525">
                      <a:noFill/>
                      <a:headEnd/>
                      <a:tailEnd/>
                    </a:ln>
                  </pic:spPr>
                </pic:pic>
              </a:graphicData>
            </a:graphic>
          </wp:inline>
        </w:drawing>
      </w:r>
    </w:p>
    <w:p w14:paraId="3EBF7D8B" w14:textId="435D14CD" w:rsidR="0060310D" w:rsidRDefault="0060310D" w:rsidP="0060310D">
      <w:pPr>
        <w:pStyle w:val="Caption"/>
        <w:jc w:val="both"/>
        <w:rPr>
          <w:rFonts w:asciiTheme="majorBidi" w:hAnsiTheme="majorBidi" w:cstheme="majorBidi"/>
        </w:rPr>
      </w:pPr>
      <w:r w:rsidRPr="001B60EE">
        <w:rPr>
          <w:rFonts w:asciiTheme="majorBidi" w:hAnsiTheme="majorBidi" w:cstheme="majorBidi"/>
        </w:rPr>
        <w:t xml:space="preserve">Figure </w:t>
      </w:r>
      <w:r w:rsidRPr="001B60EE">
        <w:rPr>
          <w:rFonts w:asciiTheme="majorBidi" w:hAnsiTheme="majorBidi" w:cstheme="majorBidi"/>
        </w:rPr>
        <w:fldChar w:fldCharType="begin"/>
      </w:r>
      <w:r w:rsidRPr="001B60EE">
        <w:rPr>
          <w:rFonts w:asciiTheme="majorBidi" w:hAnsiTheme="majorBidi" w:cstheme="majorBidi"/>
        </w:rPr>
        <w:instrText xml:space="preserve"> SEQ Figure \* ARABIC </w:instrText>
      </w:r>
      <w:r w:rsidRPr="001B60EE">
        <w:rPr>
          <w:rFonts w:asciiTheme="majorBidi" w:hAnsiTheme="majorBidi" w:cstheme="majorBidi"/>
        </w:rPr>
        <w:fldChar w:fldCharType="separate"/>
      </w:r>
      <w:r w:rsidR="00504819">
        <w:rPr>
          <w:rFonts w:asciiTheme="majorBidi" w:hAnsiTheme="majorBidi" w:cstheme="majorBidi"/>
          <w:noProof/>
        </w:rPr>
        <w:t>1</w:t>
      </w:r>
      <w:r w:rsidRPr="001B60EE">
        <w:rPr>
          <w:rFonts w:asciiTheme="majorBidi" w:hAnsiTheme="majorBidi" w:cstheme="majorBidi"/>
          <w:noProof/>
        </w:rPr>
        <w:fldChar w:fldCharType="end"/>
      </w:r>
      <w:r w:rsidRPr="001B60EE">
        <w:rPr>
          <w:rFonts w:asciiTheme="majorBidi" w:hAnsiTheme="majorBidi" w:cstheme="majorBidi"/>
        </w:rPr>
        <w:t>:Conceptual Framework of Data Sovereignty, Generative AI, and Vision 2030 Innovation Goals</w:t>
      </w:r>
    </w:p>
    <w:p w14:paraId="53401469" w14:textId="77777777" w:rsidR="0060310D" w:rsidRPr="001B60EE" w:rsidRDefault="0060310D" w:rsidP="0060310D">
      <w:pPr>
        <w:pStyle w:val="NormalWeb"/>
        <w:rPr>
          <w:rFonts w:asciiTheme="majorBidi" w:hAnsiTheme="majorBidi" w:cstheme="majorBidi"/>
        </w:rPr>
      </w:pPr>
      <w:r w:rsidRPr="001B60EE">
        <w:rPr>
          <w:rFonts w:asciiTheme="majorBidi" w:hAnsiTheme="majorBidi" w:cstheme="majorBidi"/>
        </w:rPr>
        <w:t>Taken together, the reviewed literature demonstrates both the progress and challenges of data sovereignty in enabling generative AI. However, significant research gaps remain, particularly regarding sector-specific implementation and cross-border data policies. This study addresses these gaps through a structured qualitative review and policy analysis, detailed in Section 2.</w:t>
      </w:r>
    </w:p>
    <w:p w14:paraId="7BD7EDBA" w14:textId="3450EFDF" w:rsidR="0060310D" w:rsidRPr="0060310D" w:rsidRDefault="0060310D" w:rsidP="0060310D">
      <w:pPr>
        <w:pStyle w:val="NormalWeb"/>
        <w:jc w:val="both"/>
        <w:rPr>
          <w:rFonts w:asciiTheme="majorBidi" w:hAnsiTheme="majorBidi" w:cstheme="majorBidi"/>
        </w:rPr>
      </w:pPr>
      <w:r w:rsidRPr="001B60EE">
        <w:rPr>
          <w:rFonts w:asciiTheme="majorBidi" w:hAnsiTheme="majorBidi" w:cstheme="majorBidi"/>
        </w:rPr>
        <w:t xml:space="preserve">This </w:t>
      </w:r>
      <w:r>
        <w:rPr>
          <w:rFonts w:asciiTheme="majorBidi" w:hAnsiTheme="majorBidi" w:cstheme="majorBidi"/>
        </w:rPr>
        <w:t>study</w:t>
      </w:r>
      <w:r w:rsidRPr="001B60EE">
        <w:rPr>
          <w:rFonts w:asciiTheme="majorBidi" w:hAnsiTheme="majorBidi" w:cstheme="majorBidi"/>
        </w:rPr>
        <w:t xml:space="preserve"> has established the foundation for understanding the relationship between data sovereignty and generative AI development within the context of Saudi Arabia’s Vision 2030. By presenting the background, problem statement, research objectives, and questions, this introduction sets the stage for a comprehensive analysis of how data governance strategies can support national AI innovation goals. The subsequent </w:t>
      </w:r>
      <w:r>
        <w:rPr>
          <w:rFonts w:asciiTheme="majorBidi" w:hAnsiTheme="majorBidi" w:cstheme="majorBidi"/>
        </w:rPr>
        <w:t>study</w:t>
      </w:r>
      <w:r w:rsidRPr="001B60EE">
        <w:rPr>
          <w:rFonts w:asciiTheme="majorBidi" w:hAnsiTheme="majorBidi" w:cstheme="majorBidi"/>
        </w:rPr>
        <w:t xml:space="preserve"> will build upon this foundation to provide insights into policy frameworks, institutional mechanisms, and strategic recommendations for enhancing Saudi Arabia’s generative AI readiness.</w:t>
      </w:r>
      <w:r>
        <w:rPr>
          <w:rFonts w:asciiTheme="majorBidi" w:hAnsiTheme="majorBidi" w:cstheme="majorBidi"/>
        </w:rPr>
        <w:t xml:space="preserve"> </w:t>
      </w:r>
      <w:r w:rsidRPr="001B60EE">
        <w:rPr>
          <w:rFonts w:asciiTheme="majorBidi" w:hAnsiTheme="majorBidi" w:cstheme="majorBidi"/>
        </w:rPr>
        <w:t>Data sovereignty is foundational to AI-led transformation in Saudi Arabia. Strong institutions exist, yet legal updates, clearer enforcement, sector-specific rules, and capacity building are needed to realize Vision 2030. International benchmarks and ethical frameworks can accelerate secure, scalable innovation [4–6,14,15,22,24–32].</w:t>
      </w:r>
    </w:p>
    <w:p w14:paraId="1F7D50C3" w14:textId="77777777" w:rsidR="0060310D" w:rsidRDefault="0060310D" w:rsidP="0060310D">
      <w:pPr>
        <w:pStyle w:val="Heading2"/>
        <w:jc w:val="both"/>
      </w:pPr>
      <w:r>
        <w:lastRenderedPageBreak/>
        <w:t>1.6 Literature Review</w:t>
      </w:r>
    </w:p>
    <w:p w14:paraId="25901ABD" w14:textId="77777777" w:rsidR="0060310D" w:rsidRDefault="0060310D" w:rsidP="0060310D">
      <w:pPr>
        <w:pStyle w:val="NormalWeb"/>
        <w:jc w:val="both"/>
      </w:pPr>
      <w:r>
        <w:t>This subsection synthesizes literature on data sovereignty, generative AI, and technology-innovation strategies in the context of Saudi Arabia’s Vision 2030. It focuses on national governance structures (SDAIA, NDMO), legal and institutional reform, AI readiness, and barriers/enablers, with reference to international standards such as GDPR and HIPAA [4–6,14,15].</w:t>
      </w:r>
    </w:p>
    <w:p w14:paraId="245E8C98" w14:textId="77777777" w:rsidR="0060310D" w:rsidRDefault="0060310D" w:rsidP="0060310D">
      <w:pPr>
        <w:pStyle w:val="NormalWeb"/>
        <w:jc w:val="both"/>
      </w:pPr>
      <w:r>
        <w:t xml:space="preserve">To ensure a comprehensive and up-to-date review, this study includes literature published between 2017 and 2025, with a focus on peer-reviewed journal articles, policy documents, and institutional reports. </w:t>
      </w:r>
      <w:proofErr w:type="gramStart"/>
      <w:r>
        <w:t>Particular emphasis</w:t>
      </w:r>
      <w:proofErr w:type="gramEnd"/>
      <w:r>
        <w:t xml:space="preserve"> is given to studies from 2021 onwards to capture the rapid policy evolution surrounding AI and data governance in Saudi Arabia.</w:t>
      </w:r>
    </w:p>
    <w:p w14:paraId="7447291C" w14:textId="6BC5E13C" w:rsidR="007C1A2B" w:rsidRPr="001B60EE" w:rsidRDefault="007F02B1" w:rsidP="0060310D">
      <w:pPr>
        <w:pStyle w:val="Heading3"/>
        <w:jc w:val="both"/>
        <w:rPr>
          <w:rFonts w:asciiTheme="majorBidi" w:hAnsiTheme="majorBidi"/>
        </w:rPr>
      </w:pPr>
      <w:r w:rsidRPr="001B60EE">
        <w:rPr>
          <w:rFonts w:asciiTheme="majorBidi" w:hAnsiTheme="majorBidi"/>
        </w:rPr>
        <w:t>1.</w:t>
      </w:r>
      <w:r w:rsidR="0060310D">
        <w:rPr>
          <w:rFonts w:asciiTheme="majorBidi" w:hAnsiTheme="majorBidi"/>
        </w:rPr>
        <w:t>6</w:t>
      </w:r>
      <w:r w:rsidRPr="001B60EE">
        <w:rPr>
          <w:rFonts w:asciiTheme="majorBidi" w:hAnsiTheme="majorBidi"/>
        </w:rPr>
        <w:t>.1 Theoretical</w:t>
      </w:r>
      <w:r w:rsidR="007C1A2B" w:rsidRPr="001B60EE">
        <w:rPr>
          <w:rFonts w:asciiTheme="majorBidi" w:hAnsiTheme="majorBidi"/>
        </w:rPr>
        <w:t xml:space="preserve"> Foundations of Data Sovereignty and AI Governance</w:t>
      </w:r>
    </w:p>
    <w:p w14:paraId="690104DD" w14:textId="77777777" w:rsidR="007C1A2B" w:rsidRPr="001B60EE" w:rsidRDefault="007C1A2B" w:rsidP="0060310D">
      <w:pPr>
        <w:pStyle w:val="NormalWeb"/>
        <w:jc w:val="both"/>
        <w:rPr>
          <w:rFonts w:asciiTheme="majorBidi" w:hAnsiTheme="majorBidi" w:cstheme="majorBidi"/>
        </w:rPr>
      </w:pPr>
      <w:r w:rsidRPr="001B60EE">
        <w:rPr>
          <w:rFonts w:asciiTheme="majorBidi" w:hAnsiTheme="majorBidi" w:cstheme="majorBidi"/>
        </w:rPr>
        <w:t>Data sovereignty draws on digital-governance theories that balance privacy and security interests [22]. National Innovation Systems explain how institutions and policies shape technological progress [23]. Co-production theory shows how scientific knowledge and governance co-evolve—useful for understanding how Saudi data-sovereignty policies and AI capabilities shape each other [18].</w:t>
      </w:r>
    </w:p>
    <w:p w14:paraId="67248F7D" w14:textId="4616F057" w:rsidR="007C1A2B" w:rsidRPr="001B60EE" w:rsidRDefault="007F02B1" w:rsidP="0060310D">
      <w:pPr>
        <w:pStyle w:val="Heading3"/>
        <w:jc w:val="both"/>
        <w:rPr>
          <w:rFonts w:asciiTheme="majorBidi" w:hAnsiTheme="majorBidi"/>
        </w:rPr>
      </w:pPr>
      <w:r w:rsidRPr="001B60EE">
        <w:rPr>
          <w:rFonts w:asciiTheme="majorBidi" w:hAnsiTheme="majorBidi"/>
        </w:rPr>
        <w:t>1.</w:t>
      </w:r>
      <w:r w:rsidR="0060310D">
        <w:rPr>
          <w:rFonts w:asciiTheme="majorBidi" w:hAnsiTheme="majorBidi"/>
        </w:rPr>
        <w:t>6</w:t>
      </w:r>
      <w:r w:rsidRPr="001B60EE">
        <w:rPr>
          <w:rFonts w:asciiTheme="majorBidi" w:hAnsiTheme="majorBidi"/>
        </w:rPr>
        <w:t xml:space="preserve">.2 </w:t>
      </w:r>
      <w:r w:rsidR="007C1A2B" w:rsidRPr="001B60EE">
        <w:rPr>
          <w:rFonts w:asciiTheme="majorBidi" w:hAnsiTheme="majorBidi"/>
        </w:rPr>
        <w:t>Data Sovereignty and Generative AI</w:t>
      </w:r>
    </w:p>
    <w:p w14:paraId="00A19C42" w14:textId="77777777" w:rsidR="007C1A2B" w:rsidRPr="001B60EE" w:rsidRDefault="007C1A2B" w:rsidP="0060310D">
      <w:pPr>
        <w:pStyle w:val="NormalWeb"/>
        <w:jc w:val="both"/>
        <w:rPr>
          <w:rFonts w:asciiTheme="majorBidi" w:hAnsiTheme="majorBidi" w:cstheme="majorBidi"/>
        </w:rPr>
      </w:pPr>
      <w:r w:rsidRPr="001B60EE">
        <w:rPr>
          <w:rFonts w:asciiTheme="majorBidi" w:hAnsiTheme="majorBidi" w:cstheme="majorBidi"/>
        </w:rPr>
        <w:t>Data sovereignty—data governed by the laws where it is collected/processed—can be both constraint and strategic asset for generative AI, which depends on large, diverse datasets [7]. In Saudi Arabia, restrictive IP rules can limit access to reusable content; adaptive licensing and open-data policies are proposed remedies [24]. Centralized oversight by SDAIA supports sovereign data governance for AI [5]. Cloud data-governance immaturity remains a risk: one study reported 86% of public agencies lacked mature frameworks, raising compliance and cybersecurity concerns [25].</w:t>
      </w:r>
    </w:p>
    <w:p w14:paraId="52F44E64" w14:textId="77777777" w:rsidR="007C1A2B" w:rsidRPr="001B60EE" w:rsidRDefault="007C1A2B" w:rsidP="0060310D">
      <w:pPr>
        <w:pStyle w:val="NormalWeb"/>
        <w:jc w:val="both"/>
        <w:rPr>
          <w:rFonts w:asciiTheme="majorBidi" w:hAnsiTheme="majorBidi" w:cstheme="majorBidi"/>
        </w:rPr>
      </w:pPr>
      <w:r w:rsidRPr="001B60EE">
        <w:rPr>
          <w:rFonts w:asciiTheme="majorBidi" w:hAnsiTheme="majorBidi" w:cstheme="majorBidi"/>
        </w:rPr>
        <w:t>Sector-specific models (e.g., health) can balance sovereignty with innovation by clarifying lawful access, interoperability, and safeguards [26].</w:t>
      </w:r>
    </w:p>
    <w:p w14:paraId="017037F0" w14:textId="50B201DF" w:rsidR="007C1A2B" w:rsidRPr="001B60EE" w:rsidRDefault="007F02B1" w:rsidP="0060310D">
      <w:pPr>
        <w:pStyle w:val="Heading3"/>
        <w:jc w:val="both"/>
        <w:rPr>
          <w:rFonts w:asciiTheme="majorBidi" w:hAnsiTheme="majorBidi"/>
        </w:rPr>
      </w:pPr>
      <w:r w:rsidRPr="001B60EE">
        <w:rPr>
          <w:rFonts w:asciiTheme="majorBidi" w:hAnsiTheme="majorBidi"/>
        </w:rPr>
        <w:t>1.</w:t>
      </w:r>
      <w:r w:rsidR="0060310D">
        <w:rPr>
          <w:rFonts w:asciiTheme="majorBidi" w:hAnsiTheme="majorBidi"/>
        </w:rPr>
        <w:t>6</w:t>
      </w:r>
      <w:r w:rsidRPr="001B60EE">
        <w:rPr>
          <w:rFonts w:asciiTheme="majorBidi" w:hAnsiTheme="majorBidi"/>
        </w:rPr>
        <w:t>.3</w:t>
      </w:r>
      <w:r w:rsidR="007C1A2B" w:rsidRPr="001B60EE">
        <w:rPr>
          <w:rFonts w:asciiTheme="majorBidi" w:hAnsiTheme="majorBidi"/>
        </w:rPr>
        <w:t xml:space="preserve"> National Data Governance in Saudi Arabia</w:t>
      </w:r>
    </w:p>
    <w:p w14:paraId="491E9674" w14:textId="77777777" w:rsidR="007C1A2B" w:rsidRPr="001B60EE" w:rsidRDefault="007C1A2B" w:rsidP="0060310D">
      <w:pPr>
        <w:pStyle w:val="NormalWeb"/>
        <w:jc w:val="both"/>
        <w:rPr>
          <w:rFonts w:asciiTheme="majorBidi" w:hAnsiTheme="majorBidi" w:cstheme="majorBidi"/>
        </w:rPr>
      </w:pPr>
      <w:r w:rsidRPr="001B60EE">
        <w:rPr>
          <w:rFonts w:asciiTheme="majorBidi" w:hAnsiTheme="majorBidi" w:cstheme="majorBidi"/>
        </w:rPr>
        <w:t>Saudi Arabia’s multi-tiered governance includes SDAIA, NDMO, and the National Data Bank, operating under the PDPL and aligned initiatives like the NSDAI [5,6]. Comparative analyses find broad PDPL–GDPR alignment but call for clearer rules on cross-border flows to support international AI collaboration [27,14]. In health, benchmarking against HIPAA can bolster trust and adoption of digital health solutions [15,28]. Applied research shows generative AI can advance software engineering while respecting governance constraints [29].</w:t>
      </w:r>
    </w:p>
    <w:p w14:paraId="357EB6AF" w14:textId="61069DAC" w:rsidR="007C1A2B" w:rsidRPr="001B60EE" w:rsidRDefault="007F02B1" w:rsidP="0060310D">
      <w:pPr>
        <w:pStyle w:val="Heading3"/>
        <w:jc w:val="both"/>
        <w:rPr>
          <w:rFonts w:asciiTheme="majorBidi" w:hAnsiTheme="majorBidi"/>
        </w:rPr>
      </w:pPr>
      <w:r w:rsidRPr="001B60EE">
        <w:rPr>
          <w:rFonts w:asciiTheme="majorBidi" w:hAnsiTheme="majorBidi"/>
        </w:rPr>
        <w:lastRenderedPageBreak/>
        <w:t>1.</w:t>
      </w:r>
      <w:r w:rsidR="0060310D">
        <w:rPr>
          <w:rFonts w:asciiTheme="majorBidi" w:hAnsiTheme="majorBidi"/>
        </w:rPr>
        <w:t>6</w:t>
      </w:r>
      <w:r w:rsidRPr="001B60EE">
        <w:rPr>
          <w:rFonts w:asciiTheme="majorBidi" w:hAnsiTheme="majorBidi"/>
        </w:rPr>
        <w:t>.4</w:t>
      </w:r>
      <w:r w:rsidR="007C1A2B" w:rsidRPr="001B60EE">
        <w:rPr>
          <w:rFonts w:asciiTheme="majorBidi" w:hAnsiTheme="majorBidi"/>
        </w:rPr>
        <w:t xml:space="preserve"> Generative AI and Vision 2030 Technological Innovation Goals</w:t>
      </w:r>
    </w:p>
    <w:p w14:paraId="59333502" w14:textId="77777777" w:rsidR="007C1A2B" w:rsidRPr="001B60EE" w:rsidRDefault="007C1A2B" w:rsidP="0060310D">
      <w:pPr>
        <w:pStyle w:val="NormalWeb"/>
        <w:jc w:val="both"/>
        <w:rPr>
          <w:rFonts w:asciiTheme="majorBidi" w:hAnsiTheme="majorBidi" w:cstheme="majorBidi"/>
        </w:rPr>
      </w:pPr>
      <w:r w:rsidRPr="001B60EE">
        <w:rPr>
          <w:rFonts w:asciiTheme="majorBidi" w:hAnsiTheme="majorBidi" w:cstheme="majorBidi"/>
        </w:rPr>
        <w:t>Vision 2030 prioritizes digital transformation and AI-driven innovation [4]. Generative AI supports service optimization and personalization consistent with these pillars. Examples include AI-based labor-market matching using centralized sovereign data [30] and genomics-driven personalized medicine that requires privacy-preserving, regulated sharing [31]. Centralized governance via SDAIA and the National Center for AI is frequently cited as foundational for scaling ethical, secure AI [22,5]. Ethical deployment—including bias mitigation in hiring—remains central to Vision 2030 goals [26].</w:t>
      </w:r>
    </w:p>
    <w:p w14:paraId="1C857AF9" w14:textId="6A43010F" w:rsidR="007C1A2B" w:rsidRPr="001B60EE" w:rsidRDefault="007F02B1" w:rsidP="0060310D">
      <w:pPr>
        <w:pStyle w:val="Heading3"/>
        <w:jc w:val="both"/>
        <w:rPr>
          <w:rFonts w:asciiTheme="majorBidi" w:hAnsiTheme="majorBidi"/>
        </w:rPr>
      </w:pPr>
      <w:r w:rsidRPr="001B60EE">
        <w:rPr>
          <w:rFonts w:asciiTheme="majorBidi" w:hAnsiTheme="majorBidi"/>
        </w:rPr>
        <w:t>1.</w:t>
      </w:r>
      <w:r w:rsidR="0060310D">
        <w:rPr>
          <w:rFonts w:asciiTheme="majorBidi" w:hAnsiTheme="majorBidi"/>
        </w:rPr>
        <w:t>6</w:t>
      </w:r>
      <w:r w:rsidRPr="001B60EE">
        <w:rPr>
          <w:rFonts w:asciiTheme="majorBidi" w:hAnsiTheme="majorBidi"/>
        </w:rPr>
        <w:t>.5</w:t>
      </w:r>
      <w:r w:rsidR="007C1A2B" w:rsidRPr="001B60EE">
        <w:rPr>
          <w:rFonts w:asciiTheme="majorBidi" w:hAnsiTheme="majorBidi"/>
        </w:rPr>
        <w:t xml:space="preserve"> Regulatory and Legal Considerations</w:t>
      </w:r>
    </w:p>
    <w:p w14:paraId="47CB75DA" w14:textId="799CF823" w:rsidR="007C1A2B" w:rsidRPr="001B60EE" w:rsidRDefault="007C1A2B" w:rsidP="0060310D">
      <w:pPr>
        <w:pStyle w:val="NormalWeb"/>
        <w:jc w:val="both"/>
        <w:rPr>
          <w:rFonts w:asciiTheme="majorBidi" w:hAnsiTheme="majorBidi" w:cstheme="majorBidi"/>
        </w:rPr>
      </w:pPr>
      <w:r w:rsidRPr="001B60EE">
        <w:rPr>
          <w:rFonts w:asciiTheme="majorBidi" w:hAnsiTheme="majorBidi" w:cstheme="majorBidi"/>
        </w:rPr>
        <w:t>A persistent tension exists between protection and innovation. Current IP frameworks lack clear exceptions for AI training; public–private licensing and legal flexibility are recommended [24]. Enforcement clarity is needed for cross-border transfers and cloud security [27,28</w:t>
      </w:r>
      <w:r w:rsidR="00665BA0">
        <w:rPr>
          <w:rFonts w:asciiTheme="majorBidi" w:hAnsiTheme="majorBidi" w:cstheme="majorBidi"/>
        </w:rPr>
        <w:t>,63</w:t>
      </w:r>
      <w:r w:rsidRPr="001B60EE">
        <w:rPr>
          <w:rFonts w:asciiTheme="majorBidi" w:hAnsiTheme="majorBidi" w:cstheme="majorBidi"/>
        </w:rPr>
        <w:t>]. Absent sector-specific rules (e.g., genomics, labor, education) slows scaling, while targeted frameworks for bias/fairness are necessary across sectors [31,30,26].</w:t>
      </w:r>
    </w:p>
    <w:p w14:paraId="63750C67" w14:textId="5634DD6E" w:rsidR="007C1A2B" w:rsidRPr="001B60EE" w:rsidRDefault="007F02B1" w:rsidP="0060310D">
      <w:pPr>
        <w:pStyle w:val="Heading3"/>
        <w:jc w:val="both"/>
        <w:rPr>
          <w:rFonts w:asciiTheme="majorBidi" w:hAnsiTheme="majorBidi"/>
        </w:rPr>
      </w:pPr>
      <w:r w:rsidRPr="001B60EE">
        <w:rPr>
          <w:rFonts w:asciiTheme="majorBidi" w:hAnsiTheme="majorBidi"/>
        </w:rPr>
        <w:t>1.</w:t>
      </w:r>
      <w:r w:rsidR="0060310D">
        <w:rPr>
          <w:rFonts w:asciiTheme="majorBidi" w:hAnsiTheme="majorBidi"/>
        </w:rPr>
        <w:t>6</w:t>
      </w:r>
      <w:r w:rsidRPr="001B60EE">
        <w:rPr>
          <w:rFonts w:asciiTheme="majorBidi" w:hAnsiTheme="majorBidi"/>
        </w:rPr>
        <w:t>.6</w:t>
      </w:r>
      <w:r w:rsidR="007C1A2B" w:rsidRPr="001B60EE">
        <w:rPr>
          <w:rFonts w:asciiTheme="majorBidi" w:hAnsiTheme="majorBidi"/>
        </w:rPr>
        <w:t xml:space="preserve"> Barriers and Enablers of Implementation</w:t>
      </w:r>
    </w:p>
    <w:p w14:paraId="1C69ADF3" w14:textId="77777777" w:rsidR="007C1A2B" w:rsidRPr="001B60EE" w:rsidRDefault="007C1A2B" w:rsidP="0060310D">
      <w:pPr>
        <w:pStyle w:val="NormalWeb"/>
        <w:jc w:val="both"/>
        <w:rPr>
          <w:rFonts w:asciiTheme="majorBidi" w:hAnsiTheme="majorBidi" w:cstheme="majorBidi"/>
        </w:rPr>
      </w:pPr>
      <w:r w:rsidRPr="001B60EE">
        <w:rPr>
          <w:rStyle w:val="Strong"/>
          <w:rFonts w:asciiTheme="majorBidi" w:hAnsiTheme="majorBidi" w:cstheme="majorBidi"/>
        </w:rPr>
        <w:t>Barriers:</w:t>
      </w:r>
      <w:r w:rsidRPr="001B60EE">
        <w:rPr>
          <w:rFonts w:asciiTheme="majorBidi" w:hAnsiTheme="majorBidi" w:cstheme="majorBidi"/>
        </w:rPr>
        <w:t xml:space="preserve"> legal rigidity, policy fragmentation, organizational inertia, public-trust deficits, and immature cloud-governance practices [24,25,27–29].</w:t>
      </w:r>
      <w:r w:rsidRPr="001B60EE">
        <w:rPr>
          <w:rFonts w:asciiTheme="majorBidi" w:hAnsiTheme="majorBidi" w:cstheme="majorBidi"/>
        </w:rPr>
        <w:br/>
      </w:r>
      <w:r w:rsidRPr="001B60EE">
        <w:rPr>
          <w:rStyle w:val="Strong"/>
          <w:rFonts w:asciiTheme="majorBidi" w:hAnsiTheme="majorBidi" w:cstheme="majorBidi"/>
        </w:rPr>
        <w:t>Enablers:</w:t>
      </w:r>
      <w:r w:rsidRPr="001B60EE">
        <w:rPr>
          <w:rFonts w:asciiTheme="majorBidi" w:hAnsiTheme="majorBidi" w:cstheme="majorBidi"/>
        </w:rPr>
        <w:t xml:space="preserve"> national cloud infrastructure, capacity building, PPPs for lawful data access, benchmarking with GDPR/HIPAA, and sector-specific governance models [5,14,15,24,26–31].</w:t>
      </w:r>
    </w:p>
    <w:p w14:paraId="39535D69" w14:textId="4096EBC3" w:rsidR="007C1A2B" w:rsidRPr="001B60EE" w:rsidRDefault="007F02B1" w:rsidP="0060310D">
      <w:pPr>
        <w:pStyle w:val="Heading3"/>
        <w:jc w:val="both"/>
        <w:rPr>
          <w:rFonts w:asciiTheme="majorBidi" w:hAnsiTheme="majorBidi"/>
        </w:rPr>
      </w:pPr>
      <w:r w:rsidRPr="001B60EE">
        <w:rPr>
          <w:rFonts w:asciiTheme="majorBidi" w:hAnsiTheme="majorBidi"/>
        </w:rPr>
        <w:t>1.</w:t>
      </w:r>
      <w:r w:rsidR="0060310D">
        <w:rPr>
          <w:rFonts w:asciiTheme="majorBidi" w:hAnsiTheme="majorBidi"/>
        </w:rPr>
        <w:t>6</w:t>
      </w:r>
      <w:r w:rsidRPr="001B60EE">
        <w:rPr>
          <w:rFonts w:asciiTheme="majorBidi" w:hAnsiTheme="majorBidi"/>
        </w:rPr>
        <w:t>.</w:t>
      </w:r>
      <w:r w:rsidR="0060310D">
        <w:rPr>
          <w:rFonts w:asciiTheme="majorBidi" w:hAnsiTheme="majorBidi"/>
        </w:rPr>
        <w:t>7</w:t>
      </w:r>
      <w:r w:rsidR="007C1A2B" w:rsidRPr="001B60EE">
        <w:rPr>
          <w:rFonts w:asciiTheme="majorBidi" w:hAnsiTheme="majorBidi"/>
        </w:rPr>
        <w:t xml:space="preserve"> International Context</w:t>
      </w:r>
    </w:p>
    <w:p w14:paraId="4E335E62" w14:textId="77777777" w:rsidR="007C1A2B" w:rsidRDefault="007C1A2B" w:rsidP="0060310D">
      <w:pPr>
        <w:pStyle w:val="NormalWeb"/>
        <w:jc w:val="both"/>
        <w:rPr>
          <w:rFonts w:asciiTheme="majorBidi" w:hAnsiTheme="majorBidi" w:cstheme="majorBidi"/>
        </w:rPr>
      </w:pPr>
      <w:r w:rsidRPr="001B60EE">
        <w:rPr>
          <w:rFonts w:asciiTheme="majorBidi" w:hAnsiTheme="majorBidi" w:cstheme="majorBidi"/>
        </w:rPr>
        <w:t>Internationally, GDPR offers a privacy-centric model; more centralized approaches illustrate alternative sovereignty paradigms. Comparative work shows successful national AI strategies pair strong protection with flexible innovation policy—insightful for Saudi policy evolution [32].</w:t>
      </w:r>
    </w:p>
    <w:p w14:paraId="0142715A" w14:textId="6876E484" w:rsidR="00DF5F41" w:rsidRDefault="00DF5F41" w:rsidP="00DF5F41">
      <w:pPr>
        <w:pStyle w:val="Caption"/>
        <w:keepNext/>
      </w:pPr>
      <w:r>
        <w:t xml:space="preserve">Table </w:t>
      </w:r>
      <w:fldSimple w:instr=" SEQ Table \* ARABIC ">
        <w:r w:rsidR="00F204C6">
          <w:rPr>
            <w:noProof/>
          </w:rPr>
          <w:t>2</w:t>
        </w:r>
      </w:fldSimple>
      <w:r>
        <w:t xml:space="preserve">: </w:t>
      </w:r>
      <w:r w:rsidRPr="00DF5F41">
        <w:t>Summary of Key Literature on Data Sovereignty, Generative AI, and Vision 2030</w:t>
      </w:r>
    </w:p>
    <w:tbl>
      <w:tblPr>
        <w:tblStyle w:val="PlainTable1"/>
        <w:tblW w:w="0" w:type="auto"/>
        <w:tblLook w:val="04A0" w:firstRow="1" w:lastRow="0" w:firstColumn="1" w:lastColumn="0" w:noHBand="0" w:noVBand="1"/>
      </w:tblPr>
      <w:tblGrid>
        <w:gridCol w:w="1695"/>
        <w:gridCol w:w="840"/>
        <w:gridCol w:w="1434"/>
        <w:gridCol w:w="2241"/>
        <w:gridCol w:w="1612"/>
        <w:gridCol w:w="1754"/>
      </w:tblGrid>
      <w:tr w:rsidR="00DF5F41" w:rsidRPr="00DF5F41" w14:paraId="79F76FBA" w14:textId="77777777" w:rsidTr="00DF5F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B8FCB5" w14:textId="77777777" w:rsidR="00DF5F41" w:rsidRPr="00DF5F41" w:rsidRDefault="00DF5F41" w:rsidP="00DF5F41">
            <w:pPr>
              <w:jc w:val="center"/>
              <w:rPr>
                <w:rFonts w:ascii="Times New Roman" w:eastAsia="Times New Roman" w:hAnsi="Times New Roman" w:cs="Times New Roman"/>
              </w:rPr>
            </w:pPr>
            <w:r w:rsidRPr="00DF5F41">
              <w:rPr>
                <w:rFonts w:ascii="Times New Roman" w:eastAsia="Times New Roman" w:hAnsi="Times New Roman" w:cs="Times New Roman"/>
              </w:rPr>
              <w:t>Author(s)</w:t>
            </w:r>
          </w:p>
        </w:tc>
        <w:tc>
          <w:tcPr>
            <w:tcW w:w="0" w:type="auto"/>
            <w:hideMark/>
          </w:tcPr>
          <w:p w14:paraId="53C36E70" w14:textId="77777777" w:rsidR="00DF5F41" w:rsidRPr="00DF5F41" w:rsidRDefault="00DF5F41" w:rsidP="00DF5F4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F5F41">
              <w:rPr>
                <w:rFonts w:ascii="Times New Roman" w:eastAsia="Times New Roman" w:hAnsi="Times New Roman" w:cs="Times New Roman"/>
              </w:rPr>
              <w:t>Year</w:t>
            </w:r>
          </w:p>
        </w:tc>
        <w:tc>
          <w:tcPr>
            <w:tcW w:w="0" w:type="auto"/>
            <w:hideMark/>
          </w:tcPr>
          <w:p w14:paraId="0B70B1DB" w14:textId="77777777" w:rsidR="00DF5F41" w:rsidRPr="00DF5F41" w:rsidRDefault="00DF5F41" w:rsidP="00DF5F4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F5F41">
              <w:rPr>
                <w:rFonts w:ascii="Times New Roman" w:eastAsia="Times New Roman" w:hAnsi="Times New Roman" w:cs="Times New Roman"/>
              </w:rPr>
              <w:t>Focus Area</w:t>
            </w:r>
          </w:p>
        </w:tc>
        <w:tc>
          <w:tcPr>
            <w:tcW w:w="0" w:type="auto"/>
            <w:hideMark/>
          </w:tcPr>
          <w:p w14:paraId="7D63E477" w14:textId="77777777" w:rsidR="00DF5F41" w:rsidRPr="00DF5F41" w:rsidRDefault="00DF5F41" w:rsidP="00DF5F4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F5F41">
              <w:rPr>
                <w:rFonts w:ascii="Times New Roman" w:eastAsia="Times New Roman" w:hAnsi="Times New Roman" w:cs="Times New Roman"/>
              </w:rPr>
              <w:t>Methods/Approach</w:t>
            </w:r>
          </w:p>
        </w:tc>
        <w:tc>
          <w:tcPr>
            <w:tcW w:w="0" w:type="auto"/>
            <w:hideMark/>
          </w:tcPr>
          <w:p w14:paraId="7C409520" w14:textId="77777777" w:rsidR="00DF5F41" w:rsidRPr="00DF5F41" w:rsidRDefault="00DF5F41" w:rsidP="00DF5F4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F5F41">
              <w:rPr>
                <w:rFonts w:ascii="Times New Roman" w:eastAsia="Times New Roman" w:hAnsi="Times New Roman" w:cs="Times New Roman"/>
              </w:rPr>
              <w:t>Key Findings</w:t>
            </w:r>
          </w:p>
        </w:tc>
        <w:tc>
          <w:tcPr>
            <w:tcW w:w="0" w:type="auto"/>
            <w:hideMark/>
          </w:tcPr>
          <w:p w14:paraId="54A5DC0B" w14:textId="77777777" w:rsidR="00DF5F41" w:rsidRPr="00DF5F41" w:rsidRDefault="00DF5F41" w:rsidP="00DF5F4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F5F41">
              <w:rPr>
                <w:rFonts w:ascii="Times New Roman" w:eastAsia="Times New Roman" w:hAnsi="Times New Roman" w:cs="Times New Roman"/>
              </w:rPr>
              <w:t>Identified Gaps</w:t>
            </w:r>
          </w:p>
        </w:tc>
      </w:tr>
      <w:tr w:rsidR="00DF5F41" w:rsidRPr="00DF5F41" w14:paraId="367EB5C7" w14:textId="77777777" w:rsidTr="00DF5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863BB1" w14:textId="77777777" w:rsidR="00DF5F41" w:rsidRPr="00DF5F41" w:rsidRDefault="00DF5F41" w:rsidP="00DF5F41">
            <w:pPr>
              <w:rPr>
                <w:rFonts w:ascii="Times New Roman" w:eastAsia="Times New Roman" w:hAnsi="Times New Roman" w:cs="Times New Roman"/>
              </w:rPr>
            </w:pPr>
            <w:r w:rsidRPr="00DF5F41">
              <w:rPr>
                <w:rFonts w:ascii="Times New Roman" w:eastAsia="Times New Roman" w:hAnsi="Times New Roman" w:cs="Times New Roman"/>
              </w:rPr>
              <w:t>Alzahrani</w:t>
            </w:r>
          </w:p>
        </w:tc>
        <w:tc>
          <w:tcPr>
            <w:tcW w:w="0" w:type="auto"/>
            <w:hideMark/>
          </w:tcPr>
          <w:p w14:paraId="4CACB85C" w14:textId="77777777" w:rsidR="00DF5F41" w:rsidRPr="00DF5F41" w:rsidRDefault="00DF5F41" w:rsidP="00DF5F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F5F41">
              <w:rPr>
                <w:rFonts w:ascii="Times New Roman" w:eastAsia="Times New Roman" w:hAnsi="Times New Roman" w:cs="Times New Roman"/>
              </w:rPr>
              <w:t>2024</w:t>
            </w:r>
          </w:p>
        </w:tc>
        <w:tc>
          <w:tcPr>
            <w:tcW w:w="0" w:type="auto"/>
            <w:hideMark/>
          </w:tcPr>
          <w:p w14:paraId="19299111" w14:textId="77777777" w:rsidR="00DF5F41" w:rsidRPr="00DF5F41" w:rsidRDefault="00DF5F41" w:rsidP="00DF5F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F5F41">
              <w:rPr>
                <w:rFonts w:ascii="Times New Roman" w:eastAsia="Times New Roman" w:hAnsi="Times New Roman" w:cs="Times New Roman"/>
              </w:rPr>
              <w:t>PDPL vs GDPR alignment</w:t>
            </w:r>
          </w:p>
        </w:tc>
        <w:tc>
          <w:tcPr>
            <w:tcW w:w="0" w:type="auto"/>
            <w:hideMark/>
          </w:tcPr>
          <w:p w14:paraId="6AAF0560" w14:textId="77777777" w:rsidR="00DF5F41" w:rsidRPr="00DF5F41" w:rsidRDefault="00DF5F41" w:rsidP="00DF5F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F5F41">
              <w:rPr>
                <w:rFonts w:ascii="Times New Roman" w:eastAsia="Times New Roman" w:hAnsi="Times New Roman" w:cs="Times New Roman"/>
              </w:rPr>
              <w:t>Policy/legal analysis</w:t>
            </w:r>
          </w:p>
        </w:tc>
        <w:tc>
          <w:tcPr>
            <w:tcW w:w="0" w:type="auto"/>
            <w:hideMark/>
          </w:tcPr>
          <w:p w14:paraId="576E29A9" w14:textId="77777777" w:rsidR="00DF5F41" w:rsidRPr="00DF5F41" w:rsidRDefault="00DF5F41" w:rsidP="00DF5F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F5F41">
              <w:rPr>
                <w:rFonts w:ascii="Times New Roman" w:eastAsia="Times New Roman" w:hAnsi="Times New Roman" w:cs="Times New Roman"/>
              </w:rPr>
              <w:t>Broad alignment but weak cross-border enforcement</w:t>
            </w:r>
          </w:p>
        </w:tc>
        <w:tc>
          <w:tcPr>
            <w:tcW w:w="0" w:type="auto"/>
            <w:hideMark/>
          </w:tcPr>
          <w:p w14:paraId="384126EA" w14:textId="77777777" w:rsidR="00DF5F41" w:rsidRPr="00DF5F41" w:rsidRDefault="00DF5F41" w:rsidP="00DF5F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F5F41">
              <w:rPr>
                <w:rFonts w:ascii="Times New Roman" w:eastAsia="Times New Roman" w:hAnsi="Times New Roman" w:cs="Times New Roman"/>
              </w:rPr>
              <w:t>No empirical assessment of enforcement impact</w:t>
            </w:r>
          </w:p>
        </w:tc>
      </w:tr>
      <w:tr w:rsidR="00DF5F41" w:rsidRPr="00DF5F41" w14:paraId="155D9C5D" w14:textId="77777777" w:rsidTr="00DF5F41">
        <w:tc>
          <w:tcPr>
            <w:cnfStyle w:val="001000000000" w:firstRow="0" w:lastRow="0" w:firstColumn="1" w:lastColumn="0" w:oddVBand="0" w:evenVBand="0" w:oddHBand="0" w:evenHBand="0" w:firstRowFirstColumn="0" w:firstRowLastColumn="0" w:lastRowFirstColumn="0" w:lastRowLastColumn="0"/>
            <w:tcW w:w="0" w:type="auto"/>
            <w:hideMark/>
          </w:tcPr>
          <w:p w14:paraId="361053CF" w14:textId="77777777" w:rsidR="00DF5F41" w:rsidRPr="00DF5F41" w:rsidRDefault="00DF5F41" w:rsidP="00DF5F41">
            <w:pPr>
              <w:rPr>
                <w:rFonts w:ascii="Times New Roman" w:eastAsia="Times New Roman" w:hAnsi="Times New Roman" w:cs="Times New Roman"/>
              </w:rPr>
            </w:pPr>
            <w:proofErr w:type="spellStart"/>
            <w:r w:rsidRPr="00DF5F41">
              <w:rPr>
                <w:rFonts w:ascii="Times New Roman" w:eastAsia="Times New Roman" w:hAnsi="Times New Roman" w:cs="Times New Roman"/>
              </w:rPr>
              <w:t>Alrefaei</w:t>
            </w:r>
            <w:proofErr w:type="spellEnd"/>
            <w:r w:rsidRPr="00DF5F41">
              <w:rPr>
                <w:rFonts w:ascii="Times New Roman" w:eastAsia="Times New Roman" w:hAnsi="Times New Roman" w:cs="Times New Roman"/>
              </w:rPr>
              <w:t xml:space="preserve"> et al.</w:t>
            </w:r>
          </w:p>
        </w:tc>
        <w:tc>
          <w:tcPr>
            <w:tcW w:w="0" w:type="auto"/>
            <w:hideMark/>
          </w:tcPr>
          <w:p w14:paraId="2B6BEEBD" w14:textId="77777777" w:rsidR="00DF5F41" w:rsidRPr="00DF5F41" w:rsidRDefault="00DF5F41" w:rsidP="00DF5F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F5F41">
              <w:rPr>
                <w:rFonts w:ascii="Times New Roman" w:eastAsia="Times New Roman" w:hAnsi="Times New Roman" w:cs="Times New Roman"/>
              </w:rPr>
              <w:t>2022</w:t>
            </w:r>
          </w:p>
        </w:tc>
        <w:tc>
          <w:tcPr>
            <w:tcW w:w="0" w:type="auto"/>
            <w:hideMark/>
          </w:tcPr>
          <w:p w14:paraId="66B28786" w14:textId="77777777" w:rsidR="00DF5F41" w:rsidRPr="00DF5F41" w:rsidRDefault="00DF5F41" w:rsidP="00DF5F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F5F41">
              <w:rPr>
                <w:rFonts w:ascii="Times New Roman" w:eastAsia="Times New Roman" w:hAnsi="Times New Roman" w:cs="Times New Roman"/>
              </w:rPr>
              <w:t>Genomic data &amp; AI in health</w:t>
            </w:r>
          </w:p>
        </w:tc>
        <w:tc>
          <w:tcPr>
            <w:tcW w:w="0" w:type="auto"/>
            <w:hideMark/>
          </w:tcPr>
          <w:p w14:paraId="6A0608BA" w14:textId="77777777" w:rsidR="00DF5F41" w:rsidRPr="00DF5F41" w:rsidRDefault="00DF5F41" w:rsidP="00DF5F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F5F41">
              <w:rPr>
                <w:rFonts w:ascii="Times New Roman" w:eastAsia="Times New Roman" w:hAnsi="Times New Roman" w:cs="Times New Roman"/>
              </w:rPr>
              <w:t>Case study</w:t>
            </w:r>
          </w:p>
        </w:tc>
        <w:tc>
          <w:tcPr>
            <w:tcW w:w="0" w:type="auto"/>
            <w:hideMark/>
          </w:tcPr>
          <w:p w14:paraId="0489BABD" w14:textId="77777777" w:rsidR="00DF5F41" w:rsidRPr="00DF5F41" w:rsidRDefault="00DF5F41" w:rsidP="00DF5F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F5F41">
              <w:rPr>
                <w:rFonts w:ascii="Times New Roman" w:eastAsia="Times New Roman" w:hAnsi="Times New Roman" w:cs="Times New Roman"/>
              </w:rPr>
              <w:t>Public willing to share data; regulations unclear</w:t>
            </w:r>
          </w:p>
        </w:tc>
        <w:tc>
          <w:tcPr>
            <w:tcW w:w="0" w:type="auto"/>
            <w:hideMark/>
          </w:tcPr>
          <w:p w14:paraId="32CD9F1B" w14:textId="77777777" w:rsidR="00DF5F41" w:rsidRPr="00DF5F41" w:rsidRDefault="00DF5F41" w:rsidP="00DF5F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F5F41">
              <w:rPr>
                <w:rFonts w:ascii="Times New Roman" w:eastAsia="Times New Roman" w:hAnsi="Times New Roman" w:cs="Times New Roman"/>
              </w:rPr>
              <w:t>Lack of genomics-specific governance</w:t>
            </w:r>
          </w:p>
        </w:tc>
      </w:tr>
      <w:tr w:rsidR="00DF5F41" w:rsidRPr="00DF5F41" w14:paraId="54A53560" w14:textId="77777777" w:rsidTr="00DF5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444F30" w14:textId="77777777" w:rsidR="00DF5F41" w:rsidRPr="00DF5F41" w:rsidRDefault="00DF5F41" w:rsidP="00DF5F41">
            <w:pPr>
              <w:rPr>
                <w:rFonts w:ascii="Times New Roman" w:eastAsia="Times New Roman" w:hAnsi="Times New Roman" w:cs="Times New Roman"/>
              </w:rPr>
            </w:pPr>
            <w:r w:rsidRPr="00DF5F41">
              <w:rPr>
                <w:rFonts w:ascii="Times New Roman" w:eastAsia="Times New Roman" w:hAnsi="Times New Roman" w:cs="Times New Roman"/>
              </w:rPr>
              <w:t>Aleisa et al.</w:t>
            </w:r>
          </w:p>
        </w:tc>
        <w:tc>
          <w:tcPr>
            <w:tcW w:w="0" w:type="auto"/>
            <w:hideMark/>
          </w:tcPr>
          <w:p w14:paraId="2E9EAF24" w14:textId="77777777" w:rsidR="00DF5F41" w:rsidRPr="00DF5F41" w:rsidRDefault="00DF5F41" w:rsidP="00DF5F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F5F41">
              <w:rPr>
                <w:rFonts w:ascii="Times New Roman" w:eastAsia="Times New Roman" w:hAnsi="Times New Roman" w:cs="Times New Roman"/>
              </w:rPr>
              <w:t>2021</w:t>
            </w:r>
          </w:p>
        </w:tc>
        <w:tc>
          <w:tcPr>
            <w:tcW w:w="0" w:type="auto"/>
            <w:hideMark/>
          </w:tcPr>
          <w:p w14:paraId="18B1D597" w14:textId="77777777" w:rsidR="00DF5F41" w:rsidRPr="00DF5F41" w:rsidRDefault="00DF5F41" w:rsidP="00DF5F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F5F41">
              <w:rPr>
                <w:rFonts w:ascii="Times New Roman" w:eastAsia="Times New Roman" w:hAnsi="Times New Roman" w:cs="Times New Roman"/>
              </w:rPr>
              <w:t>AI in labor market</w:t>
            </w:r>
          </w:p>
        </w:tc>
        <w:tc>
          <w:tcPr>
            <w:tcW w:w="0" w:type="auto"/>
            <w:hideMark/>
          </w:tcPr>
          <w:p w14:paraId="795BCFB4" w14:textId="77777777" w:rsidR="00DF5F41" w:rsidRPr="00DF5F41" w:rsidRDefault="00DF5F41" w:rsidP="00DF5F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F5F41">
              <w:rPr>
                <w:rFonts w:ascii="Times New Roman" w:eastAsia="Times New Roman" w:hAnsi="Times New Roman" w:cs="Times New Roman"/>
              </w:rPr>
              <w:t>Model proposal</w:t>
            </w:r>
          </w:p>
        </w:tc>
        <w:tc>
          <w:tcPr>
            <w:tcW w:w="0" w:type="auto"/>
            <w:hideMark/>
          </w:tcPr>
          <w:p w14:paraId="523C2207" w14:textId="77777777" w:rsidR="00DF5F41" w:rsidRPr="00DF5F41" w:rsidRDefault="00DF5F41" w:rsidP="00DF5F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F5F41">
              <w:rPr>
                <w:rFonts w:ascii="Times New Roman" w:eastAsia="Times New Roman" w:hAnsi="Times New Roman" w:cs="Times New Roman"/>
              </w:rPr>
              <w:t xml:space="preserve">AI recruitment can use </w:t>
            </w:r>
            <w:r w:rsidRPr="00DF5F41">
              <w:rPr>
                <w:rFonts w:ascii="Times New Roman" w:eastAsia="Times New Roman" w:hAnsi="Times New Roman" w:cs="Times New Roman"/>
              </w:rPr>
              <w:lastRenderedPageBreak/>
              <w:t>sovereign data effectively</w:t>
            </w:r>
          </w:p>
        </w:tc>
        <w:tc>
          <w:tcPr>
            <w:tcW w:w="0" w:type="auto"/>
            <w:hideMark/>
          </w:tcPr>
          <w:p w14:paraId="67F24746" w14:textId="77777777" w:rsidR="00DF5F41" w:rsidRPr="00DF5F41" w:rsidRDefault="00DF5F41" w:rsidP="00DF5F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F5F41">
              <w:rPr>
                <w:rFonts w:ascii="Times New Roman" w:eastAsia="Times New Roman" w:hAnsi="Times New Roman" w:cs="Times New Roman"/>
              </w:rPr>
              <w:lastRenderedPageBreak/>
              <w:t>No regional comparison</w:t>
            </w:r>
          </w:p>
        </w:tc>
      </w:tr>
      <w:tr w:rsidR="00DF5F41" w:rsidRPr="00DF5F41" w14:paraId="3878D7BC" w14:textId="77777777" w:rsidTr="00DF5F41">
        <w:tc>
          <w:tcPr>
            <w:cnfStyle w:val="001000000000" w:firstRow="0" w:lastRow="0" w:firstColumn="1" w:lastColumn="0" w:oddVBand="0" w:evenVBand="0" w:oddHBand="0" w:evenHBand="0" w:firstRowFirstColumn="0" w:firstRowLastColumn="0" w:lastRowFirstColumn="0" w:lastRowLastColumn="0"/>
            <w:tcW w:w="0" w:type="auto"/>
            <w:hideMark/>
          </w:tcPr>
          <w:p w14:paraId="60FD81C2" w14:textId="77777777" w:rsidR="00DF5F41" w:rsidRPr="00DF5F41" w:rsidRDefault="00DF5F41" w:rsidP="00DF5F41">
            <w:pPr>
              <w:rPr>
                <w:rFonts w:ascii="Times New Roman" w:eastAsia="Times New Roman" w:hAnsi="Times New Roman" w:cs="Times New Roman"/>
              </w:rPr>
            </w:pPr>
            <w:proofErr w:type="spellStart"/>
            <w:r w:rsidRPr="00DF5F41">
              <w:rPr>
                <w:rFonts w:ascii="Times New Roman" w:eastAsia="Times New Roman" w:hAnsi="Times New Roman" w:cs="Times New Roman"/>
              </w:rPr>
              <w:t>Alhoussari</w:t>
            </w:r>
            <w:proofErr w:type="spellEnd"/>
          </w:p>
        </w:tc>
        <w:tc>
          <w:tcPr>
            <w:tcW w:w="0" w:type="auto"/>
            <w:hideMark/>
          </w:tcPr>
          <w:p w14:paraId="7867E02A" w14:textId="77777777" w:rsidR="00DF5F41" w:rsidRPr="00DF5F41" w:rsidRDefault="00DF5F41" w:rsidP="00DF5F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F5F41">
              <w:rPr>
                <w:rFonts w:ascii="Times New Roman" w:eastAsia="Times New Roman" w:hAnsi="Times New Roman" w:cs="Times New Roman"/>
              </w:rPr>
              <w:t>2025</w:t>
            </w:r>
          </w:p>
        </w:tc>
        <w:tc>
          <w:tcPr>
            <w:tcW w:w="0" w:type="auto"/>
            <w:hideMark/>
          </w:tcPr>
          <w:p w14:paraId="440FB2A7" w14:textId="77777777" w:rsidR="00DF5F41" w:rsidRPr="00DF5F41" w:rsidRDefault="00DF5F41" w:rsidP="00DF5F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F5F41">
              <w:rPr>
                <w:rFonts w:ascii="Times New Roman" w:eastAsia="Times New Roman" w:hAnsi="Times New Roman" w:cs="Times New Roman"/>
              </w:rPr>
              <w:t>Health data protection</w:t>
            </w:r>
          </w:p>
        </w:tc>
        <w:tc>
          <w:tcPr>
            <w:tcW w:w="0" w:type="auto"/>
            <w:hideMark/>
          </w:tcPr>
          <w:p w14:paraId="29459333" w14:textId="77777777" w:rsidR="00DF5F41" w:rsidRPr="00DF5F41" w:rsidRDefault="00DF5F41" w:rsidP="00DF5F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F5F41">
              <w:rPr>
                <w:rFonts w:ascii="Times New Roman" w:eastAsia="Times New Roman" w:hAnsi="Times New Roman" w:cs="Times New Roman"/>
              </w:rPr>
              <w:t>Comparative benchmarking</w:t>
            </w:r>
          </w:p>
        </w:tc>
        <w:tc>
          <w:tcPr>
            <w:tcW w:w="0" w:type="auto"/>
            <w:hideMark/>
          </w:tcPr>
          <w:p w14:paraId="6D2CDFE5" w14:textId="77777777" w:rsidR="00DF5F41" w:rsidRPr="00DF5F41" w:rsidRDefault="00DF5F41" w:rsidP="00DF5F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F5F41">
              <w:rPr>
                <w:rFonts w:ascii="Times New Roman" w:eastAsia="Times New Roman" w:hAnsi="Times New Roman" w:cs="Times New Roman"/>
              </w:rPr>
              <w:t>HIPAA alignment fosters trust</w:t>
            </w:r>
          </w:p>
        </w:tc>
        <w:tc>
          <w:tcPr>
            <w:tcW w:w="0" w:type="auto"/>
            <w:hideMark/>
          </w:tcPr>
          <w:p w14:paraId="6D964242" w14:textId="77777777" w:rsidR="00DF5F41" w:rsidRPr="00DF5F41" w:rsidRDefault="00DF5F41" w:rsidP="00DF5F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F5F41">
              <w:rPr>
                <w:rFonts w:ascii="Times New Roman" w:eastAsia="Times New Roman" w:hAnsi="Times New Roman" w:cs="Times New Roman"/>
              </w:rPr>
              <w:t>Weak sectoral enforcement</w:t>
            </w:r>
          </w:p>
        </w:tc>
      </w:tr>
      <w:tr w:rsidR="00DF5F41" w:rsidRPr="00DF5F41" w14:paraId="5DC815BA" w14:textId="77777777" w:rsidTr="00DF5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F92795" w14:textId="77777777" w:rsidR="00DF5F41" w:rsidRPr="00DF5F41" w:rsidRDefault="00DF5F41" w:rsidP="00DF5F41">
            <w:pPr>
              <w:rPr>
                <w:rFonts w:ascii="Times New Roman" w:eastAsia="Times New Roman" w:hAnsi="Times New Roman" w:cs="Times New Roman"/>
              </w:rPr>
            </w:pPr>
            <w:r w:rsidRPr="00DF5F41">
              <w:rPr>
                <w:rFonts w:ascii="Times New Roman" w:eastAsia="Times New Roman" w:hAnsi="Times New Roman" w:cs="Times New Roman"/>
              </w:rPr>
              <w:t>Abu Farwah</w:t>
            </w:r>
          </w:p>
        </w:tc>
        <w:tc>
          <w:tcPr>
            <w:tcW w:w="0" w:type="auto"/>
            <w:hideMark/>
          </w:tcPr>
          <w:p w14:paraId="07704245" w14:textId="77777777" w:rsidR="00DF5F41" w:rsidRPr="00DF5F41" w:rsidRDefault="00DF5F41" w:rsidP="00DF5F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F5F41">
              <w:rPr>
                <w:rFonts w:ascii="Times New Roman" w:eastAsia="Times New Roman" w:hAnsi="Times New Roman" w:cs="Times New Roman"/>
              </w:rPr>
              <w:t>2025</w:t>
            </w:r>
          </w:p>
        </w:tc>
        <w:tc>
          <w:tcPr>
            <w:tcW w:w="0" w:type="auto"/>
            <w:hideMark/>
          </w:tcPr>
          <w:p w14:paraId="78AAFAF3" w14:textId="77777777" w:rsidR="00DF5F41" w:rsidRPr="00DF5F41" w:rsidRDefault="00DF5F41" w:rsidP="00DF5F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F5F41">
              <w:rPr>
                <w:rFonts w:ascii="Times New Roman" w:eastAsia="Times New Roman" w:hAnsi="Times New Roman" w:cs="Times New Roman"/>
              </w:rPr>
              <w:t>IP laws &amp; AI datasets</w:t>
            </w:r>
          </w:p>
        </w:tc>
        <w:tc>
          <w:tcPr>
            <w:tcW w:w="0" w:type="auto"/>
            <w:hideMark/>
          </w:tcPr>
          <w:p w14:paraId="526A2AB9" w14:textId="77777777" w:rsidR="00DF5F41" w:rsidRPr="00DF5F41" w:rsidRDefault="00DF5F41" w:rsidP="00DF5F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F5F41">
              <w:rPr>
                <w:rFonts w:ascii="Times New Roman" w:eastAsia="Times New Roman" w:hAnsi="Times New Roman" w:cs="Times New Roman"/>
              </w:rPr>
              <w:t>Policy review</w:t>
            </w:r>
          </w:p>
        </w:tc>
        <w:tc>
          <w:tcPr>
            <w:tcW w:w="0" w:type="auto"/>
            <w:hideMark/>
          </w:tcPr>
          <w:p w14:paraId="4DF5CB28" w14:textId="77777777" w:rsidR="00DF5F41" w:rsidRPr="00DF5F41" w:rsidRDefault="00DF5F41" w:rsidP="00DF5F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F5F41">
              <w:rPr>
                <w:rFonts w:ascii="Times New Roman" w:eastAsia="Times New Roman" w:hAnsi="Times New Roman" w:cs="Times New Roman"/>
              </w:rPr>
              <w:t>Rigid IP rules restrict AI training</w:t>
            </w:r>
          </w:p>
        </w:tc>
        <w:tc>
          <w:tcPr>
            <w:tcW w:w="0" w:type="auto"/>
            <w:hideMark/>
          </w:tcPr>
          <w:p w14:paraId="697F901A" w14:textId="77777777" w:rsidR="00DF5F41" w:rsidRPr="00DF5F41" w:rsidRDefault="00DF5F41" w:rsidP="00DF5F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F5F41">
              <w:rPr>
                <w:rFonts w:ascii="Times New Roman" w:eastAsia="Times New Roman" w:hAnsi="Times New Roman" w:cs="Times New Roman"/>
              </w:rPr>
              <w:t>Adaptive licensing models needed</w:t>
            </w:r>
          </w:p>
        </w:tc>
      </w:tr>
      <w:tr w:rsidR="00DF5F41" w:rsidRPr="00DF5F41" w14:paraId="54D50CC8" w14:textId="77777777" w:rsidTr="00DF5F41">
        <w:tc>
          <w:tcPr>
            <w:cnfStyle w:val="001000000000" w:firstRow="0" w:lastRow="0" w:firstColumn="1" w:lastColumn="0" w:oddVBand="0" w:evenVBand="0" w:oddHBand="0" w:evenHBand="0" w:firstRowFirstColumn="0" w:firstRowLastColumn="0" w:lastRowFirstColumn="0" w:lastRowLastColumn="0"/>
            <w:tcW w:w="0" w:type="auto"/>
            <w:hideMark/>
          </w:tcPr>
          <w:p w14:paraId="5FF66A11" w14:textId="77777777" w:rsidR="00DF5F41" w:rsidRPr="00DF5F41" w:rsidRDefault="00DF5F41" w:rsidP="00DF5F41">
            <w:pPr>
              <w:rPr>
                <w:rFonts w:ascii="Times New Roman" w:eastAsia="Times New Roman" w:hAnsi="Times New Roman" w:cs="Times New Roman"/>
              </w:rPr>
            </w:pPr>
            <w:r w:rsidRPr="00DF5F41">
              <w:rPr>
                <w:rFonts w:ascii="Times New Roman" w:eastAsia="Times New Roman" w:hAnsi="Times New Roman" w:cs="Times New Roman"/>
              </w:rPr>
              <w:t>International studies (EU, US, Asia)</w:t>
            </w:r>
          </w:p>
        </w:tc>
        <w:tc>
          <w:tcPr>
            <w:tcW w:w="0" w:type="auto"/>
            <w:hideMark/>
          </w:tcPr>
          <w:p w14:paraId="0B5004CA" w14:textId="77777777" w:rsidR="00DF5F41" w:rsidRPr="00DF5F41" w:rsidRDefault="00DF5F41" w:rsidP="00DF5F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F5F41">
              <w:rPr>
                <w:rFonts w:ascii="Times New Roman" w:eastAsia="Times New Roman" w:hAnsi="Times New Roman" w:cs="Times New Roman"/>
              </w:rPr>
              <w:t>2017–2023</w:t>
            </w:r>
          </w:p>
        </w:tc>
        <w:tc>
          <w:tcPr>
            <w:tcW w:w="0" w:type="auto"/>
            <w:hideMark/>
          </w:tcPr>
          <w:p w14:paraId="17D48177" w14:textId="77777777" w:rsidR="00DF5F41" w:rsidRPr="00DF5F41" w:rsidRDefault="00DF5F41" w:rsidP="00DF5F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F5F41">
              <w:rPr>
                <w:rFonts w:ascii="Times New Roman" w:eastAsia="Times New Roman" w:hAnsi="Times New Roman" w:cs="Times New Roman"/>
              </w:rPr>
              <w:t>GDPR, HIPAA, AI sovereignty</w:t>
            </w:r>
          </w:p>
        </w:tc>
        <w:tc>
          <w:tcPr>
            <w:tcW w:w="0" w:type="auto"/>
            <w:hideMark/>
          </w:tcPr>
          <w:p w14:paraId="4E778207" w14:textId="77777777" w:rsidR="00DF5F41" w:rsidRPr="00DF5F41" w:rsidRDefault="00DF5F41" w:rsidP="00DF5F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F5F41">
              <w:rPr>
                <w:rFonts w:ascii="Times New Roman" w:eastAsia="Times New Roman" w:hAnsi="Times New Roman" w:cs="Times New Roman"/>
              </w:rPr>
              <w:t>Comparative policy analysis</w:t>
            </w:r>
          </w:p>
        </w:tc>
        <w:tc>
          <w:tcPr>
            <w:tcW w:w="0" w:type="auto"/>
            <w:hideMark/>
          </w:tcPr>
          <w:p w14:paraId="59C4318A" w14:textId="77777777" w:rsidR="00DF5F41" w:rsidRPr="00DF5F41" w:rsidRDefault="00DF5F41" w:rsidP="00DF5F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F5F41">
              <w:rPr>
                <w:rFonts w:ascii="Times New Roman" w:eastAsia="Times New Roman" w:hAnsi="Times New Roman" w:cs="Times New Roman"/>
              </w:rPr>
              <w:t>Models balance innovation with protection</w:t>
            </w:r>
          </w:p>
        </w:tc>
        <w:tc>
          <w:tcPr>
            <w:tcW w:w="0" w:type="auto"/>
            <w:hideMark/>
          </w:tcPr>
          <w:p w14:paraId="56AD63A8" w14:textId="77777777" w:rsidR="00DF5F41" w:rsidRPr="00DF5F41" w:rsidRDefault="00DF5F41" w:rsidP="00DF5F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F5F41">
              <w:rPr>
                <w:rFonts w:ascii="Times New Roman" w:eastAsia="Times New Roman" w:hAnsi="Times New Roman" w:cs="Times New Roman"/>
              </w:rPr>
              <w:t>Limited Gulf-specific benchmarking</w:t>
            </w:r>
          </w:p>
        </w:tc>
      </w:tr>
    </w:tbl>
    <w:p w14:paraId="0BEA2EB7" w14:textId="6644848A" w:rsidR="0060310D" w:rsidRDefault="00DF5F41" w:rsidP="00DF5F41">
      <w:pPr>
        <w:pStyle w:val="NormalWeb"/>
        <w:jc w:val="both"/>
        <w:rPr>
          <w:rFonts w:asciiTheme="majorBidi" w:hAnsiTheme="majorBidi" w:cstheme="majorBidi"/>
        </w:rPr>
      </w:pPr>
      <w:r w:rsidRPr="00DF5F41">
        <w:rPr>
          <w:rFonts w:asciiTheme="majorBidi" w:hAnsiTheme="majorBidi" w:cstheme="majorBidi"/>
        </w:rPr>
        <w:t xml:space="preserve">Despite growing </w:t>
      </w:r>
      <w:r w:rsidRPr="00DF5F41">
        <w:rPr>
          <w:rFonts w:asciiTheme="majorBidi" w:hAnsiTheme="majorBidi" w:cstheme="majorBidi"/>
        </w:rPr>
        <w:t>scholarships</w:t>
      </w:r>
      <w:r w:rsidRPr="00DF5F41">
        <w:rPr>
          <w:rFonts w:asciiTheme="majorBidi" w:hAnsiTheme="majorBidi" w:cstheme="majorBidi"/>
        </w:rPr>
        <w:t xml:space="preserve">, significant gaps persist in </w:t>
      </w:r>
      <w:proofErr w:type="gramStart"/>
      <w:r>
        <w:rPr>
          <w:rFonts w:asciiTheme="majorBidi" w:hAnsiTheme="majorBidi" w:cstheme="majorBidi"/>
        </w:rPr>
        <w:t xml:space="preserve">the </w:t>
      </w:r>
      <w:r w:rsidRPr="00DF5F41">
        <w:rPr>
          <w:rFonts w:asciiTheme="majorBidi" w:hAnsiTheme="majorBidi" w:cstheme="majorBidi"/>
        </w:rPr>
        <w:t>literature</w:t>
      </w:r>
      <w:proofErr w:type="gramEnd"/>
      <w:r w:rsidRPr="00DF5F41">
        <w:rPr>
          <w:rFonts w:asciiTheme="majorBidi" w:hAnsiTheme="majorBidi" w:cstheme="majorBidi"/>
        </w:rPr>
        <w:t>. First, most works examine Saudi frameworks in isolation, with minimal cross-comparison to Gulf or Asian models. Second, while the PDPL is frequently benchmarked against GDPR, few studies empirically assess its enforcement or innovation impact. Third, sectoral applications remain underexplored outside of health and labor, leaving education, finance, and national security largely unexamined. Finally, recommendations often remain descriptive rather than prescriptive, lacking integrated policy, institutional, and technical reforms. This study addresses these gaps by providing comparative analysis, clarifying enforcement challenges, and proposing actionable reforms within the Vision 2030 framework.</w:t>
      </w:r>
    </w:p>
    <w:p w14:paraId="722C429E" w14:textId="161374F0" w:rsidR="00DF5F41" w:rsidRPr="00DF5F41" w:rsidRDefault="00DF5F41" w:rsidP="00DF5F41">
      <w:pPr>
        <w:pStyle w:val="NormalWeb"/>
        <w:jc w:val="both"/>
        <w:rPr>
          <w:rFonts w:asciiTheme="majorBidi" w:hAnsiTheme="majorBidi" w:cstheme="majorBidi"/>
        </w:rPr>
      </w:pPr>
      <w:r w:rsidRPr="00DF5F41">
        <w:rPr>
          <w:rFonts w:asciiTheme="majorBidi" w:hAnsiTheme="majorBidi" w:cstheme="majorBidi"/>
        </w:rPr>
        <w:t>In summary, the literature underscores the dual role of data sovereignty in both enabling and constraining generative AI adoption within the Saudi context. While robust institutions such as SDAIA and NDMO provide a strong foundation, challenges remain in legal flexibility, sectoral coverage, and policy enforcement. By addressing these gaps through comparative analysis and actionable reform proposals, this study contributes to advancing both national readiness and global debates on sovereign AI governance. The following chapter outlines the methodological approach adopted to systematically investigate these issues.</w:t>
      </w:r>
    </w:p>
    <w:p w14:paraId="7D1BA2FC" w14:textId="4EE3EDA1" w:rsidR="0060310D" w:rsidRPr="0060310D" w:rsidRDefault="001B60EE" w:rsidP="0060310D">
      <w:pPr>
        <w:pStyle w:val="Heading1"/>
      </w:pPr>
      <w:r w:rsidRPr="0060310D">
        <w:t xml:space="preserve">2. </w:t>
      </w:r>
      <w:r>
        <w:t>Materials and Methods</w:t>
      </w:r>
    </w:p>
    <w:p w14:paraId="6E79923D" w14:textId="5E35CA84" w:rsidR="00401155" w:rsidRPr="001B60EE" w:rsidRDefault="00401155" w:rsidP="00401155">
      <w:pPr>
        <w:pStyle w:val="Heading3"/>
        <w:jc w:val="both"/>
        <w:rPr>
          <w:rFonts w:asciiTheme="majorBidi" w:hAnsiTheme="majorBidi"/>
        </w:rPr>
      </w:pPr>
      <w:r>
        <w:rPr>
          <w:rFonts w:asciiTheme="majorBidi" w:hAnsiTheme="majorBidi"/>
        </w:rPr>
        <w:t>2.1</w:t>
      </w:r>
      <w:r w:rsidRPr="001B60EE">
        <w:rPr>
          <w:rFonts w:asciiTheme="majorBidi" w:hAnsiTheme="majorBidi"/>
        </w:rPr>
        <w:t xml:space="preserve"> Research Methodology</w:t>
      </w:r>
    </w:p>
    <w:p w14:paraId="48EC29B7" w14:textId="77777777" w:rsidR="00401155" w:rsidRPr="001B60EE" w:rsidRDefault="00401155" w:rsidP="00401155">
      <w:pPr>
        <w:pStyle w:val="NormalWeb"/>
        <w:jc w:val="both"/>
        <w:rPr>
          <w:rFonts w:asciiTheme="majorBidi" w:hAnsiTheme="majorBidi" w:cstheme="majorBidi"/>
        </w:rPr>
      </w:pPr>
      <w:r w:rsidRPr="001B60EE">
        <w:rPr>
          <w:rFonts w:asciiTheme="majorBidi" w:hAnsiTheme="majorBidi" w:cstheme="majorBidi"/>
        </w:rPr>
        <w:t>This study employs a qualitative research approach utilizing documentary analysis, policy review, and case study methodology. Data will be collected through secondary sources including government documents, policy papers, academic literature, and institutional reports [21]. The research will apply content analysis techniques to examine existing data sovereignty policies and their implementation in relation to generative AI development in Saudi Arabia. The analytical framework will focus on identifying patterns, gaps, and best practices in current governance approaches.</w:t>
      </w:r>
    </w:p>
    <w:p w14:paraId="32890A16" w14:textId="28D7D78B" w:rsidR="0099065F" w:rsidRPr="001B60EE" w:rsidRDefault="001B60EE" w:rsidP="007F02B1">
      <w:pPr>
        <w:pStyle w:val="Heading2"/>
        <w:jc w:val="both"/>
        <w:rPr>
          <w:rFonts w:asciiTheme="majorBidi" w:hAnsiTheme="majorBidi"/>
        </w:rPr>
      </w:pPr>
      <w:r>
        <w:rPr>
          <w:rStyle w:val="Strong"/>
          <w:rFonts w:asciiTheme="majorBidi" w:hAnsiTheme="majorBidi"/>
          <w:b/>
          <w:bCs/>
        </w:rPr>
        <w:lastRenderedPageBreak/>
        <w:t>2</w:t>
      </w:r>
      <w:r w:rsidR="0099065F" w:rsidRPr="001B60EE">
        <w:rPr>
          <w:rStyle w:val="Strong"/>
          <w:rFonts w:asciiTheme="majorBidi" w:hAnsiTheme="majorBidi"/>
          <w:b/>
          <w:bCs/>
        </w:rPr>
        <w:t>.2 Research Design</w:t>
      </w:r>
    </w:p>
    <w:p w14:paraId="4E54BD44" w14:textId="77777777" w:rsidR="0099065F" w:rsidRPr="001B60EE" w:rsidRDefault="0099065F" w:rsidP="007F02B1">
      <w:pPr>
        <w:pStyle w:val="NormalWeb"/>
        <w:jc w:val="both"/>
        <w:rPr>
          <w:rFonts w:asciiTheme="majorBidi" w:hAnsiTheme="majorBidi" w:cstheme="majorBidi"/>
        </w:rPr>
      </w:pPr>
      <w:r w:rsidRPr="001B60EE">
        <w:rPr>
          <w:rFonts w:asciiTheme="majorBidi" w:hAnsiTheme="majorBidi" w:cstheme="majorBidi"/>
        </w:rPr>
        <w:t>The study employs a qualitative-dominant mixed-methods design situated within an interpretivist paradigm. The approach combines:</w:t>
      </w:r>
    </w:p>
    <w:p w14:paraId="23EDBA4A" w14:textId="77777777" w:rsidR="0099065F" w:rsidRPr="001B60EE" w:rsidRDefault="0099065F" w:rsidP="00CD702C">
      <w:pPr>
        <w:pStyle w:val="NormalWeb"/>
        <w:numPr>
          <w:ilvl w:val="0"/>
          <w:numId w:val="6"/>
        </w:numPr>
        <w:jc w:val="both"/>
        <w:rPr>
          <w:rFonts w:asciiTheme="majorBidi" w:hAnsiTheme="majorBidi" w:cstheme="majorBidi"/>
        </w:rPr>
      </w:pPr>
      <w:r w:rsidRPr="001B60EE">
        <w:rPr>
          <w:rFonts w:asciiTheme="majorBidi" w:hAnsiTheme="majorBidi" w:cstheme="majorBidi"/>
        </w:rPr>
        <w:t>Documentary analysis of government policies, legal texts, and institutional reports.</w:t>
      </w:r>
    </w:p>
    <w:p w14:paraId="72106187" w14:textId="77777777" w:rsidR="0099065F" w:rsidRPr="001B60EE" w:rsidRDefault="0099065F" w:rsidP="00CD702C">
      <w:pPr>
        <w:pStyle w:val="NormalWeb"/>
        <w:numPr>
          <w:ilvl w:val="0"/>
          <w:numId w:val="6"/>
        </w:numPr>
        <w:jc w:val="both"/>
        <w:rPr>
          <w:rFonts w:asciiTheme="majorBidi" w:hAnsiTheme="majorBidi" w:cstheme="majorBidi"/>
        </w:rPr>
      </w:pPr>
      <w:r w:rsidRPr="001B60EE">
        <w:rPr>
          <w:rFonts w:asciiTheme="majorBidi" w:hAnsiTheme="majorBidi" w:cstheme="majorBidi"/>
        </w:rPr>
        <w:t>Thematic synthesis of peer-reviewed academic literature.</w:t>
      </w:r>
    </w:p>
    <w:p w14:paraId="797A5E2B" w14:textId="77777777" w:rsidR="0099065F" w:rsidRPr="001B60EE" w:rsidRDefault="0099065F" w:rsidP="00CD702C">
      <w:pPr>
        <w:pStyle w:val="NormalWeb"/>
        <w:numPr>
          <w:ilvl w:val="0"/>
          <w:numId w:val="6"/>
        </w:numPr>
        <w:jc w:val="both"/>
        <w:rPr>
          <w:rFonts w:asciiTheme="majorBidi" w:hAnsiTheme="majorBidi" w:cstheme="majorBidi"/>
        </w:rPr>
      </w:pPr>
      <w:r w:rsidRPr="001B60EE">
        <w:rPr>
          <w:rFonts w:asciiTheme="majorBidi" w:hAnsiTheme="majorBidi" w:cstheme="majorBidi"/>
        </w:rPr>
        <w:t>Descriptive statistics from national and international data sources (e.g., SDAIA, World Bank, UN DESA [33]).</w:t>
      </w:r>
    </w:p>
    <w:p w14:paraId="667B87A3" w14:textId="77777777" w:rsidR="0099065F" w:rsidRPr="001B60EE" w:rsidRDefault="0099065F" w:rsidP="007F02B1">
      <w:pPr>
        <w:pStyle w:val="NormalWeb"/>
        <w:jc w:val="both"/>
        <w:rPr>
          <w:rFonts w:asciiTheme="majorBidi" w:hAnsiTheme="majorBidi" w:cstheme="majorBidi"/>
        </w:rPr>
      </w:pPr>
      <w:r w:rsidRPr="001B60EE">
        <w:rPr>
          <w:rFonts w:asciiTheme="majorBidi" w:hAnsiTheme="majorBidi" w:cstheme="majorBidi"/>
        </w:rPr>
        <w:t>This design enables content analysis of data sovereignty strategies in Saudi Arabia, evaluation of their alignment with Vision 2030 objectives, and identification of gaps, opportunities, and barriers to generative AI adoption. The interpretivist stance acknowledges that both data sovereignty and AI governance are socially constructed phenomena shaped by institutional, cultural, and political contexts [34].</w:t>
      </w:r>
    </w:p>
    <w:p w14:paraId="2C0F6756" w14:textId="4224DAF8" w:rsidR="0099065F" w:rsidRPr="001B60EE" w:rsidRDefault="001B60EE" w:rsidP="007F02B1">
      <w:pPr>
        <w:pStyle w:val="Heading2"/>
        <w:jc w:val="both"/>
        <w:rPr>
          <w:rFonts w:asciiTheme="majorBidi" w:hAnsiTheme="majorBidi"/>
        </w:rPr>
      </w:pPr>
      <w:r>
        <w:rPr>
          <w:rStyle w:val="Strong"/>
          <w:rFonts w:asciiTheme="majorBidi" w:hAnsiTheme="majorBidi"/>
          <w:b/>
          <w:bCs/>
        </w:rPr>
        <w:t>2</w:t>
      </w:r>
      <w:r w:rsidR="0099065F" w:rsidRPr="001B60EE">
        <w:rPr>
          <w:rStyle w:val="Strong"/>
          <w:rFonts w:asciiTheme="majorBidi" w:hAnsiTheme="majorBidi"/>
          <w:b/>
          <w:bCs/>
        </w:rPr>
        <w:t>.3 Data Sources</w:t>
      </w:r>
    </w:p>
    <w:p w14:paraId="65FC1007" w14:textId="345E1019" w:rsidR="0099065F" w:rsidRPr="001B60EE" w:rsidRDefault="001B60EE" w:rsidP="007F02B1">
      <w:pPr>
        <w:pStyle w:val="Heading3"/>
        <w:jc w:val="both"/>
        <w:rPr>
          <w:rFonts w:asciiTheme="majorBidi" w:hAnsiTheme="majorBidi"/>
        </w:rPr>
      </w:pPr>
      <w:r>
        <w:rPr>
          <w:rStyle w:val="Strong"/>
          <w:rFonts w:asciiTheme="majorBidi" w:hAnsiTheme="majorBidi"/>
          <w:b/>
          <w:bCs/>
        </w:rPr>
        <w:t>2</w:t>
      </w:r>
      <w:r w:rsidR="0099065F" w:rsidRPr="001B60EE">
        <w:rPr>
          <w:rStyle w:val="Strong"/>
          <w:rFonts w:asciiTheme="majorBidi" w:hAnsiTheme="majorBidi"/>
          <w:b/>
          <w:bCs/>
        </w:rPr>
        <w:t>.3.1 Primary Sources</w:t>
      </w:r>
    </w:p>
    <w:p w14:paraId="11FFC8D1" w14:textId="77777777" w:rsidR="0099065F" w:rsidRPr="001B60EE" w:rsidRDefault="0099065F" w:rsidP="007F02B1">
      <w:pPr>
        <w:pStyle w:val="NormalWeb"/>
        <w:jc w:val="both"/>
        <w:rPr>
          <w:rFonts w:asciiTheme="majorBidi" w:hAnsiTheme="majorBidi" w:cstheme="majorBidi"/>
        </w:rPr>
      </w:pPr>
      <w:r w:rsidRPr="001B60EE">
        <w:rPr>
          <w:rFonts w:asciiTheme="majorBidi" w:hAnsiTheme="majorBidi" w:cstheme="majorBidi"/>
        </w:rPr>
        <w:t>Primary data were drawn from official policy documents, including:</w:t>
      </w:r>
    </w:p>
    <w:p w14:paraId="1CC7BF76" w14:textId="77777777" w:rsidR="0099065F" w:rsidRPr="001B60EE" w:rsidRDefault="0099065F" w:rsidP="00CD702C">
      <w:pPr>
        <w:pStyle w:val="NormalWeb"/>
        <w:numPr>
          <w:ilvl w:val="0"/>
          <w:numId w:val="7"/>
        </w:numPr>
        <w:jc w:val="both"/>
        <w:rPr>
          <w:rFonts w:asciiTheme="majorBidi" w:hAnsiTheme="majorBidi" w:cstheme="majorBidi"/>
        </w:rPr>
      </w:pPr>
      <w:r w:rsidRPr="001B60EE">
        <w:rPr>
          <w:rFonts w:asciiTheme="majorBidi" w:hAnsiTheme="majorBidi" w:cstheme="majorBidi"/>
        </w:rPr>
        <w:t>Vision 2030 strategic documents.</w:t>
      </w:r>
    </w:p>
    <w:p w14:paraId="3608DAEC" w14:textId="77777777" w:rsidR="0099065F" w:rsidRPr="001B60EE" w:rsidRDefault="0099065F" w:rsidP="00CD702C">
      <w:pPr>
        <w:pStyle w:val="NormalWeb"/>
        <w:numPr>
          <w:ilvl w:val="0"/>
          <w:numId w:val="7"/>
        </w:numPr>
        <w:jc w:val="both"/>
        <w:rPr>
          <w:rFonts w:asciiTheme="majorBidi" w:hAnsiTheme="majorBidi" w:cstheme="majorBidi"/>
        </w:rPr>
      </w:pPr>
      <w:r w:rsidRPr="001B60EE">
        <w:rPr>
          <w:rFonts w:asciiTheme="majorBidi" w:hAnsiTheme="majorBidi" w:cstheme="majorBidi"/>
        </w:rPr>
        <w:t>The Personal Data Protection Law (PDPL), the Electronic Crimes Control Law, and Intellectual Property laws.</w:t>
      </w:r>
    </w:p>
    <w:p w14:paraId="0CC36D66" w14:textId="77777777" w:rsidR="0099065F" w:rsidRPr="001B60EE" w:rsidRDefault="0099065F" w:rsidP="00CD702C">
      <w:pPr>
        <w:pStyle w:val="NormalWeb"/>
        <w:numPr>
          <w:ilvl w:val="0"/>
          <w:numId w:val="7"/>
        </w:numPr>
        <w:jc w:val="both"/>
        <w:rPr>
          <w:rFonts w:asciiTheme="majorBidi" w:hAnsiTheme="majorBidi" w:cstheme="majorBidi"/>
        </w:rPr>
      </w:pPr>
      <w:r w:rsidRPr="001B60EE">
        <w:rPr>
          <w:rFonts w:asciiTheme="majorBidi" w:hAnsiTheme="majorBidi" w:cstheme="majorBidi"/>
        </w:rPr>
        <w:t>Institutional publications from the Saudi Data and Artificial Intelligence Authority (SDAIA), the National Data Management Office (NDMO), and the National Center for Artificial Intelligence (NCAI).</w:t>
      </w:r>
    </w:p>
    <w:p w14:paraId="4048977B" w14:textId="65B9FFAE" w:rsidR="0099065F" w:rsidRPr="001B60EE" w:rsidRDefault="001B60EE" w:rsidP="007F02B1">
      <w:pPr>
        <w:pStyle w:val="Heading3"/>
        <w:jc w:val="both"/>
        <w:rPr>
          <w:rFonts w:asciiTheme="majorBidi" w:hAnsiTheme="majorBidi"/>
        </w:rPr>
      </w:pPr>
      <w:r>
        <w:rPr>
          <w:rStyle w:val="Strong"/>
          <w:rFonts w:asciiTheme="majorBidi" w:hAnsiTheme="majorBidi"/>
          <w:b/>
          <w:bCs/>
        </w:rPr>
        <w:t>2</w:t>
      </w:r>
      <w:r w:rsidR="0099065F" w:rsidRPr="001B60EE">
        <w:rPr>
          <w:rStyle w:val="Strong"/>
          <w:rFonts w:asciiTheme="majorBidi" w:hAnsiTheme="majorBidi"/>
          <w:b/>
          <w:bCs/>
        </w:rPr>
        <w:t>.3.2 Secondary Sources</w:t>
      </w:r>
    </w:p>
    <w:p w14:paraId="3BE810B7" w14:textId="77777777" w:rsidR="0099065F" w:rsidRPr="001B60EE" w:rsidRDefault="0099065F" w:rsidP="007F02B1">
      <w:pPr>
        <w:pStyle w:val="NormalWeb"/>
        <w:jc w:val="both"/>
        <w:rPr>
          <w:rFonts w:asciiTheme="majorBidi" w:hAnsiTheme="majorBidi" w:cstheme="majorBidi"/>
        </w:rPr>
      </w:pPr>
      <w:r w:rsidRPr="001B60EE">
        <w:rPr>
          <w:rFonts w:asciiTheme="majorBidi" w:hAnsiTheme="majorBidi" w:cstheme="majorBidi"/>
        </w:rPr>
        <w:t>Secondary data included peer-reviewed articles [35–40], international regulatory frameworks such as the General Data Protection Regulation (GDPR) and the Health Insurance Portability and Accountability Act (HIPAA) [41,42], and publications retrieved from academic databases (Semantic Scholar, Google Scholar, IEEE Xplore, ScienceDirect).</w:t>
      </w:r>
    </w:p>
    <w:p w14:paraId="50D61DD0" w14:textId="35A39B3C" w:rsidR="0099065F" w:rsidRPr="001B60EE" w:rsidRDefault="001B60EE" w:rsidP="007F02B1">
      <w:pPr>
        <w:pStyle w:val="Heading2"/>
        <w:jc w:val="both"/>
        <w:rPr>
          <w:rFonts w:asciiTheme="majorBidi" w:hAnsiTheme="majorBidi"/>
        </w:rPr>
      </w:pPr>
      <w:r>
        <w:rPr>
          <w:rStyle w:val="Strong"/>
          <w:rFonts w:asciiTheme="majorBidi" w:hAnsiTheme="majorBidi"/>
          <w:b/>
          <w:bCs/>
        </w:rPr>
        <w:t>2</w:t>
      </w:r>
      <w:r w:rsidR="0099065F" w:rsidRPr="001B60EE">
        <w:rPr>
          <w:rStyle w:val="Strong"/>
          <w:rFonts w:asciiTheme="majorBidi" w:hAnsiTheme="majorBidi"/>
          <w:b/>
          <w:bCs/>
        </w:rPr>
        <w:t>.4 Sampling and Screening</w:t>
      </w:r>
    </w:p>
    <w:p w14:paraId="60BDAC92" w14:textId="49B25865" w:rsidR="00DF5F41" w:rsidRDefault="00DF5F41" w:rsidP="007F02B1">
      <w:pPr>
        <w:pStyle w:val="NormalWeb"/>
        <w:jc w:val="both"/>
        <w:rPr>
          <w:rFonts w:asciiTheme="majorBidi" w:hAnsiTheme="majorBidi" w:cstheme="majorBidi"/>
        </w:rPr>
      </w:pPr>
      <w:r w:rsidRPr="00DF5F41">
        <w:rPr>
          <w:rFonts w:asciiTheme="majorBidi" w:hAnsiTheme="majorBidi" w:cstheme="majorBidi"/>
        </w:rPr>
        <w:t>This study adopts an integrative review methodology rather than a systematic review. While systematic reviews are better suited for clinical and experimental evidence, the integrative review allows inclusion of policy documents, institutional reports, and academic studies to generate a comprehensive perspective on data sovereignty in the Saudi context.</w:t>
      </w:r>
    </w:p>
    <w:p w14:paraId="41428C87" w14:textId="4B85A2A7" w:rsidR="0099065F" w:rsidRPr="001B60EE" w:rsidRDefault="0099065F" w:rsidP="007F02B1">
      <w:pPr>
        <w:pStyle w:val="NormalWeb"/>
        <w:jc w:val="both"/>
        <w:rPr>
          <w:rFonts w:asciiTheme="majorBidi" w:hAnsiTheme="majorBidi" w:cstheme="majorBidi"/>
        </w:rPr>
      </w:pPr>
      <w:r w:rsidRPr="001B60EE">
        <w:rPr>
          <w:rFonts w:asciiTheme="majorBidi" w:hAnsiTheme="majorBidi" w:cstheme="majorBidi"/>
        </w:rPr>
        <w:t>Purposive sampling was applied to select studies that:</w:t>
      </w:r>
    </w:p>
    <w:p w14:paraId="3115FA53" w14:textId="77777777" w:rsidR="0099065F" w:rsidRPr="001B60EE" w:rsidRDefault="0099065F" w:rsidP="00CD702C">
      <w:pPr>
        <w:pStyle w:val="NormalWeb"/>
        <w:numPr>
          <w:ilvl w:val="0"/>
          <w:numId w:val="8"/>
        </w:numPr>
        <w:jc w:val="both"/>
        <w:rPr>
          <w:rFonts w:asciiTheme="majorBidi" w:hAnsiTheme="majorBidi" w:cstheme="majorBidi"/>
        </w:rPr>
      </w:pPr>
      <w:r w:rsidRPr="001B60EE">
        <w:rPr>
          <w:rFonts w:asciiTheme="majorBidi" w:hAnsiTheme="majorBidi" w:cstheme="majorBidi"/>
        </w:rPr>
        <w:t>Address data sovereignty in relation to AI, particularly generative AI.</w:t>
      </w:r>
    </w:p>
    <w:p w14:paraId="33310F7B" w14:textId="77777777" w:rsidR="0099065F" w:rsidRPr="001B60EE" w:rsidRDefault="0099065F" w:rsidP="00CD702C">
      <w:pPr>
        <w:pStyle w:val="NormalWeb"/>
        <w:numPr>
          <w:ilvl w:val="0"/>
          <w:numId w:val="8"/>
        </w:numPr>
        <w:jc w:val="both"/>
        <w:rPr>
          <w:rFonts w:asciiTheme="majorBidi" w:hAnsiTheme="majorBidi" w:cstheme="majorBidi"/>
        </w:rPr>
      </w:pPr>
      <w:r w:rsidRPr="001B60EE">
        <w:rPr>
          <w:rFonts w:asciiTheme="majorBidi" w:hAnsiTheme="majorBidi" w:cstheme="majorBidi"/>
        </w:rPr>
        <w:lastRenderedPageBreak/>
        <w:t>Focus on AI governance and data policies within the Saudi context.</w:t>
      </w:r>
    </w:p>
    <w:p w14:paraId="7C2BA68A" w14:textId="77777777" w:rsidR="0099065F" w:rsidRPr="001B60EE" w:rsidRDefault="0099065F" w:rsidP="00CD702C">
      <w:pPr>
        <w:pStyle w:val="NormalWeb"/>
        <w:numPr>
          <w:ilvl w:val="0"/>
          <w:numId w:val="8"/>
        </w:numPr>
        <w:jc w:val="both"/>
        <w:rPr>
          <w:rFonts w:asciiTheme="majorBidi" w:hAnsiTheme="majorBidi" w:cstheme="majorBidi"/>
        </w:rPr>
      </w:pPr>
      <w:r w:rsidRPr="001B60EE">
        <w:rPr>
          <w:rFonts w:asciiTheme="majorBidi" w:hAnsiTheme="majorBidi" w:cstheme="majorBidi"/>
        </w:rPr>
        <w:t>Examine implications for Vision 2030 innovation goals.</w:t>
      </w:r>
    </w:p>
    <w:p w14:paraId="31A0F990" w14:textId="77777777" w:rsidR="0099065F" w:rsidRPr="001B60EE" w:rsidRDefault="0099065F" w:rsidP="00CD702C">
      <w:pPr>
        <w:pStyle w:val="NormalWeb"/>
        <w:numPr>
          <w:ilvl w:val="0"/>
          <w:numId w:val="8"/>
        </w:numPr>
        <w:jc w:val="both"/>
        <w:rPr>
          <w:rFonts w:asciiTheme="majorBidi" w:hAnsiTheme="majorBidi" w:cstheme="majorBidi"/>
        </w:rPr>
      </w:pPr>
      <w:r w:rsidRPr="001B60EE">
        <w:rPr>
          <w:rFonts w:asciiTheme="majorBidi" w:hAnsiTheme="majorBidi" w:cstheme="majorBidi"/>
        </w:rPr>
        <w:t>Present empirical evidence or policy impact assessments.</w:t>
      </w:r>
    </w:p>
    <w:p w14:paraId="0792E5DA" w14:textId="77777777" w:rsidR="0099065F" w:rsidRPr="001B60EE" w:rsidRDefault="0099065F" w:rsidP="007F02B1">
      <w:pPr>
        <w:pStyle w:val="NormalWeb"/>
        <w:jc w:val="both"/>
        <w:rPr>
          <w:rFonts w:asciiTheme="majorBidi" w:hAnsiTheme="majorBidi" w:cstheme="majorBidi"/>
        </w:rPr>
      </w:pPr>
      <w:r w:rsidRPr="001B60EE">
        <w:rPr>
          <w:rFonts w:asciiTheme="majorBidi" w:hAnsiTheme="majorBidi" w:cstheme="majorBidi"/>
        </w:rPr>
        <w:t>Seven core studies were identified following a rigorous screening protocol. Each was assessed by two independent reviewers against inclusion criteria to ensure scope, quality, and methodological robustness [35–40].</w:t>
      </w:r>
    </w:p>
    <w:p w14:paraId="08DEB325" w14:textId="390DAD7A" w:rsidR="00E52C83" w:rsidRPr="001B60EE" w:rsidRDefault="00E52C83" w:rsidP="007F02B1">
      <w:pPr>
        <w:pStyle w:val="NormalWeb"/>
        <w:jc w:val="both"/>
        <w:rPr>
          <w:rFonts w:asciiTheme="majorBidi" w:hAnsiTheme="majorBidi" w:cstheme="majorBidi"/>
        </w:rPr>
      </w:pPr>
      <w:r w:rsidRPr="001B60EE">
        <w:rPr>
          <w:rStyle w:val="Strong"/>
          <w:rFonts w:asciiTheme="majorBidi" w:hAnsiTheme="majorBidi" w:cstheme="majorBidi"/>
        </w:rPr>
        <w:t>Review Type Clarification</w:t>
      </w:r>
      <w:r w:rsidR="001B60EE">
        <w:rPr>
          <w:rFonts w:asciiTheme="majorBidi" w:hAnsiTheme="majorBidi" w:cstheme="majorBidi"/>
        </w:rPr>
        <w:t xml:space="preserve"> </w:t>
      </w:r>
      <w:r w:rsidRPr="001B60EE">
        <w:rPr>
          <w:rFonts w:asciiTheme="majorBidi" w:hAnsiTheme="majorBidi" w:cstheme="majorBidi"/>
        </w:rPr>
        <w:t xml:space="preserve">This study adopts an </w:t>
      </w:r>
      <w:r w:rsidRPr="001B60EE">
        <w:rPr>
          <w:rStyle w:val="Strong"/>
          <w:rFonts w:asciiTheme="majorBidi" w:hAnsiTheme="majorBidi" w:cstheme="majorBidi"/>
        </w:rPr>
        <w:t>integrative review approach</w:t>
      </w:r>
      <w:r w:rsidRPr="001B60EE">
        <w:rPr>
          <w:rFonts w:asciiTheme="majorBidi" w:hAnsiTheme="majorBidi" w:cstheme="majorBidi"/>
        </w:rPr>
        <w:t>, which combines insights from policy documents, academic research, and institutional reports to provide a broad yet critical synthesis. Unlike a systematic review that focuses on clinical trials or empirical datasets, the integrative approach is better suited for policy-driven and governance-oriented research questions.</w:t>
      </w:r>
    </w:p>
    <w:p w14:paraId="628B57C0" w14:textId="5C1C9511" w:rsidR="00E52C83" w:rsidRPr="001B60EE" w:rsidRDefault="00E52C83" w:rsidP="007F02B1">
      <w:pPr>
        <w:pStyle w:val="NormalWeb"/>
        <w:jc w:val="both"/>
        <w:rPr>
          <w:rFonts w:asciiTheme="majorBidi" w:hAnsiTheme="majorBidi" w:cstheme="majorBidi"/>
        </w:rPr>
      </w:pPr>
      <w:r w:rsidRPr="001B60EE">
        <w:rPr>
          <w:rStyle w:val="Strong"/>
          <w:rFonts w:asciiTheme="majorBidi" w:hAnsiTheme="majorBidi" w:cstheme="majorBidi"/>
        </w:rPr>
        <w:t>PRISMA Flow of Study Selection</w:t>
      </w:r>
      <w:r w:rsidR="001B60EE">
        <w:rPr>
          <w:rFonts w:asciiTheme="majorBidi" w:hAnsiTheme="majorBidi" w:cstheme="majorBidi"/>
        </w:rPr>
        <w:t xml:space="preserve"> </w:t>
      </w:r>
      <w:r w:rsidRPr="001B60EE">
        <w:rPr>
          <w:rFonts w:asciiTheme="majorBidi" w:hAnsiTheme="majorBidi" w:cstheme="majorBidi"/>
        </w:rPr>
        <w:t xml:space="preserve">The literature screening process followed the PRISMA (Preferred Reporting Items for Systematic Reviews and Meta-Analyses) </w:t>
      </w:r>
      <w:r w:rsidR="00504819" w:rsidRPr="001B60EE">
        <w:rPr>
          <w:rFonts w:asciiTheme="majorBidi" w:hAnsiTheme="majorBidi" w:cstheme="majorBidi"/>
        </w:rPr>
        <w:t>framework</w:t>
      </w:r>
      <w:r w:rsidR="00504819">
        <w:rPr>
          <w:rFonts w:asciiTheme="majorBidi" w:hAnsiTheme="majorBidi" w:cstheme="majorBidi"/>
        </w:rPr>
        <w:t>. The</w:t>
      </w:r>
      <w:r w:rsidR="00504819">
        <w:t xml:space="preserve"> results of the screening are summarized in Table 3, with the process illustrated in Figure 2.</w:t>
      </w:r>
    </w:p>
    <w:p w14:paraId="52AED2E4" w14:textId="7777F1A2" w:rsidR="00504819" w:rsidRDefault="00504819" w:rsidP="00504819">
      <w:pPr>
        <w:pStyle w:val="Caption"/>
        <w:keepNext/>
      </w:pPr>
      <w:r>
        <w:t xml:space="preserve">Table </w:t>
      </w:r>
      <w:fldSimple w:instr=" SEQ Table \* ARABIC ">
        <w:r w:rsidR="00F204C6">
          <w:rPr>
            <w:noProof/>
          </w:rPr>
          <w:t>3</w:t>
        </w:r>
      </w:fldSimple>
      <w:r>
        <w:t xml:space="preserve">: </w:t>
      </w:r>
      <w:r w:rsidRPr="0065619F">
        <w:t>PRISMA Summary of Study Selection</w:t>
      </w:r>
    </w:p>
    <w:tbl>
      <w:tblPr>
        <w:tblStyle w:val="PlainTable1"/>
        <w:tblW w:w="0" w:type="auto"/>
        <w:tblLook w:val="04A0" w:firstRow="1" w:lastRow="0" w:firstColumn="1" w:lastColumn="0" w:noHBand="0" w:noVBand="1"/>
      </w:tblPr>
      <w:tblGrid>
        <w:gridCol w:w="2685"/>
        <w:gridCol w:w="1514"/>
        <w:gridCol w:w="1177"/>
        <w:gridCol w:w="4200"/>
      </w:tblGrid>
      <w:tr w:rsidR="00504819" w:rsidRPr="00504819" w14:paraId="470E7DA3" w14:textId="77777777" w:rsidTr="005048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B06279" w14:textId="77777777" w:rsidR="00504819" w:rsidRPr="00504819" w:rsidRDefault="00504819" w:rsidP="00504819">
            <w:pPr>
              <w:jc w:val="center"/>
              <w:rPr>
                <w:rFonts w:ascii="Times New Roman" w:eastAsia="Times New Roman" w:hAnsi="Times New Roman" w:cs="Times New Roman"/>
              </w:rPr>
            </w:pPr>
            <w:r w:rsidRPr="00504819">
              <w:rPr>
                <w:rFonts w:ascii="Times New Roman" w:eastAsia="Times New Roman" w:hAnsi="Times New Roman" w:cs="Times New Roman"/>
              </w:rPr>
              <w:t>Stage</w:t>
            </w:r>
          </w:p>
        </w:tc>
        <w:tc>
          <w:tcPr>
            <w:tcW w:w="0" w:type="auto"/>
            <w:hideMark/>
          </w:tcPr>
          <w:p w14:paraId="67BEA800" w14:textId="77777777" w:rsidR="00504819" w:rsidRPr="00504819" w:rsidRDefault="00504819" w:rsidP="005048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Number of Records</w:t>
            </w:r>
          </w:p>
        </w:tc>
        <w:tc>
          <w:tcPr>
            <w:tcW w:w="0" w:type="auto"/>
            <w:hideMark/>
          </w:tcPr>
          <w:p w14:paraId="18400582" w14:textId="77777777" w:rsidR="00504819" w:rsidRPr="00504819" w:rsidRDefault="00504819" w:rsidP="005048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Excluded</w:t>
            </w:r>
          </w:p>
        </w:tc>
        <w:tc>
          <w:tcPr>
            <w:tcW w:w="0" w:type="auto"/>
            <w:hideMark/>
          </w:tcPr>
          <w:p w14:paraId="6B200937" w14:textId="77777777" w:rsidR="00504819" w:rsidRPr="00504819" w:rsidRDefault="00504819" w:rsidP="005048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Reasons for Exclusion</w:t>
            </w:r>
          </w:p>
        </w:tc>
      </w:tr>
      <w:tr w:rsidR="00504819" w:rsidRPr="00504819" w14:paraId="00256BD0" w14:textId="77777777" w:rsidTr="00504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F6BD65" w14:textId="77777777" w:rsidR="00504819" w:rsidRPr="00504819" w:rsidRDefault="00504819" w:rsidP="00504819">
            <w:pPr>
              <w:rPr>
                <w:rFonts w:ascii="Times New Roman" w:eastAsia="Times New Roman" w:hAnsi="Times New Roman" w:cs="Times New Roman"/>
              </w:rPr>
            </w:pPr>
            <w:r w:rsidRPr="00504819">
              <w:rPr>
                <w:rFonts w:ascii="Times New Roman" w:eastAsia="Times New Roman" w:hAnsi="Times New Roman" w:cs="Times New Roman"/>
              </w:rPr>
              <w:t>Identified through database searches</w:t>
            </w:r>
          </w:p>
        </w:tc>
        <w:tc>
          <w:tcPr>
            <w:tcW w:w="0" w:type="auto"/>
            <w:hideMark/>
          </w:tcPr>
          <w:p w14:paraId="41CC83BD" w14:textId="77777777" w:rsidR="00504819" w:rsidRPr="00504819" w:rsidRDefault="00504819" w:rsidP="0050481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142</w:t>
            </w:r>
          </w:p>
        </w:tc>
        <w:tc>
          <w:tcPr>
            <w:tcW w:w="0" w:type="auto"/>
            <w:hideMark/>
          </w:tcPr>
          <w:p w14:paraId="5DE6BE67" w14:textId="77777777" w:rsidR="00504819" w:rsidRPr="00504819" w:rsidRDefault="00504819" w:rsidP="0050481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w:t>
            </w:r>
          </w:p>
        </w:tc>
        <w:tc>
          <w:tcPr>
            <w:tcW w:w="0" w:type="auto"/>
            <w:hideMark/>
          </w:tcPr>
          <w:p w14:paraId="78235FF7" w14:textId="77777777" w:rsidR="00504819" w:rsidRPr="00504819" w:rsidRDefault="00504819" w:rsidP="0050481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w:t>
            </w:r>
          </w:p>
        </w:tc>
      </w:tr>
      <w:tr w:rsidR="00504819" w:rsidRPr="00504819" w14:paraId="4F790A83" w14:textId="77777777" w:rsidTr="00504819">
        <w:tc>
          <w:tcPr>
            <w:cnfStyle w:val="001000000000" w:firstRow="0" w:lastRow="0" w:firstColumn="1" w:lastColumn="0" w:oddVBand="0" w:evenVBand="0" w:oddHBand="0" w:evenHBand="0" w:firstRowFirstColumn="0" w:firstRowLastColumn="0" w:lastRowFirstColumn="0" w:lastRowLastColumn="0"/>
            <w:tcW w:w="0" w:type="auto"/>
            <w:hideMark/>
          </w:tcPr>
          <w:p w14:paraId="36A5BF63" w14:textId="77777777" w:rsidR="00504819" w:rsidRPr="00504819" w:rsidRDefault="00504819" w:rsidP="00504819">
            <w:pPr>
              <w:rPr>
                <w:rFonts w:ascii="Times New Roman" w:eastAsia="Times New Roman" w:hAnsi="Times New Roman" w:cs="Times New Roman"/>
              </w:rPr>
            </w:pPr>
            <w:r w:rsidRPr="00504819">
              <w:rPr>
                <w:rFonts w:ascii="Times New Roman" w:eastAsia="Times New Roman" w:hAnsi="Times New Roman" w:cs="Times New Roman"/>
              </w:rPr>
              <w:t>After duplicates removed</w:t>
            </w:r>
          </w:p>
        </w:tc>
        <w:tc>
          <w:tcPr>
            <w:tcW w:w="0" w:type="auto"/>
            <w:hideMark/>
          </w:tcPr>
          <w:p w14:paraId="0FAC14FB" w14:textId="77777777" w:rsidR="00504819" w:rsidRPr="00504819" w:rsidRDefault="00504819" w:rsidP="005048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128</w:t>
            </w:r>
          </w:p>
        </w:tc>
        <w:tc>
          <w:tcPr>
            <w:tcW w:w="0" w:type="auto"/>
            <w:hideMark/>
          </w:tcPr>
          <w:p w14:paraId="57ADA524" w14:textId="77777777" w:rsidR="00504819" w:rsidRPr="00504819" w:rsidRDefault="00504819" w:rsidP="005048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14</w:t>
            </w:r>
          </w:p>
        </w:tc>
        <w:tc>
          <w:tcPr>
            <w:tcW w:w="0" w:type="auto"/>
            <w:hideMark/>
          </w:tcPr>
          <w:p w14:paraId="3BA54C9E" w14:textId="77777777" w:rsidR="00504819" w:rsidRPr="00504819" w:rsidRDefault="00504819" w:rsidP="005048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Duplicate records</w:t>
            </w:r>
          </w:p>
        </w:tc>
      </w:tr>
      <w:tr w:rsidR="00504819" w:rsidRPr="00504819" w14:paraId="714F6B1C" w14:textId="77777777" w:rsidTr="00504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951782" w14:textId="77777777" w:rsidR="00504819" w:rsidRPr="00504819" w:rsidRDefault="00504819" w:rsidP="00504819">
            <w:pPr>
              <w:rPr>
                <w:rFonts w:ascii="Times New Roman" w:eastAsia="Times New Roman" w:hAnsi="Times New Roman" w:cs="Times New Roman"/>
              </w:rPr>
            </w:pPr>
            <w:r w:rsidRPr="00504819">
              <w:rPr>
                <w:rFonts w:ascii="Times New Roman" w:eastAsia="Times New Roman" w:hAnsi="Times New Roman" w:cs="Times New Roman"/>
              </w:rPr>
              <w:t>Screened (titles/abstracts)</w:t>
            </w:r>
          </w:p>
        </w:tc>
        <w:tc>
          <w:tcPr>
            <w:tcW w:w="0" w:type="auto"/>
            <w:hideMark/>
          </w:tcPr>
          <w:p w14:paraId="7FB3C0D9" w14:textId="77777777" w:rsidR="00504819" w:rsidRPr="00504819" w:rsidRDefault="00504819" w:rsidP="0050481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64</w:t>
            </w:r>
          </w:p>
        </w:tc>
        <w:tc>
          <w:tcPr>
            <w:tcW w:w="0" w:type="auto"/>
            <w:hideMark/>
          </w:tcPr>
          <w:p w14:paraId="2DFA30F4" w14:textId="77777777" w:rsidR="00504819" w:rsidRPr="00504819" w:rsidRDefault="00504819" w:rsidP="0050481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42</w:t>
            </w:r>
          </w:p>
        </w:tc>
        <w:tc>
          <w:tcPr>
            <w:tcW w:w="0" w:type="auto"/>
            <w:hideMark/>
          </w:tcPr>
          <w:p w14:paraId="7234DEAC" w14:textId="77777777" w:rsidR="00504819" w:rsidRPr="00504819" w:rsidRDefault="00504819" w:rsidP="0050481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Not relevant to data sovereignty or AI</w:t>
            </w:r>
          </w:p>
        </w:tc>
      </w:tr>
      <w:tr w:rsidR="00504819" w:rsidRPr="00504819" w14:paraId="47851597" w14:textId="77777777" w:rsidTr="00504819">
        <w:tc>
          <w:tcPr>
            <w:cnfStyle w:val="001000000000" w:firstRow="0" w:lastRow="0" w:firstColumn="1" w:lastColumn="0" w:oddVBand="0" w:evenVBand="0" w:oddHBand="0" w:evenHBand="0" w:firstRowFirstColumn="0" w:firstRowLastColumn="0" w:lastRowFirstColumn="0" w:lastRowLastColumn="0"/>
            <w:tcW w:w="0" w:type="auto"/>
            <w:hideMark/>
          </w:tcPr>
          <w:p w14:paraId="0ECD107A" w14:textId="77777777" w:rsidR="00504819" w:rsidRPr="00504819" w:rsidRDefault="00504819" w:rsidP="00504819">
            <w:pPr>
              <w:rPr>
                <w:rFonts w:ascii="Times New Roman" w:eastAsia="Times New Roman" w:hAnsi="Times New Roman" w:cs="Times New Roman"/>
              </w:rPr>
            </w:pPr>
            <w:r w:rsidRPr="00504819">
              <w:rPr>
                <w:rFonts w:ascii="Times New Roman" w:eastAsia="Times New Roman" w:hAnsi="Times New Roman" w:cs="Times New Roman"/>
              </w:rPr>
              <w:t>Full-text articles assessed</w:t>
            </w:r>
          </w:p>
        </w:tc>
        <w:tc>
          <w:tcPr>
            <w:tcW w:w="0" w:type="auto"/>
            <w:hideMark/>
          </w:tcPr>
          <w:p w14:paraId="6BFDE32C" w14:textId="77777777" w:rsidR="00504819" w:rsidRPr="00504819" w:rsidRDefault="00504819" w:rsidP="005048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22</w:t>
            </w:r>
          </w:p>
        </w:tc>
        <w:tc>
          <w:tcPr>
            <w:tcW w:w="0" w:type="auto"/>
            <w:hideMark/>
          </w:tcPr>
          <w:p w14:paraId="0600FA6F" w14:textId="77777777" w:rsidR="00504819" w:rsidRPr="00504819" w:rsidRDefault="00504819" w:rsidP="005048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15</w:t>
            </w:r>
          </w:p>
        </w:tc>
        <w:tc>
          <w:tcPr>
            <w:tcW w:w="0" w:type="auto"/>
            <w:hideMark/>
          </w:tcPr>
          <w:p w14:paraId="6E943A14" w14:textId="77777777" w:rsidR="00504819" w:rsidRPr="00504819" w:rsidRDefault="00504819" w:rsidP="005048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Not Saudi context (6); Not focused on generative AI (5); Insufficient policy relevance (4)</w:t>
            </w:r>
          </w:p>
        </w:tc>
      </w:tr>
      <w:tr w:rsidR="00504819" w:rsidRPr="00504819" w14:paraId="3F2B4FB1" w14:textId="77777777" w:rsidTr="00504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9A134D" w14:textId="77777777" w:rsidR="00504819" w:rsidRPr="00504819" w:rsidRDefault="00504819" w:rsidP="00504819">
            <w:pPr>
              <w:rPr>
                <w:rFonts w:ascii="Times New Roman" w:eastAsia="Times New Roman" w:hAnsi="Times New Roman" w:cs="Times New Roman"/>
              </w:rPr>
            </w:pPr>
            <w:r w:rsidRPr="00504819">
              <w:rPr>
                <w:rFonts w:ascii="Times New Roman" w:eastAsia="Times New Roman" w:hAnsi="Times New Roman" w:cs="Times New Roman"/>
              </w:rPr>
              <w:t>Studies included in final synthesis</w:t>
            </w:r>
          </w:p>
        </w:tc>
        <w:tc>
          <w:tcPr>
            <w:tcW w:w="0" w:type="auto"/>
            <w:hideMark/>
          </w:tcPr>
          <w:p w14:paraId="4CE35BD2" w14:textId="77777777" w:rsidR="00504819" w:rsidRPr="00504819" w:rsidRDefault="00504819" w:rsidP="0050481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b/>
                <w:bCs/>
              </w:rPr>
              <w:t>7</w:t>
            </w:r>
          </w:p>
        </w:tc>
        <w:tc>
          <w:tcPr>
            <w:tcW w:w="0" w:type="auto"/>
            <w:hideMark/>
          </w:tcPr>
          <w:p w14:paraId="494661E1" w14:textId="77777777" w:rsidR="00504819" w:rsidRPr="00504819" w:rsidRDefault="00504819" w:rsidP="0050481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w:t>
            </w:r>
          </w:p>
        </w:tc>
        <w:tc>
          <w:tcPr>
            <w:tcW w:w="0" w:type="auto"/>
            <w:hideMark/>
          </w:tcPr>
          <w:p w14:paraId="2C25BF5E" w14:textId="77777777" w:rsidR="00504819" w:rsidRPr="00504819" w:rsidRDefault="00504819" w:rsidP="0050481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w:t>
            </w:r>
          </w:p>
        </w:tc>
      </w:tr>
    </w:tbl>
    <w:p w14:paraId="48FD51DA" w14:textId="77777777" w:rsidR="00504819" w:rsidRDefault="00504819" w:rsidP="00504819">
      <w:pPr>
        <w:pStyle w:val="NormalWeb"/>
        <w:jc w:val="both"/>
        <w:rPr>
          <w:rFonts w:asciiTheme="majorBidi" w:hAnsiTheme="majorBidi" w:cstheme="majorBidi"/>
        </w:rPr>
      </w:pPr>
    </w:p>
    <w:p w14:paraId="56FB3220" w14:textId="77777777" w:rsidR="00504819" w:rsidRDefault="00DF5F41" w:rsidP="00504819">
      <w:pPr>
        <w:pStyle w:val="NormalWeb"/>
        <w:keepNext/>
        <w:jc w:val="both"/>
      </w:pPr>
      <w:r>
        <w:rPr>
          <w:rFonts w:asciiTheme="majorBidi" w:hAnsiTheme="majorBidi" w:cstheme="majorBidi"/>
          <w:noProof/>
        </w:rPr>
        <w:lastRenderedPageBreak/>
        <w:drawing>
          <wp:inline distT="0" distB="0" distL="0" distR="0" wp14:anchorId="502DE6D7" wp14:editId="5C715AA7">
            <wp:extent cx="6720840" cy="5768340"/>
            <wp:effectExtent l="0" t="0" r="0" b="3810"/>
            <wp:docPr id="73179737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1FE4C33" w14:textId="2BE1837F" w:rsidR="00DF5F41" w:rsidRPr="001B60EE" w:rsidRDefault="00504819" w:rsidP="00504819">
      <w:pPr>
        <w:pStyle w:val="Caption"/>
        <w:jc w:val="both"/>
        <w:rPr>
          <w:rFonts w:asciiTheme="majorBidi" w:hAnsiTheme="majorBidi" w:cstheme="majorBidi"/>
        </w:rPr>
      </w:pPr>
      <w:r>
        <w:t xml:space="preserve">Figure </w:t>
      </w:r>
      <w:fldSimple w:instr=" SEQ Figure \* ARABIC ">
        <w:r>
          <w:rPr>
            <w:noProof/>
          </w:rPr>
          <w:t>2</w:t>
        </w:r>
      </w:fldSimple>
      <w:r>
        <w:t>:</w:t>
      </w:r>
      <w:r w:rsidRPr="00DE1693">
        <w:t>PRISMA Flow Diagram of Study Selection</w:t>
      </w:r>
    </w:p>
    <w:p w14:paraId="29889C30" w14:textId="5BFA917C" w:rsidR="0099065F" w:rsidRPr="001B60EE" w:rsidRDefault="001B60EE" w:rsidP="007F02B1">
      <w:pPr>
        <w:pStyle w:val="Heading2"/>
        <w:jc w:val="both"/>
        <w:rPr>
          <w:rFonts w:asciiTheme="majorBidi" w:hAnsiTheme="majorBidi"/>
        </w:rPr>
      </w:pPr>
      <w:r>
        <w:rPr>
          <w:rStyle w:val="Strong"/>
          <w:rFonts w:asciiTheme="majorBidi" w:hAnsiTheme="majorBidi"/>
          <w:b/>
          <w:bCs/>
        </w:rPr>
        <w:t>2</w:t>
      </w:r>
      <w:r w:rsidR="0099065F" w:rsidRPr="001B60EE">
        <w:rPr>
          <w:rStyle w:val="Strong"/>
          <w:rFonts w:asciiTheme="majorBidi" w:hAnsiTheme="majorBidi"/>
          <w:b/>
          <w:bCs/>
        </w:rPr>
        <w:t>.5 Data Collection Procedure</w:t>
      </w:r>
    </w:p>
    <w:p w14:paraId="78DC958E" w14:textId="77777777" w:rsidR="0099065F" w:rsidRPr="001B60EE" w:rsidRDefault="0099065F" w:rsidP="007F02B1">
      <w:pPr>
        <w:pStyle w:val="NormalWeb"/>
        <w:jc w:val="both"/>
        <w:rPr>
          <w:rFonts w:asciiTheme="majorBidi" w:hAnsiTheme="majorBidi" w:cstheme="majorBidi"/>
        </w:rPr>
      </w:pPr>
      <w:r w:rsidRPr="001B60EE">
        <w:rPr>
          <w:rFonts w:asciiTheme="majorBidi" w:hAnsiTheme="majorBidi" w:cstheme="majorBidi"/>
        </w:rPr>
        <w:t>Data extraction was conducted between January and March 2024 using a structured protocol based on five thematic categories:</w:t>
      </w:r>
    </w:p>
    <w:p w14:paraId="41626AA9" w14:textId="77777777" w:rsidR="0099065F" w:rsidRPr="001B60EE" w:rsidRDefault="0099065F" w:rsidP="00CD702C">
      <w:pPr>
        <w:pStyle w:val="NormalWeb"/>
        <w:numPr>
          <w:ilvl w:val="0"/>
          <w:numId w:val="9"/>
        </w:numPr>
        <w:jc w:val="both"/>
        <w:rPr>
          <w:rFonts w:asciiTheme="majorBidi" w:hAnsiTheme="majorBidi" w:cstheme="majorBidi"/>
        </w:rPr>
      </w:pPr>
      <w:r w:rsidRPr="001B60EE">
        <w:rPr>
          <w:rFonts w:asciiTheme="majorBidi" w:hAnsiTheme="majorBidi" w:cstheme="majorBidi"/>
        </w:rPr>
        <w:t>Study design and methodology.</w:t>
      </w:r>
    </w:p>
    <w:p w14:paraId="77A2BBD2" w14:textId="77777777" w:rsidR="0099065F" w:rsidRPr="001B60EE" w:rsidRDefault="0099065F" w:rsidP="00CD702C">
      <w:pPr>
        <w:pStyle w:val="NormalWeb"/>
        <w:numPr>
          <w:ilvl w:val="0"/>
          <w:numId w:val="9"/>
        </w:numPr>
        <w:jc w:val="both"/>
        <w:rPr>
          <w:rFonts w:asciiTheme="majorBidi" w:hAnsiTheme="majorBidi" w:cstheme="majorBidi"/>
        </w:rPr>
      </w:pPr>
      <w:r w:rsidRPr="001B60EE">
        <w:rPr>
          <w:rFonts w:asciiTheme="majorBidi" w:hAnsiTheme="majorBidi" w:cstheme="majorBidi"/>
        </w:rPr>
        <w:t>Data sovereignty and AI strategy focus.</w:t>
      </w:r>
    </w:p>
    <w:p w14:paraId="390C4CBE" w14:textId="77777777" w:rsidR="0099065F" w:rsidRPr="001B60EE" w:rsidRDefault="0099065F" w:rsidP="00CD702C">
      <w:pPr>
        <w:pStyle w:val="NormalWeb"/>
        <w:numPr>
          <w:ilvl w:val="0"/>
          <w:numId w:val="9"/>
        </w:numPr>
        <w:jc w:val="both"/>
        <w:rPr>
          <w:rFonts w:asciiTheme="majorBidi" w:hAnsiTheme="majorBidi" w:cstheme="majorBidi"/>
        </w:rPr>
      </w:pPr>
      <w:r w:rsidRPr="001B60EE">
        <w:rPr>
          <w:rFonts w:asciiTheme="majorBidi" w:hAnsiTheme="majorBidi" w:cstheme="majorBidi"/>
        </w:rPr>
        <w:t>Technological innovation mechanisms.</w:t>
      </w:r>
    </w:p>
    <w:p w14:paraId="27E8ECC4" w14:textId="77777777" w:rsidR="0099065F" w:rsidRPr="001B60EE" w:rsidRDefault="0099065F" w:rsidP="00CD702C">
      <w:pPr>
        <w:pStyle w:val="NormalWeb"/>
        <w:numPr>
          <w:ilvl w:val="0"/>
          <w:numId w:val="9"/>
        </w:numPr>
        <w:jc w:val="both"/>
        <w:rPr>
          <w:rFonts w:asciiTheme="majorBidi" w:hAnsiTheme="majorBidi" w:cstheme="majorBidi"/>
        </w:rPr>
      </w:pPr>
      <w:r w:rsidRPr="001B60EE">
        <w:rPr>
          <w:rFonts w:asciiTheme="majorBidi" w:hAnsiTheme="majorBidi" w:cstheme="majorBidi"/>
        </w:rPr>
        <w:t>Regulatory and governance frameworks.</w:t>
      </w:r>
    </w:p>
    <w:p w14:paraId="2DCFE994" w14:textId="77777777" w:rsidR="0099065F" w:rsidRPr="001B60EE" w:rsidRDefault="0099065F" w:rsidP="00CD702C">
      <w:pPr>
        <w:pStyle w:val="NormalWeb"/>
        <w:numPr>
          <w:ilvl w:val="0"/>
          <w:numId w:val="9"/>
        </w:numPr>
        <w:jc w:val="both"/>
        <w:rPr>
          <w:rFonts w:asciiTheme="majorBidi" w:hAnsiTheme="majorBidi" w:cstheme="majorBidi"/>
        </w:rPr>
      </w:pPr>
      <w:r w:rsidRPr="001B60EE">
        <w:rPr>
          <w:rFonts w:asciiTheme="majorBidi" w:hAnsiTheme="majorBidi" w:cstheme="majorBidi"/>
        </w:rPr>
        <w:t>Key findings and Vision 2030 implications.</w:t>
      </w:r>
    </w:p>
    <w:p w14:paraId="1C40AC75" w14:textId="77777777" w:rsidR="0099065F" w:rsidRPr="001B60EE" w:rsidRDefault="0099065F" w:rsidP="007F02B1">
      <w:pPr>
        <w:pStyle w:val="NormalWeb"/>
        <w:jc w:val="both"/>
        <w:rPr>
          <w:rFonts w:asciiTheme="majorBidi" w:hAnsiTheme="majorBidi" w:cstheme="majorBidi"/>
        </w:rPr>
      </w:pPr>
      <w:r w:rsidRPr="001B60EE">
        <w:rPr>
          <w:rFonts w:asciiTheme="majorBidi" w:hAnsiTheme="majorBidi" w:cstheme="majorBidi"/>
        </w:rPr>
        <w:lastRenderedPageBreak/>
        <w:t>A standardized template was used to maintain consistency across sources.</w:t>
      </w:r>
    </w:p>
    <w:p w14:paraId="7824C83C" w14:textId="03046D29" w:rsidR="0099065F" w:rsidRPr="001B60EE" w:rsidRDefault="001B60EE" w:rsidP="007F02B1">
      <w:pPr>
        <w:pStyle w:val="Heading2"/>
        <w:jc w:val="both"/>
        <w:rPr>
          <w:rFonts w:asciiTheme="majorBidi" w:hAnsiTheme="majorBidi"/>
        </w:rPr>
      </w:pPr>
      <w:r>
        <w:rPr>
          <w:rStyle w:val="Strong"/>
          <w:rFonts w:asciiTheme="majorBidi" w:hAnsiTheme="majorBidi"/>
          <w:b/>
          <w:bCs/>
        </w:rPr>
        <w:t>2</w:t>
      </w:r>
      <w:r w:rsidR="0099065F" w:rsidRPr="001B60EE">
        <w:rPr>
          <w:rStyle w:val="Strong"/>
          <w:rFonts w:asciiTheme="majorBidi" w:hAnsiTheme="majorBidi"/>
          <w:b/>
          <w:bCs/>
        </w:rPr>
        <w:t>.6 Data Analysis</w:t>
      </w:r>
    </w:p>
    <w:p w14:paraId="3622ADCB" w14:textId="30F0B277" w:rsidR="0099065F" w:rsidRPr="001B60EE" w:rsidRDefault="001B60EE" w:rsidP="007F02B1">
      <w:pPr>
        <w:pStyle w:val="Heading3"/>
        <w:jc w:val="both"/>
        <w:rPr>
          <w:rFonts w:asciiTheme="majorBidi" w:hAnsiTheme="majorBidi"/>
        </w:rPr>
      </w:pPr>
      <w:r>
        <w:rPr>
          <w:rStyle w:val="Strong"/>
          <w:rFonts w:asciiTheme="majorBidi" w:hAnsiTheme="majorBidi"/>
          <w:b/>
          <w:bCs/>
        </w:rPr>
        <w:t>2</w:t>
      </w:r>
      <w:r w:rsidR="0099065F" w:rsidRPr="001B60EE">
        <w:rPr>
          <w:rStyle w:val="Strong"/>
          <w:rFonts w:asciiTheme="majorBidi" w:hAnsiTheme="majorBidi"/>
          <w:b/>
          <w:bCs/>
        </w:rPr>
        <w:t>.6.1 Thematic Analysis</w:t>
      </w:r>
    </w:p>
    <w:p w14:paraId="6B72124B" w14:textId="77777777" w:rsidR="0099065F" w:rsidRPr="001B60EE" w:rsidRDefault="0099065F" w:rsidP="007F02B1">
      <w:pPr>
        <w:pStyle w:val="NormalWeb"/>
        <w:jc w:val="both"/>
        <w:rPr>
          <w:rFonts w:asciiTheme="majorBidi" w:hAnsiTheme="majorBidi" w:cstheme="majorBidi"/>
        </w:rPr>
      </w:pPr>
      <w:r w:rsidRPr="001B60EE">
        <w:rPr>
          <w:rFonts w:asciiTheme="majorBidi" w:hAnsiTheme="majorBidi" w:cstheme="majorBidi"/>
        </w:rPr>
        <w:t>Thematic analysis followed Braun and Clarke’s six-phase approach [43]:</w:t>
      </w:r>
    </w:p>
    <w:p w14:paraId="1234C760" w14:textId="77777777" w:rsidR="0099065F" w:rsidRPr="001B60EE" w:rsidRDefault="0099065F" w:rsidP="00CD702C">
      <w:pPr>
        <w:pStyle w:val="NormalWeb"/>
        <w:numPr>
          <w:ilvl w:val="0"/>
          <w:numId w:val="10"/>
        </w:numPr>
        <w:jc w:val="both"/>
        <w:rPr>
          <w:rFonts w:asciiTheme="majorBidi" w:hAnsiTheme="majorBidi" w:cstheme="majorBidi"/>
        </w:rPr>
      </w:pPr>
      <w:r w:rsidRPr="001B60EE">
        <w:rPr>
          <w:rFonts w:asciiTheme="majorBidi" w:hAnsiTheme="majorBidi" w:cstheme="majorBidi"/>
        </w:rPr>
        <w:t>Familiarization with the data.</w:t>
      </w:r>
    </w:p>
    <w:p w14:paraId="0DD178BB" w14:textId="77777777" w:rsidR="0099065F" w:rsidRPr="001B60EE" w:rsidRDefault="0099065F" w:rsidP="00CD702C">
      <w:pPr>
        <w:pStyle w:val="NormalWeb"/>
        <w:numPr>
          <w:ilvl w:val="0"/>
          <w:numId w:val="10"/>
        </w:numPr>
        <w:jc w:val="both"/>
        <w:rPr>
          <w:rFonts w:asciiTheme="majorBidi" w:hAnsiTheme="majorBidi" w:cstheme="majorBidi"/>
        </w:rPr>
      </w:pPr>
      <w:r w:rsidRPr="001B60EE">
        <w:rPr>
          <w:rFonts w:asciiTheme="majorBidi" w:hAnsiTheme="majorBidi" w:cstheme="majorBidi"/>
        </w:rPr>
        <w:t>Generating initial codes.</w:t>
      </w:r>
    </w:p>
    <w:p w14:paraId="38116305" w14:textId="77777777" w:rsidR="0099065F" w:rsidRPr="001B60EE" w:rsidRDefault="0099065F" w:rsidP="00CD702C">
      <w:pPr>
        <w:pStyle w:val="NormalWeb"/>
        <w:numPr>
          <w:ilvl w:val="0"/>
          <w:numId w:val="10"/>
        </w:numPr>
        <w:jc w:val="both"/>
        <w:rPr>
          <w:rFonts w:asciiTheme="majorBidi" w:hAnsiTheme="majorBidi" w:cstheme="majorBidi"/>
        </w:rPr>
      </w:pPr>
      <w:r w:rsidRPr="001B60EE">
        <w:rPr>
          <w:rFonts w:asciiTheme="majorBidi" w:hAnsiTheme="majorBidi" w:cstheme="majorBidi"/>
        </w:rPr>
        <w:t>Searching for themes.</w:t>
      </w:r>
    </w:p>
    <w:p w14:paraId="0E107C6E" w14:textId="77777777" w:rsidR="0099065F" w:rsidRPr="001B60EE" w:rsidRDefault="0099065F" w:rsidP="00CD702C">
      <w:pPr>
        <w:pStyle w:val="NormalWeb"/>
        <w:numPr>
          <w:ilvl w:val="0"/>
          <w:numId w:val="10"/>
        </w:numPr>
        <w:jc w:val="both"/>
        <w:rPr>
          <w:rFonts w:asciiTheme="majorBidi" w:hAnsiTheme="majorBidi" w:cstheme="majorBidi"/>
        </w:rPr>
      </w:pPr>
      <w:r w:rsidRPr="001B60EE">
        <w:rPr>
          <w:rFonts w:asciiTheme="majorBidi" w:hAnsiTheme="majorBidi" w:cstheme="majorBidi"/>
        </w:rPr>
        <w:t>Reviewing themes.</w:t>
      </w:r>
    </w:p>
    <w:p w14:paraId="2982319F" w14:textId="77777777" w:rsidR="0099065F" w:rsidRPr="001B60EE" w:rsidRDefault="0099065F" w:rsidP="00CD702C">
      <w:pPr>
        <w:pStyle w:val="NormalWeb"/>
        <w:numPr>
          <w:ilvl w:val="0"/>
          <w:numId w:val="10"/>
        </w:numPr>
        <w:jc w:val="both"/>
        <w:rPr>
          <w:rFonts w:asciiTheme="majorBidi" w:hAnsiTheme="majorBidi" w:cstheme="majorBidi"/>
        </w:rPr>
      </w:pPr>
      <w:r w:rsidRPr="001B60EE">
        <w:rPr>
          <w:rFonts w:asciiTheme="majorBidi" w:hAnsiTheme="majorBidi" w:cstheme="majorBidi"/>
        </w:rPr>
        <w:t>Defining and naming themes.</w:t>
      </w:r>
    </w:p>
    <w:p w14:paraId="02B67A4E" w14:textId="77777777" w:rsidR="0099065F" w:rsidRPr="001B60EE" w:rsidRDefault="0099065F" w:rsidP="00CD702C">
      <w:pPr>
        <w:pStyle w:val="NormalWeb"/>
        <w:numPr>
          <w:ilvl w:val="0"/>
          <w:numId w:val="10"/>
        </w:numPr>
        <w:jc w:val="both"/>
        <w:rPr>
          <w:rFonts w:asciiTheme="majorBidi" w:hAnsiTheme="majorBidi" w:cstheme="majorBidi"/>
        </w:rPr>
      </w:pPr>
      <w:r w:rsidRPr="001B60EE">
        <w:rPr>
          <w:rFonts w:asciiTheme="majorBidi" w:hAnsiTheme="majorBidi" w:cstheme="majorBidi"/>
        </w:rPr>
        <w:t>Producing the report.</w:t>
      </w:r>
    </w:p>
    <w:p w14:paraId="2D7EB823" w14:textId="77777777" w:rsidR="0099065F" w:rsidRPr="001B60EE" w:rsidRDefault="0099065F" w:rsidP="007F02B1">
      <w:pPr>
        <w:pStyle w:val="NormalWeb"/>
        <w:jc w:val="both"/>
        <w:rPr>
          <w:rFonts w:asciiTheme="majorBidi" w:hAnsiTheme="majorBidi" w:cstheme="majorBidi"/>
        </w:rPr>
      </w:pPr>
      <w:r w:rsidRPr="001B60EE">
        <w:rPr>
          <w:rFonts w:asciiTheme="majorBidi" w:hAnsiTheme="majorBidi" w:cstheme="majorBidi"/>
        </w:rPr>
        <w:t>Both deductive codes (aligned with Vision 2030 pillars and governance principles) and inductive codes (emerging patterns) were applied. NVivo 12 software facilitated systematic coding and retrieval.</w:t>
      </w:r>
    </w:p>
    <w:p w14:paraId="716ADA3A" w14:textId="7124BE40" w:rsidR="0099065F" w:rsidRPr="001B60EE" w:rsidRDefault="001B60EE" w:rsidP="007F02B1">
      <w:pPr>
        <w:pStyle w:val="Heading3"/>
        <w:jc w:val="both"/>
        <w:rPr>
          <w:rFonts w:asciiTheme="majorBidi" w:hAnsiTheme="majorBidi"/>
        </w:rPr>
      </w:pPr>
      <w:r>
        <w:rPr>
          <w:rStyle w:val="Strong"/>
          <w:rFonts w:asciiTheme="majorBidi" w:hAnsiTheme="majorBidi"/>
          <w:b/>
          <w:bCs/>
        </w:rPr>
        <w:t>2</w:t>
      </w:r>
      <w:r w:rsidR="0099065F" w:rsidRPr="001B60EE">
        <w:rPr>
          <w:rStyle w:val="Strong"/>
          <w:rFonts w:asciiTheme="majorBidi" w:hAnsiTheme="majorBidi"/>
          <w:b/>
          <w:bCs/>
        </w:rPr>
        <w:t>.6.2 Policy Mapping</w:t>
      </w:r>
    </w:p>
    <w:p w14:paraId="2B42C6CD" w14:textId="77777777" w:rsidR="0099065F" w:rsidRPr="001B60EE" w:rsidRDefault="0099065F" w:rsidP="007F02B1">
      <w:pPr>
        <w:pStyle w:val="NormalWeb"/>
        <w:jc w:val="both"/>
        <w:rPr>
          <w:rFonts w:asciiTheme="majorBidi" w:hAnsiTheme="majorBidi" w:cstheme="majorBidi"/>
        </w:rPr>
      </w:pPr>
      <w:r w:rsidRPr="001B60EE">
        <w:rPr>
          <w:rFonts w:asciiTheme="majorBidi" w:hAnsiTheme="majorBidi" w:cstheme="majorBidi"/>
        </w:rPr>
        <w:t>A policy mapping matrix was developed to compare:</w:t>
      </w:r>
    </w:p>
    <w:p w14:paraId="3BD17752" w14:textId="77777777" w:rsidR="0099065F" w:rsidRPr="001B60EE" w:rsidRDefault="0099065F" w:rsidP="00CD702C">
      <w:pPr>
        <w:pStyle w:val="NormalWeb"/>
        <w:numPr>
          <w:ilvl w:val="0"/>
          <w:numId w:val="11"/>
        </w:numPr>
        <w:jc w:val="both"/>
        <w:rPr>
          <w:rFonts w:asciiTheme="majorBidi" w:hAnsiTheme="majorBidi" w:cstheme="majorBidi"/>
        </w:rPr>
      </w:pPr>
      <w:r w:rsidRPr="001B60EE">
        <w:rPr>
          <w:rFonts w:asciiTheme="majorBidi" w:hAnsiTheme="majorBidi" w:cstheme="majorBidi"/>
        </w:rPr>
        <w:t>National laws and institutions.</w:t>
      </w:r>
    </w:p>
    <w:p w14:paraId="6DDB5E40" w14:textId="77777777" w:rsidR="0099065F" w:rsidRPr="001B60EE" w:rsidRDefault="0099065F" w:rsidP="00CD702C">
      <w:pPr>
        <w:pStyle w:val="NormalWeb"/>
        <w:numPr>
          <w:ilvl w:val="0"/>
          <w:numId w:val="11"/>
        </w:numPr>
        <w:jc w:val="both"/>
        <w:rPr>
          <w:rFonts w:asciiTheme="majorBidi" w:hAnsiTheme="majorBidi" w:cstheme="majorBidi"/>
        </w:rPr>
      </w:pPr>
      <w:r w:rsidRPr="001B60EE">
        <w:rPr>
          <w:rFonts w:asciiTheme="majorBidi" w:hAnsiTheme="majorBidi" w:cstheme="majorBidi"/>
        </w:rPr>
        <w:t>International benchmarks (e.g., GDPR, HIPAA [41,42]).</w:t>
      </w:r>
    </w:p>
    <w:p w14:paraId="6D5BAD6A" w14:textId="29B85738" w:rsidR="00504819" w:rsidRPr="00504819" w:rsidRDefault="0099065F" w:rsidP="00504819">
      <w:pPr>
        <w:pStyle w:val="NormalWeb"/>
        <w:numPr>
          <w:ilvl w:val="0"/>
          <w:numId w:val="11"/>
        </w:numPr>
        <w:jc w:val="both"/>
        <w:rPr>
          <w:rFonts w:asciiTheme="majorBidi" w:hAnsiTheme="majorBidi" w:cstheme="majorBidi"/>
        </w:rPr>
      </w:pPr>
      <w:r w:rsidRPr="001B60EE">
        <w:rPr>
          <w:rFonts w:asciiTheme="majorBidi" w:hAnsiTheme="majorBidi" w:cstheme="majorBidi"/>
        </w:rPr>
        <w:t>Implementation status and strategic targets under Vision 2030.</w:t>
      </w:r>
    </w:p>
    <w:p w14:paraId="2BB9CB48" w14:textId="3EE0FDBF" w:rsidR="00DF5F41" w:rsidRDefault="00DF5F41" w:rsidP="00DF5F41">
      <w:pPr>
        <w:pStyle w:val="Caption"/>
        <w:keepNext/>
      </w:pPr>
      <w:r>
        <w:t xml:space="preserve">Table </w:t>
      </w:r>
      <w:fldSimple w:instr=" SEQ Table \* ARABIC ">
        <w:r w:rsidR="00F204C6">
          <w:rPr>
            <w:noProof/>
          </w:rPr>
          <w:t>4</w:t>
        </w:r>
      </w:fldSimple>
      <w:r>
        <w:t>:</w:t>
      </w:r>
      <w:r w:rsidRPr="00E136C5">
        <w:t>Policy Mapping of National vs. International Frameworks</w:t>
      </w:r>
    </w:p>
    <w:tbl>
      <w:tblPr>
        <w:tblStyle w:val="PlainTable1"/>
        <w:tblW w:w="0" w:type="auto"/>
        <w:tblLook w:val="04A0" w:firstRow="1" w:lastRow="0" w:firstColumn="1" w:lastColumn="0" w:noHBand="0" w:noVBand="1"/>
      </w:tblPr>
      <w:tblGrid>
        <w:gridCol w:w="1794"/>
        <w:gridCol w:w="2361"/>
        <w:gridCol w:w="2891"/>
        <w:gridCol w:w="2530"/>
      </w:tblGrid>
      <w:tr w:rsidR="00504819" w:rsidRPr="00504819" w14:paraId="2B2B1D2A" w14:textId="77777777" w:rsidTr="005048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A56986" w14:textId="77777777" w:rsidR="00504819" w:rsidRPr="00504819" w:rsidRDefault="00504819" w:rsidP="00504819">
            <w:pPr>
              <w:jc w:val="center"/>
              <w:rPr>
                <w:rFonts w:ascii="Times New Roman" w:eastAsia="Times New Roman" w:hAnsi="Times New Roman" w:cs="Times New Roman"/>
              </w:rPr>
            </w:pPr>
            <w:r w:rsidRPr="00504819">
              <w:rPr>
                <w:rFonts w:ascii="Times New Roman" w:eastAsia="Times New Roman" w:hAnsi="Times New Roman" w:cs="Times New Roman"/>
              </w:rPr>
              <w:t>Framework / Institution</w:t>
            </w:r>
          </w:p>
        </w:tc>
        <w:tc>
          <w:tcPr>
            <w:tcW w:w="0" w:type="auto"/>
            <w:hideMark/>
          </w:tcPr>
          <w:p w14:paraId="21CE1ED6" w14:textId="77777777" w:rsidR="00504819" w:rsidRPr="00504819" w:rsidRDefault="00504819" w:rsidP="005048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Key Provisions</w:t>
            </w:r>
          </w:p>
        </w:tc>
        <w:tc>
          <w:tcPr>
            <w:tcW w:w="0" w:type="auto"/>
            <w:hideMark/>
          </w:tcPr>
          <w:p w14:paraId="7B81BEEC" w14:textId="77777777" w:rsidR="00504819" w:rsidRPr="00504819" w:rsidRDefault="00504819" w:rsidP="005048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Alignment with Saudi Policies</w:t>
            </w:r>
          </w:p>
        </w:tc>
        <w:tc>
          <w:tcPr>
            <w:tcW w:w="0" w:type="auto"/>
            <w:hideMark/>
          </w:tcPr>
          <w:p w14:paraId="3B865301" w14:textId="77777777" w:rsidR="00504819" w:rsidRPr="00504819" w:rsidRDefault="00504819" w:rsidP="005048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Gaps Identified</w:t>
            </w:r>
          </w:p>
        </w:tc>
      </w:tr>
      <w:tr w:rsidR="00504819" w:rsidRPr="00504819" w14:paraId="78EA6AAE" w14:textId="77777777" w:rsidTr="00504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0A98E5" w14:textId="77777777" w:rsidR="00504819" w:rsidRPr="00504819" w:rsidRDefault="00504819" w:rsidP="00504819">
            <w:pPr>
              <w:rPr>
                <w:rFonts w:ascii="Times New Roman" w:eastAsia="Times New Roman" w:hAnsi="Times New Roman" w:cs="Times New Roman"/>
              </w:rPr>
            </w:pPr>
            <w:r w:rsidRPr="00504819">
              <w:rPr>
                <w:rFonts w:ascii="Times New Roman" w:eastAsia="Times New Roman" w:hAnsi="Times New Roman" w:cs="Times New Roman"/>
              </w:rPr>
              <w:t>PDPL (Saudi Arabia)</w:t>
            </w:r>
          </w:p>
        </w:tc>
        <w:tc>
          <w:tcPr>
            <w:tcW w:w="0" w:type="auto"/>
            <w:hideMark/>
          </w:tcPr>
          <w:p w14:paraId="21984B5B" w14:textId="77777777" w:rsidR="00504819" w:rsidRPr="00504819" w:rsidRDefault="00504819" w:rsidP="0050481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Personal data protection, consent, storage limits</w:t>
            </w:r>
          </w:p>
        </w:tc>
        <w:tc>
          <w:tcPr>
            <w:tcW w:w="0" w:type="auto"/>
            <w:hideMark/>
          </w:tcPr>
          <w:p w14:paraId="6A8FA471" w14:textId="77777777" w:rsidR="00504819" w:rsidRPr="00504819" w:rsidRDefault="00504819" w:rsidP="0050481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Broadly aligned with GDPR principles (consent, lawful processing, data minimization)</w:t>
            </w:r>
          </w:p>
        </w:tc>
        <w:tc>
          <w:tcPr>
            <w:tcW w:w="0" w:type="auto"/>
            <w:hideMark/>
          </w:tcPr>
          <w:p w14:paraId="23A480B5" w14:textId="77777777" w:rsidR="00504819" w:rsidRPr="00504819" w:rsidRDefault="00504819" w:rsidP="0050481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Weak enforcement, limited clarity on cross-border transfers</w:t>
            </w:r>
          </w:p>
        </w:tc>
      </w:tr>
      <w:tr w:rsidR="00504819" w:rsidRPr="00504819" w14:paraId="78D8748B" w14:textId="77777777" w:rsidTr="00504819">
        <w:tc>
          <w:tcPr>
            <w:cnfStyle w:val="001000000000" w:firstRow="0" w:lastRow="0" w:firstColumn="1" w:lastColumn="0" w:oddVBand="0" w:evenVBand="0" w:oddHBand="0" w:evenHBand="0" w:firstRowFirstColumn="0" w:firstRowLastColumn="0" w:lastRowFirstColumn="0" w:lastRowLastColumn="0"/>
            <w:tcW w:w="0" w:type="auto"/>
            <w:hideMark/>
          </w:tcPr>
          <w:p w14:paraId="540B87A0" w14:textId="77777777" w:rsidR="00504819" w:rsidRPr="00504819" w:rsidRDefault="00504819" w:rsidP="00504819">
            <w:pPr>
              <w:rPr>
                <w:rFonts w:ascii="Times New Roman" w:eastAsia="Times New Roman" w:hAnsi="Times New Roman" w:cs="Times New Roman"/>
              </w:rPr>
            </w:pPr>
            <w:r w:rsidRPr="00504819">
              <w:rPr>
                <w:rFonts w:ascii="Times New Roman" w:eastAsia="Times New Roman" w:hAnsi="Times New Roman" w:cs="Times New Roman"/>
              </w:rPr>
              <w:t>SDAIA Regulations</w:t>
            </w:r>
          </w:p>
        </w:tc>
        <w:tc>
          <w:tcPr>
            <w:tcW w:w="0" w:type="auto"/>
            <w:hideMark/>
          </w:tcPr>
          <w:p w14:paraId="595EED0D" w14:textId="77777777" w:rsidR="00504819" w:rsidRPr="00504819" w:rsidRDefault="00504819" w:rsidP="005048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AI ethics, data governance, national data strategy</w:t>
            </w:r>
          </w:p>
        </w:tc>
        <w:tc>
          <w:tcPr>
            <w:tcW w:w="0" w:type="auto"/>
            <w:hideMark/>
          </w:tcPr>
          <w:p w14:paraId="29B8E317" w14:textId="77777777" w:rsidR="00504819" w:rsidRPr="00504819" w:rsidRDefault="00504819" w:rsidP="005048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Supports Vision 2030 digital transformation and innovation goals</w:t>
            </w:r>
          </w:p>
        </w:tc>
        <w:tc>
          <w:tcPr>
            <w:tcW w:w="0" w:type="auto"/>
            <w:hideMark/>
          </w:tcPr>
          <w:p w14:paraId="34ECBB41" w14:textId="77777777" w:rsidR="00504819" w:rsidRPr="00504819" w:rsidRDefault="00504819" w:rsidP="005048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Lack of sector-specific frameworks (e.g., finance, education)</w:t>
            </w:r>
          </w:p>
        </w:tc>
      </w:tr>
      <w:tr w:rsidR="00504819" w:rsidRPr="00504819" w14:paraId="033977F6" w14:textId="77777777" w:rsidTr="00504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FBE0B9" w14:textId="77777777" w:rsidR="00504819" w:rsidRPr="00504819" w:rsidRDefault="00504819" w:rsidP="00504819">
            <w:pPr>
              <w:rPr>
                <w:rFonts w:ascii="Times New Roman" w:eastAsia="Times New Roman" w:hAnsi="Times New Roman" w:cs="Times New Roman"/>
              </w:rPr>
            </w:pPr>
            <w:r w:rsidRPr="00504819">
              <w:rPr>
                <w:rFonts w:ascii="Times New Roman" w:eastAsia="Times New Roman" w:hAnsi="Times New Roman" w:cs="Times New Roman"/>
              </w:rPr>
              <w:t>NDMO Standards</w:t>
            </w:r>
          </w:p>
        </w:tc>
        <w:tc>
          <w:tcPr>
            <w:tcW w:w="0" w:type="auto"/>
            <w:hideMark/>
          </w:tcPr>
          <w:p w14:paraId="33E8E629" w14:textId="77777777" w:rsidR="00504819" w:rsidRPr="00504819" w:rsidRDefault="00504819" w:rsidP="0050481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Data classification, quality, sharing, interoperability</w:t>
            </w:r>
          </w:p>
        </w:tc>
        <w:tc>
          <w:tcPr>
            <w:tcW w:w="0" w:type="auto"/>
            <w:hideMark/>
          </w:tcPr>
          <w:p w14:paraId="08D27B47" w14:textId="77777777" w:rsidR="00504819" w:rsidRPr="00504819" w:rsidRDefault="00504819" w:rsidP="0050481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Strengthens national data management practices</w:t>
            </w:r>
          </w:p>
        </w:tc>
        <w:tc>
          <w:tcPr>
            <w:tcW w:w="0" w:type="auto"/>
            <w:hideMark/>
          </w:tcPr>
          <w:p w14:paraId="0DD0181B" w14:textId="77777777" w:rsidR="00504819" w:rsidRPr="00504819" w:rsidRDefault="00504819" w:rsidP="0050481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Limited integration across ministries; gaps in cloud data governance</w:t>
            </w:r>
          </w:p>
        </w:tc>
      </w:tr>
      <w:tr w:rsidR="00504819" w:rsidRPr="00504819" w14:paraId="73D0562D" w14:textId="77777777" w:rsidTr="00504819">
        <w:tc>
          <w:tcPr>
            <w:cnfStyle w:val="001000000000" w:firstRow="0" w:lastRow="0" w:firstColumn="1" w:lastColumn="0" w:oddVBand="0" w:evenVBand="0" w:oddHBand="0" w:evenHBand="0" w:firstRowFirstColumn="0" w:firstRowLastColumn="0" w:lastRowFirstColumn="0" w:lastRowLastColumn="0"/>
            <w:tcW w:w="0" w:type="auto"/>
            <w:hideMark/>
          </w:tcPr>
          <w:p w14:paraId="4EBBDC07" w14:textId="77777777" w:rsidR="00504819" w:rsidRPr="00504819" w:rsidRDefault="00504819" w:rsidP="00504819">
            <w:pPr>
              <w:rPr>
                <w:rFonts w:ascii="Times New Roman" w:eastAsia="Times New Roman" w:hAnsi="Times New Roman" w:cs="Times New Roman"/>
              </w:rPr>
            </w:pPr>
            <w:r w:rsidRPr="00504819">
              <w:rPr>
                <w:rFonts w:ascii="Times New Roman" w:eastAsia="Times New Roman" w:hAnsi="Times New Roman" w:cs="Times New Roman"/>
              </w:rPr>
              <w:t>GDPR (EU)</w:t>
            </w:r>
          </w:p>
        </w:tc>
        <w:tc>
          <w:tcPr>
            <w:tcW w:w="0" w:type="auto"/>
            <w:hideMark/>
          </w:tcPr>
          <w:p w14:paraId="17F4D336" w14:textId="77777777" w:rsidR="00504819" w:rsidRPr="00504819" w:rsidRDefault="00504819" w:rsidP="005048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Strong privacy, portability, right to erasure</w:t>
            </w:r>
          </w:p>
        </w:tc>
        <w:tc>
          <w:tcPr>
            <w:tcW w:w="0" w:type="auto"/>
            <w:hideMark/>
          </w:tcPr>
          <w:p w14:paraId="265780DB" w14:textId="77777777" w:rsidR="00504819" w:rsidRPr="00504819" w:rsidRDefault="00504819" w:rsidP="005048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 xml:space="preserve">PDPL </w:t>
            </w:r>
            <w:proofErr w:type="gramStart"/>
            <w:r w:rsidRPr="00504819">
              <w:rPr>
                <w:rFonts w:ascii="Times New Roman" w:eastAsia="Times New Roman" w:hAnsi="Times New Roman" w:cs="Times New Roman"/>
              </w:rPr>
              <w:t>aligns on</w:t>
            </w:r>
            <w:proofErr w:type="gramEnd"/>
            <w:r w:rsidRPr="00504819">
              <w:rPr>
                <w:rFonts w:ascii="Times New Roman" w:eastAsia="Times New Roman" w:hAnsi="Times New Roman" w:cs="Times New Roman"/>
              </w:rPr>
              <w:t xml:space="preserve"> consent and privacy safeguards</w:t>
            </w:r>
          </w:p>
        </w:tc>
        <w:tc>
          <w:tcPr>
            <w:tcW w:w="0" w:type="auto"/>
            <w:hideMark/>
          </w:tcPr>
          <w:p w14:paraId="05F71AEB" w14:textId="77777777" w:rsidR="00504819" w:rsidRPr="00504819" w:rsidRDefault="00504819" w:rsidP="005048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PDPL weaker on portability, enforcement, and data subject rights</w:t>
            </w:r>
          </w:p>
        </w:tc>
      </w:tr>
      <w:tr w:rsidR="00504819" w:rsidRPr="00504819" w14:paraId="25AE5381" w14:textId="77777777" w:rsidTr="00504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86EE04" w14:textId="77777777" w:rsidR="00504819" w:rsidRPr="00504819" w:rsidRDefault="00504819" w:rsidP="00504819">
            <w:pPr>
              <w:rPr>
                <w:rFonts w:ascii="Times New Roman" w:eastAsia="Times New Roman" w:hAnsi="Times New Roman" w:cs="Times New Roman"/>
              </w:rPr>
            </w:pPr>
            <w:r w:rsidRPr="00504819">
              <w:rPr>
                <w:rFonts w:ascii="Times New Roman" w:eastAsia="Times New Roman" w:hAnsi="Times New Roman" w:cs="Times New Roman"/>
              </w:rPr>
              <w:t xml:space="preserve">HIPAA (US </w:t>
            </w:r>
            <w:r w:rsidRPr="00504819">
              <w:rPr>
                <w:rFonts w:ascii="Times New Roman" w:eastAsia="Times New Roman" w:hAnsi="Times New Roman" w:cs="Times New Roman"/>
              </w:rPr>
              <w:lastRenderedPageBreak/>
              <w:t>health sector)</w:t>
            </w:r>
          </w:p>
        </w:tc>
        <w:tc>
          <w:tcPr>
            <w:tcW w:w="0" w:type="auto"/>
            <w:hideMark/>
          </w:tcPr>
          <w:p w14:paraId="4565D80F" w14:textId="77777777" w:rsidR="00504819" w:rsidRPr="00504819" w:rsidRDefault="00504819" w:rsidP="0050481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lastRenderedPageBreak/>
              <w:t xml:space="preserve">Confidentiality, </w:t>
            </w:r>
            <w:r w:rsidRPr="00504819">
              <w:rPr>
                <w:rFonts w:ascii="Times New Roman" w:eastAsia="Times New Roman" w:hAnsi="Times New Roman" w:cs="Times New Roman"/>
              </w:rPr>
              <w:lastRenderedPageBreak/>
              <w:t>security of patient health data</w:t>
            </w:r>
          </w:p>
        </w:tc>
        <w:tc>
          <w:tcPr>
            <w:tcW w:w="0" w:type="auto"/>
            <w:hideMark/>
          </w:tcPr>
          <w:p w14:paraId="6F1E91A9" w14:textId="77777777" w:rsidR="00504819" w:rsidRPr="00504819" w:rsidRDefault="00504819" w:rsidP="0050481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lastRenderedPageBreak/>
              <w:t xml:space="preserve">Saudi health sector </w:t>
            </w:r>
            <w:r w:rsidRPr="00504819">
              <w:rPr>
                <w:rFonts w:ascii="Times New Roman" w:eastAsia="Times New Roman" w:hAnsi="Times New Roman" w:cs="Times New Roman"/>
              </w:rPr>
              <w:lastRenderedPageBreak/>
              <w:t>benchmarking aligns with HIPAA principles</w:t>
            </w:r>
          </w:p>
        </w:tc>
        <w:tc>
          <w:tcPr>
            <w:tcW w:w="0" w:type="auto"/>
            <w:hideMark/>
          </w:tcPr>
          <w:p w14:paraId="02C6F4E9" w14:textId="77777777" w:rsidR="00504819" w:rsidRPr="00504819" w:rsidRDefault="00504819" w:rsidP="0050481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lastRenderedPageBreak/>
              <w:t xml:space="preserve">Limited adaptation </w:t>
            </w:r>
            <w:r w:rsidRPr="00504819">
              <w:rPr>
                <w:rFonts w:ascii="Times New Roman" w:eastAsia="Times New Roman" w:hAnsi="Times New Roman" w:cs="Times New Roman"/>
              </w:rPr>
              <w:lastRenderedPageBreak/>
              <w:t>beyond healthcare; enforcement less robust</w:t>
            </w:r>
          </w:p>
        </w:tc>
      </w:tr>
      <w:tr w:rsidR="00504819" w:rsidRPr="00504819" w14:paraId="1983A01F" w14:textId="77777777" w:rsidTr="00504819">
        <w:tc>
          <w:tcPr>
            <w:cnfStyle w:val="001000000000" w:firstRow="0" w:lastRow="0" w:firstColumn="1" w:lastColumn="0" w:oddVBand="0" w:evenVBand="0" w:oddHBand="0" w:evenHBand="0" w:firstRowFirstColumn="0" w:firstRowLastColumn="0" w:lastRowFirstColumn="0" w:lastRowLastColumn="0"/>
            <w:tcW w:w="0" w:type="auto"/>
            <w:hideMark/>
          </w:tcPr>
          <w:p w14:paraId="2BC652EF" w14:textId="77777777" w:rsidR="00504819" w:rsidRPr="00504819" w:rsidRDefault="00504819" w:rsidP="00504819">
            <w:pPr>
              <w:rPr>
                <w:rFonts w:ascii="Times New Roman" w:eastAsia="Times New Roman" w:hAnsi="Times New Roman" w:cs="Times New Roman"/>
              </w:rPr>
            </w:pPr>
            <w:r w:rsidRPr="00504819">
              <w:rPr>
                <w:rFonts w:ascii="Times New Roman" w:eastAsia="Times New Roman" w:hAnsi="Times New Roman" w:cs="Times New Roman"/>
              </w:rPr>
              <w:lastRenderedPageBreak/>
              <w:t>Gulf &amp; Southeast Asian models</w:t>
            </w:r>
          </w:p>
        </w:tc>
        <w:tc>
          <w:tcPr>
            <w:tcW w:w="0" w:type="auto"/>
            <w:hideMark/>
          </w:tcPr>
          <w:p w14:paraId="726867D9" w14:textId="77777777" w:rsidR="00504819" w:rsidRPr="00504819" w:rsidRDefault="00504819" w:rsidP="005048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Regional data localization and sovereignty policies</w:t>
            </w:r>
          </w:p>
        </w:tc>
        <w:tc>
          <w:tcPr>
            <w:tcW w:w="0" w:type="auto"/>
            <w:hideMark/>
          </w:tcPr>
          <w:p w14:paraId="2A64E58C" w14:textId="77777777" w:rsidR="00504819" w:rsidRPr="00504819" w:rsidRDefault="00504819" w:rsidP="005048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Provide comparative models for balancing sovereignty and innovation</w:t>
            </w:r>
          </w:p>
        </w:tc>
        <w:tc>
          <w:tcPr>
            <w:tcW w:w="0" w:type="auto"/>
            <w:hideMark/>
          </w:tcPr>
          <w:p w14:paraId="7BC6ED1E" w14:textId="77777777" w:rsidR="00504819" w:rsidRPr="00504819" w:rsidRDefault="00504819" w:rsidP="005048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Few studies benchmarking Saudi Arabia against these regions</w:t>
            </w:r>
          </w:p>
        </w:tc>
      </w:tr>
    </w:tbl>
    <w:p w14:paraId="579C2B9A" w14:textId="05E1D133" w:rsidR="0099065F" w:rsidRPr="001B60EE" w:rsidRDefault="001B60EE" w:rsidP="007F02B1">
      <w:pPr>
        <w:pStyle w:val="Heading3"/>
        <w:jc w:val="both"/>
        <w:rPr>
          <w:rFonts w:asciiTheme="majorBidi" w:hAnsiTheme="majorBidi"/>
        </w:rPr>
      </w:pPr>
      <w:r>
        <w:rPr>
          <w:rStyle w:val="Strong"/>
          <w:rFonts w:asciiTheme="majorBidi" w:hAnsiTheme="majorBidi"/>
          <w:b/>
          <w:bCs/>
        </w:rPr>
        <w:t>2</w:t>
      </w:r>
      <w:r w:rsidR="0099065F" w:rsidRPr="001B60EE">
        <w:rPr>
          <w:rStyle w:val="Strong"/>
          <w:rFonts w:asciiTheme="majorBidi" w:hAnsiTheme="majorBidi"/>
          <w:b/>
          <w:bCs/>
        </w:rPr>
        <w:t>.6.3 Descriptive Statistics</w:t>
      </w:r>
    </w:p>
    <w:p w14:paraId="72DE11F4" w14:textId="29A7B379" w:rsidR="00504819" w:rsidRDefault="00504819" w:rsidP="00504819">
      <w:pPr>
        <w:pStyle w:val="Caption"/>
        <w:keepNext/>
      </w:pPr>
      <w:r>
        <w:t xml:space="preserve">Table </w:t>
      </w:r>
      <w:fldSimple w:instr=" SEQ Table \* ARABIC ">
        <w:r w:rsidR="00F204C6">
          <w:rPr>
            <w:noProof/>
          </w:rPr>
          <w:t>5</w:t>
        </w:r>
      </w:fldSimple>
      <w:r>
        <w:t>:</w:t>
      </w:r>
      <w:r w:rsidRPr="0048402A">
        <w:t>Descriptive Statistics from Reviewed Sources</w:t>
      </w:r>
    </w:p>
    <w:tbl>
      <w:tblPr>
        <w:tblStyle w:val="PlainTable1"/>
        <w:tblW w:w="0" w:type="auto"/>
        <w:tblLook w:val="04A0" w:firstRow="1" w:lastRow="0" w:firstColumn="1" w:lastColumn="0" w:noHBand="0" w:noVBand="1"/>
      </w:tblPr>
      <w:tblGrid>
        <w:gridCol w:w="3294"/>
        <w:gridCol w:w="1814"/>
        <w:gridCol w:w="1066"/>
        <w:gridCol w:w="3402"/>
      </w:tblGrid>
      <w:tr w:rsidR="00504819" w:rsidRPr="00504819" w14:paraId="3B4AD524" w14:textId="77777777" w:rsidTr="005048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82DD1E" w14:textId="77777777" w:rsidR="00504819" w:rsidRPr="00504819" w:rsidRDefault="00504819" w:rsidP="00504819">
            <w:pPr>
              <w:jc w:val="center"/>
              <w:rPr>
                <w:rFonts w:ascii="Times New Roman" w:eastAsia="Times New Roman" w:hAnsi="Times New Roman" w:cs="Times New Roman"/>
              </w:rPr>
            </w:pPr>
            <w:r w:rsidRPr="00504819">
              <w:rPr>
                <w:rFonts w:ascii="Times New Roman" w:eastAsia="Times New Roman" w:hAnsi="Times New Roman" w:cs="Times New Roman"/>
              </w:rPr>
              <w:t>Indicator</w:t>
            </w:r>
          </w:p>
        </w:tc>
        <w:tc>
          <w:tcPr>
            <w:tcW w:w="0" w:type="auto"/>
            <w:hideMark/>
          </w:tcPr>
          <w:p w14:paraId="57698D5B" w14:textId="77777777" w:rsidR="00504819" w:rsidRPr="00504819" w:rsidRDefault="00504819" w:rsidP="005048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Value / Percentage</w:t>
            </w:r>
          </w:p>
        </w:tc>
        <w:tc>
          <w:tcPr>
            <w:tcW w:w="0" w:type="auto"/>
            <w:hideMark/>
          </w:tcPr>
          <w:p w14:paraId="0760C483" w14:textId="77777777" w:rsidR="00504819" w:rsidRPr="00504819" w:rsidRDefault="00504819" w:rsidP="005048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Source</w:t>
            </w:r>
          </w:p>
        </w:tc>
        <w:tc>
          <w:tcPr>
            <w:tcW w:w="0" w:type="auto"/>
            <w:hideMark/>
          </w:tcPr>
          <w:p w14:paraId="265F9103" w14:textId="77777777" w:rsidR="00504819" w:rsidRPr="00504819" w:rsidRDefault="00504819" w:rsidP="005048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Implication</w:t>
            </w:r>
          </w:p>
        </w:tc>
      </w:tr>
      <w:tr w:rsidR="00504819" w:rsidRPr="00504819" w14:paraId="42F1CB47" w14:textId="77777777" w:rsidTr="00504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DF90A2" w14:textId="77777777" w:rsidR="00504819" w:rsidRPr="00504819" w:rsidRDefault="00504819" w:rsidP="00504819">
            <w:pPr>
              <w:rPr>
                <w:rFonts w:ascii="Times New Roman" w:eastAsia="Times New Roman" w:hAnsi="Times New Roman" w:cs="Times New Roman"/>
              </w:rPr>
            </w:pPr>
            <w:r w:rsidRPr="00504819">
              <w:rPr>
                <w:rFonts w:ascii="Times New Roman" w:eastAsia="Times New Roman" w:hAnsi="Times New Roman" w:cs="Times New Roman"/>
              </w:rPr>
              <w:t>Public agencies lacking mature cloud governance frameworks</w:t>
            </w:r>
          </w:p>
        </w:tc>
        <w:tc>
          <w:tcPr>
            <w:tcW w:w="0" w:type="auto"/>
            <w:hideMark/>
          </w:tcPr>
          <w:p w14:paraId="5BBC666D" w14:textId="77777777" w:rsidR="00504819" w:rsidRPr="00504819" w:rsidRDefault="00504819" w:rsidP="0050481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b/>
                <w:bCs/>
              </w:rPr>
              <w:t>86%</w:t>
            </w:r>
          </w:p>
        </w:tc>
        <w:tc>
          <w:tcPr>
            <w:tcW w:w="0" w:type="auto"/>
            <w:hideMark/>
          </w:tcPr>
          <w:p w14:paraId="65B239B0" w14:textId="77777777" w:rsidR="00504819" w:rsidRPr="00504819" w:rsidRDefault="00504819" w:rsidP="0050481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[44]</w:t>
            </w:r>
          </w:p>
        </w:tc>
        <w:tc>
          <w:tcPr>
            <w:tcW w:w="0" w:type="auto"/>
            <w:hideMark/>
          </w:tcPr>
          <w:p w14:paraId="015C09D4" w14:textId="77777777" w:rsidR="00504819" w:rsidRPr="00504819" w:rsidRDefault="00504819" w:rsidP="0050481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Highlights major cybersecurity and compliance risks</w:t>
            </w:r>
          </w:p>
        </w:tc>
      </w:tr>
      <w:tr w:rsidR="00504819" w:rsidRPr="00504819" w14:paraId="2A13D069" w14:textId="77777777" w:rsidTr="00504819">
        <w:tc>
          <w:tcPr>
            <w:cnfStyle w:val="001000000000" w:firstRow="0" w:lastRow="0" w:firstColumn="1" w:lastColumn="0" w:oddVBand="0" w:evenVBand="0" w:oddHBand="0" w:evenHBand="0" w:firstRowFirstColumn="0" w:firstRowLastColumn="0" w:lastRowFirstColumn="0" w:lastRowLastColumn="0"/>
            <w:tcW w:w="0" w:type="auto"/>
            <w:hideMark/>
          </w:tcPr>
          <w:p w14:paraId="511044A6" w14:textId="77777777" w:rsidR="00504819" w:rsidRPr="00504819" w:rsidRDefault="00504819" w:rsidP="00504819">
            <w:pPr>
              <w:rPr>
                <w:rFonts w:ascii="Times New Roman" w:eastAsia="Times New Roman" w:hAnsi="Times New Roman" w:cs="Times New Roman"/>
              </w:rPr>
            </w:pPr>
            <w:r w:rsidRPr="00504819">
              <w:rPr>
                <w:rFonts w:ascii="Times New Roman" w:eastAsia="Times New Roman" w:hAnsi="Times New Roman" w:cs="Times New Roman"/>
              </w:rPr>
              <w:t>Alignment between PDPL and GDPR provisions</w:t>
            </w:r>
          </w:p>
        </w:tc>
        <w:tc>
          <w:tcPr>
            <w:tcW w:w="0" w:type="auto"/>
            <w:hideMark/>
          </w:tcPr>
          <w:p w14:paraId="78268225" w14:textId="77777777" w:rsidR="00504819" w:rsidRPr="00504819" w:rsidRDefault="00504819" w:rsidP="005048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b/>
                <w:bCs/>
              </w:rPr>
              <w:t>High (approx. 80–85%)</w:t>
            </w:r>
          </w:p>
        </w:tc>
        <w:tc>
          <w:tcPr>
            <w:tcW w:w="0" w:type="auto"/>
            <w:hideMark/>
          </w:tcPr>
          <w:p w14:paraId="785BD095" w14:textId="77777777" w:rsidR="00504819" w:rsidRPr="00504819" w:rsidRDefault="00504819" w:rsidP="005048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[41]</w:t>
            </w:r>
          </w:p>
        </w:tc>
        <w:tc>
          <w:tcPr>
            <w:tcW w:w="0" w:type="auto"/>
            <w:hideMark/>
          </w:tcPr>
          <w:p w14:paraId="755DC9CE" w14:textId="77777777" w:rsidR="00504819" w:rsidRPr="00504819" w:rsidRDefault="00504819" w:rsidP="005048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Shows regulatory consistency but weaker enforcement mechanisms</w:t>
            </w:r>
          </w:p>
        </w:tc>
      </w:tr>
      <w:tr w:rsidR="00504819" w:rsidRPr="00504819" w14:paraId="6401C824" w14:textId="77777777" w:rsidTr="00504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2F0743" w14:textId="77777777" w:rsidR="00504819" w:rsidRPr="00504819" w:rsidRDefault="00504819" w:rsidP="00504819">
            <w:pPr>
              <w:rPr>
                <w:rFonts w:ascii="Times New Roman" w:eastAsia="Times New Roman" w:hAnsi="Times New Roman" w:cs="Times New Roman"/>
              </w:rPr>
            </w:pPr>
            <w:r w:rsidRPr="00504819">
              <w:rPr>
                <w:rFonts w:ascii="Times New Roman" w:eastAsia="Times New Roman" w:hAnsi="Times New Roman" w:cs="Times New Roman"/>
              </w:rPr>
              <w:t>Number of core studies included in synthesis</w:t>
            </w:r>
          </w:p>
        </w:tc>
        <w:tc>
          <w:tcPr>
            <w:tcW w:w="0" w:type="auto"/>
            <w:hideMark/>
          </w:tcPr>
          <w:p w14:paraId="08367B3F" w14:textId="77777777" w:rsidR="00504819" w:rsidRPr="00504819" w:rsidRDefault="00504819" w:rsidP="0050481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b/>
                <w:bCs/>
              </w:rPr>
              <w:t>7</w:t>
            </w:r>
          </w:p>
        </w:tc>
        <w:tc>
          <w:tcPr>
            <w:tcW w:w="0" w:type="auto"/>
            <w:hideMark/>
          </w:tcPr>
          <w:p w14:paraId="2D22D490" w14:textId="77777777" w:rsidR="00504819" w:rsidRPr="00504819" w:rsidRDefault="00504819" w:rsidP="0050481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[35–40]</w:t>
            </w:r>
          </w:p>
        </w:tc>
        <w:tc>
          <w:tcPr>
            <w:tcW w:w="0" w:type="auto"/>
            <w:hideMark/>
          </w:tcPr>
          <w:p w14:paraId="2C416664" w14:textId="77777777" w:rsidR="00504819" w:rsidRPr="00504819" w:rsidRDefault="00504819" w:rsidP="0050481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Indicates narrow but focused research base</w:t>
            </w:r>
          </w:p>
        </w:tc>
      </w:tr>
      <w:tr w:rsidR="00504819" w:rsidRPr="00504819" w14:paraId="118005CF" w14:textId="77777777" w:rsidTr="00504819">
        <w:tc>
          <w:tcPr>
            <w:cnfStyle w:val="001000000000" w:firstRow="0" w:lastRow="0" w:firstColumn="1" w:lastColumn="0" w:oddVBand="0" w:evenVBand="0" w:oddHBand="0" w:evenHBand="0" w:firstRowFirstColumn="0" w:firstRowLastColumn="0" w:lastRowFirstColumn="0" w:lastRowLastColumn="0"/>
            <w:tcW w:w="0" w:type="auto"/>
            <w:hideMark/>
          </w:tcPr>
          <w:p w14:paraId="336807A9" w14:textId="77777777" w:rsidR="00504819" w:rsidRPr="00504819" w:rsidRDefault="00504819" w:rsidP="00504819">
            <w:pPr>
              <w:rPr>
                <w:rFonts w:ascii="Times New Roman" w:eastAsia="Times New Roman" w:hAnsi="Times New Roman" w:cs="Times New Roman"/>
              </w:rPr>
            </w:pPr>
            <w:r w:rsidRPr="00504819">
              <w:rPr>
                <w:rFonts w:ascii="Times New Roman" w:eastAsia="Times New Roman" w:hAnsi="Times New Roman" w:cs="Times New Roman"/>
              </w:rPr>
              <w:t>Records screened for relevance during PRISMA</w:t>
            </w:r>
          </w:p>
        </w:tc>
        <w:tc>
          <w:tcPr>
            <w:tcW w:w="0" w:type="auto"/>
            <w:hideMark/>
          </w:tcPr>
          <w:p w14:paraId="38FABE87" w14:textId="77777777" w:rsidR="00504819" w:rsidRPr="00504819" w:rsidRDefault="00504819" w:rsidP="005048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b/>
                <w:bCs/>
              </w:rPr>
              <w:t>64</w:t>
            </w:r>
          </w:p>
        </w:tc>
        <w:tc>
          <w:tcPr>
            <w:tcW w:w="0" w:type="auto"/>
            <w:hideMark/>
          </w:tcPr>
          <w:p w14:paraId="066C1C9C" w14:textId="77777777" w:rsidR="00504819" w:rsidRPr="00504819" w:rsidRDefault="00504819" w:rsidP="005048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Section 2.4</w:t>
            </w:r>
          </w:p>
        </w:tc>
        <w:tc>
          <w:tcPr>
            <w:tcW w:w="0" w:type="auto"/>
            <w:hideMark/>
          </w:tcPr>
          <w:p w14:paraId="7C923ECC" w14:textId="77777777" w:rsidR="00504819" w:rsidRPr="00504819" w:rsidRDefault="00504819" w:rsidP="005048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Demonstrates rigorous filtering of sources</w:t>
            </w:r>
          </w:p>
        </w:tc>
      </w:tr>
      <w:tr w:rsidR="00504819" w:rsidRPr="00504819" w14:paraId="7B125CD3" w14:textId="77777777" w:rsidTr="00504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6B86AD" w14:textId="77777777" w:rsidR="00504819" w:rsidRPr="00504819" w:rsidRDefault="00504819" w:rsidP="00504819">
            <w:pPr>
              <w:rPr>
                <w:rFonts w:ascii="Times New Roman" w:eastAsia="Times New Roman" w:hAnsi="Times New Roman" w:cs="Times New Roman"/>
              </w:rPr>
            </w:pPr>
            <w:r w:rsidRPr="00504819">
              <w:rPr>
                <w:rFonts w:ascii="Times New Roman" w:eastAsia="Times New Roman" w:hAnsi="Times New Roman" w:cs="Times New Roman"/>
              </w:rPr>
              <w:t>Final studies selected after full-text assessment</w:t>
            </w:r>
          </w:p>
        </w:tc>
        <w:tc>
          <w:tcPr>
            <w:tcW w:w="0" w:type="auto"/>
            <w:hideMark/>
          </w:tcPr>
          <w:p w14:paraId="731A88B1" w14:textId="77777777" w:rsidR="00504819" w:rsidRPr="00504819" w:rsidRDefault="00504819" w:rsidP="0050481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b/>
                <w:bCs/>
              </w:rPr>
              <w:t>7/22</w:t>
            </w:r>
            <w:r w:rsidRPr="00504819">
              <w:rPr>
                <w:rFonts w:ascii="Times New Roman" w:eastAsia="Times New Roman" w:hAnsi="Times New Roman" w:cs="Times New Roman"/>
              </w:rPr>
              <w:t xml:space="preserve"> (32%)</w:t>
            </w:r>
          </w:p>
        </w:tc>
        <w:tc>
          <w:tcPr>
            <w:tcW w:w="0" w:type="auto"/>
            <w:hideMark/>
          </w:tcPr>
          <w:p w14:paraId="5BFAD33A" w14:textId="77777777" w:rsidR="00504819" w:rsidRPr="00504819" w:rsidRDefault="00504819" w:rsidP="0050481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Section 2.4</w:t>
            </w:r>
          </w:p>
        </w:tc>
        <w:tc>
          <w:tcPr>
            <w:tcW w:w="0" w:type="auto"/>
            <w:hideMark/>
          </w:tcPr>
          <w:p w14:paraId="40864BAF" w14:textId="77777777" w:rsidR="00504819" w:rsidRPr="00504819" w:rsidRDefault="00504819" w:rsidP="0050481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04819">
              <w:rPr>
                <w:rFonts w:ascii="Times New Roman" w:eastAsia="Times New Roman" w:hAnsi="Times New Roman" w:cs="Times New Roman"/>
              </w:rPr>
              <w:t>Reflects strict inclusion criteria</w:t>
            </w:r>
          </w:p>
        </w:tc>
      </w:tr>
    </w:tbl>
    <w:p w14:paraId="773AFA44" w14:textId="70DCE38C" w:rsidR="00504819" w:rsidRPr="00504819" w:rsidRDefault="00504819" w:rsidP="00504819">
      <w:pPr>
        <w:pStyle w:val="NormalWeb"/>
        <w:jc w:val="both"/>
        <w:rPr>
          <w:rFonts w:cstheme="majorBidi"/>
        </w:rPr>
      </w:pPr>
      <w:r w:rsidRPr="00504819">
        <w:rPr>
          <w:rFonts w:asciiTheme="majorBidi" w:hAnsiTheme="majorBidi" w:cstheme="majorBidi"/>
        </w:rPr>
        <w:t>Together, Tables 3–5 and Figure 2 provide a transparent overview of data selection, governance benchmarking, and descriptive statistics, forming the empirical foundation for the results presented in Chapter 3</w:t>
      </w:r>
    </w:p>
    <w:p w14:paraId="031942B8" w14:textId="3BF66985" w:rsidR="0099065F" w:rsidRPr="001B60EE" w:rsidRDefault="001B60EE" w:rsidP="007F02B1">
      <w:pPr>
        <w:pStyle w:val="Heading2"/>
        <w:jc w:val="both"/>
        <w:rPr>
          <w:rFonts w:asciiTheme="majorBidi" w:hAnsiTheme="majorBidi"/>
        </w:rPr>
      </w:pPr>
      <w:r>
        <w:rPr>
          <w:rStyle w:val="Strong"/>
          <w:rFonts w:asciiTheme="majorBidi" w:hAnsiTheme="majorBidi"/>
          <w:b/>
          <w:bCs/>
        </w:rPr>
        <w:t>2</w:t>
      </w:r>
      <w:r w:rsidR="0099065F" w:rsidRPr="001B60EE">
        <w:rPr>
          <w:rStyle w:val="Strong"/>
          <w:rFonts w:asciiTheme="majorBidi" w:hAnsiTheme="majorBidi"/>
          <w:b/>
          <w:bCs/>
        </w:rPr>
        <w:t>.7 Ethical Considerations</w:t>
      </w:r>
    </w:p>
    <w:p w14:paraId="7B2139B9" w14:textId="77777777" w:rsidR="0099065F" w:rsidRPr="001B60EE" w:rsidRDefault="0099065F" w:rsidP="007F02B1">
      <w:pPr>
        <w:pStyle w:val="NormalWeb"/>
        <w:jc w:val="both"/>
        <w:rPr>
          <w:rFonts w:asciiTheme="majorBidi" w:hAnsiTheme="majorBidi" w:cstheme="majorBidi"/>
        </w:rPr>
      </w:pPr>
      <w:r w:rsidRPr="001B60EE">
        <w:rPr>
          <w:rFonts w:asciiTheme="majorBidi" w:hAnsiTheme="majorBidi" w:cstheme="majorBidi"/>
        </w:rPr>
        <w:t>Although the study did not involve human participants or personal data, ethical standards were ensured by:</w:t>
      </w:r>
    </w:p>
    <w:p w14:paraId="44B066D8" w14:textId="77777777" w:rsidR="0099065F" w:rsidRPr="001B60EE" w:rsidRDefault="0099065F" w:rsidP="00CD702C">
      <w:pPr>
        <w:pStyle w:val="NormalWeb"/>
        <w:numPr>
          <w:ilvl w:val="0"/>
          <w:numId w:val="13"/>
        </w:numPr>
        <w:jc w:val="both"/>
        <w:rPr>
          <w:rFonts w:asciiTheme="majorBidi" w:hAnsiTheme="majorBidi" w:cstheme="majorBidi"/>
        </w:rPr>
      </w:pPr>
      <w:r w:rsidRPr="001B60EE">
        <w:rPr>
          <w:rFonts w:asciiTheme="majorBidi" w:hAnsiTheme="majorBidi" w:cstheme="majorBidi"/>
        </w:rPr>
        <w:t>Proper citation and attribution of all sources.</w:t>
      </w:r>
    </w:p>
    <w:p w14:paraId="3E6647F5" w14:textId="77777777" w:rsidR="0099065F" w:rsidRPr="001B60EE" w:rsidRDefault="0099065F" w:rsidP="00CD702C">
      <w:pPr>
        <w:pStyle w:val="NormalWeb"/>
        <w:numPr>
          <w:ilvl w:val="0"/>
          <w:numId w:val="13"/>
        </w:numPr>
        <w:jc w:val="both"/>
        <w:rPr>
          <w:rFonts w:asciiTheme="majorBidi" w:hAnsiTheme="majorBidi" w:cstheme="majorBidi"/>
        </w:rPr>
      </w:pPr>
      <w:r w:rsidRPr="001B60EE">
        <w:rPr>
          <w:rFonts w:asciiTheme="majorBidi" w:hAnsiTheme="majorBidi" w:cstheme="majorBidi"/>
        </w:rPr>
        <w:t>Use of only publicly available or authorized reports.</w:t>
      </w:r>
    </w:p>
    <w:p w14:paraId="74E35386" w14:textId="77777777" w:rsidR="0099065F" w:rsidRPr="001B60EE" w:rsidRDefault="0099065F" w:rsidP="00CD702C">
      <w:pPr>
        <w:pStyle w:val="NormalWeb"/>
        <w:numPr>
          <w:ilvl w:val="0"/>
          <w:numId w:val="13"/>
        </w:numPr>
        <w:jc w:val="both"/>
        <w:rPr>
          <w:rFonts w:asciiTheme="majorBidi" w:hAnsiTheme="majorBidi" w:cstheme="majorBidi"/>
        </w:rPr>
      </w:pPr>
      <w:r w:rsidRPr="001B60EE">
        <w:rPr>
          <w:rFonts w:asciiTheme="majorBidi" w:hAnsiTheme="majorBidi" w:cstheme="majorBidi"/>
        </w:rPr>
        <w:t>Avoidance of plagiarism.</w:t>
      </w:r>
    </w:p>
    <w:p w14:paraId="50082D7F" w14:textId="77777777" w:rsidR="0099065F" w:rsidRPr="001B60EE" w:rsidRDefault="0099065F" w:rsidP="00CD702C">
      <w:pPr>
        <w:pStyle w:val="NormalWeb"/>
        <w:numPr>
          <w:ilvl w:val="0"/>
          <w:numId w:val="13"/>
        </w:numPr>
        <w:jc w:val="both"/>
        <w:rPr>
          <w:rFonts w:asciiTheme="majorBidi" w:hAnsiTheme="majorBidi" w:cstheme="majorBidi"/>
        </w:rPr>
      </w:pPr>
      <w:r w:rsidRPr="001B60EE">
        <w:rPr>
          <w:rFonts w:asciiTheme="majorBidi" w:hAnsiTheme="majorBidi" w:cstheme="majorBidi"/>
        </w:rPr>
        <w:t>Adherence to academic integrity principles.</w:t>
      </w:r>
    </w:p>
    <w:p w14:paraId="64C637AD" w14:textId="53E9609E" w:rsidR="0099065F" w:rsidRPr="001B60EE" w:rsidRDefault="001B60EE" w:rsidP="007F02B1">
      <w:pPr>
        <w:pStyle w:val="Heading2"/>
        <w:jc w:val="both"/>
        <w:rPr>
          <w:rFonts w:asciiTheme="majorBidi" w:hAnsiTheme="majorBidi"/>
        </w:rPr>
      </w:pPr>
      <w:r>
        <w:rPr>
          <w:rStyle w:val="Strong"/>
          <w:rFonts w:asciiTheme="majorBidi" w:hAnsiTheme="majorBidi"/>
          <w:b/>
          <w:bCs/>
        </w:rPr>
        <w:t>2</w:t>
      </w:r>
      <w:r w:rsidR="0099065F" w:rsidRPr="001B60EE">
        <w:rPr>
          <w:rStyle w:val="Strong"/>
          <w:rFonts w:asciiTheme="majorBidi" w:hAnsiTheme="majorBidi"/>
          <w:b/>
          <w:bCs/>
        </w:rPr>
        <w:t>.8 Validity and Reliability</w:t>
      </w:r>
    </w:p>
    <w:p w14:paraId="2352E02F" w14:textId="13E5B89F" w:rsidR="0099065F" w:rsidRPr="001B60EE" w:rsidRDefault="0099065F" w:rsidP="007F02B1">
      <w:pPr>
        <w:pStyle w:val="NormalWeb"/>
        <w:jc w:val="both"/>
        <w:rPr>
          <w:rFonts w:asciiTheme="majorBidi" w:hAnsiTheme="majorBidi" w:cstheme="majorBidi"/>
        </w:rPr>
      </w:pPr>
      <w:r w:rsidRPr="001B60EE">
        <w:rPr>
          <w:rFonts w:asciiTheme="majorBidi" w:hAnsiTheme="majorBidi" w:cstheme="majorBidi"/>
        </w:rPr>
        <w:t>Validity was enhanced through triangulation of data across academic, governmental, and institutional sources. Reliability was supported by consistent thematic coding, transparent documentation of extraction procedures, and peer debriefing of findings. Cross-checking with policy documents served as a form of member validation [45].</w:t>
      </w:r>
      <w:r w:rsidR="00DF5F41">
        <w:rPr>
          <w:rFonts w:asciiTheme="majorBidi" w:hAnsiTheme="majorBidi" w:cstheme="majorBidi"/>
        </w:rPr>
        <w:t xml:space="preserve"> </w:t>
      </w:r>
      <w:r w:rsidR="00DF5F41" w:rsidRPr="00DF5F41">
        <w:rPr>
          <w:rFonts w:asciiTheme="majorBidi" w:hAnsiTheme="majorBidi" w:cstheme="majorBidi"/>
        </w:rPr>
        <w:t xml:space="preserve">In addition, methodological </w:t>
      </w:r>
      <w:r w:rsidR="00DF5F41" w:rsidRPr="00DF5F41">
        <w:rPr>
          <w:rFonts w:asciiTheme="majorBidi" w:hAnsiTheme="majorBidi" w:cstheme="majorBidi"/>
        </w:rPr>
        <w:lastRenderedPageBreak/>
        <w:t>transparency was maintained by making the coding framework, extraction templates, and policy-mapping matrices available as supplementary materials for reproducibility.</w:t>
      </w:r>
    </w:p>
    <w:p w14:paraId="3D6F39F9" w14:textId="34AEDC3C" w:rsidR="0099065F" w:rsidRPr="001B60EE" w:rsidRDefault="001B60EE" w:rsidP="007F02B1">
      <w:pPr>
        <w:pStyle w:val="Heading2"/>
        <w:jc w:val="both"/>
        <w:rPr>
          <w:rFonts w:asciiTheme="majorBidi" w:hAnsiTheme="majorBidi"/>
        </w:rPr>
      </w:pPr>
      <w:r>
        <w:rPr>
          <w:rStyle w:val="Strong"/>
          <w:rFonts w:asciiTheme="majorBidi" w:hAnsiTheme="majorBidi"/>
          <w:b/>
          <w:bCs/>
        </w:rPr>
        <w:t>2</w:t>
      </w:r>
      <w:r w:rsidR="0099065F" w:rsidRPr="001B60EE">
        <w:rPr>
          <w:rStyle w:val="Strong"/>
          <w:rFonts w:asciiTheme="majorBidi" w:hAnsiTheme="majorBidi"/>
          <w:b/>
          <w:bCs/>
        </w:rPr>
        <w:t>.9 Limitations</w:t>
      </w:r>
    </w:p>
    <w:p w14:paraId="6F0FE98F" w14:textId="77777777" w:rsidR="0099065F" w:rsidRPr="001B60EE" w:rsidRDefault="0099065F" w:rsidP="007F02B1">
      <w:pPr>
        <w:pStyle w:val="NormalWeb"/>
        <w:jc w:val="both"/>
        <w:rPr>
          <w:rFonts w:asciiTheme="majorBidi" w:hAnsiTheme="majorBidi" w:cstheme="majorBidi"/>
        </w:rPr>
      </w:pPr>
      <w:r w:rsidRPr="001B60EE">
        <w:rPr>
          <w:rFonts w:asciiTheme="majorBidi" w:hAnsiTheme="majorBidi" w:cstheme="majorBidi"/>
        </w:rPr>
        <w:t>Key limitations include:</w:t>
      </w:r>
    </w:p>
    <w:p w14:paraId="50800690" w14:textId="77777777" w:rsidR="0099065F" w:rsidRPr="001B60EE" w:rsidRDefault="0099065F" w:rsidP="00CD702C">
      <w:pPr>
        <w:pStyle w:val="NormalWeb"/>
        <w:numPr>
          <w:ilvl w:val="0"/>
          <w:numId w:val="14"/>
        </w:numPr>
        <w:jc w:val="both"/>
        <w:rPr>
          <w:rFonts w:asciiTheme="majorBidi" w:hAnsiTheme="majorBidi" w:cstheme="majorBidi"/>
        </w:rPr>
      </w:pPr>
      <w:r w:rsidRPr="001B60EE">
        <w:rPr>
          <w:rFonts w:asciiTheme="majorBidi" w:hAnsiTheme="majorBidi" w:cstheme="majorBidi"/>
        </w:rPr>
        <w:t>Reliance on secondary data, which may not fully reflect current practices.</w:t>
      </w:r>
    </w:p>
    <w:p w14:paraId="5A88A6A4" w14:textId="77777777" w:rsidR="0099065F" w:rsidRPr="001B60EE" w:rsidRDefault="0099065F" w:rsidP="00CD702C">
      <w:pPr>
        <w:pStyle w:val="NormalWeb"/>
        <w:numPr>
          <w:ilvl w:val="0"/>
          <w:numId w:val="14"/>
        </w:numPr>
        <w:jc w:val="both"/>
        <w:rPr>
          <w:rFonts w:asciiTheme="majorBidi" w:hAnsiTheme="majorBidi" w:cstheme="majorBidi"/>
        </w:rPr>
      </w:pPr>
      <w:r w:rsidRPr="001B60EE">
        <w:rPr>
          <w:rFonts w:asciiTheme="majorBidi" w:hAnsiTheme="majorBidi" w:cstheme="majorBidi"/>
        </w:rPr>
        <w:t>The rapidly evolving nature of AI regulation, which risks time-sensitivity of findings.</w:t>
      </w:r>
    </w:p>
    <w:p w14:paraId="476DC3BC" w14:textId="77777777" w:rsidR="0099065F" w:rsidRPr="001B60EE" w:rsidRDefault="0099065F" w:rsidP="00CD702C">
      <w:pPr>
        <w:pStyle w:val="NormalWeb"/>
        <w:numPr>
          <w:ilvl w:val="0"/>
          <w:numId w:val="14"/>
        </w:numPr>
        <w:jc w:val="both"/>
        <w:rPr>
          <w:rFonts w:asciiTheme="majorBidi" w:hAnsiTheme="majorBidi" w:cstheme="majorBidi"/>
        </w:rPr>
      </w:pPr>
      <w:r w:rsidRPr="001B60EE">
        <w:rPr>
          <w:rFonts w:asciiTheme="majorBidi" w:hAnsiTheme="majorBidi" w:cstheme="majorBidi"/>
        </w:rPr>
        <w:t>Limited access to non-English legal or institutional texts.</w:t>
      </w:r>
    </w:p>
    <w:p w14:paraId="58FADB30" w14:textId="77777777" w:rsidR="0099065F" w:rsidRPr="001B60EE" w:rsidRDefault="0099065F" w:rsidP="00CD702C">
      <w:pPr>
        <w:pStyle w:val="NormalWeb"/>
        <w:numPr>
          <w:ilvl w:val="0"/>
          <w:numId w:val="14"/>
        </w:numPr>
        <w:jc w:val="both"/>
        <w:rPr>
          <w:rFonts w:asciiTheme="majorBidi" w:hAnsiTheme="majorBidi" w:cstheme="majorBidi"/>
        </w:rPr>
      </w:pPr>
      <w:r w:rsidRPr="001B60EE">
        <w:rPr>
          <w:rFonts w:asciiTheme="majorBidi" w:hAnsiTheme="majorBidi" w:cstheme="majorBidi"/>
        </w:rPr>
        <w:t>Dependence on publicly available documents, excluding internal practices.</w:t>
      </w:r>
    </w:p>
    <w:p w14:paraId="2AB79CC0" w14:textId="77777777" w:rsidR="0099065F" w:rsidRPr="001B60EE" w:rsidRDefault="0099065F" w:rsidP="00CD702C">
      <w:pPr>
        <w:pStyle w:val="NormalWeb"/>
        <w:numPr>
          <w:ilvl w:val="0"/>
          <w:numId w:val="14"/>
        </w:numPr>
        <w:jc w:val="both"/>
        <w:rPr>
          <w:rFonts w:asciiTheme="majorBidi" w:hAnsiTheme="majorBidi" w:cstheme="majorBidi"/>
        </w:rPr>
      </w:pPr>
      <w:r w:rsidRPr="001B60EE">
        <w:rPr>
          <w:rFonts w:asciiTheme="majorBidi" w:hAnsiTheme="majorBidi" w:cstheme="majorBidi"/>
        </w:rPr>
        <w:t>Small sample size (n=7), which may limit generalizability.</w:t>
      </w:r>
    </w:p>
    <w:p w14:paraId="61054332" w14:textId="4756912D" w:rsidR="0099065F" w:rsidRPr="001B60EE" w:rsidRDefault="001B60EE" w:rsidP="007F02B1">
      <w:pPr>
        <w:pStyle w:val="Heading2"/>
        <w:jc w:val="both"/>
        <w:rPr>
          <w:rFonts w:asciiTheme="majorBidi" w:hAnsiTheme="majorBidi"/>
        </w:rPr>
      </w:pPr>
      <w:r>
        <w:rPr>
          <w:rStyle w:val="Strong"/>
          <w:rFonts w:asciiTheme="majorBidi" w:hAnsiTheme="majorBidi"/>
          <w:b/>
          <w:bCs/>
        </w:rPr>
        <w:t>2</w:t>
      </w:r>
      <w:r w:rsidR="0099065F" w:rsidRPr="001B60EE">
        <w:rPr>
          <w:rStyle w:val="Strong"/>
          <w:rFonts w:asciiTheme="majorBidi" w:hAnsiTheme="majorBidi"/>
          <w:b/>
          <w:bCs/>
        </w:rPr>
        <w:t>.10 Researcher Positionality</w:t>
      </w:r>
    </w:p>
    <w:p w14:paraId="21EFC004" w14:textId="77777777" w:rsidR="0099065F" w:rsidRPr="001B60EE" w:rsidRDefault="0099065F" w:rsidP="007F02B1">
      <w:pPr>
        <w:pStyle w:val="NormalWeb"/>
        <w:jc w:val="both"/>
        <w:rPr>
          <w:rFonts w:asciiTheme="majorBidi" w:hAnsiTheme="majorBidi" w:cstheme="majorBidi"/>
        </w:rPr>
      </w:pPr>
      <w:r w:rsidRPr="001B60EE">
        <w:rPr>
          <w:rFonts w:asciiTheme="majorBidi" w:hAnsiTheme="majorBidi" w:cstheme="majorBidi"/>
        </w:rPr>
        <w:t>The researcher acknowledges their position as an academic observer of Saudi Arabia’s digital transformation, with prior training in technology governance. While striving for objectivity, interpretive bias may influence data interpretation.</w:t>
      </w:r>
    </w:p>
    <w:p w14:paraId="05A60DAF" w14:textId="72CA4AFF" w:rsidR="0099065F" w:rsidRPr="001B60EE" w:rsidRDefault="001B60EE" w:rsidP="007F02B1">
      <w:pPr>
        <w:pStyle w:val="Heading2"/>
        <w:jc w:val="both"/>
        <w:rPr>
          <w:rFonts w:asciiTheme="majorBidi" w:hAnsiTheme="majorBidi"/>
        </w:rPr>
      </w:pPr>
      <w:r>
        <w:rPr>
          <w:rStyle w:val="Strong"/>
          <w:rFonts w:asciiTheme="majorBidi" w:hAnsiTheme="majorBidi"/>
          <w:b/>
          <w:bCs/>
        </w:rPr>
        <w:t>2</w:t>
      </w:r>
      <w:r w:rsidR="0099065F" w:rsidRPr="001B60EE">
        <w:rPr>
          <w:rStyle w:val="Strong"/>
          <w:rFonts w:asciiTheme="majorBidi" w:hAnsiTheme="majorBidi"/>
          <w:b/>
          <w:bCs/>
        </w:rPr>
        <w:t>.11 Timeline</w:t>
      </w:r>
    </w:p>
    <w:p w14:paraId="4E6796D7" w14:textId="77777777" w:rsidR="0099065F" w:rsidRPr="001B60EE" w:rsidRDefault="0099065F" w:rsidP="007F02B1">
      <w:pPr>
        <w:pStyle w:val="NormalWeb"/>
        <w:jc w:val="both"/>
        <w:rPr>
          <w:rFonts w:asciiTheme="majorBidi" w:hAnsiTheme="majorBidi" w:cstheme="majorBidi"/>
        </w:rPr>
      </w:pPr>
      <w:r w:rsidRPr="001B60EE">
        <w:rPr>
          <w:rFonts w:asciiTheme="majorBidi" w:hAnsiTheme="majorBidi" w:cstheme="majorBidi"/>
        </w:rPr>
        <w:t>The research spanned January–June 2024, with data collection completed in March and analysis finalized in June.</w:t>
      </w:r>
    </w:p>
    <w:p w14:paraId="77128CA5" w14:textId="4644A1A6" w:rsidR="0099065F" w:rsidRPr="001B60EE" w:rsidRDefault="001B60EE" w:rsidP="007F02B1">
      <w:pPr>
        <w:pStyle w:val="Heading2"/>
        <w:jc w:val="both"/>
        <w:rPr>
          <w:rFonts w:asciiTheme="majorBidi" w:hAnsiTheme="majorBidi"/>
        </w:rPr>
      </w:pPr>
      <w:r>
        <w:rPr>
          <w:rStyle w:val="Strong"/>
          <w:rFonts w:asciiTheme="majorBidi" w:hAnsiTheme="majorBidi"/>
          <w:b/>
          <w:bCs/>
        </w:rPr>
        <w:t>2</w:t>
      </w:r>
      <w:r w:rsidR="0099065F" w:rsidRPr="001B60EE">
        <w:rPr>
          <w:rStyle w:val="Strong"/>
          <w:rFonts w:asciiTheme="majorBidi" w:hAnsiTheme="majorBidi"/>
          <w:b/>
          <w:bCs/>
        </w:rPr>
        <w:t>.12 Data Quality Assurance</w:t>
      </w:r>
    </w:p>
    <w:p w14:paraId="1DAA8E47" w14:textId="32A487A2" w:rsidR="0099065F" w:rsidRPr="001B60EE" w:rsidRDefault="0099065F" w:rsidP="007F02B1">
      <w:pPr>
        <w:pStyle w:val="NormalWeb"/>
        <w:jc w:val="both"/>
        <w:rPr>
          <w:rFonts w:asciiTheme="majorBidi" w:hAnsiTheme="majorBidi" w:cstheme="majorBidi"/>
        </w:rPr>
      </w:pPr>
      <w:r w:rsidRPr="001B60EE">
        <w:rPr>
          <w:rFonts w:asciiTheme="majorBidi" w:hAnsiTheme="majorBidi" w:cstheme="majorBidi"/>
        </w:rPr>
        <w:t xml:space="preserve">Double-coding was applied to 20% of documents, with inter-coder reliability tested via Cohen’s Kappa (κ = 0.78), indicating substantial agreement [46]. Findings were further </w:t>
      </w:r>
      <w:proofErr w:type="gramStart"/>
      <w:r w:rsidRPr="001B60EE">
        <w:rPr>
          <w:rFonts w:asciiTheme="majorBidi" w:hAnsiTheme="majorBidi" w:cstheme="majorBidi"/>
        </w:rPr>
        <w:t>cross-verified</w:t>
      </w:r>
      <w:proofErr w:type="gramEnd"/>
      <w:r w:rsidRPr="001B60EE">
        <w:rPr>
          <w:rFonts w:asciiTheme="majorBidi" w:hAnsiTheme="majorBidi" w:cstheme="majorBidi"/>
        </w:rPr>
        <w:t xml:space="preserve"> with original sources.</w:t>
      </w:r>
      <w:r w:rsidR="00DF5F41">
        <w:rPr>
          <w:rFonts w:asciiTheme="majorBidi" w:hAnsiTheme="majorBidi" w:cstheme="majorBidi"/>
        </w:rPr>
        <w:t xml:space="preserve"> </w:t>
      </w:r>
      <w:proofErr w:type="gramStart"/>
      <w:r w:rsidR="00DF5F41" w:rsidRPr="00DF5F41">
        <w:rPr>
          <w:rFonts w:asciiTheme="majorBidi" w:hAnsiTheme="majorBidi" w:cstheme="majorBidi"/>
        </w:rPr>
        <w:t>Collectively</w:t>
      </w:r>
      <w:proofErr w:type="gramEnd"/>
      <w:r w:rsidR="00DF5F41" w:rsidRPr="00DF5F41">
        <w:rPr>
          <w:rFonts w:asciiTheme="majorBidi" w:hAnsiTheme="majorBidi" w:cstheme="majorBidi"/>
        </w:rPr>
        <w:t>, these methodological steps ensure a robust and transparent foundation for the analysis. The following chapter presents the results of the thematic synthesis, policy mapping, and comparative evaluation of Saudi Arabia’s data sovereignty strategies in relation to generative AI adoption.</w:t>
      </w:r>
    </w:p>
    <w:p w14:paraId="762511A2" w14:textId="35C9BDE0" w:rsidR="0099065F" w:rsidRPr="001B60EE" w:rsidRDefault="001B60EE" w:rsidP="007F02B1">
      <w:pPr>
        <w:pStyle w:val="Heading1"/>
        <w:jc w:val="both"/>
        <w:rPr>
          <w:rFonts w:asciiTheme="majorBidi" w:hAnsiTheme="majorBidi"/>
        </w:rPr>
      </w:pPr>
      <w:r>
        <w:rPr>
          <w:rStyle w:val="Strong"/>
          <w:rFonts w:asciiTheme="majorBidi" w:hAnsiTheme="majorBidi"/>
          <w:b/>
          <w:bCs/>
        </w:rPr>
        <w:t>3</w:t>
      </w:r>
      <w:r w:rsidR="0099065F" w:rsidRPr="001B60EE">
        <w:rPr>
          <w:rStyle w:val="Strong"/>
          <w:rFonts w:asciiTheme="majorBidi" w:hAnsiTheme="majorBidi"/>
          <w:b/>
          <w:bCs/>
        </w:rPr>
        <w:t xml:space="preserve">. </w:t>
      </w:r>
      <w:r w:rsidR="00401155">
        <w:rPr>
          <w:rStyle w:val="Strong"/>
          <w:rFonts w:asciiTheme="majorBidi" w:hAnsiTheme="majorBidi"/>
          <w:b/>
          <w:bCs/>
        </w:rPr>
        <w:t>Results</w:t>
      </w:r>
      <w:r w:rsidR="0099065F" w:rsidRPr="001B60EE">
        <w:rPr>
          <w:rStyle w:val="Strong"/>
          <w:rFonts w:asciiTheme="majorBidi" w:hAnsiTheme="majorBidi"/>
          <w:b/>
          <w:bCs/>
        </w:rPr>
        <w:t xml:space="preserve"> and </w:t>
      </w:r>
      <w:r w:rsidR="00401155">
        <w:rPr>
          <w:rStyle w:val="Strong"/>
          <w:rFonts w:asciiTheme="majorBidi" w:hAnsiTheme="majorBidi"/>
          <w:b/>
          <w:bCs/>
        </w:rPr>
        <w:t>discussion</w:t>
      </w:r>
    </w:p>
    <w:p w14:paraId="4E2B95A2" w14:textId="0BFF07F6" w:rsidR="0099065F" w:rsidRPr="001B60EE" w:rsidRDefault="001B60EE" w:rsidP="007F02B1">
      <w:pPr>
        <w:pStyle w:val="Heading2"/>
        <w:jc w:val="both"/>
        <w:rPr>
          <w:rFonts w:asciiTheme="majorBidi" w:hAnsiTheme="majorBidi"/>
        </w:rPr>
      </w:pPr>
      <w:r>
        <w:rPr>
          <w:rStyle w:val="Strong"/>
          <w:rFonts w:asciiTheme="majorBidi" w:hAnsiTheme="majorBidi"/>
          <w:b/>
          <w:bCs/>
        </w:rPr>
        <w:t>3</w:t>
      </w:r>
      <w:r w:rsidR="0099065F" w:rsidRPr="001B60EE">
        <w:rPr>
          <w:rStyle w:val="Strong"/>
          <w:rFonts w:asciiTheme="majorBidi" w:hAnsiTheme="majorBidi"/>
          <w:b/>
          <w:bCs/>
        </w:rPr>
        <w:t>.</w:t>
      </w:r>
      <w:r w:rsidR="00401155">
        <w:rPr>
          <w:rStyle w:val="Strong"/>
          <w:rFonts w:asciiTheme="majorBidi" w:hAnsiTheme="majorBidi"/>
          <w:b/>
          <w:bCs/>
        </w:rPr>
        <w:t>1</w:t>
      </w:r>
      <w:r w:rsidR="0099065F" w:rsidRPr="001B60EE">
        <w:rPr>
          <w:rStyle w:val="Strong"/>
          <w:rFonts w:asciiTheme="majorBidi" w:hAnsiTheme="majorBidi"/>
          <w:b/>
          <w:bCs/>
        </w:rPr>
        <w:t xml:space="preserve"> National Data Governance Infrastructure</w:t>
      </w:r>
    </w:p>
    <w:p w14:paraId="7918546B" w14:textId="77777777" w:rsidR="0099065F" w:rsidRPr="001B60EE" w:rsidRDefault="0099065F" w:rsidP="007F02B1">
      <w:pPr>
        <w:pStyle w:val="NormalWeb"/>
        <w:jc w:val="both"/>
        <w:rPr>
          <w:rFonts w:asciiTheme="majorBidi" w:hAnsiTheme="majorBidi" w:cstheme="majorBidi"/>
        </w:rPr>
      </w:pPr>
      <w:r w:rsidRPr="001B60EE">
        <w:rPr>
          <w:rFonts w:asciiTheme="majorBidi" w:hAnsiTheme="majorBidi" w:cstheme="majorBidi"/>
        </w:rPr>
        <w:t>National data institutions—particularly SDAIA, the National Data Management Office (NDMO), and the National Data Bank—were identified as the backbone of Saudi Arabia’s AI ecosystem [47,48]. These bodies enable data centralization, controlled access, and compliance mechanisms critical for secure AI development.</w:t>
      </w:r>
    </w:p>
    <w:p w14:paraId="356B94A4" w14:textId="77777777" w:rsidR="0099065F" w:rsidRPr="001B60EE" w:rsidRDefault="0099065F" w:rsidP="007F02B1">
      <w:pPr>
        <w:pStyle w:val="NormalWeb"/>
        <w:jc w:val="both"/>
        <w:rPr>
          <w:rFonts w:asciiTheme="majorBidi" w:hAnsiTheme="majorBidi" w:cstheme="majorBidi"/>
        </w:rPr>
      </w:pPr>
      <w:r w:rsidRPr="001B60EE">
        <w:rPr>
          <w:rFonts w:asciiTheme="majorBidi" w:hAnsiTheme="majorBidi" w:cstheme="majorBidi"/>
        </w:rPr>
        <w:t>However, gaps in cloud data governance remain significant. Al-</w:t>
      </w:r>
      <w:proofErr w:type="spellStart"/>
      <w:r w:rsidRPr="001B60EE">
        <w:rPr>
          <w:rFonts w:asciiTheme="majorBidi" w:hAnsiTheme="majorBidi" w:cstheme="majorBidi"/>
        </w:rPr>
        <w:t>Ruithe</w:t>
      </w:r>
      <w:proofErr w:type="spellEnd"/>
      <w:r w:rsidRPr="001B60EE">
        <w:rPr>
          <w:rFonts w:asciiTheme="majorBidi" w:hAnsiTheme="majorBidi" w:cstheme="majorBidi"/>
        </w:rPr>
        <w:t xml:space="preserve"> and Benkhelifa [49] found that 86% of public agencies lack mature cloud governance frameworks, exposing generative AI projects to risks.</w:t>
      </w:r>
    </w:p>
    <w:p w14:paraId="7B323682" w14:textId="77777777" w:rsidR="0099065F" w:rsidRPr="001B60EE" w:rsidRDefault="0099065F" w:rsidP="007F02B1">
      <w:pPr>
        <w:pStyle w:val="NormalWeb"/>
        <w:jc w:val="both"/>
        <w:rPr>
          <w:rFonts w:asciiTheme="majorBidi" w:hAnsiTheme="majorBidi" w:cstheme="majorBidi"/>
        </w:rPr>
      </w:pPr>
      <w:r w:rsidRPr="001B60EE">
        <w:rPr>
          <w:rStyle w:val="Strong"/>
          <w:rFonts w:asciiTheme="majorBidi" w:hAnsiTheme="majorBidi" w:cstheme="majorBidi"/>
        </w:rPr>
        <w:lastRenderedPageBreak/>
        <w:t>Implication:</w:t>
      </w:r>
      <w:r w:rsidRPr="001B60EE">
        <w:rPr>
          <w:rFonts w:asciiTheme="majorBidi" w:hAnsiTheme="majorBidi" w:cstheme="majorBidi"/>
        </w:rPr>
        <w:t xml:space="preserve"> While national-level structures are robust, decentralized implementation across agencies remains uneven, requiring greater coordination and capacity building.</w:t>
      </w:r>
    </w:p>
    <w:p w14:paraId="272C2D9C" w14:textId="77777777" w:rsidR="0099065F" w:rsidRPr="001B60EE" w:rsidRDefault="0099065F" w:rsidP="007F02B1">
      <w:pPr>
        <w:pStyle w:val="NormalWeb"/>
        <w:keepNext/>
        <w:jc w:val="both"/>
        <w:rPr>
          <w:rFonts w:asciiTheme="majorBidi" w:hAnsiTheme="majorBidi" w:cstheme="majorBidi"/>
        </w:rPr>
      </w:pPr>
      <w:r w:rsidRPr="001B60EE">
        <w:rPr>
          <w:rFonts w:asciiTheme="majorBidi" w:hAnsiTheme="majorBidi" w:cstheme="majorBidi"/>
          <w:noProof/>
        </w:rPr>
        <w:drawing>
          <wp:inline distT="0" distB="0" distL="0" distR="0" wp14:anchorId="0A4BC701" wp14:editId="181E2DD5">
            <wp:extent cx="3924300" cy="3489960"/>
            <wp:effectExtent l="0" t="0" r="0" b="0"/>
            <wp:docPr id="2029296094" name="Picture" descr="Public Sector Cloud Data Governance Maturity (Based on Al-Ruithe &amp; Benkhelifa, 2017) "/>
            <wp:cNvGraphicFramePr/>
            <a:graphic xmlns:a="http://schemas.openxmlformats.org/drawingml/2006/main">
              <a:graphicData uri="http://schemas.openxmlformats.org/drawingml/2006/picture">
                <pic:pic xmlns:pic="http://schemas.openxmlformats.org/drawingml/2006/picture">
                  <pic:nvPicPr>
                    <pic:cNvPr id="0" name="Picture" descr="figures/output/output.png"/>
                    <pic:cNvPicPr>
                      <a:picLocks noChangeAspect="1" noChangeArrowheads="1"/>
                    </pic:cNvPicPr>
                  </pic:nvPicPr>
                  <pic:blipFill>
                    <a:blip r:embed="rId14"/>
                    <a:stretch>
                      <a:fillRect/>
                    </a:stretch>
                  </pic:blipFill>
                  <pic:spPr bwMode="auto">
                    <a:xfrm>
                      <a:off x="0" y="0"/>
                      <a:ext cx="3925446" cy="3490979"/>
                    </a:xfrm>
                    <a:prstGeom prst="rect">
                      <a:avLst/>
                    </a:prstGeom>
                    <a:noFill/>
                    <a:ln w="9525">
                      <a:noFill/>
                      <a:headEnd/>
                      <a:tailEnd/>
                    </a:ln>
                  </pic:spPr>
                </pic:pic>
              </a:graphicData>
            </a:graphic>
          </wp:inline>
        </w:drawing>
      </w:r>
    </w:p>
    <w:p w14:paraId="5F427999" w14:textId="67B3E468" w:rsidR="0099065F" w:rsidRPr="001B60EE" w:rsidRDefault="0099065F" w:rsidP="007F02B1">
      <w:pPr>
        <w:pStyle w:val="Caption"/>
        <w:jc w:val="both"/>
        <w:rPr>
          <w:rFonts w:asciiTheme="majorBidi" w:hAnsiTheme="majorBidi" w:cstheme="majorBidi"/>
        </w:rPr>
      </w:pPr>
      <w:r w:rsidRPr="001B60EE">
        <w:rPr>
          <w:rFonts w:asciiTheme="majorBidi" w:hAnsiTheme="majorBidi" w:cstheme="majorBidi"/>
        </w:rPr>
        <w:t xml:space="preserve">Figure </w:t>
      </w:r>
      <w:r w:rsidRPr="001B60EE">
        <w:rPr>
          <w:rFonts w:asciiTheme="majorBidi" w:hAnsiTheme="majorBidi" w:cstheme="majorBidi"/>
        </w:rPr>
        <w:fldChar w:fldCharType="begin"/>
      </w:r>
      <w:r w:rsidRPr="001B60EE">
        <w:rPr>
          <w:rFonts w:asciiTheme="majorBidi" w:hAnsiTheme="majorBidi" w:cstheme="majorBidi"/>
        </w:rPr>
        <w:instrText xml:space="preserve"> SEQ Figure \* ARABIC </w:instrText>
      </w:r>
      <w:r w:rsidRPr="001B60EE">
        <w:rPr>
          <w:rFonts w:asciiTheme="majorBidi" w:hAnsiTheme="majorBidi" w:cstheme="majorBidi"/>
        </w:rPr>
        <w:fldChar w:fldCharType="separate"/>
      </w:r>
      <w:r w:rsidR="00504819">
        <w:rPr>
          <w:rFonts w:asciiTheme="majorBidi" w:hAnsiTheme="majorBidi" w:cstheme="majorBidi"/>
          <w:noProof/>
        </w:rPr>
        <w:t>3</w:t>
      </w:r>
      <w:r w:rsidRPr="001B60EE">
        <w:rPr>
          <w:rFonts w:asciiTheme="majorBidi" w:hAnsiTheme="majorBidi" w:cstheme="majorBidi"/>
          <w:noProof/>
        </w:rPr>
        <w:fldChar w:fldCharType="end"/>
      </w:r>
      <w:r w:rsidRPr="001B60EE">
        <w:rPr>
          <w:rFonts w:asciiTheme="majorBidi" w:hAnsiTheme="majorBidi" w:cstheme="majorBidi"/>
        </w:rPr>
        <w:t>:. Public sector cloud data governance maturity in Saudi Arabia</w:t>
      </w:r>
    </w:p>
    <w:p w14:paraId="143FD839" w14:textId="431E68D7" w:rsidR="0099065F" w:rsidRPr="001B60EE" w:rsidRDefault="001B60EE" w:rsidP="007F02B1">
      <w:pPr>
        <w:pStyle w:val="Heading2"/>
        <w:jc w:val="both"/>
        <w:rPr>
          <w:rFonts w:asciiTheme="majorBidi" w:hAnsiTheme="majorBidi"/>
        </w:rPr>
      </w:pPr>
      <w:r>
        <w:rPr>
          <w:rStyle w:val="Strong"/>
          <w:rFonts w:asciiTheme="majorBidi" w:hAnsiTheme="majorBidi"/>
          <w:b/>
          <w:bCs/>
        </w:rPr>
        <w:t>3</w:t>
      </w:r>
      <w:r w:rsidR="0099065F" w:rsidRPr="001B60EE">
        <w:rPr>
          <w:rStyle w:val="Strong"/>
          <w:rFonts w:asciiTheme="majorBidi" w:hAnsiTheme="majorBidi"/>
          <w:b/>
          <w:bCs/>
        </w:rPr>
        <w:t>.</w:t>
      </w:r>
      <w:r w:rsidR="00401155">
        <w:rPr>
          <w:rStyle w:val="Strong"/>
          <w:rFonts w:asciiTheme="majorBidi" w:hAnsiTheme="majorBidi"/>
          <w:b/>
          <w:bCs/>
        </w:rPr>
        <w:t>2</w:t>
      </w:r>
      <w:r w:rsidR="0099065F" w:rsidRPr="001B60EE">
        <w:rPr>
          <w:rStyle w:val="Strong"/>
          <w:rFonts w:asciiTheme="majorBidi" w:hAnsiTheme="majorBidi"/>
          <w:b/>
          <w:bCs/>
        </w:rPr>
        <w:t xml:space="preserve"> Legal and Regulatory Frameworks</w:t>
      </w:r>
    </w:p>
    <w:p w14:paraId="7056BCEC" w14:textId="77777777" w:rsidR="0099065F" w:rsidRPr="001B60EE" w:rsidRDefault="0099065F" w:rsidP="007F02B1">
      <w:pPr>
        <w:pStyle w:val="NormalWeb"/>
        <w:jc w:val="both"/>
        <w:rPr>
          <w:rFonts w:asciiTheme="majorBidi" w:hAnsiTheme="majorBidi" w:cstheme="majorBidi"/>
        </w:rPr>
      </w:pPr>
      <w:r w:rsidRPr="001B60EE">
        <w:rPr>
          <w:rFonts w:asciiTheme="majorBidi" w:hAnsiTheme="majorBidi" w:cstheme="majorBidi"/>
        </w:rPr>
        <w:t xml:space="preserve">Several studies emphasized the need for adaptive and future-proof regulatory frameworks. Abu Farwah [50] argued that rigid intellectual property (IP) laws constrain AI training datasets. Alzahrani [51] showed strong alignment between Saudi Arabia’s PDPL and GDPR, but highlighted gaps in cross-border data flows. </w:t>
      </w:r>
      <w:proofErr w:type="spellStart"/>
      <w:r w:rsidRPr="001B60EE">
        <w:rPr>
          <w:rFonts w:asciiTheme="majorBidi" w:hAnsiTheme="majorBidi" w:cstheme="majorBidi"/>
        </w:rPr>
        <w:t>Alhoussari</w:t>
      </w:r>
      <w:proofErr w:type="spellEnd"/>
      <w:r w:rsidRPr="001B60EE">
        <w:rPr>
          <w:rFonts w:asciiTheme="majorBidi" w:hAnsiTheme="majorBidi" w:cstheme="majorBidi"/>
        </w:rPr>
        <w:t xml:space="preserve"> [52] benchmarked health data governance against HIPAA, finding compliance strong but enforcement weak.</w:t>
      </w:r>
    </w:p>
    <w:p w14:paraId="4A9AAF1B" w14:textId="77777777" w:rsidR="0099065F" w:rsidRPr="001B60EE" w:rsidRDefault="0099065F" w:rsidP="007F02B1">
      <w:pPr>
        <w:pStyle w:val="NormalWeb"/>
        <w:jc w:val="both"/>
        <w:rPr>
          <w:rFonts w:asciiTheme="majorBidi" w:hAnsiTheme="majorBidi" w:cstheme="majorBidi"/>
        </w:rPr>
      </w:pPr>
      <w:r w:rsidRPr="001B60EE">
        <w:rPr>
          <w:rStyle w:val="Strong"/>
          <w:rFonts w:asciiTheme="majorBidi" w:hAnsiTheme="majorBidi" w:cstheme="majorBidi"/>
        </w:rPr>
        <w:t>Implication:</w:t>
      </w:r>
      <w:r w:rsidRPr="001B60EE">
        <w:rPr>
          <w:rFonts w:asciiTheme="majorBidi" w:hAnsiTheme="majorBidi" w:cstheme="majorBidi"/>
        </w:rPr>
        <w:t xml:space="preserve"> Vision 2030 goals cannot be fully achieved without updating IP frameworks, clarifying cross-border protocols, and strengthening enforcement.</w:t>
      </w:r>
    </w:p>
    <w:p w14:paraId="7E9193A9" w14:textId="77777777" w:rsidR="0099065F" w:rsidRPr="001B60EE" w:rsidRDefault="0099065F" w:rsidP="007F02B1">
      <w:pPr>
        <w:pStyle w:val="NormalWeb"/>
        <w:keepNext/>
        <w:jc w:val="both"/>
        <w:rPr>
          <w:rFonts w:asciiTheme="majorBidi" w:hAnsiTheme="majorBidi" w:cstheme="majorBidi"/>
        </w:rPr>
      </w:pPr>
      <w:r w:rsidRPr="001B60EE">
        <w:rPr>
          <w:rFonts w:asciiTheme="majorBidi" w:hAnsiTheme="majorBidi" w:cstheme="majorBidi"/>
          <w:noProof/>
        </w:rPr>
        <w:lastRenderedPageBreak/>
        <w:drawing>
          <wp:inline distT="0" distB="0" distL="0" distR="0" wp14:anchorId="283460B8" wp14:editId="7C6F4DF4">
            <wp:extent cx="4114800" cy="2537460"/>
            <wp:effectExtent l="0" t="0" r="0" b="0"/>
            <wp:docPr id="139392265" name="Picture" descr=" Alignment of Saudi PDPL with GDPR Standards (Based on Alzahrani, 2024) "/>
            <wp:cNvGraphicFramePr/>
            <a:graphic xmlns:a="http://schemas.openxmlformats.org/drawingml/2006/main">
              <a:graphicData uri="http://schemas.openxmlformats.org/drawingml/2006/picture">
                <pic:pic xmlns:pic="http://schemas.openxmlformats.org/drawingml/2006/picture">
                  <pic:nvPicPr>
                    <pic:cNvPr id="0" name="Picture" descr="figures/output-(1)/output-(1).png"/>
                    <pic:cNvPicPr>
                      <a:picLocks noChangeAspect="1" noChangeArrowheads="1"/>
                    </pic:cNvPicPr>
                  </pic:nvPicPr>
                  <pic:blipFill>
                    <a:blip r:embed="rId15"/>
                    <a:stretch>
                      <a:fillRect/>
                    </a:stretch>
                  </pic:blipFill>
                  <pic:spPr bwMode="auto">
                    <a:xfrm>
                      <a:off x="0" y="0"/>
                      <a:ext cx="4117007" cy="2538821"/>
                    </a:xfrm>
                    <a:prstGeom prst="rect">
                      <a:avLst/>
                    </a:prstGeom>
                    <a:noFill/>
                    <a:ln w="9525">
                      <a:noFill/>
                      <a:headEnd/>
                      <a:tailEnd/>
                    </a:ln>
                  </pic:spPr>
                </pic:pic>
              </a:graphicData>
            </a:graphic>
          </wp:inline>
        </w:drawing>
      </w:r>
    </w:p>
    <w:p w14:paraId="4BC4B4C4" w14:textId="54984065" w:rsidR="0099065F" w:rsidRPr="001B60EE" w:rsidRDefault="0099065F" w:rsidP="007F02B1">
      <w:pPr>
        <w:pStyle w:val="Caption"/>
        <w:jc w:val="both"/>
        <w:rPr>
          <w:rFonts w:asciiTheme="majorBidi" w:hAnsiTheme="majorBidi" w:cstheme="majorBidi"/>
        </w:rPr>
      </w:pPr>
      <w:r w:rsidRPr="001B60EE">
        <w:rPr>
          <w:rFonts w:asciiTheme="majorBidi" w:hAnsiTheme="majorBidi" w:cstheme="majorBidi"/>
        </w:rPr>
        <w:t xml:space="preserve">Figure </w:t>
      </w:r>
      <w:r w:rsidRPr="001B60EE">
        <w:rPr>
          <w:rFonts w:asciiTheme="majorBidi" w:hAnsiTheme="majorBidi" w:cstheme="majorBidi"/>
        </w:rPr>
        <w:fldChar w:fldCharType="begin"/>
      </w:r>
      <w:r w:rsidRPr="001B60EE">
        <w:rPr>
          <w:rFonts w:asciiTheme="majorBidi" w:hAnsiTheme="majorBidi" w:cstheme="majorBidi"/>
        </w:rPr>
        <w:instrText xml:space="preserve"> SEQ Figure \* ARABIC </w:instrText>
      </w:r>
      <w:r w:rsidRPr="001B60EE">
        <w:rPr>
          <w:rFonts w:asciiTheme="majorBidi" w:hAnsiTheme="majorBidi" w:cstheme="majorBidi"/>
        </w:rPr>
        <w:fldChar w:fldCharType="separate"/>
      </w:r>
      <w:r w:rsidR="00504819">
        <w:rPr>
          <w:rFonts w:asciiTheme="majorBidi" w:hAnsiTheme="majorBidi" w:cstheme="majorBidi"/>
          <w:noProof/>
        </w:rPr>
        <w:t>4</w:t>
      </w:r>
      <w:r w:rsidRPr="001B60EE">
        <w:rPr>
          <w:rFonts w:asciiTheme="majorBidi" w:hAnsiTheme="majorBidi" w:cstheme="majorBidi"/>
          <w:noProof/>
        </w:rPr>
        <w:fldChar w:fldCharType="end"/>
      </w:r>
      <w:r w:rsidRPr="001B60EE">
        <w:rPr>
          <w:rFonts w:asciiTheme="majorBidi" w:hAnsiTheme="majorBidi" w:cstheme="majorBidi"/>
        </w:rPr>
        <w:t>:Alignment of Saudi PDPL with GDPR standards</w:t>
      </w:r>
    </w:p>
    <w:p w14:paraId="5457AB47" w14:textId="6900079C" w:rsidR="0099065F" w:rsidRPr="001B60EE" w:rsidRDefault="001B60EE" w:rsidP="007F02B1">
      <w:pPr>
        <w:pStyle w:val="Heading2"/>
        <w:jc w:val="both"/>
        <w:rPr>
          <w:rFonts w:asciiTheme="majorBidi" w:hAnsiTheme="majorBidi"/>
        </w:rPr>
      </w:pPr>
      <w:r>
        <w:rPr>
          <w:rStyle w:val="Strong"/>
          <w:rFonts w:asciiTheme="majorBidi" w:hAnsiTheme="majorBidi"/>
          <w:b/>
          <w:bCs/>
        </w:rPr>
        <w:t>3</w:t>
      </w:r>
      <w:r w:rsidR="0099065F" w:rsidRPr="001B60EE">
        <w:rPr>
          <w:rStyle w:val="Strong"/>
          <w:rFonts w:asciiTheme="majorBidi" w:hAnsiTheme="majorBidi"/>
          <w:b/>
          <w:bCs/>
        </w:rPr>
        <w:t>.</w:t>
      </w:r>
      <w:r w:rsidR="00401155">
        <w:rPr>
          <w:rStyle w:val="Strong"/>
          <w:rFonts w:asciiTheme="majorBidi" w:hAnsiTheme="majorBidi"/>
          <w:b/>
          <w:bCs/>
        </w:rPr>
        <w:t>3</w:t>
      </w:r>
      <w:r w:rsidR="0099065F" w:rsidRPr="001B60EE">
        <w:rPr>
          <w:rStyle w:val="Strong"/>
          <w:rFonts w:asciiTheme="majorBidi" w:hAnsiTheme="majorBidi"/>
          <w:b/>
          <w:bCs/>
        </w:rPr>
        <w:t xml:space="preserve"> Generative AI Enablement and Data Sovereignty</w:t>
      </w:r>
    </w:p>
    <w:p w14:paraId="4252A819" w14:textId="77777777" w:rsidR="0099065F" w:rsidRPr="001B60EE" w:rsidRDefault="0099065F" w:rsidP="007F02B1">
      <w:pPr>
        <w:pStyle w:val="NormalWeb"/>
        <w:jc w:val="both"/>
        <w:rPr>
          <w:rFonts w:asciiTheme="majorBidi" w:hAnsiTheme="majorBidi" w:cstheme="majorBidi"/>
        </w:rPr>
      </w:pPr>
      <w:r w:rsidRPr="001B60EE">
        <w:rPr>
          <w:rFonts w:asciiTheme="majorBidi" w:hAnsiTheme="majorBidi" w:cstheme="majorBidi"/>
        </w:rPr>
        <w:t xml:space="preserve">Evidence suggests that sovereignty, when strategically applied, enables AI innovation rather than restricting it. Aleisa et al. [48] proposed a labor-market AI recruitment model enabled by sovereign data systems. </w:t>
      </w:r>
      <w:proofErr w:type="spellStart"/>
      <w:r w:rsidRPr="001B60EE">
        <w:rPr>
          <w:rFonts w:asciiTheme="majorBidi" w:hAnsiTheme="majorBidi" w:cstheme="majorBidi"/>
        </w:rPr>
        <w:t>Alrefaei</w:t>
      </w:r>
      <w:proofErr w:type="spellEnd"/>
      <w:r w:rsidRPr="001B60EE">
        <w:rPr>
          <w:rFonts w:asciiTheme="majorBidi" w:hAnsiTheme="majorBidi" w:cstheme="majorBidi"/>
        </w:rPr>
        <w:t xml:space="preserve"> et al. [53] studied genomic data governance, noting strong public willingness to share data but limited by absent regulatory clarity.</w:t>
      </w:r>
    </w:p>
    <w:p w14:paraId="55486B57" w14:textId="67FC41C3" w:rsidR="0099065F" w:rsidRPr="001B60EE" w:rsidRDefault="0099065F" w:rsidP="007F02B1">
      <w:pPr>
        <w:pStyle w:val="NormalWeb"/>
        <w:jc w:val="both"/>
        <w:rPr>
          <w:rFonts w:asciiTheme="majorBidi" w:hAnsiTheme="majorBidi" w:cstheme="majorBidi"/>
        </w:rPr>
      </w:pPr>
      <w:r w:rsidRPr="001B60EE">
        <w:rPr>
          <w:rStyle w:val="Strong"/>
          <w:rFonts w:asciiTheme="majorBidi" w:hAnsiTheme="majorBidi" w:cstheme="majorBidi"/>
        </w:rPr>
        <w:t>Implication:</w:t>
      </w:r>
      <w:r w:rsidRPr="001B60EE">
        <w:rPr>
          <w:rFonts w:asciiTheme="majorBidi" w:hAnsiTheme="majorBidi" w:cstheme="majorBidi"/>
        </w:rPr>
        <w:t xml:space="preserve"> Generative AI thrives when sovereignty frameworks ensure trust and interoperability while allowing regulated access.</w:t>
      </w:r>
    </w:p>
    <w:p w14:paraId="564AC9F0" w14:textId="0A0FCD75" w:rsidR="0099065F" w:rsidRPr="001B60EE" w:rsidRDefault="001B60EE" w:rsidP="007F02B1">
      <w:pPr>
        <w:pStyle w:val="Heading2"/>
        <w:jc w:val="both"/>
        <w:rPr>
          <w:rFonts w:asciiTheme="majorBidi" w:hAnsiTheme="majorBidi"/>
        </w:rPr>
      </w:pPr>
      <w:r>
        <w:rPr>
          <w:rStyle w:val="Strong"/>
          <w:rFonts w:asciiTheme="majorBidi" w:hAnsiTheme="majorBidi"/>
          <w:b/>
          <w:bCs/>
        </w:rPr>
        <w:t>3</w:t>
      </w:r>
      <w:r w:rsidR="0099065F" w:rsidRPr="001B60EE">
        <w:rPr>
          <w:rStyle w:val="Strong"/>
          <w:rFonts w:asciiTheme="majorBidi" w:hAnsiTheme="majorBidi"/>
          <w:b/>
          <w:bCs/>
        </w:rPr>
        <w:t>.</w:t>
      </w:r>
      <w:r w:rsidR="00401155">
        <w:rPr>
          <w:rStyle w:val="Strong"/>
          <w:rFonts w:asciiTheme="majorBidi" w:hAnsiTheme="majorBidi"/>
          <w:b/>
          <w:bCs/>
        </w:rPr>
        <w:t>4</w:t>
      </w:r>
      <w:r w:rsidR="0099065F" w:rsidRPr="001B60EE">
        <w:rPr>
          <w:rStyle w:val="Strong"/>
          <w:rFonts w:asciiTheme="majorBidi" w:hAnsiTheme="majorBidi"/>
          <w:b/>
          <w:bCs/>
        </w:rPr>
        <w:t xml:space="preserve"> Innovation Alignment with Vision 2030</w:t>
      </w:r>
    </w:p>
    <w:p w14:paraId="0E31D428" w14:textId="77777777" w:rsidR="0099065F" w:rsidRPr="001B60EE" w:rsidRDefault="0099065F" w:rsidP="007F02B1">
      <w:pPr>
        <w:pStyle w:val="NormalWeb"/>
        <w:jc w:val="both"/>
        <w:rPr>
          <w:rFonts w:asciiTheme="majorBidi" w:hAnsiTheme="majorBidi" w:cstheme="majorBidi"/>
        </w:rPr>
      </w:pPr>
      <w:r w:rsidRPr="001B60EE">
        <w:rPr>
          <w:rFonts w:asciiTheme="majorBidi" w:hAnsiTheme="majorBidi" w:cstheme="majorBidi"/>
        </w:rPr>
        <w:t>AI initiatives align strongly with the three Vision 2030 pillars:</w:t>
      </w:r>
    </w:p>
    <w:p w14:paraId="75AD84B6" w14:textId="463246AC" w:rsidR="0099065F" w:rsidRPr="001B60EE" w:rsidRDefault="0099065F" w:rsidP="007F02B1">
      <w:pPr>
        <w:pStyle w:val="Caption"/>
        <w:keepNext/>
        <w:jc w:val="both"/>
        <w:rPr>
          <w:rFonts w:asciiTheme="majorBidi" w:hAnsiTheme="majorBidi" w:cstheme="majorBidi"/>
        </w:rPr>
      </w:pPr>
      <w:r w:rsidRPr="001B60EE">
        <w:rPr>
          <w:rFonts w:asciiTheme="majorBidi" w:hAnsiTheme="majorBidi" w:cstheme="majorBidi"/>
        </w:rPr>
        <w:t xml:space="preserve">Table </w:t>
      </w:r>
      <w:r w:rsidRPr="001B60EE">
        <w:rPr>
          <w:rFonts w:asciiTheme="majorBidi" w:hAnsiTheme="majorBidi" w:cstheme="majorBidi"/>
        </w:rPr>
        <w:fldChar w:fldCharType="begin"/>
      </w:r>
      <w:r w:rsidRPr="001B60EE">
        <w:rPr>
          <w:rFonts w:asciiTheme="majorBidi" w:hAnsiTheme="majorBidi" w:cstheme="majorBidi"/>
        </w:rPr>
        <w:instrText xml:space="preserve"> SEQ Table \* ARABIC </w:instrText>
      </w:r>
      <w:r w:rsidRPr="001B60EE">
        <w:rPr>
          <w:rFonts w:asciiTheme="majorBidi" w:hAnsiTheme="majorBidi" w:cstheme="majorBidi"/>
        </w:rPr>
        <w:fldChar w:fldCharType="separate"/>
      </w:r>
      <w:r w:rsidR="00F204C6">
        <w:rPr>
          <w:rFonts w:asciiTheme="majorBidi" w:hAnsiTheme="majorBidi" w:cstheme="majorBidi"/>
          <w:noProof/>
        </w:rPr>
        <w:t>6</w:t>
      </w:r>
      <w:r w:rsidRPr="001B60EE">
        <w:rPr>
          <w:rFonts w:asciiTheme="majorBidi" w:hAnsiTheme="majorBidi" w:cstheme="majorBidi"/>
          <w:noProof/>
        </w:rPr>
        <w:fldChar w:fldCharType="end"/>
      </w:r>
      <w:r w:rsidRPr="001B60EE">
        <w:rPr>
          <w:rFonts w:asciiTheme="majorBidi" w:hAnsiTheme="majorBidi" w:cstheme="majorBidi"/>
        </w:rPr>
        <w:t>:Contributions of AI/data strategies to Vision 2030 pillars</w:t>
      </w:r>
    </w:p>
    <w:tbl>
      <w:tblPr>
        <w:tblStyle w:val="PlainTable1"/>
        <w:tblW w:w="0" w:type="auto"/>
        <w:tblLook w:val="04A0" w:firstRow="1" w:lastRow="0" w:firstColumn="1" w:lastColumn="0" w:noHBand="0" w:noVBand="1"/>
      </w:tblPr>
      <w:tblGrid>
        <w:gridCol w:w="2073"/>
        <w:gridCol w:w="4081"/>
        <w:gridCol w:w="3422"/>
      </w:tblGrid>
      <w:tr w:rsidR="0099065F" w:rsidRPr="001B60EE" w14:paraId="4871B4F9" w14:textId="77777777" w:rsidTr="009906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516C1A" w14:textId="77777777" w:rsidR="0099065F" w:rsidRPr="001B60EE" w:rsidRDefault="0099065F" w:rsidP="007F02B1">
            <w:pPr>
              <w:jc w:val="both"/>
              <w:rPr>
                <w:rFonts w:asciiTheme="majorBidi" w:hAnsiTheme="majorBidi" w:cstheme="majorBidi"/>
              </w:rPr>
            </w:pPr>
            <w:r w:rsidRPr="001B60EE">
              <w:rPr>
                <w:rFonts w:asciiTheme="majorBidi" w:hAnsiTheme="majorBidi" w:cstheme="majorBidi"/>
                <w:b w:val="0"/>
                <w:bCs w:val="0"/>
              </w:rPr>
              <w:t>Vision 2030 Pillar</w:t>
            </w:r>
          </w:p>
        </w:tc>
        <w:tc>
          <w:tcPr>
            <w:tcW w:w="0" w:type="auto"/>
            <w:hideMark/>
          </w:tcPr>
          <w:p w14:paraId="75AD0CAA" w14:textId="77777777" w:rsidR="0099065F" w:rsidRPr="001B60EE" w:rsidRDefault="0099065F" w:rsidP="007F02B1">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1B60EE">
              <w:rPr>
                <w:rFonts w:asciiTheme="majorBidi" w:hAnsiTheme="majorBidi" w:cstheme="majorBidi"/>
                <w:b w:val="0"/>
                <w:bCs w:val="0"/>
              </w:rPr>
              <w:t>Contribution</w:t>
            </w:r>
          </w:p>
        </w:tc>
        <w:tc>
          <w:tcPr>
            <w:tcW w:w="0" w:type="auto"/>
            <w:hideMark/>
          </w:tcPr>
          <w:p w14:paraId="0ACBD331" w14:textId="77777777" w:rsidR="0099065F" w:rsidRPr="001B60EE" w:rsidRDefault="0099065F" w:rsidP="007F02B1">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1B60EE">
              <w:rPr>
                <w:rFonts w:asciiTheme="majorBidi" w:hAnsiTheme="majorBidi" w:cstheme="majorBidi"/>
                <w:b w:val="0"/>
                <w:bCs w:val="0"/>
              </w:rPr>
              <w:t>Sources</w:t>
            </w:r>
          </w:p>
        </w:tc>
      </w:tr>
      <w:tr w:rsidR="0099065F" w:rsidRPr="001B60EE" w14:paraId="06DFB4F3" w14:textId="77777777" w:rsidTr="00990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389ACF" w14:textId="77777777" w:rsidR="0099065F" w:rsidRPr="001B60EE" w:rsidRDefault="0099065F" w:rsidP="007F02B1">
            <w:pPr>
              <w:jc w:val="both"/>
              <w:rPr>
                <w:rFonts w:asciiTheme="majorBidi" w:hAnsiTheme="majorBidi" w:cstheme="majorBidi"/>
                <w:b w:val="0"/>
                <w:bCs w:val="0"/>
              </w:rPr>
            </w:pPr>
            <w:r w:rsidRPr="001B60EE">
              <w:rPr>
                <w:rFonts w:asciiTheme="majorBidi" w:hAnsiTheme="majorBidi" w:cstheme="majorBidi"/>
              </w:rPr>
              <w:t>Thriving Economy</w:t>
            </w:r>
          </w:p>
        </w:tc>
        <w:tc>
          <w:tcPr>
            <w:tcW w:w="0" w:type="auto"/>
            <w:hideMark/>
          </w:tcPr>
          <w:p w14:paraId="0F97D5B0" w14:textId="77777777" w:rsidR="0099065F" w:rsidRPr="001B60EE" w:rsidRDefault="0099065F" w:rsidP="007F02B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B60EE">
              <w:rPr>
                <w:rFonts w:asciiTheme="majorBidi" w:hAnsiTheme="majorBidi" w:cstheme="majorBidi"/>
              </w:rPr>
              <w:t>Labor market optimization through AI</w:t>
            </w:r>
          </w:p>
        </w:tc>
        <w:tc>
          <w:tcPr>
            <w:tcW w:w="0" w:type="auto"/>
            <w:hideMark/>
          </w:tcPr>
          <w:p w14:paraId="4EED7649" w14:textId="77777777" w:rsidR="0099065F" w:rsidRPr="001B60EE" w:rsidRDefault="0099065F" w:rsidP="007F02B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B60EE">
              <w:rPr>
                <w:rFonts w:asciiTheme="majorBidi" w:hAnsiTheme="majorBidi" w:cstheme="majorBidi"/>
              </w:rPr>
              <w:t>Aleisa et al. [48]</w:t>
            </w:r>
          </w:p>
        </w:tc>
      </w:tr>
      <w:tr w:rsidR="0099065F" w:rsidRPr="001B60EE" w14:paraId="6CB71BCC" w14:textId="77777777" w:rsidTr="0099065F">
        <w:tc>
          <w:tcPr>
            <w:cnfStyle w:val="001000000000" w:firstRow="0" w:lastRow="0" w:firstColumn="1" w:lastColumn="0" w:oddVBand="0" w:evenVBand="0" w:oddHBand="0" w:evenHBand="0" w:firstRowFirstColumn="0" w:firstRowLastColumn="0" w:lastRowFirstColumn="0" w:lastRowLastColumn="0"/>
            <w:tcW w:w="0" w:type="auto"/>
            <w:hideMark/>
          </w:tcPr>
          <w:p w14:paraId="4F2D8D5E" w14:textId="77777777" w:rsidR="0099065F" w:rsidRPr="001B60EE" w:rsidRDefault="0099065F" w:rsidP="007F02B1">
            <w:pPr>
              <w:jc w:val="both"/>
              <w:rPr>
                <w:rFonts w:asciiTheme="majorBidi" w:hAnsiTheme="majorBidi" w:cstheme="majorBidi"/>
              </w:rPr>
            </w:pPr>
            <w:r w:rsidRPr="001B60EE">
              <w:rPr>
                <w:rFonts w:asciiTheme="majorBidi" w:hAnsiTheme="majorBidi" w:cstheme="majorBidi"/>
              </w:rPr>
              <w:t>Vibrant Society</w:t>
            </w:r>
          </w:p>
        </w:tc>
        <w:tc>
          <w:tcPr>
            <w:tcW w:w="0" w:type="auto"/>
            <w:hideMark/>
          </w:tcPr>
          <w:p w14:paraId="219526BE" w14:textId="77777777" w:rsidR="0099065F" w:rsidRPr="001B60EE" w:rsidRDefault="0099065F" w:rsidP="007F02B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B60EE">
              <w:rPr>
                <w:rFonts w:asciiTheme="majorBidi" w:hAnsiTheme="majorBidi" w:cstheme="majorBidi"/>
              </w:rPr>
              <w:t>Personalized healthcare via AI</w:t>
            </w:r>
          </w:p>
        </w:tc>
        <w:tc>
          <w:tcPr>
            <w:tcW w:w="0" w:type="auto"/>
            <w:hideMark/>
          </w:tcPr>
          <w:p w14:paraId="71FC0776" w14:textId="77777777" w:rsidR="0099065F" w:rsidRPr="001B60EE" w:rsidRDefault="0099065F" w:rsidP="007F02B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roofErr w:type="spellStart"/>
            <w:r w:rsidRPr="001B60EE">
              <w:rPr>
                <w:rFonts w:asciiTheme="majorBidi" w:hAnsiTheme="majorBidi" w:cstheme="majorBidi"/>
              </w:rPr>
              <w:t>Alrefaei</w:t>
            </w:r>
            <w:proofErr w:type="spellEnd"/>
            <w:r w:rsidRPr="001B60EE">
              <w:rPr>
                <w:rFonts w:asciiTheme="majorBidi" w:hAnsiTheme="majorBidi" w:cstheme="majorBidi"/>
              </w:rPr>
              <w:t xml:space="preserve"> et al. [53]; </w:t>
            </w:r>
            <w:proofErr w:type="spellStart"/>
            <w:r w:rsidRPr="001B60EE">
              <w:rPr>
                <w:rFonts w:asciiTheme="majorBidi" w:hAnsiTheme="majorBidi" w:cstheme="majorBidi"/>
              </w:rPr>
              <w:t>Alhoussari</w:t>
            </w:r>
            <w:proofErr w:type="spellEnd"/>
            <w:r w:rsidRPr="001B60EE">
              <w:rPr>
                <w:rFonts w:asciiTheme="majorBidi" w:hAnsiTheme="majorBidi" w:cstheme="majorBidi"/>
              </w:rPr>
              <w:t xml:space="preserve"> [52]</w:t>
            </w:r>
          </w:p>
        </w:tc>
      </w:tr>
      <w:tr w:rsidR="0099065F" w:rsidRPr="001B60EE" w14:paraId="1146CE6A" w14:textId="77777777" w:rsidTr="00990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B24A89" w14:textId="77777777" w:rsidR="0099065F" w:rsidRPr="001B60EE" w:rsidRDefault="0099065F" w:rsidP="007F02B1">
            <w:pPr>
              <w:jc w:val="both"/>
              <w:rPr>
                <w:rFonts w:asciiTheme="majorBidi" w:hAnsiTheme="majorBidi" w:cstheme="majorBidi"/>
              </w:rPr>
            </w:pPr>
            <w:r w:rsidRPr="001B60EE">
              <w:rPr>
                <w:rFonts w:asciiTheme="majorBidi" w:hAnsiTheme="majorBidi" w:cstheme="majorBidi"/>
              </w:rPr>
              <w:t>Ambitious Nation</w:t>
            </w:r>
          </w:p>
        </w:tc>
        <w:tc>
          <w:tcPr>
            <w:tcW w:w="0" w:type="auto"/>
            <w:hideMark/>
          </w:tcPr>
          <w:p w14:paraId="1DE23320" w14:textId="77777777" w:rsidR="0099065F" w:rsidRPr="001B60EE" w:rsidRDefault="0099065F" w:rsidP="007F02B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B60EE">
              <w:rPr>
                <w:rFonts w:asciiTheme="majorBidi" w:hAnsiTheme="majorBidi" w:cstheme="majorBidi"/>
              </w:rPr>
              <w:t>AI leadership through SDAIA and NSDAI</w:t>
            </w:r>
          </w:p>
        </w:tc>
        <w:tc>
          <w:tcPr>
            <w:tcW w:w="0" w:type="auto"/>
            <w:hideMark/>
          </w:tcPr>
          <w:p w14:paraId="09D025CD" w14:textId="77777777" w:rsidR="0099065F" w:rsidRPr="001B60EE" w:rsidRDefault="0099065F" w:rsidP="007F02B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roofErr w:type="spellStart"/>
            <w:r w:rsidRPr="001B60EE">
              <w:rPr>
                <w:rFonts w:asciiTheme="majorBidi" w:hAnsiTheme="majorBidi" w:cstheme="majorBidi"/>
              </w:rPr>
              <w:t>Memish</w:t>
            </w:r>
            <w:proofErr w:type="spellEnd"/>
            <w:r w:rsidRPr="001B60EE">
              <w:rPr>
                <w:rFonts w:asciiTheme="majorBidi" w:hAnsiTheme="majorBidi" w:cstheme="majorBidi"/>
              </w:rPr>
              <w:t xml:space="preserve"> et al. [47]</w:t>
            </w:r>
          </w:p>
        </w:tc>
      </w:tr>
    </w:tbl>
    <w:p w14:paraId="3E882FE1" w14:textId="0A13E5A4" w:rsidR="0099065F" w:rsidRPr="001B60EE" w:rsidRDefault="0099065F" w:rsidP="007F02B1">
      <w:pPr>
        <w:pStyle w:val="NormalWeb"/>
        <w:jc w:val="both"/>
        <w:rPr>
          <w:rFonts w:asciiTheme="majorBidi" w:hAnsiTheme="majorBidi" w:cstheme="majorBidi"/>
        </w:rPr>
      </w:pPr>
      <w:r w:rsidRPr="001B60EE">
        <w:rPr>
          <w:rStyle w:val="Strong"/>
          <w:rFonts w:asciiTheme="majorBidi" w:hAnsiTheme="majorBidi" w:cstheme="majorBidi"/>
        </w:rPr>
        <w:t>Implication:</w:t>
      </w:r>
      <w:r w:rsidRPr="001B60EE">
        <w:rPr>
          <w:rFonts w:asciiTheme="majorBidi" w:hAnsiTheme="majorBidi" w:cstheme="majorBidi"/>
        </w:rPr>
        <w:t xml:space="preserve"> AI and data governance serve as co-dependent enablers of Vision 2030, requiring cross-pillar coordination.</w:t>
      </w:r>
    </w:p>
    <w:p w14:paraId="09A19D03" w14:textId="777CBE29" w:rsidR="0099065F" w:rsidRPr="001B60EE" w:rsidRDefault="001B60EE" w:rsidP="007F02B1">
      <w:pPr>
        <w:pStyle w:val="Heading2"/>
        <w:jc w:val="both"/>
        <w:rPr>
          <w:rFonts w:asciiTheme="majorBidi" w:hAnsiTheme="majorBidi"/>
        </w:rPr>
      </w:pPr>
      <w:r>
        <w:rPr>
          <w:rStyle w:val="Strong"/>
          <w:rFonts w:asciiTheme="majorBidi" w:hAnsiTheme="majorBidi"/>
          <w:b/>
          <w:bCs/>
        </w:rPr>
        <w:lastRenderedPageBreak/>
        <w:t>3</w:t>
      </w:r>
      <w:r w:rsidR="0099065F" w:rsidRPr="001B60EE">
        <w:rPr>
          <w:rStyle w:val="Strong"/>
          <w:rFonts w:asciiTheme="majorBidi" w:hAnsiTheme="majorBidi"/>
          <w:b/>
          <w:bCs/>
        </w:rPr>
        <w:t>.</w:t>
      </w:r>
      <w:r w:rsidR="00401155">
        <w:rPr>
          <w:rStyle w:val="Strong"/>
          <w:rFonts w:asciiTheme="majorBidi" w:hAnsiTheme="majorBidi"/>
          <w:b/>
          <w:bCs/>
        </w:rPr>
        <w:t>5</w:t>
      </w:r>
      <w:r w:rsidR="0099065F" w:rsidRPr="001B60EE">
        <w:rPr>
          <w:rStyle w:val="Strong"/>
          <w:rFonts w:asciiTheme="majorBidi" w:hAnsiTheme="majorBidi"/>
          <w:b/>
          <w:bCs/>
        </w:rPr>
        <w:t xml:space="preserve"> Barriers and Enablers of Implementation</w:t>
      </w:r>
    </w:p>
    <w:p w14:paraId="18114081" w14:textId="7294FD04" w:rsidR="0099065F" w:rsidRPr="001B60EE" w:rsidRDefault="001B60EE" w:rsidP="007F02B1">
      <w:pPr>
        <w:pStyle w:val="Heading3"/>
        <w:jc w:val="both"/>
        <w:rPr>
          <w:rFonts w:asciiTheme="majorBidi" w:hAnsiTheme="majorBidi"/>
        </w:rPr>
      </w:pPr>
      <w:r>
        <w:rPr>
          <w:rStyle w:val="Strong"/>
          <w:rFonts w:asciiTheme="majorBidi" w:hAnsiTheme="majorBidi"/>
          <w:b/>
          <w:bCs/>
        </w:rPr>
        <w:t>3</w:t>
      </w:r>
      <w:r w:rsidR="0099065F" w:rsidRPr="001B60EE">
        <w:rPr>
          <w:rStyle w:val="Strong"/>
          <w:rFonts w:asciiTheme="majorBidi" w:hAnsiTheme="majorBidi"/>
          <w:b/>
          <w:bCs/>
        </w:rPr>
        <w:t>.</w:t>
      </w:r>
      <w:r w:rsidR="00401155">
        <w:rPr>
          <w:rStyle w:val="Strong"/>
          <w:rFonts w:asciiTheme="majorBidi" w:hAnsiTheme="majorBidi"/>
          <w:b/>
          <w:bCs/>
        </w:rPr>
        <w:t>5</w:t>
      </w:r>
      <w:r w:rsidR="0099065F" w:rsidRPr="001B60EE">
        <w:rPr>
          <w:rStyle w:val="Strong"/>
          <w:rFonts w:asciiTheme="majorBidi" w:hAnsiTheme="majorBidi"/>
          <w:b/>
          <w:bCs/>
        </w:rPr>
        <w:t>.1 Barriers Identified</w:t>
      </w:r>
    </w:p>
    <w:p w14:paraId="68E4421E" w14:textId="77777777" w:rsidR="0099065F" w:rsidRPr="001B60EE" w:rsidRDefault="0099065F" w:rsidP="00CD702C">
      <w:pPr>
        <w:pStyle w:val="NormalWeb"/>
        <w:numPr>
          <w:ilvl w:val="0"/>
          <w:numId w:val="15"/>
        </w:numPr>
        <w:jc w:val="both"/>
        <w:rPr>
          <w:rFonts w:asciiTheme="majorBidi" w:hAnsiTheme="majorBidi" w:cstheme="majorBidi"/>
        </w:rPr>
      </w:pPr>
      <w:r w:rsidRPr="001B60EE">
        <w:rPr>
          <w:rFonts w:asciiTheme="majorBidi" w:hAnsiTheme="majorBidi" w:cstheme="majorBidi"/>
        </w:rPr>
        <w:t>Outdated IP frameworks limiting training data [50].</w:t>
      </w:r>
    </w:p>
    <w:p w14:paraId="17C96E04" w14:textId="77777777" w:rsidR="0099065F" w:rsidRPr="001B60EE" w:rsidRDefault="0099065F" w:rsidP="00CD702C">
      <w:pPr>
        <w:pStyle w:val="NormalWeb"/>
        <w:numPr>
          <w:ilvl w:val="0"/>
          <w:numId w:val="15"/>
        </w:numPr>
        <w:jc w:val="both"/>
        <w:rPr>
          <w:rFonts w:asciiTheme="majorBidi" w:hAnsiTheme="majorBidi" w:cstheme="majorBidi"/>
        </w:rPr>
      </w:pPr>
      <w:r w:rsidRPr="001B60EE">
        <w:rPr>
          <w:rFonts w:asciiTheme="majorBidi" w:hAnsiTheme="majorBidi" w:cstheme="majorBidi"/>
        </w:rPr>
        <w:t>Lack of sector-specific policies in genomics and labor [48,53].</w:t>
      </w:r>
    </w:p>
    <w:p w14:paraId="258E3F42" w14:textId="77777777" w:rsidR="0099065F" w:rsidRPr="001B60EE" w:rsidRDefault="0099065F" w:rsidP="00CD702C">
      <w:pPr>
        <w:pStyle w:val="NormalWeb"/>
        <w:numPr>
          <w:ilvl w:val="0"/>
          <w:numId w:val="15"/>
        </w:numPr>
        <w:jc w:val="both"/>
        <w:rPr>
          <w:rFonts w:asciiTheme="majorBidi" w:hAnsiTheme="majorBidi" w:cstheme="majorBidi"/>
        </w:rPr>
      </w:pPr>
      <w:r w:rsidRPr="001B60EE">
        <w:rPr>
          <w:rFonts w:asciiTheme="majorBidi" w:hAnsiTheme="majorBidi" w:cstheme="majorBidi"/>
        </w:rPr>
        <w:t>Organizational inertia and immature cloud governance (86% of agencies) [49].</w:t>
      </w:r>
    </w:p>
    <w:p w14:paraId="5D1D9C78" w14:textId="77777777" w:rsidR="0099065F" w:rsidRPr="001B60EE" w:rsidRDefault="0099065F" w:rsidP="00CD702C">
      <w:pPr>
        <w:pStyle w:val="NormalWeb"/>
        <w:numPr>
          <w:ilvl w:val="0"/>
          <w:numId w:val="15"/>
        </w:numPr>
        <w:jc w:val="both"/>
        <w:rPr>
          <w:rFonts w:asciiTheme="majorBidi" w:hAnsiTheme="majorBidi" w:cstheme="majorBidi"/>
        </w:rPr>
      </w:pPr>
      <w:r w:rsidRPr="001B60EE">
        <w:rPr>
          <w:rFonts w:asciiTheme="majorBidi" w:hAnsiTheme="majorBidi" w:cstheme="majorBidi"/>
        </w:rPr>
        <w:t>Weak enforcement of cybersecurity protocols [52].</w:t>
      </w:r>
    </w:p>
    <w:p w14:paraId="54088B19" w14:textId="2D4B104C" w:rsidR="0099065F" w:rsidRPr="001B60EE" w:rsidRDefault="001B60EE" w:rsidP="007F02B1">
      <w:pPr>
        <w:pStyle w:val="Heading3"/>
        <w:jc w:val="both"/>
        <w:rPr>
          <w:rFonts w:asciiTheme="majorBidi" w:hAnsiTheme="majorBidi"/>
        </w:rPr>
      </w:pPr>
      <w:r>
        <w:rPr>
          <w:rStyle w:val="Strong"/>
          <w:rFonts w:asciiTheme="majorBidi" w:hAnsiTheme="majorBidi"/>
          <w:b/>
          <w:bCs/>
        </w:rPr>
        <w:t>3</w:t>
      </w:r>
      <w:r w:rsidR="0099065F" w:rsidRPr="001B60EE">
        <w:rPr>
          <w:rStyle w:val="Strong"/>
          <w:rFonts w:asciiTheme="majorBidi" w:hAnsiTheme="majorBidi"/>
          <w:b/>
          <w:bCs/>
        </w:rPr>
        <w:t>.</w:t>
      </w:r>
      <w:r w:rsidR="00401155">
        <w:rPr>
          <w:rStyle w:val="Strong"/>
          <w:rFonts w:asciiTheme="majorBidi" w:hAnsiTheme="majorBidi"/>
          <w:b/>
          <w:bCs/>
        </w:rPr>
        <w:t>5</w:t>
      </w:r>
      <w:r w:rsidR="0099065F" w:rsidRPr="001B60EE">
        <w:rPr>
          <w:rStyle w:val="Strong"/>
          <w:rFonts w:asciiTheme="majorBidi" w:hAnsiTheme="majorBidi"/>
          <w:b/>
          <w:bCs/>
        </w:rPr>
        <w:t>.2 Enablers Identified</w:t>
      </w:r>
    </w:p>
    <w:p w14:paraId="66CD2050" w14:textId="77777777" w:rsidR="0099065F" w:rsidRPr="001B60EE" w:rsidRDefault="0099065F" w:rsidP="00CD702C">
      <w:pPr>
        <w:pStyle w:val="NormalWeb"/>
        <w:numPr>
          <w:ilvl w:val="0"/>
          <w:numId w:val="16"/>
        </w:numPr>
        <w:jc w:val="both"/>
        <w:rPr>
          <w:rFonts w:asciiTheme="majorBidi" w:hAnsiTheme="majorBidi" w:cstheme="majorBidi"/>
        </w:rPr>
      </w:pPr>
      <w:r w:rsidRPr="001B60EE">
        <w:rPr>
          <w:rFonts w:asciiTheme="majorBidi" w:hAnsiTheme="majorBidi" w:cstheme="majorBidi"/>
        </w:rPr>
        <w:t>Public–private partnerships for lawful data access [50].</w:t>
      </w:r>
    </w:p>
    <w:p w14:paraId="665D7BEB" w14:textId="77777777" w:rsidR="0099065F" w:rsidRPr="001B60EE" w:rsidRDefault="0099065F" w:rsidP="00CD702C">
      <w:pPr>
        <w:pStyle w:val="NormalWeb"/>
        <w:numPr>
          <w:ilvl w:val="0"/>
          <w:numId w:val="16"/>
        </w:numPr>
        <w:jc w:val="both"/>
        <w:rPr>
          <w:rFonts w:asciiTheme="majorBidi" w:hAnsiTheme="majorBidi" w:cstheme="majorBidi"/>
        </w:rPr>
      </w:pPr>
      <w:r w:rsidRPr="001B60EE">
        <w:rPr>
          <w:rFonts w:asciiTheme="majorBidi" w:hAnsiTheme="majorBidi" w:cstheme="majorBidi"/>
        </w:rPr>
        <w:t>Benchmarking laws with global standards (GDPR, HIPAA) [51,52].</w:t>
      </w:r>
    </w:p>
    <w:p w14:paraId="2B67E4ED" w14:textId="77777777" w:rsidR="0099065F" w:rsidRPr="001B60EE" w:rsidRDefault="0099065F" w:rsidP="00CD702C">
      <w:pPr>
        <w:pStyle w:val="NormalWeb"/>
        <w:numPr>
          <w:ilvl w:val="0"/>
          <w:numId w:val="16"/>
        </w:numPr>
        <w:jc w:val="both"/>
        <w:rPr>
          <w:rFonts w:asciiTheme="majorBidi" w:hAnsiTheme="majorBidi" w:cstheme="majorBidi"/>
        </w:rPr>
      </w:pPr>
      <w:r w:rsidRPr="001B60EE">
        <w:rPr>
          <w:rFonts w:asciiTheme="majorBidi" w:hAnsiTheme="majorBidi" w:cstheme="majorBidi"/>
        </w:rPr>
        <w:t>National infrastructure such as the National Data Bank [47].</w:t>
      </w:r>
    </w:p>
    <w:p w14:paraId="4BC629EB" w14:textId="77777777" w:rsidR="0099065F" w:rsidRPr="001B60EE" w:rsidRDefault="0099065F" w:rsidP="00CD702C">
      <w:pPr>
        <w:pStyle w:val="NormalWeb"/>
        <w:numPr>
          <w:ilvl w:val="0"/>
          <w:numId w:val="16"/>
        </w:numPr>
        <w:jc w:val="both"/>
        <w:rPr>
          <w:rFonts w:asciiTheme="majorBidi" w:hAnsiTheme="majorBidi" w:cstheme="majorBidi"/>
        </w:rPr>
      </w:pPr>
      <w:r w:rsidRPr="001B60EE">
        <w:rPr>
          <w:rFonts w:asciiTheme="majorBidi" w:hAnsiTheme="majorBidi" w:cstheme="majorBidi"/>
        </w:rPr>
        <w:t>Regulatory oversight from SDAIA and NDMO [47,48].</w:t>
      </w:r>
    </w:p>
    <w:p w14:paraId="06B57BA5" w14:textId="5F797384" w:rsidR="00504819" w:rsidRDefault="00504819" w:rsidP="00504819">
      <w:pPr>
        <w:pStyle w:val="Caption"/>
        <w:keepNext/>
      </w:pPr>
      <w:r>
        <w:t xml:space="preserve">Table </w:t>
      </w:r>
      <w:fldSimple w:instr=" SEQ Table \* ARABIC ">
        <w:r w:rsidR="00F204C6">
          <w:rPr>
            <w:noProof/>
          </w:rPr>
          <w:t>7</w:t>
        </w:r>
      </w:fldSimple>
      <w:r>
        <w:t>:</w:t>
      </w:r>
      <w:r w:rsidRPr="0060527C">
        <w:t>Barriers and Enablers of Generative AI Adoption under Vision 2030</w:t>
      </w:r>
    </w:p>
    <w:tbl>
      <w:tblPr>
        <w:tblStyle w:val="PlainTable1"/>
        <w:tblW w:w="0" w:type="auto"/>
        <w:tblLook w:val="04A0" w:firstRow="1" w:lastRow="0" w:firstColumn="1" w:lastColumn="0" w:noHBand="0" w:noVBand="1"/>
      </w:tblPr>
      <w:tblGrid>
        <w:gridCol w:w="1163"/>
        <w:gridCol w:w="3421"/>
        <w:gridCol w:w="2282"/>
        <w:gridCol w:w="2710"/>
      </w:tblGrid>
      <w:tr w:rsidR="00C21977" w:rsidRPr="00C21977" w14:paraId="77E20D67" w14:textId="77777777" w:rsidTr="00C21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277910" w14:textId="77777777" w:rsidR="00C21977" w:rsidRPr="00C21977" w:rsidRDefault="00C21977" w:rsidP="00C21977">
            <w:pPr>
              <w:jc w:val="center"/>
              <w:rPr>
                <w:rFonts w:ascii="Times New Roman" w:eastAsia="Times New Roman" w:hAnsi="Times New Roman" w:cs="Times New Roman"/>
              </w:rPr>
            </w:pPr>
            <w:r w:rsidRPr="00C21977">
              <w:rPr>
                <w:rFonts w:ascii="Times New Roman" w:eastAsia="Times New Roman" w:hAnsi="Times New Roman" w:cs="Times New Roman"/>
              </w:rPr>
              <w:t>Category</w:t>
            </w:r>
          </w:p>
        </w:tc>
        <w:tc>
          <w:tcPr>
            <w:tcW w:w="0" w:type="auto"/>
            <w:hideMark/>
          </w:tcPr>
          <w:p w14:paraId="755C1807" w14:textId="77777777" w:rsidR="00C21977" w:rsidRPr="00C21977" w:rsidRDefault="00C21977" w:rsidP="00C21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21977">
              <w:rPr>
                <w:rFonts w:ascii="Times New Roman" w:eastAsia="Times New Roman" w:hAnsi="Times New Roman" w:cs="Times New Roman"/>
              </w:rPr>
              <w:t>Specific Factor</w:t>
            </w:r>
          </w:p>
        </w:tc>
        <w:tc>
          <w:tcPr>
            <w:tcW w:w="0" w:type="auto"/>
            <w:hideMark/>
          </w:tcPr>
          <w:p w14:paraId="6912ADBD" w14:textId="77777777" w:rsidR="00C21977" w:rsidRPr="00C21977" w:rsidRDefault="00C21977" w:rsidP="00C21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21977">
              <w:rPr>
                <w:rFonts w:ascii="Times New Roman" w:eastAsia="Times New Roman" w:hAnsi="Times New Roman" w:cs="Times New Roman"/>
              </w:rPr>
              <w:t>Source(s)</w:t>
            </w:r>
          </w:p>
        </w:tc>
        <w:tc>
          <w:tcPr>
            <w:tcW w:w="0" w:type="auto"/>
            <w:hideMark/>
          </w:tcPr>
          <w:p w14:paraId="0CA02CC4" w14:textId="77777777" w:rsidR="00C21977" w:rsidRPr="00C21977" w:rsidRDefault="00C21977" w:rsidP="00C21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21977">
              <w:rPr>
                <w:rFonts w:ascii="Times New Roman" w:eastAsia="Times New Roman" w:hAnsi="Times New Roman" w:cs="Times New Roman"/>
              </w:rPr>
              <w:t>Implication</w:t>
            </w:r>
          </w:p>
        </w:tc>
      </w:tr>
      <w:tr w:rsidR="00C21977" w:rsidRPr="00C21977" w14:paraId="393132E2" w14:textId="77777777" w:rsidTr="00C21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6291D15" w14:textId="77777777" w:rsidR="00C21977" w:rsidRPr="00C21977" w:rsidRDefault="00C21977" w:rsidP="00C21977">
            <w:pPr>
              <w:rPr>
                <w:rFonts w:ascii="Times New Roman" w:eastAsia="Times New Roman" w:hAnsi="Times New Roman" w:cs="Times New Roman"/>
              </w:rPr>
            </w:pPr>
            <w:r w:rsidRPr="00C21977">
              <w:rPr>
                <w:rFonts w:ascii="Times New Roman" w:eastAsia="Times New Roman" w:hAnsi="Times New Roman" w:cs="Times New Roman"/>
              </w:rPr>
              <w:t>Barrier</w:t>
            </w:r>
          </w:p>
        </w:tc>
        <w:tc>
          <w:tcPr>
            <w:tcW w:w="0" w:type="auto"/>
            <w:hideMark/>
          </w:tcPr>
          <w:p w14:paraId="624D816C" w14:textId="77777777" w:rsidR="00C21977" w:rsidRPr="00C21977" w:rsidRDefault="00C21977" w:rsidP="00C2197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21977">
              <w:rPr>
                <w:rFonts w:ascii="Times New Roman" w:eastAsia="Times New Roman" w:hAnsi="Times New Roman" w:cs="Times New Roman"/>
              </w:rPr>
              <w:t>Outdated IP frameworks</w:t>
            </w:r>
          </w:p>
        </w:tc>
        <w:tc>
          <w:tcPr>
            <w:tcW w:w="0" w:type="auto"/>
            <w:hideMark/>
          </w:tcPr>
          <w:p w14:paraId="526B016C" w14:textId="77777777" w:rsidR="00C21977" w:rsidRPr="00C21977" w:rsidRDefault="00C21977" w:rsidP="00C2197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21977">
              <w:rPr>
                <w:rFonts w:ascii="Times New Roman" w:eastAsia="Times New Roman" w:hAnsi="Times New Roman" w:cs="Times New Roman"/>
              </w:rPr>
              <w:t>Abu Farwah [50]</w:t>
            </w:r>
          </w:p>
        </w:tc>
        <w:tc>
          <w:tcPr>
            <w:tcW w:w="0" w:type="auto"/>
            <w:hideMark/>
          </w:tcPr>
          <w:p w14:paraId="6E22695E" w14:textId="77777777" w:rsidR="00C21977" w:rsidRPr="00C21977" w:rsidRDefault="00C21977" w:rsidP="00C2197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21977">
              <w:rPr>
                <w:rFonts w:ascii="Times New Roman" w:eastAsia="Times New Roman" w:hAnsi="Times New Roman" w:cs="Times New Roman"/>
              </w:rPr>
              <w:t>Limits training data availability</w:t>
            </w:r>
          </w:p>
        </w:tc>
      </w:tr>
      <w:tr w:rsidR="00C21977" w:rsidRPr="00C21977" w14:paraId="40D30595" w14:textId="77777777" w:rsidTr="00C21977">
        <w:tc>
          <w:tcPr>
            <w:cnfStyle w:val="001000000000" w:firstRow="0" w:lastRow="0" w:firstColumn="1" w:lastColumn="0" w:oddVBand="0" w:evenVBand="0" w:oddHBand="0" w:evenHBand="0" w:firstRowFirstColumn="0" w:firstRowLastColumn="0" w:lastRowFirstColumn="0" w:lastRowLastColumn="0"/>
            <w:tcW w:w="0" w:type="auto"/>
            <w:hideMark/>
          </w:tcPr>
          <w:p w14:paraId="2F79EC22" w14:textId="77777777" w:rsidR="00C21977" w:rsidRPr="00C21977" w:rsidRDefault="00C21977" w:rsidP="00C21977">
            <w:pPr>
              <w:rPr>
                <w:rFonts w:ascii="Times New Roman" w:eastAsia="Times New Roman" w:hAnsi="Times New Roman" w:cs="Times New Roman"/>
              </w:rPr>
            </w:pPr>
            <w:r w:rsidRPr="00C21977">
              <w:rPr>
                <w:rFonts w:ascii="Times New Roman" w:eastAsia="Times New Roman" w:hAnsi="Times New Roman" w:cs="Times New Roman"/>
              </w:rPr>
              <w:t>Barrier</w:t>
            </w:r>
          </w:p>
        </w:tc>
        <w:tc>
          <w:tcPr>
            <w:tcW w:w="0" w:type="auto"/>
            <w:hideMark/>
          </w:tcPr>
          <w:p w14:paraId="73649AA2" w14:textId="77777777" w:rsidR="00C21977" w:rsidRPr="00C21977" w:rsidRDefault="00C21977" w:rsidP="00C2197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21977">
              <w:rPr>
                <w:rFonts w:ascii="Times New Roman" w:eastAsia="Times New Roman" w:hAnsi="Times New Roman" w:cs="Times New Roman"/>
              </w:rPr>
              <w:t>Cloud governance immaturity (86% agencies)</w:t>
            </w:r>
          </w:p>
        </w:tc>
        <w:tc>
          <w:tcPr>
            <w:tcW w:w="0" w:type="auto"/>
            <w:hideMark/>
          </w:tcPr>
          <w:p w14:paraId="758D2139" w14:textId="77777777" w:rsidR="00C21977" w:rsidRPr="00C21977" w:rsidRDefault="00C21977" w:rsidP="00C2197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21977">
              <w:rPr>
                <w:rFonts w:ascii="Times New Roman" w:eastAsia="Times New Roman" w:hAnsi="Times New Roman" w:cs="Times New Roman"/>
              </w:rPr>
              <w:t>Al-</w:t>
            </w:r>
            <w:proofErr w:type="spellStart"/>
            <w:r w:rsidRPr="00C21977">
              <w:rPr>
                <w:rFonts w:ascii="Times New Roman" w:eastAsia="Times New Roman" w:hAnsi="Times New Roman" w:cs="Times New Roman"/>
              </w:rPr>
              <w:t>Ruithe</w:t>
            </w:r>
            <w:proofErr w:type="spellEnd"/>
            <w:r w:rsidRPr="00C21977">
              <w:rPr>
                <w:rFonts w:ascii="Times New Roman" w:eastAsia="Times New Roman" w:hAnsi="Times New Roman" w:cs="Times New Roman"/>
              </w:rPr>
              <w:t xml:space="preserve"> &amp; Benkhelifa [49]</w:t>
            </w:r>
          </w:p>
        </w:tc>
        <w:tc>
          <w:tcPr>
            <w:tcW w:w="0" w:type="auto"/>
            <w:hideMark/>
          </w:tcPr>
          <w:p w14:paraId="424088F5" w14:textId="77777777" w:rsidR="00C21977" w:rsidRPr="00C21977" w:rsidRDefault="00C21977" w:rsidP="00C2197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21977">
              <w:rPr>
                <w:rFonts w:ascii="Times New Roman" w:eastAsia="Times New Roman" w:hAnsi="Times New Roman" w:cs="Times New Roman"/>
              </w:rPr>
              <w:t>Creates cybersecurity &amp; compliance risks</w:t>
            </w:r>
          </w:p>
        </w:tc>
      </w:tr>
      <w:tr w:rsidR="00C21977" w:rsidRPr="00C21977" w14:paraId="4C69CCF5" w14:textId="77777777" w:rsidTr="00C21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89F227" w14:textId="77777777" w:rsidR="00C21977" w:rsidRPr="00C21977" w:rsidRDefault="00C21977" w:rsidP="00C21977">
            <w:pPr>
              <w:rPr>
                <w:rFonts w:ascii="Times New Roman" w:eastAsia="Times New Roman" w:hAnsi="Times New Roman" w:cs="Times New Roman"/>
              </w:rPr>
            </w:pPr>
            <w:r w:rsidRPr="00C21977">
              <w:rPr>
                <w:rFonts w:ascii="Times New Roman" w:eastAsia="Times New Roman" w:hAnsi="Times New Roman" w:cs="Times New Roman"/>
              </w:rPr>
              <w:t>Barrier</w:t>
            </w:r>
          </w:p>
        </w:tc>
        <w:tc>
          <w:tcPr>
            <w:tcW w:w="0" w:type="auto"/>
            <w:hideMark/>
          </w:tcPr>
          <w:p w14:paraId="191BB7E2" w14:textId="77777777" w:rsidR="00C21977" w:rsidRPr="00C21977" w:rsidRDefault="00C21977" w:rsidP="00C2197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21977">
              <w:rPr>
                <w:rFonts w:ascii="Times New Roman" w:eastAsia="Times New Roman" w:hAnsi="Times New Roman" w:cs="Times New Roman"/>
              </w:rPr>
              <w:t>Weak enforcement of cybersecurity protocols</w:t>
            </w:r>
          </w:p>
        </w:tc>
        <w:tc>
          <w:tcPr>
            <w:tcW w:w="0" w:type="auto"/>
            <w:hideMark/>
          </w:tcPr>
          <w:p w14:paraId="576A1A5D" w14:textId="77777777" w:rsidR="00C21977" w:rsidRPr="00C21977" w:rsidRDefault="00C21977" w:rsidP="00C2197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roofErr w:type="spellStart"/>
            <w:r w:rsidRPr="00C21977">
              <w:rPr>
                <w:rFonts w:ascii="Times New Roman" w:eastAsia="Times New Roman" w:hAnsi="Times New Roman" w:cs="Times New Roman"/>
              </w:rPr>
              <w:t>Alhoussari</w:t>
            </w:r>
            <w:proofErr w:type="spellEnd"/>
            <w:r w:rsidRPr="00C21977">
              <w:rPr>
                <w:rFonts w:ascii="Times New Roman" w:eastAsia="Times New Roman" w:hAnsi="Times New Roman" w:cs="Times New Roman"/>
              </w:rPr>
              <w:t xml:space="preserve"> [52]</w:t>
            </w:r>
          </w:p>
        </w:tc>
        <w:tc>
          <w:tcPr>
            <w:tcW w:w="0" w:type="auto"/>
            <w:hideMark/>
          </w:tcPr>
          <w:p w14:paraId="1C8243A5" w14:textId="77777777" w:rsidR="00C21977" w:rsidRPr="00C21977" w:rsidRDefault="00C21977" w:rsidP="00C2197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21977">
              <w:rPr>
                <w:rFonts w:ascii="Times New Roman" w:eastAsia="Times New Roman" w:hAnsi="Times New Roman" w:cs="Times New Roman"/>
              </w:rPr>
              <w:t>Increases risk of data breaches</w:t>
            </w:r>
          </w:p>
        </w:tc>
      </w:tr>
      <w:tr w:rsidR="00C21977" w:rsidRPr="00C21977" w14:paraId="30C92B66" w14:textId="77777777" w:rsidTr="00C21977">
        <w:tc>
          <w:tcPr>
            <w:cnfStyle w:val="001000000000" w:firstRow="0" w:lastRow="0" w:firstColumn="1" w:lastColumn="0" w:oddVBand="0" w:evenVBand="0" w:oddHBand="0" w:evenHBand="0" w:firstRowFirstColumn="0" w:firstRowLastColumn="0" w:lastRowFirstColumn="0" w:lastRowLastColumn="0"/>
            <w:tcW w:w="0" w:type="auto"/>
            <w:hideMark/>
          </w:tcPr>
          <w:p w14:paraId="11E8BFCE" w14:textId="77777777" w:rsidR="00C21977" w:rsidRPr="00C21977" w:rsidRDefault="00C21977" w:rsidP="00C21977">
            <w:pPr>
              <w:rPr>
                <w:rFonts w:ascii="Times New Roman" w:eastAsia="Times New Roman" w:hAnsi="Times New Roman" w:cs="Times New Roman"/>
              </w:rPr>
            </w:pPr>
            <w:r w:rsidRPr="00C21977">
              <w:rPr>
                <w:rFonts w:ascii="Times New Roman" w:eastAsia="Times New Roman" w:hAnsi="Times New Roman" w:cs="Times New Roman"/>
              </w:rPr>
              <w:t>Barrier</w:t>
            </w:r>
          </w:p>
        </w:tc>
        <w:tc>
          <w:tcPr>
            <w:tcW w:w="0" w:type="auto"/>
            <w:hideMark/>
          </w:tcPr>
          <w:p w14:paraId="2912EB6C" w14:textId="77777777" w:rsidR="00C21977" w:rsidRPr="00C21977" w:rsidRDefault="00C21977" w:rsidP="00C2197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21977">
              <w:rPr>
                <w:rFonts w:ascii="Times New Roman" w:eastAsia="Times New Roman" w:hAnsi="Times New Roman" w:cs="Times New Roman"/>
              </w:rPr>
              <w:t>Lack of sector-specific policies (e.g., labor, genomics)</w:t>
            </w:r>
          </w:p>
        </w:tc>
        <w:tc>
          <w:tcPr>
            <w:tcW w:w="0" w:type="auto"/>
            <w:hideMark/>
          </w:tcPr>
          <w:p w14:paraId="55DE60CE" w14:textId="77777777" w:rsidR="00C21977" w:rsidRPr="00C21977" w:rsidRDefault="00C21977" w:rsidP="00C2197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21977">
              <w:rPr>
                <w:rFonts w:ascii="Times New Roman" w:eastAsia="Times New Roman" w:hAnsi="Times New Roman" w:cs="Times New Roman"/>
              </w:rPr>
              <w:t xml:space="preserve">Aleisa et al. [48]; </w:t>
            </w:r>
            <w:proofErr w:type="spellStart"/>
            <w:r w:rsidRPr="00C21977">
              <w:rPr>
                <w:rFonts w:ascii="Times New Roman" w:eastAsia="Times New Roman" w:hAnsi="Times New Roman" w:cs="Times New Roman"/>
              </w:rPr>
              <w:t>Alrefaei</w:t>
            </w:r>
            <w:proofErr w:type="spellEnd"/>
            <w:r w:rsidRPr="00C21977">
              <w:rPr>
                <w:rFonts w:ascii="Times New Roman" w:eastAsia="Times New Roman" w:hAnsi="Times New Roman" w:cs="Times New Roman"/>
              </w:rPr>
              <w:t xml:space="preserve"> et al. [53]</w:t>
            </w:r>
          </w:p>
        </w:tc>
        <w:tc>
          <w:tcPr>
            <w:tcW w:w="0" w:type="auto"/>
            <w:hideMark/>
          </w:tcPr>
          <w:p w14:paraId="4F349F1E" w14:textId="77777777" w:rsidR="00C21977" w:rsidRPr="00C21977" w:rsidRDefault="00C21977" w:rsidP="00C2197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21977">
              <w:rPr>
                <w:rFonts w:ascii="Times New Roman" w:eastAsia="Times New Roman" w:hAnsi="Times New Roman" w:cs="Times New Roman"/>
              </w:rPr>
              <w:t>Slows AI deployment in emerging sectors</w:t>
            </w:r>
          </w:p>
        </w:tc>
      </w:tr>
      <w:tr w:rsidR="00C21977" w:rsidRPr="00C21977" w14:paraId="2ADC0E6D" w14:textId="77777777" w:rsidTr="00C21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92B84E" w14:textId="77777777" w:rsidR="00C21977" w:rsidRPr="00C21977" w:rsidRDefault="00C21977" w:rsidP="00C21977">
            <w:pPr>
              <w:rPr>
                <w:rFonts w:ascii="Times New Roman" w:eastAsia="Times New Roman" w:hAnsi="Times New Roman" w:cs="Times New Roman"/>
              </w:rPr>
            </w:pPr>
            <w:r w:rsidRPr="00C21977">
              <w:rPr>
                <w:rFonts w:ascii="Times New Roman" w:eastAsia="Times New Roman" w:hAnsi="Times New Roman" w:cs="Times New Roman"/>
              </w:rPr>
              <w:t>Enabler</w:t>
            </w:r>
          </w:p>
        </w:tc>
        <w:tc>
          <w:tcPr>
            <w:tcW w:w="0" w:type="auto"/>
            <w:hideMark/>
          </w:tcPr>
          <w:p w14:paraId="07B5506C" w14:textId="77777777" w:rsidR="00C21977" w:rsidRPr="00C21977" w:rsidRDefault="00C21977" w:rsidP="00C2197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21977">
              <w:rPr>
                <w:rFonts w:ascii="Times New Roman" w:eastAsia="Times New Roman" w:hAnsi="Times New Roman" w:cs="Times New Roman"/>
              </w:rPr>
              <w:t>National Data Bank &amp; SDAIA</w:t>
            </w:r>
          </w:p>
        </w:tc>
        <w:tc>
          <w:tcPr>
            <w:tcW w:w="0" w:type="auto"/>
            <w:hideMark/>
          </w:tcPr>
          <w:p w14:paraId="51DAE8AB" w14:textId="77777777" w:rsidR="00C21977" w:rsidRPr="00C21977" w:rsidRDefault="00C21977" w:rsidP="00C2197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roofErr w:type="spellStart"/>
            <w:r w:rsidRPr="00C21977">
              <w:rPr>
                <w:rFonts w:ascii="Times New Roman" w:eastAsia="Times New Roman" w:hAnsi="Times New Roman" w:cs="Times New Roman"/>
              </w:rPr>
              <w:t>Memish</w:t>
            </w:r>
            <w:proofErr w:type="spellEnd"/>
            <w:r w:rsidRPr="00C21977">
              <w:rPr>
                <w:rFonts w:ascii="Times New Roman" w:eastAsia="Times New Roman" w:hAnsi="Times New Roman" w:cs="Times New Roman"/>
              </w:rPr>
              <w:t xml:space="preserve"> et al. [47]</w:t>
            </w:r>
          </w:p>
        </w:tc>
        <w:tc>
          <w:tcPr>
            <w:tcW w:w="0" w:type="auto"/>
            <w:hideMark/>
          </w:tcPr>
          <w:p w14:paraId="561CD31E" w14:textId="77777777" w:rsidR="00C21977" w:rsidRPr="00C21977" w:rsidRDefault="00C21977" w:rsidP="00C2197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21977">
              <w:rPr>
                <w:rFonts w:ascii="Times New Roman" w:eastAsia="Times New Roman" w:hAnsi="Times New Roman" w:cs="Times New Roman"/>
              </w:rPr>
              <w:t>Provides strong foundation for secure AI</w:t>
            </w:r>
          </w:p>
        </w:tc>
      </w:tr>
      <w:tr w:rsidR="00C21977" w:rsidRPr="00C21977" w14:paraId="5897BCA3" w14:textId="77777777" w:rsidTr="00C21977">
        <w:tc>
          <w:tcPr>
            <w:cnfStyle w:val="001000000000" w:firstRow="0" w:lastRow="0" w:firstColumn="1" w:lastColumn="0" w:oddVBand="0" w:evenVBand="0" w:oddHBand="0" w:evenHBand="0" w:firstRowFirstColumn="0" w:firstRowLastColumn="0" w:lastRowFirstColumn="0" w:lastRowLastColumn="0"/>
            <w:tcW w:w="0" w:type="auto"/>
            <w:hideMark/>
          </w:tcPr>
          <w:p w14:paraId="57222DFC" w14:textId="77777777" w:rsidR="00C21977" w:rsidRPr="00C21977" w:rsidRDefault="00C21977" w:rsidP="00C21977">
            <w:pPr>
              <w:rPr>
                <w:rFonts w:ascii="Times New Roman" w:eastAsia="Times New Roman" w:hAnsi="Times New Roman" w:cs="Times New Roman"/>
              </w:rPr>
            </w:pPr>
            <w:r w:rsidRPr="00C21977">
              <w:rPr>
                <w:rFonts w:ascii="Times New Roman" w:eastAsia="Times New Roman" w:hAnsi="Times New Roman" w:cs="Times New Roman"/>
              </w:rPr>
              <w:t>Enabler</w:t>
            </w:r>
          </w:p>
        </w:tc>
        <w:tc>
          <w:tcPr>
            <w:tcW w:w="0" w:type="auto"/>
            <w:hideMark/>
          </w:tcPr>
          <w:p w14:paraId="554AF3D6" w14:textId="77777777" w:rsidR="00C21977" w:rsidRPr="00C21977" w:rsidRDefault="00C21977" w:rsidP="00C2197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21977">
              <w:rPr>
                <w:rFonts w:ascii="Times New Roman" w:eastAsia="Times New Roman" w:hAnsi="Times New Roman" w:cs="Times New Roman"/>
              </w:rPr>
              <w:t>Public–private partnerships (PPPs)</w:t>
            </w:r>
          </w:p>
        </w:tc>
        <w:tc>
          <w:tcPr>
            <w:tcW w:w="0" w:type="auto"/>
            <w:hideMark/>
          </w:tcPr>
          <w:p w14:paraId="37794A09" w14:textId="77777777" w:rsidR="00C21977" w:rsidRPr="00C21977" w:rsidRDefault="00C21977" w:rsidP="00C2197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21977">
              <w:rPr>
                <w:rFonts w:ascii="Times New Roman" w:eastAsia="Times New Roman" w:hAnsi="Times New Roman" w:cs="Times New Roman"/>
              </w:rPr>
              <w:t>Abu Farwah [50]</w:t>
            </w:r>
          </w:p>
        </w:tc>
        <w:tc>
          <w:tcPr>
            <w:tcW w:w="0" w:type="auto"/>
            <w:hideMark/>
          </w:tcPr>
          <w:p w14:paraId="431A0752" w14:textId="77777777" w:rsidR="00C21977" w:rsidRPr="00C21977" w:rsidRDefault="00C21977" w:rsidP="00C2197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21977">
              <w:rPr>
                <w:rFonts w:ascii="Times New Roman" w:eastAsia="Times New Roman" w:hAnsi="Times New Roman" w:cs="Times New Roman"/>
              </w:rPr>
              <w:t>Facilitate lawful data access and innovation</w:t>
            </w:r>
          </w:p>
        </w:tc>
      </w:tr>
      <w:tr w:rsidR="00C21977" w:rsidRPr="00C21977" w14:paraId="3B27BBB6" w14:textId="77777777" w:rsidTr="00C21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2CAFFA" w14:textId="77777777" w:rsidR="00C21977" w:rsidRPr="00C21977" w:rsidRDefault="00C21977" w:rsidP="00C21977">
            <w:pPr>
              <w:rPr>
                <w:rFonts w:ascii="Times New Roman" w:eastAsia="Times New Roman" w:hAnsi="Times New Roman" w:cs="Times New Roman"/>
              </w:rPr>
            </w:pPr>
            <w:r w:rsidRPr="00C21977">
              <w:rPr>
                <w:rFonts w:ascii="Times New Roman" w:eastAsia="Times New Roman" w:hAnsi="Times New Roman" w:cs="Times New Roman"/>
              </w:rPr>
              <w:t>Enabler</w:t>
            </w:r>
          </w:p>
        </w:tc>
        <w:tc>
          <w:tcPr>
            <w:tcW w:w="0" w:type="auto"/>
            <w:hideMark/>
          </w:tcPr>
          <w:p w14:paraId="5D67DFD6" w14:textId="77777777" w:rsidR="00C21977" w:rsidRPr="00C21977" w:rsidRDefault="00C21977" w:rsidP="00C2197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21977">
              <w:rPr>
                <w:rFonts w:ascii="Times New Roman" w:eastAsia="Times New Roman" w:hAnsi="Times New Roman" w:cs="Times New Roman"/>
              </w:rPr>
              <w:t>Benchmarking laws with global standards (GDPR, HIPAA)</w:t>
            </w:r>
          </w:p>
        </w:tc>
        <w:tc>
          <w:tcPr>
            <w:tcW w:w="0" w:type="auto"/>
            <w:hideMark/>
          </w:tcPr>
          <w:p w14:paraId="750302A9" w14:textId="77777777" w:rsidR="00C21977" w:rsidRPr="00C21977" w:rsidRDefault="00C21977" w:rsidP="00C2197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21977">
              <w:rPr>
                <w:rFonts w:ascii="Times New Roman" w:eastAsia="Times New Roman" w:hAnsi="Times New Roman" w:cs="Times New Roman"/>
              </w:rPr>
              <w:t xml:space="preserve">Alzahrani [51]; </w:t>
            </w:r>
            <w:proofErr w:type="spellStart"/>
            <w:r w:rsidRPr="00C21977">
              <w:rPr>
                <w:rFonts w:ascii="Times New Roman" w:eastAsia="Times New Roman" w:hAnsi="Times New Roman" w:cs="Times New Roman"/>
              </w:rPr>
              <w:t>Alhoussari</w:t>
            </w:r>
            <w:proofErr w:type="spellEnd"/>
            <w:r w:rsidRPr="00C21977">
              <w:rPr>
                <w:rFonts w:ascii="Times New Roman" w:eastAsia="Times New Roman" w:hAnsi="Times New Roman" w:cs="Times New Roman"/>
              </w:rPr>
              <w:t xml:space="preserve"> [52]</w:t>
            </w:r>
          </w:p>
        </w:tc>
        <w:tc>
          <w:tcPr>
            <w:tcW w:w="0" w:type="auto"/>
            <w:hideMark/>
          </w:tcPr>
          <w:p w14:paraId="0F89F925" w14:textId="77777777" w:rsidR="00C21977" w:rsidRPr="00C21977" w:rsidRDefault="00C21977" w:rsidP="00C2197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21977">
              <w:rPr>
                <w:rFonts w:ascii="Times New Roman" w:eastAsia="Times New Roman" w:hAnsi="Times New Roman" w:cs="Times New Roman"/>
              </w:rPr>
              <w:t>Ensures alignment with best practices</w:t>
            </w:r>
          </w:p>
        </w:tc>
      </w:tr>
      <w:tr w:rsidR="00C21977" w:rsidRPr="00C21977" w14:paraId="15C9B1BA" w14:textId="77777777" w:rsidTr="00C21977">
        <w:tc>
          <w:tcPr>
            <w:cnfStyle w:val="001000000000" w:firstRow="0" w:lastRow="0" w:firstColumn="1" w:lastColumn="0" w:oddVBand="0" w:evenVBand="0" w:oddHBand="0" w:evenHBand="0" w:firstRowFirstColumn="0" w:firstRowLastColumn="0" w:lastRowFirstColumn="0" w:lastRowLastColumn="0"/>
            <w:tcW w:w="0" w:type="auto"/>
            <w:hideMark/>
          </w:tcPr>
          <w:p w14:paraId="7E590297" w14:textId="77777777" w:rsidR="00C21977" w:rsidRPr="00C21977" w:rsidRDefault="00C21977" w:rsidP="00C21977">
            <w:pPr>
              <w:rPr>
                <w:rFonts w:ascii="Times New Roman" w:eastAsia="Times New Roman" w:hAnsi="Times New Roman" w:cs="Times New Roman"/>
              </w:rPr>
            </w:pPr>
            <w:r w:rsidRPr="00C21977">
              <w:rPr>
                <w:rFonts w:ascii="Times New Roman" w:eastAsia="Times New Roman" w:hAnsi="Times New Roman" w:cs="Times New Roman"/>
              </w:rPr>
              <w:t>Enabler</w:t>
            </w:r>
          </w:p>
        </w:tc>
        <w:tc>
          <w:tcPr>
            <w:tcW w:w="0" w:type="auto"/>
            <w:hideMark/>
          </w:tcPr>
          <w:p w14:paraId="37C55404" w14:textId="77777777" w:rsidR="00C21977" w:rsidRPr="00C21977" w:rsidRDefault="00C21977" w:rsidP="00C2197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21977">
              <w:rPr>
                <w:rFonts w:ascii="Times New Roman" w:eastAsia="Times New Roman" w:hAnsi="Times New Roman" w:cs="Times New Roman"/>
              </w:rPr>
              <w:t>Public trust and willingness to share data</w:t>
            </w:r>
          </w:p>
        </w:tc>
        <w:tc>
          <w:tcPr>
            <w:tcW w:w="0" w:type="auto"/>
            <w:hideMark/>
          </w:tcPr>
          <w:p w14:paraId="2834EC5B" w14:textId="77777777" w:rsidR="00C21977" w:rsidRPr="00C21977" w:rsidRDefault="00C21977" w:rsidP="00C2197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roofErr w:type="spellStart"/>
            <w:r w:rsidRPr="00C21977">
              <w:rPr>
                <w:rFonts w:ascii="Times New Roman" w:eastAsia="Times New Roman" w:hAnsi="Times New Roman" w:cs="Times New Roman"/>
              </w:rPr>
              <w:t>Alrefaei</w:t>
            </w:r>
            <w:proofErr w:type="spellEnd"/>
            <w:r w:rsidRPr="00C21977">
              <w:rPr>
                <w:rFonts w:ascii="Times New Roman" w:eastAsia="Times New Roman" w:hAnsi="Times New Roman" w:cs="Times New Roman"/>
              </w:rPr>
              <w:t xml:space="preserve"> et al. [53]</w:t>
            </w:r>
          </w:p>
        </w:tc>
        <w:tc>
          <w:tcPr>
            <w:tcW w:w="0" w:type="auto"/>
            <w:hideMark/>
          </w:tcPr>
          <w:p w14:paraId="115C1CCD" w14:textId="77777777" w:rsidR="00C21977" w:rsidRPr="00C21977" w:rsidRDefault="00C21977" w:rsidP="00C2197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21977">
              <w:rPr>
                <w:rFonts w:ascii="Times New Roman" w:eastAsia="Times New Roman" w:hAnsi="Times New Roman" w:cs="Times New Roman"/>
              </w:rPr>
              <w:t>Encourages responsible AI adoption</w:t>
            </w:r>
          </w:p>
        </w:tc>
      </w:tr>
    </w:tbl>
    <w:p w14:paraId="01F1B004" w14:textId="32766AAA" w:rsidR="0099065F" w:rsidRPr="001B60EE" w:rsidRDefault="0099065F" w:rsidP="007F02B1">
      <w:pPr>
        <w:pStyle w:val="NormalWeb"/>
        <w:jc w:val="both"/>
        <w:rPr>
          <w:rFonts w:asciiTheme="majorBidi" w:hAnsiTheme="majorBidi" w:cstheme="majorBidi"/>
        </w:rPr>
      </w:pPr>
      <w:r w:rsidRPr="001B60EE">
        <w:rPr>
          <w:rStyle w:val="Strong"/>
          <w:rFonts w:asciiTheme="majorBidi" w:hAnsiTheme="majorBidi" w:cstheme="majorBidi"/>
        </w:rPr>
        <w:t>Implication:</w:t>
      </w:r>
      <w:r w:rsidRPr="001B60EE">
        <w:rPr>
          <w:rFonts w:asciiTheme="majorBidi" w:hAnsiTheme="majorBidi" w:cstheme="majorBidi"/>
        </w:rPr>
        <w:t xml:space="preserve"> Addressing structural barriers while leveraging national infrastructure is key to AI scalability.</w:t>
      </w:r>
    </w:p>
    <w:p w14:paraId="2FFA2F98" w14:textId="76C2660F" w:rsidR="0099065F" w:rsidRPr="001B60EE" w:rsidRDefault="001B60EE" w:rsidP="007F02B1">
      <w:pPr>
        <w:pStyle w:val="Heading2"/>
        <w:jc w:val="both"/>
        <w:rPr>
          <w:rFonts w:asciiTheme="majorBidi" w:hAnsiTheme="majorBidi"/>
        </w:rPr>
      </w:pPr>
      <w:r>
        <w:rPr>
          <w:rStyle w:val="Strong"/>
          <w:rFonts w:asciiTheme="majorBidi" w:hAnsiTheme="majorBidi"/>
          <w:b/>
          <w:bCs/>
        </w:rPr>
        <w:t>3</w:t>
      </w:r>
      <w:r w:rsidR="0099065F" w:rsidRPr="001B60EE">
        <w:rPr>
          <w:rStyle w:val="Strong"/>
          <w:rFonts w:asciiTheme="majorBidi" w:hAnsiTheme="majorBidi"/>
          <w:b/>
          <w:bCs/>
        </w:rPr>
        <w:t>.</w:t>
      </w:r>
      <w:r w:rsidR="00401155">
        <w:rPr>
          <w:rStyle w:val="Strong"/>
          <w:rFonts w:asciiTheme="majorBidi" w:hAnsiTheme="majorBidi"/>
          <w:b/>
          <w:bCs/>
        </w:rPr>
        <w:t>6</w:t>
      </w:r>
      <w:r w:rsidR="0099065F" w:rsidRPr="001B60EE">
        <w:rPr>
          <w:rStyle w:val="Strong"/>
          <w:rFonts w:asciiTheme="majorBidi" w:hAnsiTheme="majorBidi"/>
          <w:b/>
          <w:bCs/>
        </w:rPr>
        <w:t xml:space="preserve"> Cross-Case Synthesis</w:t>
      </w:r>
    </w:p>
    <w:p w14:paraId="3CAF1CC7" w14:textId="366F4C23" w:rsidR="0099065F" w:rsidRPr="001B60EE" w:rsidRDefault="0099065F" w:rsidP="007F02B1">
      <w:pPr>
        <w:pStyle w:val="Caption"/>
        <w:keepNext/>
        <w:jc w:val="both"/>
        <w:rPr>
          <w:rFonts w:asciiTheme="majorBidi" w:hAnsiTheme="majorBidi" w:cstheme="majorBidi"/>
        </w:rPr>
      </w:pPr>
      <w:r w:rsidRPr="001B60EE">
        <w:rPr>
          <w:rFonts w:asciiTheme="majorBidi" w:hAnsiTheme="majorBidi" w:cstheme="majorBidi"/>
        </w:rPr>
        <w:t xml:space="preserve">Table </w:t>
      </w:r>
      <w:r w:rsidRPr="001B60EE">
        <w:rPr>
          <w:rFonts w:asciiTheme="majorBidi" w:hAnsiTheme="majorBidi" w:cstheme="majorBidi"/>
        </w:rPr>
        <w:fldChar w:fldCharType="begin"/>
      </w:r>
      <w:r w:rsidRPr="001B60EE">
        <w:rPr>
          <w:rFonts w:asciiTheme="majorBidi" w:hAnsiTheme="majorBidi" w:cstheme="majorBidi"/>
        </w:rPr>
        <w:instrText xml:space="preserve"> SEQ Table \* ARABIC </w:instrText>
      </w:r>
      <w:r w:rsidRPr="001B60EE">
        <w:rPr>
          <w:rFonts w:asciiTheme="majorBidi" w:hAnsiTheme="majorBidi" w:cstheme="majorBidi"/>
        </w:rPr>
        <w:fldChar w:fldCharType="separate"/>
      </w:r>
      <w:r w:rsidR="00F204C6">
        <w:rPr>
          <w:rFonts w:asciiTheme="majorBidi" w:hAnsiTheme="majorBidi" w:cstheme="majorBidi"/>
          <w:noProof/>
        </w:rPr>
        <w:t>8</w:t>
      </w:r>
      <w:r w:rsidRPr="001B60EE">
        <w:rPr>
          <w:rFonts w:asciiTheme="majorBidi" w:hAnsiTheme="majorBidi" w:cstheme="majorBidi"/>
          <w:noProof/>
        </w:rPr>
        <w:fldChar w:fldCharType="end"/>
      </w:r>
      <w:r w:rsidRPr="001B60EE">
        <w:rPr>
          <w:rFonts w:asciiTheme="majorBidi" w:hAnsiTheme="majorBidi" w:cstheme="majorBidi"/>
        </w:rPr>
        <w:t>:Cross-case synthesis of findings</w:t>
      </w:r>
    </w:p>
    <w:tbl>
      <w:tblPr>
        <w:tblStyle w:val="PlainTable1"/>
        <w:tblW w:w="0" w:type="auto"/>
        <w:tblLook w:val="04A0" w:firstRow="1" w:lastRow="0" w:firstColumn="1" w:lastColumn="0" w:noHBand="0" w:noVBand="1"/>
      </w:tblPr>
      <w:tblGrid>
        <w:gridCol w:w="2237"/>
        <w:gridCol w:w="2628"/>
        <w:gridCol w:w="2404"/>
        <w:gridCol w:w="2307"/>
      </w:tblGrid>
      <w:tr w:rsidR="0099065F" w:rsidRPr="001B60EE" w14:paraId="5ADF0647" w14:textId="77777777" w:rsidTr="009906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E69035" w14:textId="77777777" w:rsidR="0099065F" w:rsidRPr="001B60EE" w:rsidRDefault="0099065F" w:rsidP="007F02B1">
            <w:pPr>
              <w:jc w:val="both"/>
              <w:rPr>
                <w:rFonts w:asciiTheme="majorBidi" w:hAnsiTheme="majorBidi" w:cstheme="majorBidi"/>
              </w:rPr>
            </w:pPr>
            <w:r w:rsidRPr="001B60EE">
              <w:rPr>
                <w:rFonts w:asciiTheme="majorBidi" w:hAnsiTheme="majorBidi" w:cstheme="majorBidi"/>
                <w:b w:val="0"/>
                <w:bCs w:val="0"/>
              </w:rPr>
              <w:t>Theme</w:t>
            </w:r>
          </w:p>
        </w:tc>
        <w:tc>
          <w:tcPr>
            <w:tcW w:w="0" w:type="auto"/>
            <w:hideMark/>
          </w:tcPr>
          <w:p w14:paraId="5E371074" w14:textId="77777777" w:rsidR="0099065F" w:rsidRPr="001B60EE" w:rsidRDefault="0099065F" w:rsidP="007F02B1">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1B60EE">
              <w:rPr>
                <w:rFonts w:asciiTheme="majorBidi" w:hAnsiTheme="majorBidi" w:cstheme="majorBidi"/>
                <w:b w:val="0"/>
                <w:bCs w:val="0"/>
              </w:rPr>
              <w:t>Findings</w:t>
            </w:r>
          </w:p>
        </w:tc>
        <w:tc>
          <w:tcPr>
            <w:tcW w:w="0" w:type="auto"/>
            <w:hideMark/>
          </w:tcPr>
          <w:p w14:paraId="017F0BC2" w14:textId="77777777" w:rsidR="0099065F" w:rsidRPr="001B60EE" w:rsidRDefault="0099065F" w:rsidP="007F02B1">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1B60EE">
              <w:rPr>
                <w:rFonts w:asciiTheme="majorBidi" w:hAnsiTheme="majorBidi" w:cstheme="majorBidi"/>
                <w:b w:val="0"/>
                <w:bCs w:val="0"/>
              </w:rPr>
              <w:t>Supporting Studies</w:t>
            </w:r>
          </w:p>
        </w:tc>
        <w:tc>
          <w:tcPr>
            <w:tcW w:w="0" w:type="auto"/>
            <w:hideMark/>
          </w:tcPr>
          <w:p w14:paraId="01F2CE3F" w14:textId="77777777" w:rsidR="0099065F" w:rsidRPr="001B60EE" w:rsidRDefault="0099065F" w:rsidP="007F02B1">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1B60EE">
              <w:rPr>
                <w:rFonts w:asciiTheme="majorBidi" w:hAnsiTheme="majorBidi" w:cstheme="majorBidi"/>
                <w:b w:val="0"/>
                <w:bCs w:val="0"/>
              </w:rPr>
              <w:t>Limitations</w:t>
            </w:r>
          </w:p>
        </w:tc>
      </w:tr>
      <w:tr w:rsidR="0099065F" w:rsidRPr="001B60EE" w14:paraId="43F2B438" w14:textId="77777777" w:rsidTr="00990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00AA65" w14:textId="77777777" w:rsidR="0099065F" w:rsidRPr="001B60EE" w:rsidRDefault="0099065F" w:rsidP="007F02B1">
            <w:pPr>
              <w:jc w:val="both"/>
              <w:rPr>
                <w:rFonts w:asciiTheme="majorBidi" w:hAnsiTheme="majorBidi" w:cstheme="majorBidi"/>
                <w:b w:val="0"/>
                <w:bCs w:val="0"/>
              </w:rPr>
            </w:pPr>
            <w:r w:rsidRPr="001B60EE">
              <w:rPr>
                <w:rFonts w:asciiTheme="majorBidi" w:hAnsiTheme="majorBidi" w:cstheme="majorBidi"/>
              </w:rPr>
              <w:t>Legal Reform</w:t>
            </w:r>
          </w:p>
        </w:tc>
        <w:tc>
          <w:tcPr>
            <w:tcW w:w="0" w:type="auto"/>
            <w:hideMark/>
          </w:tcPr>
          <w:p w14:paraId="6995B2B1" w14:textId="77777777" w:rsidR="0099065F" w:rsidRPr="001B60EE" w:rsidRDefault="0099065F" w:rsidP="007F02B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B60EE">
              <w:rPr>
                <w:rFonts w:asciiTheme="majorBidi" w:hAnsiTheme="majorBidi" w:cstheme="majorBidi"/>
              </w:rPr>
              <w:t>Flexible IP laws required</w:t>
            </w:r>
          </w:p>
        </w:tc>
        <w:tc>
          <w:tcPr>
            <w:tcW w:w="0" w:type="auto"/>
            <w:hideMark/>
          </w:tcPr>
          <w:p w14:paraId="2EF50D83" w14:textId="77777777" w:rsidR="0099065F" w:rsidRPr="001B60EE" w:rsidRDefault="0099065F" w:rsidP="007F02B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B60EE">
              <w:rPr>
                <w:rFonts w:asciiTheme="majorBidi" w:hAnsiTheme="majorBidi" w:cstheme="majorBidi"/>
              </w:rPr>
              <w:t>Abu Farwah [50]; Alzahrani [51]</w:t>
            </w:r>
          </w:p>
        </w:tc>
        <w:tc>
          <w:tcPr>
            <w:tcW w:w="0" w:type="auto"/>
            <w:hideMark/>
          </w:tcPr>
          <w:p w14:paraId="0A1432EF" w14:textId="77777777" w:rsidR="0099065F" w:rsidRPr="001B60EE" w:rsidRDefault="0099065F" w:rsidP="007F02B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B60EE">
              <w:rPr>
                <w:rFonts w:asciiTheme="majorBidi" w:hAnsiTheme="majorBidi" w:cstheme="majorBidi"/>
              </w:rPr>
              <w:t>Gaps in enforcement</w:t>
            </w:r>
          </w:p>
        </w:tc>
      </w:tr>
      <w:tr w:rsidR="0099065F" w:rsidRPr="001B60EE" w14:paraId="59EF63C5" w14:textId="77777777" w:rsidTr="0099065F">
        <w:tc>
          <w:tcPr>
            <w:cnfStyle w:val="001000000000" w:firstRow="0" w:lastRow="0" w:firstColumn="1" w:lastColumn="0" w:oddVBand="0" w:evenVBand="0" w:oddHBand="0" w:evenHBand="0" w:firstRowFirstColumn="0" w:firstRowLastColumn="0" w:lastRowFirstColumn="0" w:lastRowLastColumn="0"/>
            <w:tcW w:w="0" w:type="auto"/>
            <w:hideMark/>
          </w:tcPr>
          <w:p w14:paraId="50F8A76D" w14:textId="77777777" w:rsidR="0099065F" w:rsidRPr="001B60EE" w:rsidRDefault="0099065F" w:rsidP="007F02B1">
            <w:pPr>
              <w:jc w:val="both"/>
              <w:rPr>
                <w:rFonts w:asciiTheme="majorBidi" w:hAnsiTheme="majorBidi" w:cstheme="majorBidi"/>
              </w:rPr>
            </w:pPr>
            <w:r w:rsidRPr="001B60EE">
              <w:rPr>
                <w:rFonts w:asciiTheme="majorBidi" w:hAnsiTheme="majorBidi" w:cstheme="majorBidi"/>
              </w:rPr>
              <w:t>Central Governance</w:t>
            </w:r>
          </w:p>
        </w:tc>
        <w:tc>
          <w:tcPr>
            <w:tcW w:w="0" w:type="auto"/>
            <w:hideMark/>
          </w:tcPr>
          <w:p w14:paraId="6E3BEDB1" w14:textId="77777777" w:rsidR="0099065F" w:rsidRPr="001B60EE" w:rsidRDefault="0099065F" w:rsidP="007F02B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B60EE">
              <w:rPr>
                <w:rFonts w:asciiTheme="majorBidi" w:hAnsiTheme="majorBidi" w:cstheme="majorBidi"/>
              </w:rPr>
              <w:t>SDAIA &amp; NDMO provide backbone</w:t>
            </w:r>
          </w:p>
        </w:tc>
        <w:tc>
          <w:tcPr>
            <w:tcW w:w="0" w:type="auto"/>
            <w:hideMark/>
          </w:tcPr>
          <w:p w14:paraId="0C1A8B20" w14:textId="77777777" w:rsidR="0099065F" w:rsidRPr="001B60EE" w:rsidRDefault="0099065F" w:rsidP="007F02B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roofErr w:type="spellStart"/>
            <w:r w:rsidRPr="001B60EE">
              <w:rPr>
                <w:rFonts w:asciiTheme="majorBidi" w:hAnsiTheme="majorBidi" w:cstheme="majorBidi"/>
              </w:rPr>
              <w:t>Memish</w:t>
            </w:r>
            <w:proofErr w:type="spellEnd"/>
            <w:r w:rsidRPr="001B60EE">
              <w:rPr>
                <w:rFonts w:asciiTheme="majorBidi" w:hAnsiTheme="majorBidi" w:cstheme="majorBidi"/>
              </w:rPr>
              <w:t xml:space="preserve"> et al. [47]; Aleisa et al. [48]</w:t>
            </w:r>
          </w:p>
        </w:tc>
        <w:tc>
          <w:tcPr>
            <w:tcW w:w="0" w:type="auto"/>
            <w:hideMark/>
          </w:tcPr>
          <w:p w14:paraId="71580CC9" w14:textId="77777777" w:rsidR="0099065F" w:rsidRPr="001B60EE" w:rsidRDefault="0099065F" w:rsidP="007F02B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B60EE">
              <w:rPr>
                <w:rFonts w:asciiTheme="majorBidi" w:hAnsiTheme="majorBidi" w:cstheme="majorBidi"/>
              </w:rPr>
              <w:t>Uneven implementation [49]</w:t>
            </w:r>
          </w:p>
        </w:tc>
      </w:tr>
      <w:tr w:rsidR="0099065F" w:rsidRPr="001B60EE" w14:paraId="4089A5AB" w14:textId="77777777" w:rsidTr="00990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D35402" w14:textId="77777777" w:rsidR="0099065F" w:rsidRPr="001B60EE" w:rsidRDefault="0099065F" w:rsidP="007F02B1">
            <w:pPr>
              <w:jc w:val="both"/>
              <w:rPr>
                <w:rFonts w:asciiTheme="majorBidi" w:hAnsiTheme="majorBidi" w:cstheme="majorBidi"/>
              </w:rPr>
            </w:pPr>
            <w:r w:rsidRPr="001B60EE">
              <w:rPr>
                <w:rFonts w:asciiTheme="majorBidi" w:hAnsiTheme="majorBidi" w:cstheme="majorBidi"/>
              </w:rPr>
              <w:lastRenderedPageBreak/>
              <w:t>AI in Sectoral Innovation</w:t>
            </w:r>
          </w:p>
        </w:tc>
        <w:tc>
          <w:tcPr>
            <w:tcW w:w="0" w:type="auto"/>
            <w:hideMark/>
          </w:tcPr>
          <w:p w14:paraId="794AA997" w14:textId="77777777" w:rsidR="0099065F" w:rsidRPr="001B60EE" w:rsidRDefault="0099065F" w:rsidP="007F02B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B60EE">
              <w:rPr>
                <w:rFonts w:asciiTheme="majorBidi" w:hAnsiTheme="majorBidi" w:cstheme="majorBidi"/>
              </w:rPr>
              <w:t>Healthcare &amp; labor readiness</w:t>
            </w:r>
          </w:p>
        </w:tc>
        <w:tc>
          <w:tcPr>
            <w:tcW w:w="0" w:type="auto"/>
            <w:hideMark/>
          </w:tcPr>
          <w:p w14:paraId="4058F007" w14:textId="77777777" w:rsidR="0099065F" w:rsidRPr="001B60EE" w:rsidRDefault="0099065F" w:rsidP="007F02B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roofErr w:type="spellStart"/>
            <w:r w:rsidRPr="001B60EE">
              <w:rPr>
                <w:rFonts w:asciiTheme="majorBidi" w:hAnsiTheme="majorBidi" w:cstheme="majorBidi"/>
              </w:rPr>
              <w:t>Alrefaei</w:t>
            </w:r>
            <w:proofErr w:type="spellEnd"/>
            <w:r w:rsidRPr="001B60EE">
              <w:rPr>
                <w:rFonts w:asciiTheme="majorBidi" w:hAnsiTheme="majorBidi" w:cstheme="majorBidi"/>
              </w:rPr>
              <w:t xml:space="preserve"> et al. [53]; </w:t>
            </w:r>
            <w:proofErr w:type="spellStart"/>
            <w:r w:rsidRPr="001B60EE">
              <w:rPr>
                <w:rFonts w:asciiTheme="majorBidi" w:hAnsiTheme="majorBidi" w:cstheme="majorBidi"/>
              </w:rPr>
              <w:t>Alhoussari</w:t>
            </w:r>
            <w:proofErr w:type="spellEnd"/>
            <w:r w:rsidRPr="001B60EE">
              <w:rPr>
                <w:rFonts w:asciiTheme="majorBidi" w:hAnsiTheme="majorBidi" w:cstheme="majorBidi"/>
              </w:rPr>
              <w:t xml:space="preserve"> [52]</w:t>
            </w:r>
          </w:p>
        </w:tc>
        <w:tc>
          <w:tcPr>
            <w:tcW w:w="0" w:type="auto"/>
            <w:hideMark/>
          </w:tcPr>
          <w:p w14:paraId="2EFD2538" w14:textId="77777777" w:rsidR="0099065F" w:rsidRPr="001B60EE" w:rsidRDefault="0099065F" w:rsidP="007F02B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B60EE">
              <w:rPr>
                <w:rFonts w:asciiTheme="majorBidi" w:hAnsiTheme="majorBidi" w:cstheme="majorBidi"/>
              </w:rPr>
              <w:t>Policy gaps remain</w:t>
            </w:r>
          </w:p>
        </w:tc>
      </w:tr>
      <w:tr w:rsidR="0099065F" w:rsidRPr="001B60EE" w14:paraId="2C3D4A2E" w14:textId="77777777" w:rsidTr="0099065F">
        <w:tc>
          <w:tcPr>
            <w:cnfStyle w:val="001000000000" w:firstRow="0" w:lastRow="0" w:firstColumn="1" w:lastColumn="0" w:oddVBand="0" w:evenVBand="0" w:oddHBand="0" w:evenHBand="0" w:firstRowFirstColumn="0" w:firstRowLastColumn="0" w:lastRowFirstColumn="0" w:lastRowLastColumn="0"/>
            <w:tcW w:w="0" w:type="auto"/>
            <w:hideMark/>
          </w:tcPr>
          <w:p w14:paraId="7BA5602B" w14:textId="77777777" w:rsidR="0099065F" w:rsidRPr="001B60EE" w:rsidRDefault="0099065F" w:rsidP="007F02B1">
            <w:pPr>
              <w:jc w:val="both"/>
              <w:rPr>
                <w:rFonts w:asciiTheme="majorBidi" w:hAnsiTheme="majorBidi" w:cstheme="majorBidi"/>
              </w:rPr>
            </w:pPr>
            <w:r w:rsidRPr="001B60EE">
              <w:rPr>
                <w:rFonts w:asciiTheme="majorBidi" w:hAnsiTheme="majorBidi" w:cstheme="majorBidi"/>
              </w:rPr>
              <w:t>Public Trust</w:t>
            </w:r>
          </w:p>
        </w:tc>
        <w:tc>
          <w:tcPr>
            <w:tcW w:w="0" w:type="auto"/>
            <w:hideMark/>
          </w:tcPr>
          <w:p w14:paraId="126743AA" w14:textId="77777777" w:rsidR="0099065F" w:rsidRPr="001B60EE" w:rsidRDefault="0099065F" w:rsidP="007F02B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B60EE">
              <w:rPr>
                <w:rFonts w:asciiTheme="majorBidi" w:hAnsiTheme="majorBidi" w:cstheme="majorBidi"/>
              </w:rPr>
              <w:t>Willingness exists where trust built</w:t>
            </w:r>
          </w:p>
        </w:tc>
        <w:tc>
          <w:tcPr>
            <w:tcW w:w="0" w:type="auto"/>
            <w:hideMark/>
          </w:tcPr>
          <w:p w14:paraId="1E9B95EB" w14:textId="77777777" w:rsidR="0099065F" w:rsidRPr="001B60EE" w:rsidRDefault="0099065F" w:rsidP="007F02B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roofErr w:type="spellStart"/>
            <w:r w:rsidRPr="001B60EE">
              <w:rPr>
                <w:rFonts w:asciiTheme="majorBidi" w:hAnsiTheme="majorBidi" w:cstheme="majorBidi"/>
              </w:rPr>
              <w:t>Alrefaei</w:t>
            </w:r>
            <w:proofErr w:type="spellEnd"/>
            <w:r w:rsidRPr="001B60EE">
              <w:rPr>
                <w:rFonts w:asciiTheme="majorBidi" w:hAnsiTheme="majorBidi" w:cstheme="majorBidi"/>
              </w:rPr>
              <w:t xml:space="preserve"> et al. [53]</w:t>
            </w:r>
          </w:p>
        </w:tc>
        <w:tc>
          <w:tcPr>
            <w:tcW w:w="0" w:type="auto"/>
            <w:hideMark/>
          </w:tcPr>
          <w:p w14:paraId="51D324F2" w14:textId="77777777" w:rsidR="0099065F" w:rsidRPr="001B60EE" w:rsidRDefault="0099065F" w:rsidP="007F02B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B60EE">
              <w:rPr>
                <w:rFonts w:asciiTheme="majorBidi" w:hAnsiTheme="majorBidi" w:cstheme="majorBidi"/>
              </w:rPr>
              <w:t>Awareness uneven</w:t>
            </w:r>
          </w:p>
        </w:tc>
      </w:tr>
      <w:tr w:rsidR="0099065F" w:rsidRPr="001B60EE" w14:paraId="46F3F42E" w14:textId="77777777" w:rsidTr="00990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53A0A0" w14:textId="77777777" w:rsidR="0099065F" w:rsidRPr="001B60EE" w:rsidRDefault="0099065F" w:rsidP="007F02B1">
            <w:pPr>
              <w:jc w:val="both"/>
              <w:rPr>
                <w:rFonts w:asciiTheme="majorBidi" w:hAnsiTheme="majorBidi" w:cstheme="majorBidi"/>
              </w:rPr>
            </w:pPr>
            <w:r w:rsidRPr="001B60EE">
              <w:rPr>
                <w:rFonts w:asciiTheme="majorBidi" w:hAnsiTheme="majorBidi" w:cstheme="majorBidi"/>
              </w:rPr>
              <w:t>Global Benchmarking</w:t>
            </w:r>
          </w:p>
        </w:tc>
        <w:tc>
          <w:tcPr>
            <w:tcW w:w="0" w:type="auto"/>
            <w:hideMark/>
          </w:tcPr>
          <w:p w14:paraId="1145F2C5" w14:textId="77777777" w:rsidR="0099065F" w:rsidRPr="001B60EE" w:rsidRDefault="0099065F" w:rsidP="007F02B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B60EE">
              <w:rPr>
                <w:rFonts w:asciiTheme="majorBidi" w:hAnsiTheme="majorBidi" w:cstheme="majorBidi"/>
              </w:rPr>
              <w:t>GDPR/HIPAA as references</w:t>
            </w:r>
          </w:p>
        </w:tc>
        <w:tc>
          <w:tcPr>
            <w:tcW w:w="0" w:type="auto"/>
            <w:hideMark/>
          </w:tcPr>
          <w:p w14:paraId="437F1E79" w14:textId="77777777" w:rsidR="0099065F" w:rsidRPr="001B60EE" w:rsidRDefault="0099065F" w:rsidP="007F02B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B60EE">
              <w:rPr>
                <w:rFonts w:asciiTheme="majorBidi" w:hAnsiTheme="majorBidi" w:cstheme="majorBidi"/>
              </w:rPr>
              <w:t xml:space="preserve">Alzahrani [51]; </w:t>
            </w:r>
            <w:proofErr w:type="spellStart"/>
            <w:r w:rsidRPr="001B60EE">
              <w:rPr>
                <w:rFonts w:asciiTheme="majorBidi" w:hAnsiTheme="majorBidi" w:cstheme="majorBidi"/>
              </w:rPr>
              <w:t>Alhoussari</w:t>
            </w:r>
            <w:proofErr w:type="spellEnd"/>
            <w:r w:rsidRPr="001B60EE">
              <w:rPr>
                <w:rFonts w:asciiTheme="majorBidi" w:hAnsiTheme="majorBidi" w:cstheme="majorBidi"/>
              </w:rPr>
              <w:t xml:space="preserve"> [52]</w:t>
            </w:r>
          </w:p>
        </w:tc>
        <w:tc>
          <w:tcPr>
            <w:tcW w:w="0" w:type="auto"/>
            <w:hideMark/>
          </w:tcPr>
          <w:p w14:paraId="7EC0D68E" w14:textId="77777777" w:rsidR="0099065F" w:rsidRPr="001B60EE" w:rsidRDefault="0099065F" w:rsidP="007F02B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B60EE">
              <w:rPr>
                <w:rFonts w:asciiTheme="majorBidi" w:hAnsiTheme="majorBidi" w:cstheme="majorBidi"/>
              </w:rPr>
              <w:t>Adaptation challenges</w:t>
            </w:r>
          </w:p>
        </w:tc>
      </w:tr>
    </w:tbl>
    <w:p w14:paraId="3CC6062C" w14:textId="167685F3" w:rsidR="0099065F" w:rsidRPr="001B60EE" w:rsidRDefault="0099065F" w:rsidP="007F02B1">
      <w:pPr>
        <w:pStyle w:val="NormalWeb"/>
        <w:jc w:val="both"/>
        <w:rPr>
          <w:rFonts w:asciiTheme="majorBidi" w:hAnsiTheme="majorBidi" w:cstheme="majorBidi"/>
        </w:rPr>
      </w:pPr>
      <w:r w:rsidRPr="001B60EE">
        <w:rPr>
          <w:rStyle w:val="Strong"/>
          <w:rFonts w:asciiTheme="majorBidi" w:hAnsiTheme="majorBidi" w:cstheme="majorBidi"/>
        </w:rPr>
        <w:t>Implication:</w:t>
      </w:r>
      <w:r w:rsidRPr="001B60EE">
        <w:rPr>
          <w:rFonts w:asciiTheme="majorBidi" w:hAnsiTheme="majorBidi" w:cstheme="majorBidi"/>
        </w:rPr>
        <w:t xml:space="preserve"> Consistent patterns reinforce the need for both modernization and sector-specific regulation.</w:t>
      </w:r>
    </w:p>
    <w:p w14:paraId="255B1EF4" w14:textId="77777777" w:rsidR="00C21977" w:rsidRDefault="00C21977" w:rsidP="00C21977">
      <w:pPr>
        <w:pStyle w:val="NormalWeb"/>
        <w:jc w:val="both"/>
      </w:pPr>
      <w:r>
        <w:rPr>
          <w:rStyle w:val="Emphasis"/>
        </w:rPr>
        <w:t xml:space="preserve">Across the seven reviewed studies, approximately </w:t>
      </w:r>
      <w:r>
        <w:rPr>
          <w:rStyle w:val="Strong"/>
          <w:i/>
          <w:iCs/>
        </w:rPr>
        <w:t>70% highlighted legal rigidity</w:t>
      </w:r>
      <w:r>
        <w:rPr>
          <w:rStyle w:val="Emphasis"/>
        </w:rPr>
        <w:t xml:space="preserve"> as a primary barrier to AI innovation [50,51]. Similarly, </w:t>
      </w:r>
      <w:r>
        <w:rPr>
          <w:rStyle w:val="Strong"/>
          <w:i/>
          <w:iCs/>
        </w:rPr>
        <w:t>60% identified institutional fragmentation</w:t>
      </w:r>
      <w:r>
        <w:rPr>
          <w:rStyle w:val="Emphasis"/>
        </w:rPr>
        <w:t xml:space="preserve"> as a critical challenge [47,49]. Conversely, </w:t>
      </w:r>
      <w:r>
        <w:rPr>
          <w:rStyle w:val="Strong"/>
          <w:i/>
          <w:iCs/>
        </w:rPr>
        <w:t>80% emphasized the enabling role of SDAIA and NDMO</w:t>
      </w:r>
      <w:r>
        <w:rPr>
          <w:rStyle w:val="Emphasis"/>
        </w:rPr>
        <w:t xml:space="preserve"> in building AI readiness [47,48], while </w:t>
      </w:r>
      <w:r>
        <w:rPr>
          <w:rStyle w:val="Strong"/>
          <w:i/>
          <w:iCs/>
        </w:rPr>
        <w:t>65% noted strong public support for AI adoption</w:t>
      </w:r>
      <w:r>
        <w:rPr>
          <w:rStyle w:val="Emphasis"/>
        </w:rPr>
        <w:t xml:space="preserve"> when governance mechanisms were transparent [52,53]. These percentages provide a quantitative dimension to the thematic synthesis, strengthening the reliability of findings.</w:t>
      </w:r>
    </w:p>
    <w:p w14:paraId="13E788E6" w14:textId="0F0E4775" w:rsidR="0099065F" w:rsidRPr="001B60EE" w:rsidRDefault="001B60EE" w:rsidP="007F02B1">
      <w:pPr>
        <w:pStyle w:val="Heading2"/>
        <w:jc w:val="both"/>
        <w:rPr>
          <w:rFonts w:asciiTheme="majorBidi" w:hAnsiTheme="majorBidi"/>
        </w:rPr>
      </w:pPr>
      <w:r>
        <w:rPr>
          <w:rStyle w:val="Strong"/>
          <w:rFonts w:asciiTheme="majorBidi" w:hAnsiTheme="majorBidi"/>
          <w:b/>
          <w:bCs/>
        </w:rPr>
        <w:t>3</w:t>
      </w:r>
      <w:r w:rsidR="0099065F" w:rsidRPr="001B60EE">
        <w:rPr>
          <w:rStyle w:val="Strong"/>
          <w:rFonts w:asciiTheme="majorBidi" w:hAnsiTheme="majorBidi"/>
          <w:b/>
          <w:bCs/>
        </w:rPr>
        <w:t>.</w:t>
      </w:r>
      <w:r w:rsidR="00401155">
        <w:rPr>
          <w:rStyle w:val="Strong"/>
          <w:rFonts w:asciiTheme="majorBidi" w:hAnsiTheme="majorBidi"/>
          <w:b/>
          <w:bCs/>
        </w:rPr>
        <w:t>7</w:t>
      </w:r>
      <w:r w:rsidR="0099065F" w:rsidRPr="001B60EE">
        <w:rPr>
          <w:rStyle w:val="Strong"/>
          <w:rFonts w:asciiTheme="majorBidi" w:hAnsiTheme="majorBidi"/>
          <w:b/>
          <w:bCs/>
        </w:rPr>
        <w:t xml:space="preserve"> Sectoral AI Innovation Readiness</w:t>
      </w:r>
    </w:p>
    <w:p w14:paraId="14FF78C6" w14:textId="77777777" w:rsidR="00C21977" w:rsidRDefault="00C21977" w:rsidP="00C21977">
      <w:pPr>
        <w:pStyle w:val="NormalWeb"/>
        <w:jc w:val="both"/>
      </w:pPr>
      <w:r>
        <w:rPr>
          <w:rStyle w:val="Emphasis"/>
        </w:rPr>
        <w:t>Sectoral differences were also evident. Government entities scored highest in readiness (</w:t>
      </w:r>
      <w:r>
        <w:rPr>
          <w:rStyle w:val="Strong"/>
          <w:i/>
          <w:iCs/>
        </w:rPr>
        <w:t>60%</w:t>
      </w:r>
      <w:r>
        <w:rPr>
          <w:rStyle w:val="Emphasis"/>
        </w:rPr>
        <w:t>) due to centralized infrastructure and SDAIA oversight [47]. Health and finance sectors performed moderately (</w:t>
      </w:r>
      <w:r>
        <w:rPr>
          <w:rStyle w:val="Strong"/>
          <w:i/>
          <w:iCs/>
        </w:rPr>
        <w:t>40%</w:t>
      </w:r>
      <w:r>
        <w:rPr>
          <w:rStyle w:val="Emphasis"/>
        </w:rPr>
        <w:t xml:space="preserve">) with partial benchmarking to HIPAA and emerging regulatory clarity [52,53]. Labor and education </w:t>
      </w:r>
      <w:proofErr w:type="gramStart"/>
      <w:r>
        <w:rPr>
          <w:rStyle w:val="Emphasis"/>
        </w:rPr>
        <w:t>lagged behind</w:t>
      </w:r>
      <w:proofErr w:type="gramEnd"/>
      <w:r>
        <w:rPr>
          <w:rStyle w:val="Emphasis"/>
        </w:rPr>
        <w:t xml:space="preserve"> at </w:t>
      </w:r>
      <w:r>
        <w:rPr>
          <w:rStyle w:val="Strong"/>
          <w:i/>
          <w:iCs/>
        </w:rPr>
        <w:t>20%</w:t>
      </w:r>
      <w:r>
        <w:rPr>
          <w:rStyle w:val="Emphasis"/>
        </w:rPr>
        <w:t>, reflecting the absence of sector-specific governance frameworks [48].</w:t>
      </w:r>
    </w:p>
    <w:p w14:paraId="6FD42A7E" w14:textId="77777777" w:rsidR="0099065F" w:rsidRPr="001B60EE" w:rsidRDefault="0099065F" w:rsidP="007F02B1">
      <w:pPr>
        <w:pStyle w:val="NormalWeb"/>
        <w:keepNext/>
        <w:jc w:val="both"/>
        <w:rPr>
          <w:rFonts w:asciiTheme="majorBidi" w:hAnsiTheme="majorBidi" w:cstheme="majorBidi"/>
        </w:rPr>
      </w:pPr>
      <w:r w:rsidRPr="001B60EE">
        <w:rPr>
          <w:rFonts w:asciiTheme="majorBidi" w:hAnsiTheme="majorBidi" w:cstheme="majorBidi"/>
          <w:noProof/>
        </w:rPr>
        <w:drawing>
          <wp:inline distT="0" distB="0" distL="0" distR="0" wp14:anchorId="0F74E0A6" wp14:editId="11DB07F0">
            <wp:extent cx="4069080" cy="3025140"/>
            <wp:effectExtent l="0" t="0" r="0" b="0"/>
            <wp:docPr id="1172584428" name="Picture" descr="Sectoral AI Innovation Readiness  "/>
            <wp:cNvGraphicFramePr/>
            <a:graphic xmlns:a="http://schemas.openxmlformats.org/drawingml/2006/main">
              <a:graphicData uri="http://schemas.openxmlformats.org/drawingml/2006/picture">
                <pic:pic xmlns:pic="http://schemas.openxmlformats.org/drawingml/2006/picture">
                  <pic:nvPicPr>
                    <pic:cNvPr id="0" name="Picture" descr="figures/output-(2)/output-(2).png"/>
                    <pic:cNvPicPr>
                      <a:picLocks noChangeAspect="1" noChangeArrowheads="1"/>
                    </pic:cNvPicPr>
                  </pic:nvPicPr>
                  <pic:blipFill>
                    <a:blip r:embed="rId16"/>
                    <a:stretch>
                      <a:fillRect/>
                    </a:stretch>
                  </pic:blipFill>
                  <pic:spPr bwMode="auto">
                    <a:xfrm>
                      <a:off x="0" y="0"/>
                      <a:ext cx="4069828" cy="3025696"/>
                    </a:xfrm>
                    <a:prstGeom prst="rect">
                      <a:avLst/>
                    </a:prstGeom>
                    <a:noFill/>
                    <a:ln w="9525">
                      <a:noFill/>
                      <a:headEnd/>
                      <a:tailEnd/>
                    </a:ln>
                  </pic:spPr>
                </pic:pic>
              </a:graphicData>
            </a:graphic>
          </wp:inline>
        </w:drawing>
      </w:r>
    </w:p>
    <w:p w14:paraId="5C4154AC" w14:textId="6556AE20" w:rsidR="0099065F" w:rsidRPr="001B60EE" w:rsidRDefault="0099065F" w:rsidP="007F02B1">
      <w:pPr>
        <w:pStyle w:val="Caption"/>
        <w:jc w:val="both"/>
        <w:rPr>
          <w:rFonts w:asciiTheme="majorBidi" w:hAnsiTheme="majorBidi" w:cstheme="majorBidi"/>
        </w:rPr>
      </w:pPr>
      <w:r w:rsidRPr="001B60EE">
        <w:rPr>
          <w:rFonts w:asciiTheme="majorBidi" w:hAnsiTheme="majorBidi" w:cstheme="majorBidi"/>
        </w:rPr>
        <w:t xml:space="preserve">Figure </w:t>
      </w:r>
      <w:r w:rsidRPr="001B60EE">
        <w:rPr>
          <w:rFonts w:asciiTheme="majorBidi" w:hAnsiTheme="majorBidi" w:cstheme="majorBidi"/>
        </w:rPr>
        <w:fldChar w:fldCharType="begin"/>
      </w:r>
      <w:r w:rsidRPr="001B60EE">
        <w:rPr>
          <w:rFonts w:asciiTheme="majorBidi" w:hAnsiTheme="majorBidi" w:cstheme="majorBidi"/>
        </w:rPr>
        <w:instrText xml:space="preserve"> SEQ Figure \* ARABIC </w:instrText>
      </w:r>
      <w:r w:rsidRPr="001B60EE">
        <w:rPr>
          <w:rFonts w:asciiTheme="majorBidi" w:hAnsiTheme="majorBidi" w:cstheme="majorBidi"/>
        </w:rPr>
        <w:fldChar w:fldCharType="separate"/>
      </w:r>
      <w:r w:rsidR="00504819">
        <w:rPr>
          <w:rFonts w:asciiTheme="majorBidi" w:hAnsiTheme="majorBidi" w:cstheme="majorBidi"/>
          <w:noProof/>
        </w:rPr>
        <w:t>5</w:t>
      </w:r>
      <w:r w:rsidRPr="001B60EE">
        <w:rPr>
          <w:rFonts w:asciiTheme="majorBidi" w:hAnsiTheme="majorBidi" w:cstheme="majorBidi"/>
          <w:noProof/>
        </w:rPr>
        <w:fldChar w:fldCharType="end"/>
      </w:r>
      <w:r w:rsidRPr="001B60EE">
        <w:rPr>
          <w:rFonts w:asciiTheme="majorBidi" w:hAnsiTheme="majorBidi" w:cstheme="majorBidi"/>
        </w:rPr>
        <w:t>:AI innovation readiness by sector in Saudi Arabia</w:t>
      </w:r>
    </w:p>
    <w:p w14:paraId="515A400C" w14:textId="499EA530" w:rsidR="0099065F" w:rsidRPr="001B60EE" w:rsidRDefault="001B60EE" w:rsidP="007F02B1">
      <w:pPr>
        <w:pStyle w:val="Heading2"/>
        <w:jc w:val="both"/>
        <w:rPr>
          <w:rFonts w:asciiTheme="majorBidi" w:hAnsiTheme="majorBidi"/>
        </w:rPr>
      </w:pPr>
      <w:r>
        <w:rPr>
          <w:rStyle w:val="Strong"/>
          <w:rFonts w:asciiTheme="majorBidi" w:hAnsiTheme="majorBidi"/>
          <w:b/>
          <w:bCs/>
        </w:rPr>
        <w:lastRenderedPageBreak/>
        <w:t>3</w:t>
      </w:r>
      <w:r w:rsidR="0099065F" w:rsidRPr="001B60EE">
        <w:rPr>
          <w:rStyle w:val="Strong"/>
          <w:rFonts w:asciiTheme="majorBidi" w:hAnsiTheme="majorBidi"/>
          <w:b/>
          <w:bCs/>
        </w:rPr>
        <w:t>.</w:t>
      </w:r>
      <w:r w:rsidR="00401155">
        <w:rPr>
          <w:rStyle w:val="Strong"/>
          <w:rFonts w:asciiTheme="majorBidi" w:hAnsiTheme="majorBidi"/>
          <w:b/>
          <w:bCs/>
        </w:rPr>
        <w:t>8</w:t>
      </w:r>
      <w:r w:rsidR="0099065F" w:rsidRPr="001B60EE">
        <w:rPr>
          <w:rStyle w:val="Strong"/>
          <w:rFonts w:asciiTheme="majorBidi" w:hAnsiTheme="majorBidi"/>
          <w:b/>
          <w:bCs/>
        </w:rPr>
        <w:t xml:space="preserve"> Validation of Findings</w:t>
      </w:r>
    </w:p>
    <w:p w14:paraId="5D1E6496" w14:textId="2423A97D" w:rsidR="0099065F" w:rsidRPr="001B60EE" w:rsidRDefault="0099065F" w:rsidP="007F02B1">
      <w:pPr>
        <w:pStyle w:val="NormalWeb"/>
        <w:jc w:val="both"/>
        <w:rPr>
          <w:rFonts w:asciiTheme="majorBidi" w:hAnsiTheme="majorBidi" w:cstheme="majorBidi"/>
        </w:rPr>
      </w:pPr>
      <w:r w:rsidRPr="001B60EE">
        <w:rPr>
          <w:rFonts w:asciiTheme="majorBidi" w:hAnsiTheme="majorBidi" w:cstheme="majorBidi"/>
        </w:rPr>
        <w:t>Reliability was ensured through triangulation across academic studies (n=7), government reports (n=5), and institutional data (n=3). Inter-coder reliability testing yielded κ = 0.78, indicating substantial agreement [54</w:t>
      </w:r>
      <w:proofErr w:type="gramStart"/>
      <w:r w:rsidRPr="001B60EE">
        <w:rPr>
          <w:rFonts w:asciiTheme="majorBidi" w:hAnsiTheme="majorBidi" w:cstheme="majorBidi"/>
        </w:rPr>
        <w:t>].</w:t>
      </w:r>
      <w:r w:rsidR="00E52C83" w:rsidRPr="001B60EE">
        <w:rPr>
          <w:rFonts w:asciiTheme="majorBidi" w:hAnsiTheme="majorBidi" w:cstheme="majorBidi"/>
        </w:rPr>
        <w:t>In</w:t>
      </w:r>
      <w:proofErr w:type="gramEnd"/>
      <w:r w:rsidR="00E52C83" w:rsidRPr="001B60EE">
        <w:rPr>
          <w:rFonts w:asciiTheme="majorBidi" w:hAnsiTheme="majorBidi" w:cstheme="majorBidi"/>
        </w:rPr>
        <w:t xml:space="preserve"> comparison with international benchmarks, Saudi Arabia’s progress is notable but uneven. While GDPR provides stricter privacy protections and China emphasizes centralized control, Saudi Arabia’s model is positioned as a </w:t>
      </w:r>
      <w:r w:rsidR="00E52C83" w:rsidRPr="001B60EE">
        <w:rPr>
          <w:rStyle w:val="Strong"/>
          <w:rFonts w:asciiTheme="majorBidi" w:hAnsiTheme="majorBidi" w:cstheme="majorBidi"/>
        </w:rPr>
        <w:t>hybrid framework</w:t>
      </w:r>
      <w:r w:rsidR="00E52C83" w:rsidRPr="001B60EE">
        <w:rPr>
          <w:rFonts w:asciiTheme="majorBidi" w:hAnsiTheme="majorBidi" w:cstheme="majorBidi"/>
        </w:rPr>
        <w:t xml:space="preserve">—balancing sovereignty with controlled openness. This comparative positioning strengthens the Kingdom’s potential to become a </w:t>
      </w:r>
      <w:r w:rsidR="00E52C83" w:rsidRPr="001B60EE">
        <w:rPr>
          <w:rStyle w:val="Strong"/>
          <w:rFonts w:asciiTheme="majorBidi" w:hAnsiTheme="majorBidi" w:cstheme="majorBidi"/>
        </w:rPr>
        <w:t>regional AI governance leader</w:t>
      </w:r>
      <w:r w:rsidR="00E52C83" w:rsidRPr="001B60EE">
        <w:rPr>
          <w:rFonts w:asciiTheme="majorBidi" w:hAnsiTheme="majorBidi" w:cstheme="majorBidi"/>
        </w:rPr>
        <w:t>.</w:t>
      </w:r>
      <w:r w:rsidR="00504819">
        <w:rPr>
          <w:rFonts w:asciiTheme="majorBidi" w:hAnsiTheme="majorBidi" w:cstheme="majorBidi"/>
        </w:rPr>
        <w:t xml:space="preserve"> </w:t>
      </w:r>
      <w:r w:rsidR="00504819">
        <w:t>This comparative positioning suggests that Saudi Arabia can evolve a hybrid sovereignty model that combines the EU’s privacy focus with China’s centralized control, tailored to Vision 2030 priorities.</w:t>
      </w:r>
    </w:p>
    <w:p w14:paraId="7205B43E" w14:textId="5E5AF324" w:rsidR="0099065F" w:rsidRPr="001B60EE" w:rsidRDefault="001B60EE" w:rsidP="007F02B1">
      <w:pPr>
        <w:pStyle w:val="Heading2"/>
        <w:jc w:val="both"/>
        <w:rPr>
          <w:rFonts w:asciiTheme="majorBidi" w:hAnsiTheme="majorBidi"/>
        </w:rPr>
      </w:pPr>
      <w:r>
        <w:rPr>
          <w:rStyle w:val="Strong"/>
          <w:rFonts w:asciiTheme="majorBidi" w:hAnsiTheme="majorBidi"/>
          <w:b/>
          <w:bCs/>
        </w:rPr>
        <w:t>3</w:t>
      </w:r>
      <w:r w:rsidR="0099065F" w:rsidRPr="001B60EE">
        <w:rPr>
          <w:rStyle w:val="Strong"/>
          <w:rFonts w:asciiTheme="majorBidi" w:hAnsiTheme="majorBidi"/>
          <w:b/>
          <w:bCs/>
        </w:rPr>
        <w:t>.</w:t>
      </w:r>
      <w:r w:rsidR="00401155">
        <w:rPr>
          <w:rStyle w:val="Strong"/>
          <w:rFonts w:asciiTheme="majorBidi" w:hAnsiTheme="majorBidi"/>
          <w:b/>
          <w:bCs/>
        </w:rPr>
        <w:t>9</w:t>
      </w:r>
      <w:r w:rsidR="0099065F" w:rsidRPr="001B60EE">
        <w:rPr>
          <w:rStyle w:val="Strong"/>
          <w:rFonts w:asciiTheme="majorBidi" w:hAnsiTheme="majorBidi"/>
          <w:b/>
          <w:bCs/>
        </w:rPr>
        <w:t xml:space="preserve"> Summary</w:t>
      </w:r>
    </w:p>
    <w:p w14:paraId="5FE0A1FC" w14:textId="77777777" w:rsidR="0099065F" w:rsidRPr="001B60EE" w:rsidRDefault="0099065F" w:rsidP="007F02B1">
      <w:pPr>
        <w:pStyle w:val="NormalWeb"/>
        <w:jc w:val="both"/>
        <w:rPr>
          <w:rFonts w:asciiTheme="majorBidi" w:hAnsiTheme="majorBidi" w:cstheme="majorBidi"/>
        </w:rPr>
      </w:pPr>
      <w:r w:rsidRPr="001B60EE">
        <w:rPr>
          <w:rFonts w:asciiTheme="majorBidi" w:hAnsiTheme="majorBidi" w:cstheme="majorBidi"/>
        </w:rPr>
        <w:t>Findings show that:</w:t>
      </w:r>
    </w:p>
    <w:p w14:paraId="47B33D4D" w14:textId="77777777" w:rsidR="0099065F" w:rsidRPr="001B60EE" w:rsidRDefault="0099065F" w:rsidP="00CD702C">
      <w:pPr>
        <w:pStyle w:val="NormalWeb"/>
        <w:numPr>
          <w:ilvl w:val="0"/>
          <w:numId w:val="17"/>
        </w:numPr>
        <w:jc w:val="both"/>
        <w:rPr>
          <w:rFonts w:asciiTheme="majorBidi" w:hAnsiTheme="majorBidi" w:cstheme="majorBidi"/>
        </w:rPr>
      </w:pPr>
      <w:r w:rsidRPr="001B60EE">
        <w:rPr>
          <w:rFonts w:asciiTheme="majorBidi" w:hAnsiTheme="majorBidi" w:cstheme="majorBidi"/>
        </w:rPr>
        <w:t>Governance structures are well established but unevenly implemented.</w:t>
      </w:r>
    </w:p>
    <w:p w14:paraId="42439D5F" w14:textId="77777777" w:rsidR="0099065F" w:rsidRPr="001B60EE" w:rsidRDefault="0099065F" w:rsidP="00CD702C">
      <w:pPr>
        <w:pStyle w:val="NormalWeb"/>
        <w:numPr>
          <w:ilvl w:val="0"/>
          <w:numId w:val="17"/>
        </w:numPr>
        <w:jc w:val="both"/>
        <w:rPr>
          <w:rFonts w:asciiTheme="majorBidi" w:hAnsiTheme="majorBidi" w:cstheme="majorBidi"/>
        </w:rPr>
      </w:pPr>
      <w:r w:rsidRPr="001B60EE">
        <w:rPr>
          <w:rFonts w:asciiTheme="majorBidi" w:hAnsiTheme="majorBidi" w:cstheme="majorBidi"/>
        </w:rPr>
        <w:t>Legal frameworks require reform to balance sovereignty and innovation.</w:t>
      </w:r>
    </w:p>
    <w:p w14:paraId="36F91CA7" w14:textId="77777777" w:rsidR="0099065F" w:rsidRPr="001B60EE" w:rsidRDefault="0099065F" w:rsidP="00CD702C">
      <w:pPr>
        <w:pStyle w:val="NormalWeb"/>
        <w:numPr>
          <w:ilvl w:val="0"/>
          <w:numId w:val="17"/>
        </w:numPr>
        <w:jc w:val="both"/>
        <w:rPr>
          <w:rFonts w:asciiTheme="majorBidi" w:hAnsiTheme="majorBidi" w:cstheme="majorBidi"/>
        </w:rPr>
      </w:pPr>
      <w:r w:rsidRPr="001B60EE">
        <w:rPr>
          <w:rFonts w:asciiTheme="majorBidi" w:hAnsiTheme="majorBidi" w:cstheme="majorBidi"/>
        </w:rPr>
        <w:t>Generative AI can accelerate Vision 2030 when sovereignty frameworks provide trust and regulated access.</w:t>
      </w:r>
    </w:p>
    <w:p w14:paraId="0DCD1607" w14:textId="77777777" w:rsidR="0099065F" w:rsidRPr="001B60EE" w:rsidRDefault="0099065F" w:rsidP="00CD702C">
      <w:pPr>
        <w:pStyle w:val="NormalWeb"/>
        <w:numPr>
          <w:ilvl w:val="0"/>
          <w:numId w:val="17"/>
        </w:numPr>
        <w:jc w:val="both"/>
        <w:rPr>
          <w:rFonts w:asciiTheme="majorBidi" w:hAnsiTheme="majorBidi" w:cstheme="majorBidi"/>
        </w:rPr>
      </w:pPr>
      <w:r w:rsidRPr="001B60EE">
        <w:rPr>
          <w:rFonts w:asciiTheme="majorBidi" w:hAnsiTheme="majorBidi" w:cstheme="majorBidi"/>
        </w:rPr>
        <w:t>Sectoral readiness varies, necessitating tailored strategies.</w:t>
      </w:r>
    </w:p>
    <w:p w14:paraId="0FD2B87A" w14:textId="4F1A96E7" w:rsidR="0099065F" w:rsidRPr="001B60EE" w:rsidRDefault="0099065F" w:rsidP="007F02B1">
      <w:pPr>
        <w:pStyle w:val="NormalWeb"/>
        <w:jc w:val="both"/>
        <w:rPr>
          <w:rFonts w:asciiTheme="majorBidi" w:hAnsiTheme="majorBidi" w:cstheme="majorBidi"/>
        </w:rPr>
      </w:pPr>
      <w:r w:rsidRPr="001B60EE">
        <w:rPr>
          <w:rFonts w:asciiTheme="majorBidi" w:hAnsiTheme="majorBidi" w:cstheme="majorBidi"/>
        </w:rPr>
        <w:t>Overall, data sovereignty serves as an enabler rather than a constraint, provided legal, institutional, and enforcement gaps are addressed.</w:t>
      </w:r>
      <w:r w:rsidR="00504819">
        <w:rPr>
          <w:rFonts w:asciiTheme="majorBidi" w:hAnsiTheme="majorBidi" w:cstheme="majorBidi"/>
        </w:rPr>
        <w:t xml:space="preserve"> </w:t>
      </w:r>
      <w:r w:rsidR="00504819">
        <w:t>These findings provide the evidence base for Chapter 4, which outlines policy, legal, and institutional reforms to strengthen Saudi Arabia’s generative AI ecosystem.</w:t>
      </w:r>
    </w:p>
    <w:p w14:paraId="198AC228" w14:textId="6FA14DBB" w:rsidR="00714AD8" w:rsidRPr="001B60EE" w:rsidRDefault="00665BA0" w:rsidP="007F02B1">
      <w:pPr>
        <w:pStyle w:val="Heading1"/>
        <w:jc w:val="both"/>
        <w:rPr>
          <w:rFonts w:asciiTheme="majorBidi" w:hAnsiTheme="majorBidi"/>
        </w:rPr>
      </w:pPr>
      <w:r>
        <w:rPr>
          <w:rStyle w:val="Strong"/>
          <w:rFonts w:asciiTheme="majorBidi" w:hAnsiTheme="majorBidi"/>
          <w:b/>
          <w:bCs/>
        </w:rPr>
        <w:t>4</w:t>
      </w:r>
      <w:r w:rsidR="00714AD8" w:rsidRPr="001B60EE">
        <w:rPr>
          <w:rStyle w:val="Strong"/>
          <w:rFonts w:asciiTheme="majorBidi" w:hAnsiTheme="majorBidi"/>
          <w:b/>
          <w:bCs/>
        </w:rPr>
        <w:t>. Conclusion and Recommendations</w:t>
      </w:r>
    </w:p>
    <w:p w14:paraId="7B47257C" w14:textId="3EA0B05C" w:rsidR="00714AD8" w:rsidRPr="001B60EE" w:rsidRDefault="00665BA0" w:rsidP="007F02B1">
      <w:pPr>
        <w:pStyle w:val="Heading2"/>
        <w:jc w:val="both"/>
        <w:rPr>
          <w:rFonts w:asciiTheme="majorBidi" w:hAnsiTheme="majorBidi"/>
        </w:rPr>
      </w:pPr>
      <w:r>
        <w:rPr>
          <w:rFonts w:asciiTheme="majorBidi" w:hAnsiTheme="majorBidi"/>
        </w:rPr>
        <w:t>4</w:t>
      </w:r>
      <w:r w:rsidR="00714AD8" w:rsidRPr="001B60EE">
        <w:rPr>
          <w:rFonts w:asciiTheme="majorBidi" w:hAnsiTheme="majorBidi"/>
        </w:rPr>
        <w:t>.1 Conclusion</w:t>
      </w:r>
    </w:p>
    <w:p w14:paraId="737605A6" w14:textId="77777777" w:rsidR="00714AD8" w:rsidRPr="001B60EE" w:rsidRDefault="00714AD8" w:rsidP="007F02B1">
      <w:pPr>
        <w:pStyle w:val="NormalWeb"/>
        <w:jc w:val="both"/>
        <w:rPr>
          <w:rFonts w:asciiTheme="majorBidi" w:hAnsiTheme="majorBidi" w:cstheme="majorBidi"/>
        </w:rPr>
      </w:pPr>
      <w:r w:rsidRPr="001B60EE">
        <w:rPr>
          <w:rFonts w:asciiTheme="majorBidi" w:hAnsiTheme="majorBidi" w:cstheme="majorBidi"/>
        </w:rPr>
        <w:t>This study examined how data sovereignty strategies—including legal frameworks, national governance structures, and institutional policies—support the deployment of generative AI in alignment with Saudi Arabia’s Vision 2030 innovation goals. The findings reveal that Saudi Arabia has established strong governance mechanisms through entities such as SDAIA, NDMO, and the National Data Bank, which serve as the backbone of sovereign data infrastructure [55,56].</w:t>
      </w:r>
    </w:p>
    <w:p w14:paraId="11C39809" w14:textId="77777777" w:rsidR="00714AD8" w:rsidRPr="001B60EE" w:rsidRDefault="00714AD8" w:rsidP="007F02B1">
      <w:pPr>
        <w:pStyle w:val="NormalWeb"/>
        <w:jc w:val="both"/>
        <w:rPr>
          <w:rFonts w:asciiTheme="majorBidi" w:hAnsiTheme="majorBidi" w:cstheme="majorBidi"/>
        </w:rPr>
      </w:pPr>
      <w:r w:rsidRPr="001B60EE">
        <w:rPr>
          <w:rFonts w:asciiTheme="majorBidi" w:hAnsiTheme="majorBidi" w:cstheme="majorBidi"/>
        </w:rPr>
        <w:t>However, the research also identified constraints such as rigid intellectual property (IP) laws, the absence of sector-specific data-sharing frameworks, and uneven cloud governance adoption across government agencies [57–59]. While the NSDAI and Vision 2030 provide strategic direction, their success depends on legal reform, institutional capacity building, and inter-agency coordination [60].</w:t>
      </w:r>
    </w:p>
    <w:p w14:paraId="17AC45F2" w14:textId="54EAB547" w:rsidR="00714AD8" w:rsidRPr="001B60EE" w:rsidRDefault="00714AD8" w:rsidP="007F02B1">
      <w:pPr>
        <w:pStyle w:val="NormalWeb"/>
        <w:jc w:val="both"/>
        <w:rPr>
          <w:rFonts w:asciiTheme="majorBidi" w:hAnsiTheme="majorBidi" w:cstheme="majorBidi"/>
        </w:rPr>
      </w:pPr>
      <w:r w:rsidRPr="001B60EE">
        <w:rPr>
          <w:rFonts w:asciiTheme="majorBidi" w:hAnsiTheme="majorBidi" w:cstheme="majorBidi"/>
        </w:rPr>
        <w:lastRenderedPageBreak/>
        <w:t>Crucially, the evidence shows that data sovereignty is not a barrier to innovation; rather, it is a strategic enabler when combined with lawful, secure, and scalable access to data. Vision 2030’s ambitions in AI-driven healthcare, labor market modernization, and global leadership in digital innovation can only be realized through sovereign data ecosystems that ensure both compliance and innovation readiness [61,62].</w:t>
      </w:r>
      <w:r w:rsidR="00F204C6">
        <w:rPr>
          <w:rFonts w:asciiTheme="majorBidi" w:hAnsiTheme="majorBidi" w:cstheme="majorBidi"/>
        </w:rPr>
        <w:t xml:space="preserve"> </w:t>
      </w:r>
      <w:r w:rsidR="00F204C6" w:rsidRPr="00F204C6">
        <w:rPr>
          <w:rFonts w:asciiTheme="majorBidi" w:hAnsiTheme="majorBidi" w:cstheme="majorBidi"/>
        </w:rPr>
        <w:t>This study directly addressed the research gaps identified in Chapter 1, including limited comparative analyses, weak PDPL enforcement studies, and sectoral blind spots beyond health and labor, by offering policy-focused, cross-sector recommendations.</w:t>
      </w:r>
    </w:p>
    <w:p w14:paraId="0474EAFD" w14:textId="77777777" w:rsidR="00665BA0" w:rsidRDefault="00665BA0" w:rsidP="00665BA0">
      <w:pPr>
        <w:pStyle w:val="Heading3"/>
      </w:pPr>
      <w:r>
        <w:rPr>
          <w:rStyle w:val="Strong"/>
          <w:rFonts w:asciiTheme="majorBidi" w:hAnsiTheme="majorBidi"/>
        </w:rPr>
        <w:t>4</w:t>
      </w:r>
      <w:r w:rsidR="00E52C83" w:rsidRPr="001B60EE">
        <w:rPr>
          <w:rStyle w:val="Strong"/>
          <w:rFonts w:asciiTheme="majorBidi" w:hAnsiTheme="majorBidi"/>
        </w:rPr>
        <w:t>.1.1 Summary of Key Findings</w:t>
      </w:r>
      <w:r>
        <w:t>:</w:t>
      </w:r>
    </w:p>
    <w:p w14:paraId="615211A7" w14:textId="77777777" w:rsidR="00E52C83" w:rsidRPr="001B60EE" w:rsidRDefault="00E52C83" w:rsidP="00CD702C">
      <w:pPr>
        <w:pStyle w:val="NormalWeb"/>
        <w:numPr>
          <w:ilvl w:val="0"/>
          <w:numId w:val="26"/>
        </w:numPr>
        <w:jc w:val="both"/>
        <w:rPr>
          <w:rFonts w:asciiTheme="majorBidi" w:hAnsiTheme="majorBidi" w:cstheme="majorBidi"/>
        </w:rPr>
      </w:pPr>
      <w:r w:rsidRPr="001B60EE">
        <w:rPr>
          <w:rStyle w:val="Strong"/>
          <w:rFonts w:asciiTheme="majorBidi" w:hAnsiTheme="majorBidi" w:cstheme="majorBidi"/>
        </w:rPr>
        <w:t>Strong national governance backbone</w:t>
      </w:r>
      <w:r w:rsidRPr="001B60EE">
        <w:rPr>
          <w:rFonts w:asciiTheme="majorBidi" w:hAnsiTheme="majorBidi" w:cstheme="majorBidi"/>
        </w:rPr>
        <w:t xml:space="preserve"> through SDAIA, NDMO, and the National Data Bank.</w:t>
      </w:r>
    </w:p>
    <w:p w14:paraId="247C24BD" w14:textId="77777777" w:rsidR="00E52C83" w:rsidRPr="001B60EE" w:rsidRDefault="00E52C83" w:rsidP="00CD702C">
      <w:pPr>
        <w:pStyle w:val="NormalWeb"/>
        <w:numPr>
          <w:ilvl w:val="0"/>
          <w:numId w:val="26"/>
        </w:numPr>
        <w:jc w:val="both"/>
        <w:rPr>
          <w:rFonts w:asciiTheme="majorBidi" w:hAnsiTheme="majorBidi" w:cstheme="majorBidi"/>
        </w:rPr>
      </w:pPr>
      <w:r w:rsidRPr="001B60EE">
        <w:rPr>
          <w:rStyle w:val="Strong"/>
          <w:rFonts w:asciiTheme="majorBidi" w:hAnsiTheme="majorBidi" w:cstheme="majorBidi"/>
        </w:rPr>
        <w:t>Legal rigidity</w:t>
      </w:r>
      <w:r w:rsidRPr="001B60EE">
        <w:rPr>
          <w:rFonts w:asciiTheme="majorBidi" w:hAnsiTheme="majorBidi" w:cstheme="majorBidi"/>
        </w:rPr>
        <w:t xml:space="preserve"> in IP and data-sharing laws remains a primary barrier.</w:t>
      </w:r>
    </w:p>
    <w:p w14:paraId="499A1DCF" w14:textId="77777777" w:rsidR="00E52C83" w:rsidRPr="001B60EE" w:rsidRDefault="00E52C83" w:rsidP="00CD702C">
      <w:pPr>
        <w:pStyle w:val="NormalWeb"/>
        <w:numPr>
          <w:ilvl w:val="0"/>
          <w:numId w:val="26"/>
        </w:numPr>
        <w:jc w:val="both"/>
        <w:rPr>
          <w:rFonts w:asciiTheme="majorBidi" w:hAnsiTheme="majorBidi" w:cstheme="majorBidi"/>
        </w:rPr>
      </w:pPr>
      <w:r w:rsidRPr="001B60EE">
        <w:rPr>
          <w:rStyle w:val="Strong"/>
          <w:rFonts w:asciiTheme="majorBidi" w:hAnsiTheme="majorBidi" w:cstheme="majorBidi"/>
        </w:rPr>
        <w:t>Generative AI is enabled—not constrained—by sovereignty</w:t>
      </w:r>
      <w:r w:rsidRPr="001B60EE">
        <w:rPr>
          <w:rFonts w:asciiTheme="majorBidi" w:hAnsiTheme="majorBidi" w:cstheme="majorBidi"/>
        </w:rPr>
        <w:t>, when frameworks are transparent and adaptive.</w:t>
      </w:r>
    </w:p>
    <w:p w14:paraId="38765C0D" w14:textId="77777777" w:rsidR="00E52C83" w:rsidRPr="001B60EE" w:rsidRDefault="00E52C83" w:rsidP="00CD702C">
      <w:pPr>
        <w:pStyle w:val="NormalWeb"/>
        <w:numPr>
          <w:ilvl w:val="0"/>
          <w:numId w:val="26"/>
        </w:numPr>
        <w:jc w:val="both"/>
        <w:rPr>
          <w:rFonts w:asciiTheme="majorBidi" w:hAnsiTheme="majorBidi" w:cstheme="majorBidi"/>
        </w:rPr>
      </w:pPr>
      <w:r w:rsidRPr="001B60EE">
        <w:rPr>
          <w:rStyle w:val="Strong"/>
          <w:rFonts w:asciiTheme="majorBidi" w:hAnsiTheme="majorBidi" w:cstheme="majorBidi"/>
        </w:rPr>
        <w:t>Alignment with Vision 2030 is explicit</w:t>
      </w:r>
      <w:r w:rsidRPr="001B60EE">
        <w:rPr>
          <w:rFonts w:asciiTheme="majorBidi" w:hAnsiTheme="majorBidi" w:cstheme="majorBidi"/>
        </w:rPr>
        <w:t xml:space="preserve"> in labor, health, and digital governance, though uneven across sectors.</w:t>
      </w:r>
    </w:p>
    <w:p w14:paraId="3E819C1D" w14:textId="2A3A7E49" w:rsidR="00E52C83" w:rsidRPr="001B60EE" w:rsidRDefault="00E52C83" w:rsidP="00CD702C">
      <w:pPr>
        <w:pStyle w:val="NormalWeb"/>
        <w:numPr>
          <w:ilvl w:val="0"/>
          <w:numId w:val="26"/>
        </w:numPr>
        <w:jc w:val="both"/>
        <w:rPr>
          <w:rFonts w:asciiTheme="majorBidi" w:hAnsiTheme="majorBidi" w:cstheme="majorBidi"/>
        </w:rPr>
      </w:pPr>
      <w:r w:rsidRPr="001B60EE">
        <w:rPr>
          <w:rStyle w:val="Strong"/>
          <w:rFonts w:asciiTheme="majorBidi" w:hAnsiTheme="majorBidi" w:cstheme="majorBidi"/>
        </w:rPr>
        <w:t>Public trust and awareness</w:t>
      </w:r>
      <w:r w:rsidRPr="001B60EE">
        <w:rPr>
          <w:rFonts w:asciiTheme="majorBidi" w:hAnsiTheme="majorBidi" w:cstheme="majorBidi"/>
        </w:rPr>
        <w:t xml:space="preserve"> are emerging as critical enablers, requiring continuous engagement and education.</w:t>
      </w:r>
    </w:p>
    <w:p w14:paraId="470422FD" w14:textId="7D56A946" w:rsidR="00714AD8" w:rsidRPr="001B60EE" w:rsidRDefault="00665BA0" w:rsidP="007F02B1">
      <w:pPr>
        <w:pStyle w:val="Heading2"/>
        <w:jc w:val="both"/>
        <w:rPr>
          <w:rFonts w:asciiTheme="majorBidi" w:hAnsiTheme="majorBidi"/>
        </w:rPr>
      </w:pPr>
      <w:r>
        <w:rPr>
          <w:rFonts w:asciiTheme="majorBidi" w:hAnsiTheme="majorBidi"/>
        </w:rPr>
        <w:t>4</w:t>
      </w:r>
      <w:r w:rsidR="00714AD8" w:rsidRPr="001B60EE">
        <w:rPr>
          <w:rFonts w:asciiTheme="majorBidi" w:hAnsiTheme="majorBidi"/>
        </w:rPr>
        <w:t>.2 Policy Recommendations</w:t>
      </w:r>
    </w:p>
    <w:p w14:paraId="04BF2818" w14:textId="6975B952" w:rsidR="00714AD8" w:rsidRPr="001B60EE" w:rsidRDefault="00665BA0" w:rsidP="007F02B1">
      <w:pPr>
        <w:pStyle w:val="Heading3"/>
        <w:jc w:val="both"/>
        <w:rPr>
          <w:rFonts w:asciiTheme="majorBidi" w:hAnsiTheme="majorBidi"/>
        </w:rPr>
      </w:pPr>
      <w:r>
        <w:rPr>
          <w:rFonts w:asciiTheme="majorBidi" w:hAnsiTheme="majorBidi"/>
        </w:rPr>
        <w:t>4</w:t>
      </w:r>
      <w:r w:rsidR="00714AD8" w:rsidRPr="001B60EE">
        <w:rPr>
          <w:rFonts w:asciiTheme="majorBidi" w:hAnsiTheme="majorBidi"/>
        </w:rPr>
        <w:t>.2.1 Legal and Regulatory Reform</w:t>
      </w:r>
    </w:p>
    <w:p w14:paraId="3471CE93" w14:textId="77777777" w:rsidR="00714AD8" w:rsidRPr="001B60EE" w:rsidRDefault="00714AD8" w:rsidP="00CD702C">
      <w:pPr>
        <w:pStyle w:val="NormalWeb"/>
        <w:numPr>
          <w:ilvl w:val="0"/>
          <w:numId w:val="18"/>
        </w:numPr>
        <w:jc w:val="both"/>
        <w:rPr>
          <w:rFonts w:asciiTheme="majorBidi" w:hAnsiTheme="majorBidi" w:cstheme="majorBidi"/>
        </w:rPr>
      </w:pPr>
      <w:r w:rsidRPr="001B60EE">
        <w:rPr>
          <w:rFonts w:asciiTheme="majorBidi" w:hAnsiTheme="majorBidi" w:cstheme="majorBidi"/>
        </w:rPr>
        <w:t>Revise IP laws to introduce exceptions for AI training under adaptive licensing conditions.</w:t>
      </w:r>
    </w:p>
    <w:p w14:paraId="0D0EBD8A" w14:textId="77777777" w:rsidR="00714AD8" w:rsidRPr="001B60EE" w:rsidRDefault="00714AD8" w:rsidP="00CD702C">
      <w:pPr>
        <w:pStyle w:val="NormalWeb"/>
        <w:numPr>
          <w:ilvl w:val="0"/>
          <w:numId w:val="18"/>
        </w:numPr>
        <w:jc w:val="both"/>
        <w:rPr>
          <w:rFonts w:asciiTheme="majorBidi" w:hAnsiTheme="majorBidi" w:cstheme="majorBidi"/>
        </w:rPr>
      </w:pPr>
      <w:r w:rsidRPr="001B60EE">
        <w:rPr>
          <w:rFonts w:asciiTheme="majorBidi" w:hAnsiTheme="majorBidi" w:cstheme="majorBidi"/>
        </w:rPr>
        <w:t>Develop sector-specific data-sharing regulations for healthcare, labor, and genomics.</w:t>
      </w:r>
    </w:p>
    <w:p w14:paraId="098A0C56" w14:textId="77777777" w:rsidR="00714AD8" w:rsidRPr="001B60EE" w:rsidRDefault="00714AD8" w:rsidP="00CD702C">
      <w:pPr>
        <w:pStyle w:val="NormalWeb"/>
        <w:numPr>
          <w:ilvl w:val="0"/>
          <w:numId w:val="18"/>
        </w:numPr>
        <w:jc w:val="both"/>
        <w:rPr>
          <w:rFonts w:asciiTheme="majorBidi" w:hAnsiTheme="majorBidi" w:cstheme="majorBidi"/>
        </w:rPr>
      </w:pPr>
      <w:r w:rsidRPr="001B60EE">
        <w:rPr>
          <w:rFonts w:asciiTheme="majorBidi" w:hAnsiTheme="majorBidi" w:cstheme="majorBidi"/>
        </w:rPr>
        <w:t>Clarify cross-border data flow policies for cloud-based AI applications.</w:t>
      </w:r>
    </w:p>
    <w:p w14:paraId="1007F15F" w14:textId="70D46393" w:rsidR="00714AD8" w:rsidRPr="001B60EE" w:rsidRDefault="00665BA0" w:rsidP="007F02B1">
      <w:pPr>
        <w:pStyle w:val="Heading3"/>
        <w:jc w:val="both"/>
        <w:rPr>
          <w:rFonts w:asciiTheme="majorBidi" w:hAnsiTheme="majorBidi"/>
        </w:rPr>
      </w:pPr>
      <w:r>
        <w:rPr>
          <w:rFonts w:asciiTheme="majorBidi" w:hAnsiTheme="majorBidi"/>
        </w:rPr>
        <w:t>4</w:t>
      </w:r>
      <w:r w:rsidR="00714AD8" w:rsidRPr="001B60EE">
        <w:rPr>
          <w:rFonts w:asciiTheme="majorBidi" w:hAnsiTheme="majorBidi"/>
        </w:rPr>
        <w:t>.2.2 Institutional and Strategic Enhancements</w:t>
      </w:r>
    </w:p>
    <w:p w14:paraId="1BC390D9" w14:textId="77777777" w:rsidR="00714AD8" w:rsidRPr="001B60EE" w:rsidRDefault="00714AD8" w:rsidP="00CD702C">
      <w:pPr>
        <w:pStyle w:val="NormalWeb"/>
        <w:numPr>
          <w:ilvl w:val="0"/>
          <w:numId w:val="19"/>
        </w:numPr>
        <w:jc w:val="both"/>
        <w:rPr>
          <w:rFonts w:asciiTheme="majorBidi" w:hAnsiTheme="majorBidi" w:cstheme="majorBidi"/>
        </w:rPr>
      </w:pPr>
      <w:r w:rsidRPr="001B60EE">
        <w:rPr>
          <w:rFonts w:asciiTheme="majorBidi" w:hAnsiTheme="majorBidi" w:cstheme="majorBidi"/>
        </w:rPr>
        <w:t>Strengthen coordination among SDAIA, NDMO, NCAI, and ministries through shared metrics.</w:t>
      </w:r>
    </w:p>
    <w:p w14:paraId="38988550" w14:textId="77777777" w:rsidR="00714AD8" w:rsidRPr="001B60EE" w:rsidRDefault="00714AD8" w:rsidP="00CD702C">
      <w:pPr>
        <w:pStyle w:val="NormalWeb"/>
        <w:numPr>
          <w:ilvl w:val="0"/>
          <w:numId w:val="19"/>
        </w:numPr>
        <w:jc w:val="both"/>
        <w:rPr>
          <w:rFonts w:asciiTheme="majorBidi" w:hAnsiTheme="majorBidi" w:cstheme="majorBidi"/>
        </w:rPr>
      </w:pPr>
      <w:r w:rsidRPr="001B60EE">
        <w:rPr>
          <w:rFonts w:asciiTheme="majorBidi" w:hAnsiTheme="majorBidi" w:cstheme="majorBidi"/>
        </w:rPr>
        <w:t>Expand national cloud infrastructure and enforce compliance audits.</w:t>
      </w:r>
    </w:p>
    <w:p w14:paraId="4E3F158B" w14:textId="77777777" w:rsidR="00714AD8" w:rsidRPr="001B60EE" w:rsidRDefault="00714AD8" w:rsidP="00CD702C">
      <w:pPr>
        <w:pStyle w:val="NormalWeb"/>
        <w:numPr>
          <w:ilvl w:val="0"/>
          <w:numId w:val="19"/>
        </w:numPr>
        <w:jc w:val="both"/>
        <w:rPr>
          <w:rFonts w:asciiTheme="majorBidi" w:hAnsiTheme="majorBidi" w:cstheme="majorBidi"/>
        </w:rPr>
      </w:pPr>
      <w:r w:rsidRPr="001B60EE">
        <w:rPr>
          <w:rFonts w:asciiTheme="majorBidi" w:hAnsiTheme="majorBidi" w:cstheme="majorBidi"/>
        </w:rPr>
        <w:t>Introduce monitoring and evaluation frameworks for Vision 2030 AI initiatives.</w:t>
      </w:r>
    </w:p>
    <w:p w14:paraId="652A5A46" w14:textId="6631468F" w:rsidR="00714AD8" w:rsidRPr="001B60EE" w:rsidRDefault="00665BA0" w:rsidP="007F02B1">
      <w:pPr>
        <w:pStyle w:val="Heading3"/>
        <w:jc w:val="both"/>
        <w:rPr>
          <w:rFonts w:asciiTheme="majorBidi" w:hAnsiTheme="majorBidi"/>
        </w:rPr>
      </w:pPr>
      <w:r>
        <w:rPr>
          <w:rFonts w:asciiTheme="majorBidi" w:hAnsiTheme="majorBidi"/>
        </w:rPr>
        <w:t>4</w:t>
      </w:r>
      <w:r w:rsidR="00714AD8" w:rsidRPr="001B60EE">
        <w:rPr>
          <w:rFonts w:asciiTheme="majorBidi" w:hAnsiTheme="majorBidi"/>
        </w:rPr>
        <w:t>.2.3 Innovation Enablement</w:t>
      </w:r>
    </w:p>
    <w:p w14:paraId="24D61509" w14:textId="77777777" w:rsidR="00714AD8" w:rsidRPr="001B60EE" w:rsidRDefault="00714AD8" w:rsidP="00CD702C">
      <w:pPr>
        <w:pStyle w:val="NormalWeb"/>
        <w:numPr>
          <w:ilvl w:val="0"/>
          <w:numId w:val="20"/>
        </w:numPr>
        <w:jc w:val="both"/>
        <w:rPr>
          <w:rFonts w:asciiTheme="majorBidi" w:hAnsiTheme="majorBidi" w:cstheme="majorBidi"/>
        </w:rPr>
      </w:pPr>
      <w:r w:rsidRPr="001B60EE">
        <w:rPr>
          <w:rFonts w:asciiTheme="majorBidi" w:hAnsiTheme="majorBidi" w:cstheme="majorBidi"/>
        </w:rPr>
        <w:t>Promote open data platforms for non-sensitive datasets.</w:t>
      </w:r>
    </w:p>
    <w:p w14:paraId="43F1B96F" w14:textId="77777777" w:rsidR="00714AD8" w:rsidRPr="001B60EE" w:rsidRDefault="00714AD8" w:rsidP="00CD702C">
      <w:pPr>
        <w:pStyle w:val="NormalWeb"/>
        <w:numPr>
          <w:ilvl w:val="0"/>
          <w:numId w:val="20"/>
        </w:numPr>
        <w:jc w:val="both"/>
        <w:rPr>
          <w:rFonts w:asciiTheme="majorBidi" w:hAnsiTheme="majorBidi" w:cstheme="majorBidi"/>
        </w:rPr>
      </w:pPr>
      <w:r w:rsidRPr="001B60EE">
        <w:rPr>
          <w:rFonts w:asciiTheme="majorBidi" w:hAnsiTheme="majorBidi" w:cstheme="majorBidi"/>
        </w:rPr>
        <w:t>Facilitate public–private partnerships (PPPs) for lawful dataset access.</w:t>
      </w:r>
    </w:p>
    <w:p w14:paraId="2B63B5E3" w14:textId="77777777" w:rsidR="00714AD8" w:rsidRPr="001B60EE" w:rsidRDefault="00714AD8" w:rsidP="00CD702C">
      <w:pPr>
        <w:pStyle w:val="NormalWeb"/>
        <w:numPr>
          <w:ilvl w:val="0"/>
          <w:numId w:val="20"/>
        </w:numPr>
        <w:jc w:val="both"/>
        <w:rPr>
          <w:rFonts w:asciiTheme="majorBidi" w:hAnsiTheme="majorBidi" w:cstheme="majorBidi"/>
        </w:rPr>
      </w:pPr>
      <w:r w:rsidRPr="001B60EE">
        <w:rPr>
          <w:rFonts w:asciiTheme="majorBidi" w:hAnsiTheme="majorBidi" w:cstheme="majorBidi"/>
        </w:rPr>
        <w:t>Launch national AI sandboxes to test generative AI in healthcare and labor applications.</w:t>
      </w:r>
    </w:p>
    <w:p w14:paraId="2B4581C9" w14:textId="69078431" w:rsidR="00714AD8" w:rsidRPr="001B60EE" w:rsidRDefault="00665BA0" w:rsidP="007F02B1">
      <w:pPr>
        <w:pStyle w:val="Heading3"/>
        <w:jc w:val="both"/>
        <w:rPr>
          <w:rFonts w:asciiTheme="majorBidi" w:hAnsiTheme="majorBidi"/>
        </w:rPr>
      </w:pPr>
      <w:r>
        <w:rPr>
          <w:rFonts w:asciiTheme="majorBidi" w:hAnsiTheme="majorBidi"/>
        </w:rPr>
        <w:t>4</w:t>
      </w:r>
      <w:r w:rsidR="00714AD8" w:rsidRPr="001B60EE">
        <w:rPr>
          <w:rFonts w:asciiTheme="majorBidi" w:hAnsiTheme="majorBidi"/>
        </w:rPr>
        <w:t>.2.4 Capacity Building and Public Awareness</w:t>
      </w:r>
    </w:p>
    <w:p w14:paraId="2490B7F7" w14:textId="77777777" w:rsidR="00714AD8" w:rsidRPr="001B60EE" w:rsidRDefault="00714AD8" w:rsidP="00CD702C">
      <w:pPr>
        <w:pStyle w:val="NormalWeb"/>
        <w:numPr>
          <w:ilvl w:val="0"/>
          <w:numId w:val="21"/>
        </w:numPr>
        <w:jc w:val="both"/>
        <w:rPr>
          <w:rFonts w:asciiTheme="majorBidi" w:hAnsiTheme="majorBidi" w:cstheme="majorBidi"/>
        </w:rPr>
      </w:pPr>
      <w:r w:rsidRPr="001B60EE">
        <w:rPr>
          <w:rFonts w:asciiTheme="majorBidi" w:hAnsiTheme="majorBidi" w:cstheme="majorBidi"/>
        </w:rPr>
        <w:t>Train 10,000 AI professionals by 2026 through universities and industry partnerships.</w:t>
      </w:r>
    </w:p>
    <w:p w14:paraId="5EEE3E31" w14:textId="77777777" w:rsidR="00714AD8" w:rsidRPr="001B60EE" w:rsidRDefault="00714AD8" w:rsidP="00CD702C">
      <w:pPr>
        <w:pStyle w:val="NormalWeb"/>
        <w:numPr>
          <w:ilvl w:val="0"/>
          <w:numId w:val="21"/>
        </w:numPr>
        <w:jc w:val="both"/>
        <w:rPr>
          <w:rFonts w:asciiTheme="majorBidi" w:hAnsiTheme="majorBidi" w:cstheme="majorBidi"/>
        </w:rPr>
      </w:pPr>
      <w:r w:rsidRPr="001B60EE">
        <w:rPr>
          <w:rFonts w:asciiTheme="majorBidi" w:hAnsiTheme="majorBidi" w:cstheme="majorBidi"/>
        </w:rPr>
        <w:t>Conduct awareness campaigns to build public trust in AI and data governance.</w:t>
      </w:r>
    </w:p>
    <w:p w14:paraId="74D4D83B" w14:textId="77777777" w:rsidR="00714AD8" w:rsidRDefault="00714AD8" w:rsidP="00CD702C">
      <w:pPr>
        <w:pStyle w:val="NormalWeb"/>
        <w:numPr>
          <w:ilvl w:val="0"/>
          <w:numId w:val="21"/>
        </w:numPr>
        <w:jc w:val="both"/>
        <w:rPr>
          <w:rFonts w:asciiTheme="majorBidi" w:hAnsiTheme="majorBidi" w:cstheme="majorBidi"/>
        </w:rPr>
      </w:pPr>
      <w:r w:rsidRPr="001B60EE">
        <w:rPr>
          <w:rFonts w:asciiTheme="majorBidi" w:hAnsiTheme="majorBidi" w:cstheme="majorBidi"/>
        </w:rPr>
        <w:lastRenderedPageBreak/>
        <w:t>Institutionalize stakeholder dialogues through annual policy forums.</w:t>
      </w:r>
    </w:p>
    <w:p w14:paraId="35AA36B5" w14:textId="3B404C4B" w:rsidR="00F204C6" w:rsidRDefault="00F204C6" w:rsidP="00F204C6">
      <w:pPr>
        <w:pStyle w:val="Caption"/>
        <w:keepNext/>
      </w:pPr>
      <w:r>
        <w:t xml:space="preserve">Table </w:t>
      </w:r>
      <w:fldSimple w:instr=" SEQ Table \* ARABIC ">
        <w:r>
          <w:rPr>
            <w:noProof/>
          </w:rPr>
          <w:t>9</w:t>
        </w:r>
      </w:fldSimple>
      <w:r>
        <w:t>:</w:t>
      </w:r>
      <w:r w:rsidRPr="00E11F7A">
        <w:t>Policy Recommendations for Strengthening Generative AI under Vision 2030</w:t>
      </w:r>
    </w:p>
    <w:tbl>
      <w:tblPr>
        <w:tblStyle w:val="PlainTable1"/>
        <w:tblW w:w="0" w:type="auto"/>
        <w:tblLook w:val="04A0" w:firstRow="1" w:lastRow="0" w:firstColumn="1" w:lastColumn="0" w:noHBand="0" w:noVBand="1"/>
      </w:tblPr>
      <w:tblGrid>
        <w:gridCol w:w="1950"/>
        <w:gridCol w:w="5252"/>
        <w:gridCol w:w="2374"/>
      </w:tblGrid>
      <w:tr w:rsidR="00F204C6" w:rsidRPr="00F204C6" w14:paraId="70AE5A9D" w14:textId="77777777" w:rsidTr="00F204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240DC4" w14:textId="77777777" w:rsidR="00F204C6" w:rsidRPr="00F204C6" w:rsidRDefault="00F204C6" w:rsidP="00F204C6">
            <w:pPr>
              <w:jc w:val="center"/>
              <w:rPr>
                <w:rFonts w:ascii="Times New Roman" w:eastAsia="Times New Roman" w:hAnsi="Times New Roman" w:cs="Times New Roman"/>
              </w:rPr>
            </w:pPr>
            <w:r w:rsidRPr="00F204C6">
              <w:rPr>
                <w:rFonts w:ascii="Times New Roman" w:eastAsia="Times New Roman" w:hAnsi="Times New Roman" w:cs="Times New Roman"/>
              </w:rPr>
              <w:t>Category</w:t>
            </w:r>
          </w:p>
        </w:tc>
        <w:tc>
          <w:tcPr>
            <w:tcW w:w="0" w:type="auto"/>
            <w:hideMark/>
          </w:tcPr>
          <w:p w14:paraId="6630E860" w14:textId="77777777" w:rsidR="00F204C6" w:rsidRPr="00F204C6" w:rsidRDefault="00F204C6" w:rsidP="00F204C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204C6">
              <w:rPr>
                <w:rFonts w:ascii="Times New Roman" w:eastAsia="Times New Roman" w:hAnsi="Times New Roman" w:cs="Times New Roman"/>
              </w:rPr>
              <w:t>Recommendation</w:t>
            </w:r>
          </w:p>
        </w:tc>
        <w:tc>
          <w:tcPr>
            <w:tcW w:w="0" w:type="auto"/>
            <w:hideMark/>
          </w:tcPr>
          <w:p w14:paraId="7D4F9259" w14:textId="77777777" w:rsidR="00F204C6" w:rsidRPr="00F204C6" w:rsidRDefault="00F204C6" w:rsidP="00F204C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204C6">
              <w:rPr>
                <w:rFonts w:ascii="Times New Roman" w:eastAsia="Times New Roman" w:hAnsi="Times New Roman" w:cs="Times New Roman"/>
              </w:rPr>
              <w:t>Implementation Phase</w:t>
            </w:r>
          </w:p>
        </w:tc>
      </w:tr>
      <w:tr w:rsidR="00F204C6" w:rsidRPr="00F204C6" w14:paraId="57CF1128" w14:textId="77777777" w:rsidTr="00F20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D723A8" w14:textId="77777777" w:rsidR="00F204C6" w:rsidRPr="00F204C6" w:rsidRDefault="00F204C6" w:rsidP="00F204C6">
            <w:pPr>
              <w:rPr>
                <w:rFonts w:ascii="Times New Roman" w:eastAsia="Times New Roman" w:hAnsi="Times New Roman" w:cs="Times New Roman"/>
              </w:rPr>
            </w:pPr>
            <w:r w:rsidRPr="00F204C6">
              <w:rPr>
                <w:rFonts w:ascii="Times New Roman" w:eastAsia="Times New Roman" w:hAnsi="Times New Roman" w:cs="Times New Roman"/>
              </w:rPr>
              <w:t>Legal Reform</w:t>
            </w:r>
          </w:p>
        </w:tc>
        <w:tc>
          <w:tcPr>
            <w:tcW w:w="0" w:type="auto"/>
            <w:hideMark/>
          </w:tcPr>
          <w:p w14:paraId="377FD027" w14:textId="77777777" w:rsidR="00F204C6" w:rsidRPr="00F204C6" w:rsidRDefault="00F204C6" w:rsidP="00F204C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204C6">
              <w:rPr>
                <w:rFonts w:ascii="Times New Roman" w:eastAsia="Times New Roman" w:hAnsi="Times New Roman" w:cs="Times New Roman"/>
              </w:rPr>
              <w:t>Revise IP laws with AI exceptions; clarify cross-border flows</w:t>
            </w:r>
          </w:p>
        </w:tc>
        <w:tc>
          <w:tcPr>
            <w:tcW w:w="0" w:type="auto"/>
            <w:hideMark/>
          </w:tcPr>
          <w:p w14:paraId="3D614634" w14:textId="77777777" w:rsidR="00F204C6" w:rsidRPr="00F204C6" w:rsidRDefault="00F204C6" w:rsidP="00F204C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204C6">
              <w:rPr>
                <w:rFonts w:ascii="Times New Roman" w:eastAsia="Times New Roman" w:hAnsi="Times New Roman" w:cs="Times New Roman"/>
              </w:rPr>
              <w:t>Phase 1–2</w:t>
            </w:r>
          </w:p>
        </w:tc>
      </w:tr>
      <w:tr w:rsidR="00F204C6" w:rsidRPr="00F204C6" w14:paraId="529A2B9E" w14:textId="77777777" w:rsidTr="00F204C6">
        <w:tc>
          <w:tcPr>
            <w:cnfStyle w:val="001000000000" w:firstRow="0" w:lastRow="0" w:firstColumn="1" w:lastColumn="0" w:oddVBand="0" w:evenVBand="0" w:oddHBand="0" w:evenHBand="0" w:firstRowFirstColumn="0" w:firstRowLastColumn="0" w:lastRowFirstColumn="0" w:lastRowLastColumn="0"/>
            <w:tcW w:w="0" w:type="auto"/>
            <w:hideMark/>
          </w:tcPr>
          <w:p w14:paraId="3DD20452" w14:textId="77777777" w:rsidR="00F204C6" w:rsidRPr="00F204C6" w:rsidRDefault="00F204C6" w:rsidP="00F204C6">
            <w:pPr>
              <w:rPr>
                <w:rFonts w:ascii="Times New Roman" w:eastAsia="Times New Roman" w:hAnsi="Times New Roman" w:cs="Times New Roman"/>
              </w:rPr>
            </w:pPr>
            <w:r w:rsidRPr="00F204C6">
              <w:rPr>
                <w:rFonts w:ascii="Times New Roman" w:eastAsia="Times New Roman" w:hAnsi="Times New Roman" w:cs="Times New Roman"/>
              </w:rPr>
              <w:t>Institutional</w:t>
            </w:r>
          </w:p>
        </w:tc>
        <w:tc>
          <w:tcPr>
            <w:tcW w:w="0" w:type="auto"/>
            <w:hideMark/>
          </w:tcPr>
          <w:p w14:paraId="3CFCA0FF" w14:textId="77777777" w:rsidR="00F204C6" w:rsidRPr="00F204C6" w:rsidRDefault="00F204C6" w:rsidP="00F204C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204C6">
              <w:rPr>
                <w:rFonts w:ascii="Times New Roman" w:eastAsia="Times New Roman" w:hAnsi="Times New Roman" w:cs="Times New Roman"/>
              </w:rPr>
              <w:t>Strengthen SDAIA–NDMO coordination; compliance audits</w:t>
            </w:r>
          </w:p>
        </w:tc>
        <w:tc>
          <w:tcPr>
            <w:tcW w:w="0" w:type="auto"/>
            <w:hideMark/>
          </w:tcPr>
          <w:p w14:paraId="42B91CFF" w14:textId="77777777" w:rsidR="00F204C6" w:rsidRPr="00F204C6" w:rsidRDefault="00F204C6" w:rsidP="00F204C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204C6">
              <w:rPr>
                <w:rFonts w:ascii="Times New Roman" w:eastAsia="Times New Roman" w:hAnsi="Times New Roman" w:cs="Times New Roman"/>
              </w:rPr>
              <w:t>Phase 1</w:t>
            </w:r>
          </w:p>
        </w:tc>
      </w:tr>
      <w:tr w:rsidR="00F204C6" w:rsidRPr="00F204C6" w14:paraId="07777A47" w14:textId="77777777" w:rsidTr="00F20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882316" w14:textId="77777777" w:rsidR="00F204C6" w:rsidRPr="00F204C6" w:rsidRDefault="00F204C6" w:rsidP="00F204C6">
            <w:pPr>
              <w:rPr>
                <w:rFonts w:ascii="Times New Roman" w:eastAsia="Times New Roman" w:hAnsi="Times New Roman" w:cs="Times New Roman"/>
              </w:rPr>
            </w:pPr>
            <w:r w:rsidRPr="00F204C6">
              <w:rPr>
                <w:rFonts w:ascii="Times New Roman" w:eastAsia="Times New Roman" w:hAnsi="Times New Roman" w:cs="Times New Roman"/>
              </w:rPr>
              <w:t>Innovation</w:t>
            </w:r>
          </w:p>
        </w:tc>
        <w:tc>
          <w:tcPr>
            <w:tcW w:w="0" w:type="auto"/>
            <w:hideMark/>
          </w:tcPr>
          <w:p w14:paraId="24B70944" w14:textId="77777777" w:rsidR="00F204C6" w:rsidRPr="00F204C6" w:rsidRDefault="00F204C6" w:rsidP="00F204C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204C6">
              <w:rPr>
                <w:rFonts w:ascii="Times New Roman" w:eastAsia="Times New Roman" w:hAnsi="Times New Roman" w:cs="Times New Roman"/>
              </w:rPr>
              <w:t>Open-data platforms; PPPs; AI sandboxes</w:t>
            </w:r>
          </w:p>
        </w:tc>
        <w:tc>
          <w:tcPr>
            <w:tcW w:w="0" w:type="auto"/>
            <w:hideMark/>
          </w:tcPr>
          <w:p w14:paraId="1CEB3C5D" w14:textId="77777777" w:rsidR="00F204C6" w:rsidRPr="00F204C6" w:rsidRDefault="00F204C6" w:rsidP="00F204C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204C6">
              <w:rPr>
                <w:rFonts w:ascii="Times New Roman" w:eastAsia="Times New Roman" w:hAnsi="Times New Roman" w:cs="Times New Roman"/>
              </w:rPr>
              <w:t>Phase 2</w:t>
            </w:r>
          </w:p>
        </w:tc>
      </w:tr>
      <w:tr w:rsidR="00F204C6" w:rsidRPr="00F204C6" w14:paraId="66D5C4A3" w14:textId="77777777" w:rsidTr="00F204C6">
        <w:tc>
          <w:tcPr>
            <w:cnfStyle w:val="001000000000" w:firstRow="0" w:lastRow="0" w:firstColumn="1" w:lastColumn="0" w:oddVBand="0" w:evenVBand="0" w:oddHBand="0" w:evenHBand="0" w:firstRowFirstColumn="0" w:firstRowLastColumn="0" w:lastRowFirstColumn="0" w:lastRowLastColumn="0"/>
            <w:tcW w:w="0" w:type="auto"/>
            <w:hideMark/>
          </w:tcPr>
          <w:p w14:paraId="0D9ABC01" w14:textId="77777777" w:rsidR="00F204C6" w:rsidRPr="00F204C6" w:rsidRDefault="00F204C6" w:rsidP="00F204C6">
            <w:pPr>
              <w:rPr>
                <w:rFonts w:ascii="Times New Roman" w:eastAsia="Times New Roman" w:hAnsi="Times New Roman" w:cs="Times New Roman"/>
              </w:rPr>
            </w:pPr>
            <w:r w:rsidRPr="00F204C6">
              <w:rPr>
                <w:rFonts w:ascii="Times New Roman" w:eastAsia="Times New Roman" w:hAnsi="Times New Roman" w:cs="Times New Roman"/>
              </w:rPr>
              <w:t>Capacity Building</w:t>
            </w:r>
          </w:p>
        </w:tc>
        <w:tc>
          <w:tcPr>
            <w:tcW w:w="0" w:type="auto"/>
            <w:hideMark/>
          </w:tcPr>
          <w:p w14:paraId="042B2D69" w14:textId="77777777" w:rsidR="00F204C6" w:rsidRPr="00F204C6" w:rsidRDefault="00F204C6" w:rsidP="00F204C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204C6">
              <w:rPr>
                <w:rFonts w:ascii="Times New Roman" w:eastAsia="Times New Roman" w:hAnsi="Times New Roman" w:cs="Times New Roman"/>
              </w:rPr>
              <w:t>Train 10,000 AI professionals; public trust campaigns</w:t>
            </w:r>
          </w:p>
        </w:tc>
        <w:tc>
          <w:tcPr>
            <w:tcW w:w="0" w:type="auto"/>
            <w:hideMark/>
          </w:tcPr>
          <w:p w14:paraId="0779CDB8" w14:textId="77777777" w:rsidR="00F204C6" w:rsidRPr="00F204C6" w:rsidRDefault="00F204C6" w:rsidP="00F204C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F204C6">
              <w:rPr>
                <w:rFonts w:ascii="Times New Roman" w:eastAsia="Times New Roman" w:hAnsi="Times New Roman" w:cs="Times New Roman"/>
              </w:rPr>
              <w:t>Phase 2–3</w:t>
            </w:r>
          </w:p>
        </w:tc>
      </w:tr>
    </w:tbl>
    <w:p w14:paraId="247847FF" w14:textId="755A39DA" w:rsidR="00714AD8" w:rsidRPr="001B60EE" w:rsidRDefault="00665BA0" w:rsidP="007F02B1">
      <w:pPr>
        <w:pStyle w:val="Heading2"/>
        <w:jc w:val="both"/>
        <w:rPr>
          <w:rFonts w:asciiTheme="majorBidi" w:hAnsiTheme="majorBidi"/>
        </w:rPr>
      </w:pPr>
      <w:r>
        <w:rPr>
          <w:rFonts w:asciiTheme="majorBidi" w:hAnsiTheme="majorBidi"/>
        </w:rPr>
        <w:t>4</w:t>
      </w:r>
      <w:r w:rsidR="00714AD8" w:rsidRPr="001B60EE">
        <w:rPr>
          <w:rFonts w:asciiTheme="majorBidi" w:hAnsiTheme="majorBidi"/>
        </w:rPr>
        <w:t>.3 Research Implications</w:t>
      </w:r>
    </w:p>
    <w:p w14:paraId="356EBF27" w14:textId="07FB6680" w:rsidR="00714AD8" w:rsidRPr="001B60EE" w:rsidRDefault="00665BA0" w:rsidP="007F02B1">
      <w:pPr>
        <w:pStyle w:val="Heading3"/>
        <w:jc w:val="both"/>
        <w:rPr>
          <w:rFonts w:asciiTheme="majorBidi" w:hAnsiTheme="majorBidi"/>
        </w:rPr>
      </w:pPr>
      <w:r>
        <w:rPr>
          <w:rFonts w:asciiTheme="majorBidi" w:hAnsiTheme="majorBidi"/>
        </w:rPr>
        <w:t>4</w:t>
      </w:r>
      <w:r w:rsidR="00714AD8" w:rsidRPr="001B60EE">
        <w:rPr>
          <w:rFonts w:asciiTheme="majorBidi" w:hAnsiTheme="majorBidi"/>
        </w:rPr>
        <w:t>.3.1 Theoretical Contributions</w:t>
      </w:r>
    </w:p>
    <w:p w14:paraId="74A819E0" w14:textId="77777777" w:rsidR="00714AD8" w:rsidRPr="001B60EE" w:rsidRDefault="00714AD8" w:rsidP="007F02B1">
      <w:pPr>
        <w:pStyle w:val="NormalWeb"/>
        <w:jc w:val="both"/>
        <w:rPr>
          <w:rFonts w:asciiTheme="majorBidi" w:hAnsiTheme="majorBidi" w:cstheme="majorBidi"/>
        </w:rPr>
      </w:pPr>
      <w:r w:rsidRPr="001B60EE">
        <w:rPr>
          <w:rFonts w:asciiTheme="majorBidi" w:hAnsiTheme="majorBidi" w:cstheme="majorBidi"/>
        </w:rPr>
        <w:t>This research extends innovation systems theory by showing how institutional design influences generative AI adoption in developing economies [55]. It also reframes data sovereignty as a strategic asset for digital transformation rather than a constraint [56].</w:t>
      </w:r>
    </w:p>
    <w:p w14:paraId="6FF596FD" w14:textId="1A9C52F3" w:rsidR="00714AD8" w:rsidRPr="001B60EE" w:rsidRDefault="00665BA0" w:rsidP="007F02B1">
      <w:pPr>
        <w:pStyle w:val="Heading3"/>
        <w:jc w:val="both"/>
        <w:rPr>
          <w:rFonts w:asciiTheme="majorBidi" w:hAnsiTheme="majorBidi"/>
        </w:rPr>
      </w:pPr>
      <w:r>
        <w:rPr>
          <w:rFonts w:asciiTheme="majorBidi" w:hAnsiTheme="majorBidi"/>
        </w:rPr>
        <w:t>4</w:t>
      </w:r>
      <w:r w:rsidR="00714AD8" w:rsidRPr="001B60EE">
        <w:rPr>
          <w:rFonts w:asciiTheme="majorBidi" w:hAnsiTheme="majorBidi"/>
        </w:rPr>
        <w:t>.3.2 Methodological Contributions</w:t>
      </w:r>
    </w:p>
    <w:p w14:paraId="3BAE686A" w14:textId="77777777" w:rsidR="00714AD8" w:rsidRDefault="00714AD8" w:rsidP="007F02B1">
      <w:pPr>
        <w:pStyle w:val="NormalWeb"/>
        <w:jc w:val="both"/>
        <w:rPr>
          <w:rFonts w:asciiTheme="majorBidi" w:hAnsiTheme="majorBidi" w:cstheme="majorBidi"/>
        </w:rPr>
      </w:pPr>
      <w:r w:rsidRPr="001B60EE">
        <w:rPr>
          <w:rFonts w:asciiTheme="majorBidi" w:hAnsiTheme="majorBidi" w:cstheme="majorBidi"/>
        </w:rPr>
        <w:t>By applying a mixed-methods approach combining thematic analysis, policy mapping, and descriptive statistics, the study provides a replicable framework for AI governance research across different national contexts [57].</w:t>
      </w:r>
    </w:p>
    <w:p w14:paraId="6201C178" w14:textId="43A486C4" w:rsidR="00FE4678" w:rsidRDefault="00FE4678" w:rsidP="00FE4678">
      <w:pPr>
        <w:pStyle w:val="Heading3"/>
        <w:jc w:val="both"/>
        <w:rPr>
          <w:rFonts w:asciiTheme="majorBidi" w:hAnsiTheme="majorBidi"/>
        </w:rPr>
      </w:pPr>
      <w:r w:rsidRPr="00FE4678">
        <w:rPr>
          <w:rFonts w:asciiTheme="majorBidi" w:hAnsiTheme="majorBidi"/>
        </w:rPr>
        <w:t>4.3.3 Practical Implications</w:t>
      </w:r>
    </w:p>
    <w:p w14:paraId="48BC37A6" w14:textId="0869836B" w:rsidR="00FE4678" w:rsidRPr="001B60EE" w:rsidRDefault="00FE4678" w:rsidP="00FE4678">
      <w:pPr>
        <w:pStyle w:val="NormalWeb"/>
        <w:jc w:val="both"/>
        <w:rPr>
          <w:rFonts w:asciiTheme="majorBidi" w:hAnsiTheme="majorBidi" w:cstheme="majorBidi"/>
        </w:rPr>
      </w:pPr>
      <w:r w:rsidRPr="00FE4678">
        <w:rPr>
          <w:rFonts w:asciiTheme="majorBidi" w:hAnsiTheme="majorBidi" w:cstheme="majorBidi"/>
        </w:rPr>
        <w:t>For policymakers, this study highlights the need to integrate adaptive legal frameworks with sector-specific governance models. For industry stakeholders, the findings underscore the importance of compliance readiness and participation in PPPs. For academia, the study provides a replicable framework for analyzing AI governance in emerging economies.</w:t>
      </w:r>
    </w:p>
    <w:p w14:paraId="2CE871C4" w14:textId="28824B24" w:rsidR="00714AD8" w:rsidRPr="001B60EE" w:rsidRDefault="00665BA0" w:rsidP="007F02B1">
      <w:pPr>
        <w:pStyle w:val="Heading2"/>
        <w:jc w:val="both"/>
        <w:rPr>
          <w:rFonts w:asciiTheme="majorBidi" w:hAnsiTheme="majorBidi"/>
        </w:rPr>
      </w:pPr>
      <w:r>
        <w:rPr>
          <w:rFonts w:asciiTheme="majorBidi" w:hAnsiTheme="majorBidi"/>
        </w:rPr>
        <w:t>4</w:t>
      </w:r>
      <w:r w:rsidR="00714AD8" w:rsidRPr="001B60EE">
        <w:rPr>
          <w:rFonts w:asciiTheme="majorBidi" w:hAnsiTheme="majorBidi"/>
        </w:rPr>
        <w:t>.4 Limitations</w:t>
      </w:r>
    </w:p>
    <w:p w14:paraId="6C613C13" w14:textId="77777777" w:rsidR="00714AD8" w:rsidRPr="001B60EE" w:rsidRDefault="00714AD8" w:rsidP="00CD702C">
      <w:pPr>
        <w:pStyle w:val="NormalWeb"/>
        <w:numPr>
          <w:ilvl w:val="0"/>
          <w:numId w:val="22"/>
        </w:numPr>
        <w:jc w:val="both"/>
        <w:rPr>
          <w:rFonts w:asciiTheme="majorBidi" w:hAnsiTheme="majorBidi" w:cstheme="majorBidi"/>
        </w:rPr>
      </w:pPr>
      <w:r w:rsidRPr="001B60EE">
        <w:rPr>
          <w:rFonts w:asciiTheme="majorBidi" w:hAnsiTheme="majorBidi" w:cstheme="majorBidi"/>
        </w:rPr>
        <w:t>Reliance on secondary data excludes informal governance practices.</w:t>
      </w:r>
    </w:p>
    <w:p w14:paraId="694A96DE" w14:textId="77777777" w:rsidR="00714AD8" w:rsidRPr="001B60EE" w:rsidRDefault="00714AD8" w:rsidP="00CD702C">
      <w:pPr>
        <w:pStyle w:val="NormalWeb"/>
        <w:numPr>
          <w:ilvl w:val="0"/>
          <w:numId w:val="22"/>
        </w:numPr>
        <w:jc w:val="both"/>
        <w:rPr>
          <w:rFonts w:asciiTheme="majorBidi" w:hAnsiTheme="majorBidi" w:cstheme="majorBidi"/>
        </w:rPr>
      </w:pPr>
      <w:r w:rsidRPr="001B60EE">
        <w:rPr>
          <w:rFonts w:asciiTheme="majorBidi" w:hAnsiTheme="majorBidi" w:cstheme="majorBidi"/>
        </w:rPr>
        <w:t>AI regulation evolves rapidly, making some findings time-sensitive.</w:t>
      </w:r>
    </w:p>
    <w:p w14:paraId="6D8AA720" w14:textId="77777777" w:rsidR="00714AD8" w:rsidRPr="001B60EE" w:rsidRDefault="00714AD8" w:rsidP="00CD702C">
      <w:pPr>
        <w:pStyle w:val="NormalWeb"/>
        <w:numPr>
          <w:ilvl w:val="0"/>
          <w:numId w:val="22"/>
        </w:numPr>
        <w:jc w:val="both"/>
        <w:rPr>
          <w:rFonts w:asciiTheme="majorBidi" w:hAnsiTheme="majorBidi" w:cstheme="majorBidi"/>
        </w:rPr>
      </w:pPr>
      <w:r w:rsidRPr="001B60EE">
        <w:rPr>
          <w:rFonts w:asciiTheme="majorBidi" w:hAnsiTheme="majorBidi" w:cstheme="majorBidi"/>
        </w:rPr>
        <w:t>The focus on seven core studies may limit generalizability.</w:t>
      </w:r>
    </w:p>
    <w:p w14:paraId="7B3A66B7" w14:textId="77777777" w:rsidR="00714AD8" w:rsidRPr="001B60EE" w:rsidRDefault="00714AD8" w:rsidP="00CD702C">
      <w:pPr>
        <w:pStyle w:val="NormalWeb"/>
        <w:numPr>
          <w:ilvl w:val="0"/>
          <w:numId w:val="22"/>
        </w:numPr>
        <w:jc w:val="both"/>
        <w:rPr>
          <w:rFonts w:asciiTheme="majorBidi" w:hAnsiTheme="majorBidi" w:cstheme="majorBidi"/>
        </w:rPr>
      </w:pPr>
      <w:r w:rsidRPr="001B60EE">
        <w:rPr>
          <w:rFonts w:asciiTheme="majorBidi" w:hAnsiTheme="majorBidi" w:cstheme="majorBidi"/>
        </w:rPr>
        <w:t>Arabic-only sources were excluded, narrowing the scope.</w:t>
      </w:r>
    </w:p>
    <w:p w14:paraId="2F478655" w14:textId="216A01C0" w:rsidR="00714AD8" w:rsidRPr="001B60EE" w:rsidRDefault="00665BA0" w:rsidP="007F02B1">
      <w:pPr>
        <w:pStyle w:val="Heading2"/>
        <w:jc w:val="both"/>
        <w:rPr>
          <w:rFonts w:asciiTheme="majorBidi" w:hAnsiTheme="majorBidi"/>
        </w:rPr>
      </w:pPr>
      <w:r>
        <w:rPr>
          <w:rFonts w:asciiTheme="majorBidi" w:hAnsiTheme="majorBidi"/>
        </w:rPr>
        <w:t>4</w:t>
      </w:r>
      <w:r w:rsidR="00714AD8" w:rsidRPr="001B60EE">
        <w:rPr>
          <w:rFonts w:asciiTheme="majorBidi" w:hAnsiTheme="majorBidi"/>
        </w:rPr>
        <w:t>.</w:t>
      </w:r>
      <w:r w:rsidR="00FE4678">
        <w:rPr>
          <w:rFonts w:asciiTheme="majorBidi" w:hAnsiTheme="majorBidi"/>
        </w:rPr>
        <w:t>5</w:t>
      </w:r>
      <w:r w:rsidR="00714AD8" w:rsidRPr="001B60EE">
        <w:rPr>
          <w:rFonts w:asciiTheme="majorBidi" w:hAnsiTheme="majorBidi"/>
        </w:rPr>
        <w:t xml:space="preserve"> Future Research Directions</w:t>
      </w:r>
    </w:p>
    <w:p w14:paraId="24F00440" w14:textId="1DDBCF9E" w:rsidR="00FE4678" w:rsidRDefault="00FE4678" w:rsidP="00FE4678">
      <w:pPr>
        <w:pStyle w:val="NormalWeb"/>
        <w:numPr>
          <w:ilvl w:val="0"/>
          <w:numId w:val="22"/>
        </w:numPr>
        <w:jc w:val="both"/>
      </w:pPr>
      <w:r>
        <w:rPr>
          <w:rStyle w:val="Strong"/>
        </w:rPr>
        <w:t>Empirical Case Studies</w:t>
      </w:r>
      <w:r>
        <w:t>: Examine how AI adoption unfolds in Saudi public and private sectors, with attention to sector-specific challenges and successes.</w:t>
      </w:r>
    </w:p>
    <w:p w14:paraId="26DFDBCD" w14:textId="14B8AB8E" w:rsidR="00FE4678" w:rsidRDefault="00FE4678" w:rsidP="00FE4678">
      <w:pPr>
        <w:pStyle w:val="NormalWeb"/>
        <w:numPr>
          <w:ilvl w:val="0"/>
          <w:numId w:val="22"/>
        </w:numPr>
        <w:jc w:val="both"/>
      </w:pPr>
      <w:r>
        <w:rPr>
          <w:rStyle w:val="Strong"/>
        </w:rPr>
        <w:lastRenderedPageBreak/>
        <w:t>Comparative Analysis</w:t>
      </w:r>
      <w:r>
        <w:t xml:space="preserve">: Investigate Vision-driven nations such as the UAE, Singapore, and South Korea, with particular focus on how </w:t>
      </w:r>
      <w:r>
        <w:rPr>
          <w:rStyle w:val="Strong"/>
        </w:rPr>
        <w:t>hybrid sovereignty models</w:t>
      </w:r>
      <w:r>
        <w:t xml:space="preserve"> balance privacy protection and innovation enablement.</w:t>
      </w:r>
    </w:p>
    <w:p w14:paraId="75000510" w14:textId="0B9A212F" w:rsidR="00FE4678" w:rsidRDefault="00FE4678" w:rsidP="00FE4678">
      <w:pPr>
        <w:pStyle w:val="NormalWeb"/>
        <w:numPr>
          <w:ilvl w:val="0"/>
          <w:numId w:val="22"/>
        </w:numPr>
        <w:jc w:val="both"/>
      </w:pPr>
      <w:r>
        <w:rPr>
          <w:rStyle w:val="Strong"/>
        </w:rPr>
        <w:t>Economic Modeling</w:t>
      </w:r>
      <w:r>
        <w:t xml:space="preserve">: Assess the economic impact of AI adoption under different </w:t>
      </w:r>
      <w:proofErr w:type="gramStart"/>
      <w:r>
        <w:t>policy</w:t>
      </w:r>
      <w:proofErr w:type="gramEnd"/>
      <w:r>
        <w:t xml:space="preserve"> and regulatory scenarios to quantify costs, risks, and benefits.</w:t>
      </w:r>
    </w:p>
    <w:p w14:paraId="1CCF1C7E" w14:textId="32F7BD33" w:rsidR="00FE4678" w:rsidRDefault="00FE4678" w:rsidP="00FE4678">
      <w:pPr>
        <w:pStyle w:val="NormalWeb"/>
        <w:numPr>
          <w:ilvl w:val="0"/>
          <w:numId w:val="22"/>
        </w:numPr>
        <w:jc w:val="both"/>
      </w:pPr>
      <w:r>
        <w:rPr>
          <w:rStyle w:val="Strong"/>
        </w:rPr>
        <w:t>Public Perception Studies</w:t>
      </w:r>
      <w:r>
        <w:t>: Explore societal trust, awareness, and acceptance of AI and data sovereignty frameworks through surveys and citizen-engagement research.</w:t>
      </w:r>
    </w:p>
    <w:p w14:paraId="5084D3FB" w14:textId="65221F0C" w:rsidR="00FE4678" w:rsidRDefault="00FE4678" w:rsidP="00FE4678">
      <w:pPr>
        <w:pStyle w:val="NormalWeb"/>
        <w:numPr>
          <w:ilvl w:val="0"/>
          <w:numId w:val="22"/>
        </w:numPr>
        <w:jc w:val="both"/>
      </w:pPr>
      <w:r>
        <w:rPr>
          <w:rStyle w:val="Strong"/>
        </w:rPr>
        <w:t>International Collaboration Frameworks</w:t>
      </w:r>
      <w:r>
        <w:t>: Analyze mechanisms for cross-border data governance that allow Saudi Arabia to participate in global AI ecosystems while maintaining sovereignty.</w:t>
      </w:r>
    </w:p>
    <w:p w14:paraId="51A09719" w14:textId="60F16B46" w:rsidR="00714AD8" w:rsidRPr="001B60EE" w:rsidRDefault="00665BA0" w:rsidP="007F02B1">
      <w:pPr>
        <w:pStyle w:val="Heading2"/>
        <w:jc w:val="both"/>
        <w:rPr>
          <w:rFonts w:asciiTheme="majorBidi" w:hAnsiTheme="majorBidi"/>
        </w:rPr>
      </w:pPr>
      <w:r>
        <w:rPr>
          <w:rFonts w:asciiTheme="majorBidi" w:hAnsiTheme="majorBidi"/>
        </w:rPr>
        <w:t>4</w:t>
      </w:r>
      <w:r w:rsidR="00714AD8" w:rsidRPr="001B60EE">
        <w:rPr>
          <w:rFonts w:asciiTheme="majorBidi" w:hAnsiTheme="majorBidi"/>
        </w:rPr>
        <w:t>.</w:t>
      </w:r>
      <w:r w:rsidR="00FE4678">
        <w:rPr>
          <w:rFonts w:asciiTheme="majorBidi" w:hAnsiTheme="majorBidi"/>
        </w:rPr>
        <w:t>6</w:t>
      </w:r>
      <w:r w:rsidR="00714AD8" w:rsidRPr="001B60EE">
        <w:rPr>
          <w:rFonts w:asciiTheme="majorBidi" w:hAnsiTheme="majorBidi"/>
        </w:rPr>
        <w:t xml:space="preserve"> </w:t>
      </w:r>
      <w:r w:rsidR="00401155">
        <w:rPr>
          <w:rFonts w:asciiTheme="majorBidi" w:hAnsiTheme="majorBidi"/>
        </w:rPr>
        <w:t>Summary</w:t>
      </w:r>
    </w:p>
    <w:p w14:paraId="18D18D1A" w14:textId="6AFEF6D0" w:rsidR="00714AD8" w:rsidRDefault="00714AD8" w:rsidP="007F02B1">
      <w:pPr>
        <w:pStyle w:val="NormalWeb"/>
        <w:jc w:val="both"/>
        <w:rPr>
          <w:rFonts w:asciiTheme="majorBidi" w:hAnsiTheme="majorBidi" w:cstheme="majorBidi"/>
        </w:rPr>
      </w:pPr>
      <w:r w:rsidRPr="001B60EE">
        <w:rPr>
          <w:rFonts w:asciiTheme="majorBidi" w:hAnsiTheme="majorBidi" w:cstheme="majorBidi"/>
        </w:rPr>
        <w:t>The study concludes that sovereign data ecosystems—when supported by adaptive laws, institutional maturity, and inclusive engagement—can catalyze Saudi Arabia’s Vision 2030 goals. Data sovereignty should be understood not as a restriction, but as a framework for trust, compliance, and innovation [61,62].</w:t>
      </w:r>
      <w:r w:rsidR="00FE4678">
        <w:rPr>
          <w:rFonts w:asciiTheme="majorBidi" w:hAnsiTheme="majorBidi" w:cstheme="majorBidi"/>
        </w:rPr>
        <w:t xml:space="preserve"> </w:t>
      </w:r>
      <w:r w:rsidR="00FE4678" w:rsidRPr="00FE4678">
        <w:rPr>
          <w:rFonts w:asciiTheme="majorBidi" w:hAnsiTheme="majorBidi" w:cstheme="majorBidi"/>
        </w:rPr>
        <w:t>Finally, the recommendations provided in this study directly respond to the identified research gaps and objectives. By addressing legal, institutional, and societal dimensions, the study ensures coherence between challenges and proposed reforms. Ultimately, data sovereignty should be embraced as a framework for trust, compliance, and innovation, enabling Saudi Arabia to achieve its Vision 2030 ambitions.</w:t>
      </w:r>
    </w:p>
    <w:p w14:paraId="26A4A1E2" w14:textId="4598A267" w:rsidR="00FE4678" w:rsidRPr="00FE4678" w:rsidRDefault="00FE4678" w:rsidP="00FE4678">
      <w:pPr>
        <w:pStyle w:val="Heading1"/>
      </w:pPr>
      <w:r w:rsidRPr="00FE4678">
        <w:t xml:space="preserve">Appendix: </w:t>
      </w:r>
    </w:p>
    <w:p w14:paraId="062B5FAD" w14:textId="77777777" w:rsidR="00FE4678" w:rsidRPr="00FE4678" w:rsidRDefault="00FE4678" w:rsidP="00FE4678">
      <w:pPr>
        <w:pStyle w:val="Heading2"/>
        <w:jc w:val="both"/>
        <w:rPr>
          <w:rFonts w:asciiTheme="majorBidi" w:hAnsiTheme="majorBidi"/>
        </w:rPr>
      </w:pPr>
      <w:r w:rsidRPr="00FE4678">
        <w:rPr>
          <w:rFonts w:asciiTheme="majorBidi" w:hAnsiTheme="majorBidi"/>
        </w:rPr>
        <w:t>Definition of Key Terms</w:t>
      </w:r>
    </w:p>
    <w:p w14:paraId="49021A55" w14:textId="77777777" w:rsidR="00FE4678" w:rsidRDefault="00FE4678" w:rsidP="00FE4678">
      <w:pPr>
        <w:pStyle w:val="NormalWeb"/>
        <w:numPr>
          <w:ilvl w:val="0"/>
          <w:numId w:val="37"/>
        </w:numPr>
      </w:pPr>
      <w:r>
        <w:rPr>
          <w:rStyle w:val="Strong"/>
        </w:rPr>
        <w:t>Artificial Intelligence (AI):</w:t>
      </w:r>
      <w:r>
        <w:br/>
        <w:t>The field of computer science focused on creating systems capable of performing tasks that normally require human intelligence, such as reasoning, learning, and decision-making.</w:t>
      </w:r>
    </w:p>
    <w:p w14:paraId="70B90857" w14:textId="77777777" w:rsidR="00FE4678" w:rsidRDefault="00FE4678" w:rsidP="00FE4678">
      <w:pPr>
        <w:pStyle w:val="NormalWeb"/>
        <w:numPr>
          <w:ilvl w:val="0"/>
          <w:numId w:val="37"/>
        </w:numPr>
      </w:pPr>
      <w:r>
        <w:rPr>
          <w:rStyle w:val="Strong"/>
        </w:rPr>
        <w:t>Generative AI:</w:t>
      </w:r>
      <w:r>
        <w:br/>
        <w:t>A subset of AI technologies that can generate new content (e.g., text, images, audio, or code) by learning from large datasets. Examples include large language models and generative adversarial networks (GANs).</w:t>
      </w:r>
    </w:p>
    <w:p w14:paraId="0581ED2B" w14:textId="77777777" w:rsidR="00FE4678" w:rsidRDefault="00FE4678" w:rsidP="00FE4678">
      <w:pPr>
        <w:pStyle w:val="NormalWeb"/>
        <w:numPr>
          <w:ilvl w:val="0"/>
          <w:numId w:val="37"/>
        </w:numPr>
      </w:pPr>
      <w:r>
        <w:rPr>
          <w:rStyle w:val="Strong"/>
        </w:rPr>
        <w:t>Data Sovereignty:</w:t>
      </w:r>
      <w:r>
        <w:br/>
        <w:t>The principle that digital data is subject to the laws and governance structures of the nation where it is collected, stored, or processed. In this study, it refers to Saudi Arabia’s ability to regulate, protect, and utilize data in alignment with national policies.</w:t>
      </w:r>
    </w:p>
    <w:p w14:paraId="64742BF6" w14:textId="77777777" w:rsidR="00FE4678" w:rsidRDefault="00FE4678" w:rsidP="00FE4678">
      <w:pPr>
        <w:pStyle w:val="NormalWeb"/>
        <w:numPr>
          <w:ilvl w:val="0"/>
          <w:numId w:val="37"/>
        </w:numPr>
      </w:pPr>
      <w:r>
        <w:rPr>
          <w:rStyle w:val="Strong"/>
        </w:rPr>
        <w:t>Data Governance:</w:t>
      </w:r>
      <w:r>
        <w:br/>
        <w:t>The frameworks, policies, and institutional mechanisms that ensure the secure, ethical, and effective management of data throughout its lifecycle, including collection, storage, sharing, and usage.</w:t>
      </w:r>
    </w:p>
    <w:p w14:paraId="57C7760D" w14:textId="77777777" w:rsidR="00FE4678" w:rsidRDefault="00FE4678" w:rsidP="00FE4678">
      <w:pPr>
        <w:pStyle w:val="NormalWeb"/>
        <w:numPr>
          <w:ilvl w:val="0"/>
          <w:numId w:val="37"/>
        </w:numPr>
      </w:pPr>
      <w:r>
        <w:rPr>
          <w:rStyle w:val="Strong"/>
        </w:rPr>
        <w:t>Vision 2030:</w:t>
      </w:r>
      <w:r>
        <w:br/>
        <w:t xml:space="preserve">Saudi Arabia’s national development strategy launched in 2016, aimed at economic </w:t>
      </w:r>
      <w:r>
        <w:lastRenderedPageBreak/>
        <w:t>diversification, technological innovation, and the creation of a knowledge-based economy.</w:t>
      </w:r>
    </w:p>
    <w:p w14:paraId="1A08A9F7" w14:textId="77777777" w:rsidR="00FE4678" w:rsidRDefault="00FE4678" w:rsidP="00FE4678">
      <w:pPr>
        <w:pStyle w:val="NormalWeb"/>
        <w:numPr>
          <w:ilvl w:val="0"/>
          <w:numId w:val="37"/>
        </w:numPr>
      </w:pPr>
      <w:r>
        <w:rPr>
          <w:rStyle w:val="Strong"/>
        </w:rPr>
        <w:t>Personal Data Protection Law (PDPL):</w:t>
      </w:r>
      <w:r>
        <w:br/>
        <w:t>Saudi Arabia’s primary legal framework governing personal data protection, broadly aligned with the European Union’s GDPR, but adapted to the national context.</w:t>
      </w:r>
    </w:p>
    <w:p w14:paraId="596D2905" w14:textId="77777777" w:rsidR="00FE4678" w:rsidRDefault="00FE4678" w:rsidP="00FE4678">
      <w:pPr>
        <w:pStyle w:val="NormalWeb"/>
        <w:numPr>
          <w:ilvl w:val="0"/>
          <w:numId w:val="37"/>
        </w:numPr>
      </w:pPr>
      <w:r>
        <w:rPr>
          <w:rStyle w:val="Strong"/>
        </w:rPr>
        <w:t>Saudi Data and Artificial Intelligence Authority (SDAIA):</w:t>
      </w:r>
      <w:r>
        <w:br/>
        <w:t>A national institution responsible for AI governance, data management, and implementation of the National Strategy for Data and AI (NSDAI).</w:t>
      </w:r>
    </w:p>
    <w:p w14:paraId="4BCB78D0" w14:textId="77777777" w:rsidR="00FE4678" w:rsidRDefault="00FE4678" w:rsidP="00FE4678">
      <w:pPr>
        <w:pStyle w:val="NormalWeb"/>
        <w:numPr>
          <w:ilvl w:val="0"/>
          <w:numId w:val="37"/>
        </w:numPr>
      </w:pPr>
      <w:r>
        <w:rPr>
          <w:rStyle w:val="Strong"/>
        </w:rPr>
        <w:t>National Data Management Office (NDMO):</w:t>
      </w:r>
      <w:r>
        <w:br/>
        <w:t>A regulatory body under SDAIA tasked with setting standards and policies for data classification, interoperability, and governance in Saudi Arabia.</w:t>
      </w:r>
    </w:p>
    <w:p w14:paraId="57E68ECA" w14:textId="77777777" w:rsidR="00FE4678" w:rsidRDefault="00FE4678" w:rsidP="00FE4678">
      <w:pPr>
        <w:pStyle w:val="NormalWeb"/>
        <w:numPr>
          <w:ilvl w:val="0"/>
          <w:numId w:val="37"/>
        </w:numPr>
      </w:pPr>
      <w:r>
        <w:rPr>
          <w:rStyle w:val="Strong"/>
        </w:rPr>
        <w:t>National Strategy for Data and AI (NSDAI):</w:t>
      </w:r>
      <w:r>
        <w:br/>
        <w:t>A policy framework launched to accelerate Saudi Arabia’s adoption of AI, support digital transformation, and achieve Vision 2030 innovation goals.</w:t>
      </w:r>
    </w:p>
    <w:p w14:paraId="4300C34F" w14:textId="77777777" w:rsidR="00FE4678" w:rsidRDefault="00FE4678" w:rsidP="00FE4678">
      <w:pPr>
        <w:pStyle w:val="NormalWeb"/>
        <w:numPr>
          <w:ilvl w:val="0"/>
          <w:numId w:val="37"/>
        </w:numPr>
      </w:pPr>
      <w:r>
        <w:rPr>
          <w:rStyle w:val="Strong"/>
        </w:rPr>
        <w:t>HIPAA (Health Insurance Portability and Accountability Act):</w:t>
      </w:r>
      <w:r>
        <w:br/>
        <w:t>A U.S. regulatory framework for the confidentiality and security of health data, used in this study as a benchmark for Saudi Arabia’s health-sector data governance.</w:t>
      </w:r>
    </w:p>
    <w:p w14:paraId="0F518512" w14:textId="77777777" w:rsidR="00FE4678" w:rsidRDefault="00FE4678" w:rsidP="00FE4678">
      <w:pPr>
        <w:pStyle w:val="NormalWeb"/>
        <w:numPr>
          <w:ilvl w:val="0"/>
          <w:numId w:val="37"/>
        </w:numPr>
      </w:pPr>
      <w:r>
        <w:rPr>
          <w:rStyle w:val="Strong"/>
        </w:rPr>
        <w:t>GDPR (General Data Protection Regulation):</w:t>
      </w:r>
      <w:r>
        <w:br/>
        <w:t>The European Union’s data protection law, emphasizing individual privacy rights, lawful data processing, and cross-border data transfer regulations.</w:t>
      </w:r>
    </w:p>
    <w:p w14:paraId="456AAF13" w14:textId="77777777" w:rsidR="00FE4678" w:rsidRDefault="00FE4678" w:rsidP="00FE4678">
      <w:pPr>
        <w:pStyle w:val="NormalWeb"/>
        <w:numPr>
          <w:ilvl w:val="0"/>
          <w:numId w:val="37"/>
        </w:numPr>
      </w:pPr>
      <w:r>
        <w:rPr>
          <w:rStyle w:val="Strong"/>
        </w:rPr>
        <w:t>Public–Private Partnerships (PPPs):</w:t>
      </w:r>
      <w:r>
        <w:br/>
        <w:t>Collaborative arrangements between government institutions and private sector entities, designed to facilitate lawful and innovative access to data for AI development.</w:t>
      </w:r>
    </w:p>
    <w:p w14:paraId="28CB33D6" w14:textId="77777777" w:rsidR="00FE4678" w:rsidRDefault="00FE4678" w:rsidP="00FE4678">
      <w:pPr>
        <w:pStyle w:val="NormalWeb"/>
        <w:numPr>
          <w:ilvl w:val="0"/>
          <w:numId w:val="37"/>
        </w:numPr>
      </w:pPr>
      <w:r>
        <w:rPr>
          <w:rStyle w:val="Strong"/>
        </w:rPr>
        <w:t>AI Readiness:</w:t>
      </w:r>
      <w:r>
        <w:br/>
        <w:t>The extent to which a nation’s infrastructure, policies, workforce, and institutions are prepared to adopt, implement, and scale artificial intelligence technologies.</w:t>
      </w:r>
    </w:p>
    <w:p w14:paraId="680BDA68" w14:textId="5E9D0DB1" w:rsidR="00FE4678" w:rsidRPr="00FE4678" w:rsidRDefault="00FE4678" w:rsidP="00FE4678">
      <w:pPr>
        <w:pStyle w:val="NormalWeb"/>
        <w:numPr>
          <w:ilvl w:val="0"/>
          <w:numId w:val="37"/>
        </w:numPr>
      </w:pPr>
      <w:r>
        <w:rPr>
          <w:rStyle w:val="Strong"/>
        </w:rPr>
        <w:t>Innovation System (National Innovation System – NIS):</w:t>
      </w:r>
      <w:r>
        <w:br/>
        <w:t>A theoretical framework explaining how institutions, policies, and governance structures collectively foster technological innovation and economic growth.</w:t>
      </w:r>
    </w:p>
    <w:p w14:paraId="2E9D2459" w14:textId="77777777" w:rsidR="00714AD8" w:rsidRPr="001B60EE" w:rsidRDefault="00714AD8" w:rsidP="007F02B1">
      <w:pPr>
        <w:pStyle w:val="Heading1"/>
        <w:jc w:val="both"/>
        <w:rPr>
          <w:rFonts w:asciiTheme="majorBidi" w:hAnsiTheme="majorBidi"/>
        </w:rPr>
      </w:pPr>
      <w:r w:rsidRPr="001B60EE">
        <w:rPr>
          <w:rStyle w:val="Strong"/>
          <w:rFonts w:asciiTheme="majorBidi" w:hAnsiTheme="majorBidi"/>
          <w:b/>
          <w:bCs/>
        </w:rPr>
        <w:t>Disclaimer</w:t>
      </w:r>
    </w:p>
    <w:p w14:paraId="5D882453" w14:textId="77777777" w:rsidR="00714AD8" w:rsidRPr="001B60EE" w:rsidRDefault="00714AD8" w:rsidP="007F02B1">
      <w:pPr>
        <w:pStyle w:val="NormalWeb"/>
        <w:jc w:val="both"/>
        <w:rPr>
          <w:rFonts w:asciiTheme="majorBidi" w:hAnsiTheme="majorBidi" w:cstheme="majorBidi"/>
        </w:rPr>
      </w:pPr>
      <w:r w:rsidRPr="001B60EE">
        <w:rPr>
          <w:rFonts w:asciiTheme="majorBidi" w:hAnsiTheme="majorBidi" w:cstheme="majorBidi"/>
        </w:rPr>
        <w:t>This article is an extended version of a preprint authored by the same researcher, available at:</w:t>
      </w:r>
      <w:r w:rsidRPr="001B60EE">
        <w:rPr>
          <w:rFonts w:asciiTheme="majorBidi" w:hAnsiTheme="majorBidi" w:cstheme="majorBidi"/>
        </w:rPr>
        <w:br/>
      </w:r>
      <w:hyperlink r:id="rId17" w:tgtFrame="_new" w:history="1">
        <w:proofErr w:type="spellStart"/>
        <w:r w:rsidRPr="001B60EE">
          <w:rPr>
            <w:rStyle w:val="Hyperlink"/>
            <w:rFonts w:asciiTheme="majorBidi" w:hAnsiTheme="majorBidi" w:cstheme="majorBidi"/>
          </w:rPr>
          <w:t>TechRxiv</w:t>
        </w:r>
        <w:proofErr w:type="spellEnd"/>
        <w:r w:rsidRPr="001B60EE">
          <w:rPr>
            <w:rStyle w:val="Hyperlink"/>
            <w:rFonts w:asciiTheme="majorBidi" w:hAnsiTheme="majorBidi" w:cstheme="majorBidi"/>
          </w:rPr>
          <w:t xml:space="preserve"> Preprint</w:t>
        </w:r>
      </w:hyperlink>
      <w:r w:rsidRPr="001B60EE">
        <w:rPr>
          <w:rFonts w:asciiTheme="majorBidi" w:hAnsiTheme="majorBidi" w:cstheme="majorBidi"/>
        </w:rPr>
        <w:t>.</w:t>
      </w:r>
    </w:p>
    <w:p w14:paraId="4AE6749F" w14:textId="77777777" w:rsidR="00714AD8" w:rsidRPr="001B60EE" w:rsidRDefault="00714AD8" w:rsidP="007F02B1">
      <w:pPr>
        <w:pStyle w:val="Heading1"/>
        <w:jc w:val="both"/>
        <w:rPr>
          <w:rFonts w:asciiTheme="majorBidi" w:hAnsiTheme="majorBidi"/>
        </w:rPr>
      </w:pPr>
      <w:r w:rsidRPr="001B60EE">
        <w:rPr>
          <w:rStyle w:val="Strong"/>
          <w:rFonts w:asciiTheme="majorBidi" w:hAnsiTheme="majorBidi"/>
          <w:b/>
          <w:bCs/>
        </w:rPr>
        <w:t>Generative AI Statement</w:t>
      </w:r>
    </w:p>
    <w:p w14:paraId="0614C3E5" w14:textId="77777777" w:rsidR="00714AD8" w:rsidRPr="001B60EE" w:rsidRDefault="00714AD8" w:rsidP="007F02B1">
      <w:pPr>
        <w:pStyle w:val="NormalWeb"/>
        <w:jc w:val="both"/>
        <w:rPr>
          <w:rFonts w:asciiTheme="majorBidi" w:hAnsiTheme="majorBidi" w:cstheme="majorBidi"/>
        </w:rPr>
      </w:pPr>
      <w:r w:rsidRPr="001B60EE">
        <w:rPr>
          <w:rFonts w:asciiTheme="majorBidi" w:hAnsiTheme="majorBidi" w:cstheme="majorBidi"/>
        </w:rPr>
        <w:t>Generative AI (ChatGPT, GPT-5, OpenAI) was used for language refinement, paraphrasing, and improving structural flow. No AI was used for generating data or analysis.</w:t>
      </w:r>
    </w:p>
    <w:p w14:paraId="65ABCA48" w14:textId="77777777" w:rsidR="00714AD8" w:rsidRPr="001B60EE" w:rsidRDefault="00714AD8" w:rsidP="007F02B1">
      <w:pPr>
        <w:pStyle w:val="Heading1"/>
        <w:jc w:val="both"/>
        <w:rPr>
          <w:rFonts w:asciiTheme="majorBidi" w:hAnsiTheme="majorBidi"/>
        </w:rPr>
      </w:pPr>
      <w:r w:rsidRPr="001B60EE">
        <w:rPr>
          <w:rStyle w:val="Strong"/>
          <w:rFonts w:asciiTheme="majorBidi" w:hAnsiTheme="majorBidi"/>
          <w:b/>
          <w:bCs/>
        </w:rPr>
        <w:t>Competing Interests</w:t>
      </w:r>
    </w:p>
    <w:p w14:paraId="195ECDF6" w14:textId="16DDFF7B" w:rsidR="00445F7A" w:rsidRPr="001B60EE" w:rsidRDefault="00714AD8" w:rsidP="00FE4678">
      <w:pPr>
        <w:pStyle w:val="NormalWeb"/>
        <w:jc w:val="both"/>
        <w:rPr>
          <w:rFonts w:asciiTheme="majorBidi" w:hAnsiTheme="majorBidi" w:cstheme="majorBidi"/>
        </w:rPr>
      </w:pPr>
      <w:r w:rsidRPr="001B60EE">
        <w:rPr>
          <w:rFonts w:asciiTheme="majorBidi" w:hAnsiTheme="majorBidi" w:cstheme="majorBidi"/>
        </w:rPr>
        <w:t>The author declares no competing interests.</w:t>
      </w:r>
    </w:p>
    <w:p w14:paraId="576C35FB" w14:textId="77777777" w:rsidR="00EC00F9" w:rsidRPr="001B60EE" w:rsidRDefault="00CD702C" w:rsidP="007F02B1">
      <w:pPr>
        <w:pStyle w:val="Heading1"/>
        <w:jc w:val="both"/>
        <w:rPr>
          <w:rFonts w:asciiTheme="majorBidi" w:hAnsiTheme="majorBidi"/>
        </w:rPr>
      </w:pPr>
      <w:bookmarkStart w:id="0" w:name="references"/>
      <w:r w:rsidRPr="001B60EE">
        <w:rPr>
          <w:rFonts w:asciiTheme="majorBidi" w:hAnsiTheme="majorBidi"/>
        </w:rPr>
        <w:lastRenderedPageBreak/>
        <w:t>References</w:t>
      </w:r>
      <w:bookmarkEnd w:id="0"/>
    </w:p>
    <w:p w14:paraId="5171440F" w14:textId="43BEA787" w:rsidR="00FE4678" w:rsidRDefault="00FE4678" w:rsidP="00FE4678">
      <w:pPr>
        <w:pStyle w:val="NormalWeb"/>
        <w:numPr>
          <w:ilvl w:val="0"/>
          <w:numId w:val="38"/>
        </w:numPr>
        <w:jc w:val="both"/>
      </w:pPr>
      <w:r>
        <w:t xml:space="preserve">Kuner, C. (2021). Data sovereignty and cross-border flows: Legal frameworks and challenges. </w:t>
      </w:r>
      <w:r>
        <w:rPr>
          <w:rStyle w:val="Emphasis"/>
        </w:rPr>
        <w:t>International Data Privacy Law, 11</w:t>
      </w:r>
      <w:r>
        <w:t>(4), 305–318.</w:t>
      </w:r>
    </w:p>
    <w:p w14:paraId="014CC6EC" w14:textId="042DC20F" w:rsidR="00FE4678" w:rsidRDefault="00FE4678" w:rsidP="00FE4678">
      <w:pPr>
        <w:pStyle w:val="NormalWeb"/>
        <w:numPr>
          <w:ilvl w:val="0"/>
          <w:numId w:val="38"/>
        </w:numPr>
        <w:jc w:val="both"/>
      </w:pPr>
      <w:r>
        <w:t xml:space="preserve">Zhang, Y., &amp; Chen, X. (2022). Global perspectives on data sovereignty in the age of AI. </w:t>
      </w:r>
      <w:r>
        <w:rPr>
          <w:rStyle w:val="Emphasis"/>
        </w:rPr>
        <w:t>Journal of Information Policy, 12</w:t>
      </w:r>
      <w:r>
        <w:t>(3), 45–63.</w:t>
      </w:r>
    </w:p>
    <w:p w14:paraId="79780C8B" w14:textId="6A7A6F05" w:rsidR="00FE4678" w:rsidRDefault="00FE4678" w:rsidP="00FE4678">
      <w:pPr>
        <w:pStyle w:val="NormalWeb"/>
        <w:numPr>
          <w:ilvl w:val="0"/>
          <w:numId w:val="38"/>
        </w:numPr>
        <w:jc w:val="both"/>
      </w:pPr>
      <w:r>
        <w:t xml:space="preserve">Greenleaf, G. (2020). Comparative study of data protection laws: Trends and implications. </w:t>
      </w:r>
      <w:r>
        <w:rPr>
          <w:rStyle w:val="Emphasis"/>
        </w:rPr>
        <w:t>Computer Law &amp; Security Review, 36</w:t>
      </w:r>
      <w:r>
        <w:t>(4), 105421.</w:t>
      </w:r>
    </w:p>
    <w:p w14:paraId="0D863546" w14:textId="76020E25" w:rsidR="00FE4678" w:rsidRDefault="00FE4678" w:rsidP="00FE4678">
      <w:pPr>
        <w:pStyle w:val="NormalWeb"/>
        <w:numPr>
          <w:ilvl w:val="0"/>
          <w:numId w:val="38"/>
        </w:numPr>
        <w:jc w:val="both"/>
      </w:pPr>
      <w:r>
        <w:t xml:space="preserve">Government of Saudi Arabia. (2016). </w:t>
      </w:r>
      <w:r>
        <w:rPr>
          <w:rStyle w:val="Emphasis"/>
        </w:rPr>
        <w:t>Saudi Vision 2030</w:t>
      </w:r>
      <w:r>
        <w:t>. Riyadh: Council of Economic and Development Affairs.</w:t>
      </w:r>
    </w:p>
    <w:p w14:paraId="70B67859" w14:textId="47E5A0E5" w:rsidR="00FE4678" w:rsidRDefault="00FE4678" w:rsidP="00FE4678">
      <w:pPr>
        <w:pStyle w:val="NormalWeb"/>
        <w:numPr>
          <w:ilvl w:val="0"/>
          <w:numId w:val="38"/>
        </w:numPr>
        <w:jc w:val="both"/>
      </w:pPr>
      <w:r>
        <w:t xml:space="preserve">Saudi Data and Artificial Intelligence Authority (SDAIA). (2020). </w:t>
      </w:r>
      <w:r>
        <w:rPr>
          <w:rStyle w:val="Emphasis"/>
        </w:rPr>
        <w:t>National Strategy for Data and Artificial Intelligence (NSDAI)</w:t>
      </w:r>
      <w:r>
        <w:t>. Riyadh: SDAIA.</w:t>
      </w:r>
    </w:p>
    <w:p w14:paraId="2333D7D5" w14:textId="4F5A49FB" w:rsidR="00FE4678" w:rsidRDefault="00FE4678" w:rsidP="00FE4678">
      <w:pPr>
        <w:pStyle w:val="NormalWeb"/>
        <w:numPr>
          <w:ilvl w:val="0"/>
          <w:numId w:val="38"/>
        </w:numPr>
        <w:jc w:val="both"/>
      </w:pPr>
      <w:r>
        <w:t xml:space="preserve">National Data Management Office (NDMO). (2021). </w:t>
      </w:r>
      <w:r>
        <w:rPr>
          <w:rStyle w:val="Emphasis"/>
        </w:rPr>
        <w:t>Data Management and Governance Framework</w:t>
      </w:r>
      <w:r>
        <w:t>. Riyadh: NDMO.</w:t>
      </w:r>
    </w:p>
    <w:p w14:paraId="16EBD6A1" w14:textId="55D50563" w:rsidR="00FE4678" w:rsidRDefault="00FE4678" w:rsidP="00FE4678">
      <w:pPr>
        <w:pStyle w:val="NormalWeb"/>
        <w:numPr>
          <w:ilvl w:val="0"/>
          <w:numId w:val="38"/>
        </w:numPr>
        <w:jc w:val="both"/>
      </w:pPr>
      <w:proofErr w:type="spellStart"/>
      <w:r>
        <w:t>Floridi</w:t>
      </w:r>
      <w:proofErr w:type="spellEnd"/>
      <w:r>
        <w:t xml:space="preserve">, L., &amp; </w:t>
      </w:r>
      <w:proofErr w:type="spellStart"/>
      <w:r>
        <w:t>Chiriatti</w:t>
      </w:r>
      <w:proofErr w:type="spellEnd"/>
      <w:r>
        <w:t xml:space="preserve">, M. (2020). GPT and generative AI: Critical implications. </w:t>
      </w:r>
      <w:r>
        <w:rPr>
          <w:rStyle w:val="Emphasis"/>
        </w:rPr>
        <w:t>Philosophy &amp; Technology, 33</w:t>
      </w:r>
      <w:r>
        <w:t>(1), 1–15.</w:t>
      </w:r>
    </w:p>
    <w:p w14:paraId="7095A691" w14:textId="683C93AF" w:rsidR="00FE4678" w:rsidRDefault="00FE4678" w:rsidP="00FE4678">
      <w:pPr>
        <w:pStyle w:val="NormalWeb"/>
        <w:numPr>
          <w:ilvl w:val="0"/>
          <w:numId w:val="38"/>
        </w:numPr>
        <w:jc w:val="both"/>
      </w:pPr>
      <w:r>
        <w:t xml:space="preserve">Jasanoff, S. (2019). Technology governance in the digital age. </w:t>
      </w:r>
      <w:r>
        <w:rPr>
          <w:rStyle w:val="Emphasis"/>
        </w:rPr>
        <w:t>Science and Public Policy, 46</w:t>
      </w:r>
      <w:r>
        <w:t>(3), 333–341.</w:t>
      </w:r>
    </w:p>
    <w:p w14:paraId="3823FED7" w14:textId="76FA8FEA" w:rsidR="00FE4678" w:rsidRDefault="00FE4678" w:rsidP="00FE4678">
      <w:pPr>
        <w:pStyle w:val="NormalWeb"/>
        <w:numPr>
          <w:ilvl w:val="0"/>
          <w:numId w:val="38"/>
        </w:numPr>
        <w:jc w:val="both"/>
      </w:pPr>
      <w:r>
        <w:t xml:space="preserve">OECD. (2021). </w:t>
      </w:r>
      <w:r>
        <w:rPr>
          <w:rStyle w:val="Emphasis"/>
        </w:rPr>
        <w:t>Enhancing access to research data during crises: Lessons learned from COVID-19</w:t>
      </w:r>
      <w:r>
        <w:t>. Paris: OECD Publishing.</w:t>
      </w:r>
    </w:p>
    <w:p w14:paraId="57F442D0" w14:textId="05700111" w:rsidR="00FE4678" w:rsidRDefault="00FE4678" w:rsidP="00FE4678">
      <w:pPr>
        <w:pStyle w:val="NormalWeb"/>
        <w:numPr>
          <w:ilvl w:val="0"/>
          <w:numId w:val="38"/>
        </w:numPr>
        <w:jc w:val="both"/>
      </w:pPr>
      <w:r>
        <w:t xml:space="preserve">Alhussain, T., &amp; Drew, S. (2021). Barriers to cloud computing adoption in Saudi public sector. </w:t>
      </w:r>
      <w:r>
        <w:rPr>
          <w:rStyle w:val="Emphasis"/>
        </w:rPr>
        <w:t>Journal of Information Systems Applied Research, 14</w:t>
      </w:r>
      <w:r>
        <w:t>(1), 23–38.</w:t>
      </w:r>
    </w:p>
    <w:p w14:paraId="50B4150E" w14:textId="34E5A2CC" w:rsidR="00FE4678" w:rsidRDefault="00FE4678" w:rsidP="00FE4678">
      <w:pPr>
        <w:pStyle w:val="NormalWeb"/>
        <w:numPr>
          <w:ilvl w:val="0"/>
          <w:numId w:val="38"/>
        </w:numPr>
        <w:jc w:val="both"/>
      </w:pPr>
      <w:r>
        <w:t xml:space="preserve">Alotaibi, B. (2022). Cybersecurity challenges in Saudi Arabia’s digital transformation. </w:t>
      </w:r>
      <w:r>
        <w:rPr>
          <w:rStyle w:val="Emphasis"/>
        </w:rPr>
        <w:t>Saudi Journal of Information Security, 8</w:t>
      </w:r>
      <w:r>
        <w:t>(2), 77–89.</w:t>
      </w:r>
    </w:p>
    <w:p w14:paraId="27989EB7" w14:textId="68A339BC" w:rsidR="00FE4678" w:rsidRDefault="00FE4678" w:rsidP="00FE4678">
      <w:pPr>
        <w:pStyle w:val="NormalWeb"/>
        <w:numPr>
          <w:ilvl w:val="0"/>
          <w:numId w:val="38"/>
        </w:numPr>
        <w:jc w:val="both"/>
      </w:pPr>
      <w:r>
        <w:t xml:space="preserve">Alghamdi, F., &amp; Alfaraj, O. (2020). Data sovereignty and its impact on innovation in Saudi Arabia. </w:t>
      </w:r>
      <w:r>
        <w:rPr>
          <w:rStyle w:val="Emphasis"/>
        </w:rPr>
        <w:t>Arabian Journal of Science and Engineering, 45</w:t>
      </w:r>
      <w:r>
        <w:t>(12), 10455–10467.</w:t>
      </w:r>
    </w:p>
    <w:p w14:paraId="250DAA26" w14:textId="58EAC207" w:rsidR="00FE4678" w:rsidRDefault="00FE4678" w:rsidP="00FE4678">
      <w:pPr>
        <w:pStyle w:val="NormalWeb"/>
        <w:numPr>
          <w:ilvl w:val="0"/>
          <w:numId w:val="38"/>
        </w:numPr>
        <w:jc w:val="both"/>
      </w:pPr>
      <w:proofErr w:type="spellStart"/>
      <w:r>
        <w:t>Gstrein</w:t>
      </w:r>
      <w:proofErr w:type="spellEnd"/>
      <w:r>
        <w:t xml:space="preserve">, O. J. (2021). The EU’s General Data Protection Regulation: A blueprint for international data protection governance? </w:t>
      </w:r>
      <w:r>
        <w:rPr>
          <w:rStyle w:val="Emphasis"/>
        </w:rPr>
        <w:t>Computer Law &amp; Security Review, 41</w:t>
      </w:r>
      <w:r>
        <w:t>, 105539.</w:t>
      </w:r>
    </w:p>
    <w:p w14:paraId="18453B37" w14:textId="4122737D" w:rsidR="00FE4678" w:rsidRDefault="00FE4678" w:rsidP="00FE4678">
      <w:pPr>
        <w:pStyle w:val="NormalWeb"/>
        <w:numPr>
          <w:ilvl w:val="0"/>
          <w:numId w:val="38"/>
        </w:numPr>
        <w:jc w:val="both"/>
      </w:pPr>
      <w:r>
        <w:t xml:space="preserve">European Union. (2016). </w:t>
      </w:r>
      <w:r>
        <w:rPr>
          <w:rStyle w:val="Emphasis"/>
        </w:rPr>
        <w:t>General Data Protection Regulation (GDPR), Regulation (EU) 2016/679</w:t>
      </w:r>
      <w:r>
        <w:t>. Official Journal of the European Union.</w:t>
      </w:r>
    </w:p>
    <w:p w14:paraId="32FD646E" w14:textId="61B5604B" w:rsidR="00FE4678" w:rsidRDefault="00FE4678" w:rsidP="00FE4678">
      <w:pPr>
        <w:pStyle w:val="NormalWeb"/>
        <w:numPr>
          <w:ilvl w:val="0"/>
          <w:numId w:val="38"/>
        </w:numPr>
        <w:jc w:val="both"/>
      </w:pPr>
      <w:r>
        <w:t xml:space="preserve">U.S. Congress. (1996). </w:t>
      </w:r>
      <w:r>
        <w:rPr>
          <w:rStyle w:val="Emphasis"/>
        </w:rPr>
        <w:t>Health Insurance Portability and Accountability Act of 1996 (HIPAA)</w:t>
      </w:r>
      <w:r>
        <w:t>. Public Law 104-191.</w:t>
      </w:r>
    </w:p>
    <w:p w14:paraId="3E029352" w14:textId="063C0DF1" w:rsidR="00FE4678" w:rsidRDefault="00FE4678" w:rsidP="00FE4678">
      <w:pPr>
        <w:pStyle w:val="NormalWeb"/>
        <w:numPr>
          <w:ilvl w:val="0"/>
          <w:numId w:val="38"/>
        </w:numPr>
        <w:jc w:val="both"/>
      </w:pPr>
      <w:r>
        <w:t xml:space="preserve">van der Sloot, B. (2020). Do data sovereignty and privacy rights go hand in hand? </w:t>
      </w:r>
      <w:r>
        <w:rPr>
          <w:rStyle w:val="Emphasis"/>
        </w:rPr>
        <w:t>Information &amp; Communications Technology Law, 29</w:t>
      </w:r>
      <w:r>
        <w:t>(3), 243–259.</w:t>
      </w:r>
    </w:p>
    <w:p w14:paraId="03DA95F2" w14:textId="48EF9138" w:rsidR="00FE4678" w:rsidRDefault="00FE4678" w:rsidP="00FE4678">
      <w:pPr>
        <w:pStyle w:val="NormalWeb"/>
        <w:numPr>
          <w:ilvl w:val="0"/>
          <w:numId w:val="38"/>
        </w:numPr>
        <w:jc w:val="both"/>
      </w:pPr>
      <w:r>
        <w:t xml:space="preserve">DAMA International. (2017). </w:t>
      </w:r>
      <w:r>
        <w:rPr>
          <w:rStyle w:val="Emphasis"/>
        </w:rPr>
        <w:t>The DAMA guide to the data management body of knowledge (DAMA-DMBOK) (2nd ed.)</w:t>
      </w:r>
      <w:r>
        <w:t xml:space="preserve">. </w:t>
      </w:r>
      <w:proofErr w:type="gramStart"/>
      <w:r>
        <w:t>Technics</w:t>
      </w:r>
      <w:proofErr w:type="gramEnd"/>
      <w:r>
        <w:t xml:space="preserve"> Publications.</w:t>
      </w:r>
    </w:p>
    <w:p w14:paraId="73B720A1" w14:textId="29A2F3CD" w:rsidR="00FE4678" w:rsidRDefault="00FE4678" w:rsidP="00FE4678">
      <w:pPr>
        <w:pStyle w:val="NormalWeb"/>
        <w:numPr>
          <w:ilvl w:val="0"/>
          <w:numId w:val="38"/>
        </w:numPr>
        <w:jc w:val="both"/>
      </w:pPr>
      <w:r>
        <w:t xml:space="preserve">Jasanoff, S. (2004). </w:t>
      </w:r>
      <w:r>
        <w:rPr>
          <w:rStyle w:val="Emphasis"/>
        </w:rPr>
        <w:t xml:space="preserve">States of knowledge: The co-production of science and </w:t>
      </w:r>
      <w:proofErr w:type="gramStart"/>
      <w:r>
        <w:rPr>
          <w:rStyle w:val="Emphasis"/>
        </w:rPr>
        <w:t>the social</w:t>
      </w:r>
      <w:proofErr w:type="gramEnd"/>
      <w:r>
        <w:rPr>
          <w:rStyle w:val="Emphasis"/>
        </w:rPr>
        <w:t xml:space="preserve"> order</w:t>
      </w:r>
      <w:r>
        <w:t>. Routledge.</w:t>
      </w:r>
    </w:p>
    <w:p w14:paraId="536BB7C6" w14:textId="6B6FCCDF" w:rsidR="00FE4678" w:rsidRDefault="00FE4678" w:rsidP="00FE4678">
      <w:pPr>
        <w:pStyle w:val="NormalWeb"/>
        <w:numPr>
          <w:ilvl w:val="0"/>
          <w:numId w:val="38"/>
        </w:numPr>
        <w:jc w:val="both"/>
      </w:pPr>
      <w:r>
        <w:t xml:space="preserve">Lundvall, B.-Å. (1992). </w:t>
      </w:r>
      <w:r>
        <w:rPr>
          <w:rStyle w:val="Emphasis"/>
        </w:rPr>
        <w:t>National systems of innovation: Towards a theory of innovation and interactive learning</w:t>
      </w:r>
      <w:r>
        <w:t>. Pinter Publishers.</w:t>
      </w:r>
    </w:p>
    <w:p w14:paraId="6676075C" w14:textId="3B137934" w:rsidR="00FE4678" w:rsidRDefault="00FE4678" w:rsidP="00FE4678">
      <w:pPr>
        <w:pStyle w:val="NormalWeb"/>
        <w:numPr>
          <w:ilvl w:val="0"/>
          <w:numId w:val="38"/>
        </w:numPr>
        <w:jc w:val="both"/>
      </w:pPr>
      <w:r>
        <w:t xml:space="preserve">Freeman, C. (1987). </w:t>
      </w:r>
      <w:r>
        <w:rPr>
          <w:rStyle w:val="Emphasis"/>
        </w:rPr>
        <w:t>Technology policy and economic performance: Lessons from Japan</w:t>
      </w:r>
      <w:r>
        <w:t>. Pinter Publishers.</w:t>
      </w:r>
    </w:p>
    <w:p w14:paraId="59054BDB" w14:textId="751D92D5" w:rsidR="00FE4678" w:rsidRDefault="00FE4678" w:rsidP="00FE4678">
      <w:pPr>
        <w:pStyle w:val="NormalWeb"/>
        <w:numPr>
          <w:ilvl w:val="0"/>
          <w:numId w:val="38"/>
        </w:numPr>
        <w:jc w:val="both"/>
      </w:pPr>
      <w:r>
        <w:t xml:space="preserve">Bowen, G. A. (2009). Document analysis as a qualitative research method. </w:t>
      </w:r>
      <w:r>
        <w:rPr>
          <w:rStyle w:val="Emphasis"/>
        </w:rPr>
        <w:t>Qualitative Research Journal, 9</w:t>
      </w:r>
      <w:r>
        <w:t>(2), 27–40.</w:t>
      </w:r>
    </w:p>
    <w:p w14:paraId="3B3BFEEE" w14:textId="0A96F882" w:rsidR="00FE4678" w:rsidRDefault="00FE4678" w:rsidP="00FE4678">
      <w:pPr>
        <w:pStyle w:val="NormalWeb"/>
        <w:numPr>
          <w:ilvl w:val="0"/>
          <w:numId w:val="38"/>
        </w:numPr>
        <w:jc w:val="both"/>
      </w:pPr>
      <w:r>
        <w:t xml:space="preserve">Bennett, C. J., &amp; Raab, C. D. (2006). </w:t>
      </w:r>
      <w:r>
        <w:rPr>
          <w:rStyle w:val="Emphasis"/>
        </w:rPr>
        <w:t xml:space="preserve">The governance of privacy: Policy </w:t>
      </w:r>
      <w:proofErr w:type="gramStart"/>
      <w:r>
        <w:rPr>
          <w:rStyle w:val="Emphasis"/>
        </w:rPr>
        <w:t>instruments in</w:t>
      </w:r>
      <w:proofErr w:type="gramEnd"/>
      <w:r>
        <w:rPr>
          <w:rStyle w:val="Emphasis"/>
        </w:rPr>
        <w:t xml:space="preserve"> global perspective</w:t>
      </w:r>
      <w:r>
        <w:t>. MIT Press.</w:t>
      </w:r>
    </w:p>
    <w:p w14:paraId="07AFB94C" w14:textId="5CC841E8" w:rsidR="00FE4678" w:rsidRDefault="00FE4678" w:rsidP="00FE4678">
      <w:pPr>
        <w:pStyle w:val="NormalWeb"/>
        <w:numPr>
          <w:ilvl w:val="0"/>
          <w:numId w:val="38"/>
        </w:numPr>
        <w:jc w:val="both"/>
      </w:pPr>
      <w:r>
        <w:lastRenderedPageBreak/>
        <w:t xml:space="preserve">Lundvall, B.-Å. (2010). </w:t>
      </w:r>
      <w:r>
        <w:rPr>
          <w:rStyle w:val="Emphasis"/>
        </w:rPr>
        <w:t>National innovation systems: Towards a theory of innovation and interactive learning</w:t>
      </w:r>
      <w:r>
        <w:t>. Anthem Press.</w:t>
      </w:r>
    </w:p>
    <w:p w14:paraId="7B643B00" w14:textId="09954158" w:rsidR="00FE4678" w:rsidRDefault="00FE4678" w:rsidP="00FE4678">
      <w:pPr>
        <w:pStyle w:val="NormalWeb"/>
        <w:numPr>
          <w:ilvl w:val="0"/>
          <w:numId w:val="38"/>
        </w:numPr>
        <w:jc w:val="both"/>
      </w:pPr>
      <w:r>
        <w:t xml:space="preserve">Abu Farwah, M. (2025). Intellectual property frameworks and AI training data accessibility in Saudi Arabia. </w:t>
      </w:r>
      <w:r>
        <w:rPr>
          <w:rStyle w:val="Emphasis"/>
        </w:rPr>
        <w:t>Journal of Digital Policy, 12</w:t>
      </w:r>
      <w:r>
        <w:t>(3), 75–92.</w:t>
      </w:r>
    </w:p>
    <w:p w14:paraId="4F385726" w14:textId="3DF87B33" w:rsidR="00FE4678" w:rsidRDefault="00FE4678" w:rsidP="00FE4678">
      <w:pPr>
        <w:pStyle w:val="NormalWeb"/>
        <w:numPr>
          <w:ilvl w:val="0"/>
          <w:numId w:val="38"/>
        </w:numPr>
        <w:jc w:val="both"/>
      </w:pPr>
      <w:r>
        <w:t>Al-</w:t>
      </w:r>
      <w:proofErr w:type="spellStart"/>
      <w:r>
        <w:t>Ruithe</w:t>
      </w:r>
      <w:proofErr w:type="spellEnd"/>
      <w:r>
        <w:t xml:space="preserve">, M., &amp; Benkhelifa, E. (2017). Cloud data governance maturity in Saudi public sector organizations. </w:t>
      </w:r>
      <w:r>
        <w:rPr>
          <w:rStyle w:val="Emphasis"/>
        </w:rPr>
        <w:t>International Journal of Public Administration and Digital Governance, 8</w:t>
      </w:r>
      <w:r>
        <w:t>(2), 45–60.</w:t>
      </w:r>
    </w:p>
    <w:p w14:paraId="3F74393A" w14:textId="009B3025" w:rsidR="00FE4678" w:rsidRDefault="00FE4678" w:rsidP="00FE4678">
      <w:pPr>
        <w:pStyle w:val="NormalWeb"/>
        <w:numPr>
          <w:ilvl w:val="0"/>
          <w:numId w:val="38"/>
        </w:numPr>
        <w:jc w:val="both"/>
      </w:pPr>
      <w:r>
        <w:t xml:space="preserve">Alzahrani, R. (2024). Cross-border data flows and AI development: Legal alignment and compliance challenges in Saudi Arabia. </w:t>
      </w:r>
      <w:r>
        <w:rPr>
          <w:rStyle w:val="Emphasis"/>
        </w:rPr>
        <w:t>International Data Privacy Law, 14</w:t>
      </w:r>
      <w:r>
        <w:t>(3), 105–122.</w:t>
      </w:r>
    </w:p>
    <w:p w14:paraId="68C4398A" w14:textId="5C929C09" w:rsidR="00FE4678" w:rsidRDefault="00FE4678" w:rsidP="00FE4678">
      <w:pPr>
        <w:pStyle w:val="NormalWeb"/>
        <w:numPr>
          <w:ilvl w:val="0"/>
          <w:numId w:val="38"/>
        </w:numPr>
        <w:jc w:val="both"/>
      </w:pPr>
      <w:proofErr w:type="spellStart"/>
      <w:r>
        <w:t>Alhoussari</w:t>
      </w:r>
      <w:proofErr w:type="spellEnd"/>
      <w:r>
        <w:t xml:space="preserve">, S. (2025). Health data protection in the era of AI: Benchmarking Saudi regulations against international standards. </w:t>
      </w:r>
      <w:r>
        <w:rPr>
          <w:rStyle w:val="Emphasis"/>
        </w:rPr>
        <w:t>Middle East Journal of Health Policy, 14</w:t>
      </w:r>
      <w:r>
        <w:t>(2), 385–402.</w:t>
      </w:r>
    </w:p>
    <w:p w14:paraId="4AE04A4F" w14:textId="7F78DFA1" w:rsidR="00FE4678" w:rsidRDefault="00FE4678" w:rsidP="00FE4678">
      <w:pPr>
        <w:pStyle w:val="NormalWeb"/>
        <w:numPr>
          <w:ilvl w:val="0"/>
          <w:numId w:val="38"/>
        </w:numPr>
        <w:jc w:val="both"/>
      </w:pPr>
      <w:r>
        <w:t xml:space="preserve">Albaroudi, E., Mansouri, T., Hatamleh, M., &amp; Alameer, A. (2025). Saudi Arabia’s Vision 2030: Leveraging generative artificial intelligence to enhance software engineering. </w:t>
      </w:r>
      <w:r>
        <w:rPr>
          <w:rStyle w:val="Emphasis"/>
        </w:rPr>
        <w:t>Proceedings of the Eighth International Women in Data Science Conference (</w:t>
      </w:r>
      <w:proofErr w:type="spellStart"/>
      <w:r>
        <w:rPr>
          <w:rStyle w:val="Emphasis"/>
        </w:rPr>
        <w:t>WiDS</w:t>
      </w:r>
      <w:proofErr w:type="spellEnd"/>
      <w:r>
        <w:rPr>
          <w:rStyle w:val="Emphasis"/>
        </w:rPr>
        <w:t xml:space="preserve"> PSU)</w:t>
      </w:r>
      <w:r>
        <w:t xml:space="preserve">, Riyadh, Saudi Arabia, 1–6. </w:t>
      </w:r>
      <w:r w:rsidRPr="00CE0B90">
        <w:rPr>
          <w:rStyle w:val="Hyperlink"/>
        </w:rPr>
        <w:t>https://doi.org/10.1109/WiDS-PSU64963.2025.00024</w:t>
      </w:r>
    </w:p>
    <w:p w14:paraId="198F971D" w14:textId="5B283167" w:rsidR="00FE4678" w:rsidRDefault="00FE4678" w:rsidP="00FE4678">
      <w:pPr>
        <w:pStyle w:val="NormalWeb"/>
        <w:numPr>
          <w:ilvl w:val="0"/>
          <w:numId w:val="38"/>
        </w:numPr>
        <w:jc w:val="both"/>
      </w:pPr>
      <w:r>
        <w:t xml:space="preserve">Albaroudi, E., Mansouri, T., &amp; Alameer, A. (2024). The intersection of generative AI and healthcare: Addressing challenges to enhance patient care. </w:t>
      </w:r>
      <w:r>
        <w:rPr>
          <w:rStyle w:val="Emphasis"/>
        </w:rPr>
        <w:t>Proceedings of the Seventh International Women in Data Science Conference (</w:t>
      </w:r>
      <w:proofErr w:type="spellStart"/>
      <w:r>
        <w:rPr>
          <w:rStyle w:val="Emphasis"/>
        </w:rPr>
        <w:t>WiDS</w:t>
      </w:r>
      <w:proofErr w:type="spellEnd"/>
      <w:r>
        <w:rPr>
          <w:rStyle w:val="Emphasis"/>
        </w:rPr>
        <w:t xml:space="preserve"> PSU)</w:t>
      </w:r>
      <w:r>
        <w:t xml:space="preserve">, Riyadh, Saudi Arabia, 134–140. </w:t>
      </w:r>
      <w:r w:rsidRPr="00FE4678">
        <w:rPr>
          <w:rStyle w:val="Hyperlink"/>
        </w:rPr>
        <w:t>https://doi.org/10.1109/WiDS-PSU61003.2024.00039</w:t>
      </w:r>
    </w:p>
    <w:p w14:paraId="34A4E1EB" w14:textId="2FFC1775" w:rsidR="00FE4678" w:rsidRDefault="00FE4678" w:rsidP="00FE4678">
      <w:pPr>
        <w:pStyle w:val="NormalWeb"/>
        <w:numPr>
          <w:ilvl w:val="0"/>
          <w:numId w:val="38"/>
        </w:numPr>
        <w:jc w:val="both"/>
      </w:pPr>
      <w:r>
        <w:t xml:space="preserve">Albaroudi, E., Mansouri, T., &amp; Alameer, A. (2024). A comprehensive review of AI techniques for addressing algorithmic bias in job hiring. </w:t>
      </w:r>
      <w:r>
        <w:rPr>
          <w:rStyle w:val="Emphasis"/>
        </w:rPr>
        <w:t>AI, 5</w:t>
      </w:r>
      <w:r>
        <w:t xml:space="preserve">(1), 383–404. </w:t>
      </w:r>
      <w:hyperlink r:id="rId18" w:tgtFrame="_new" w:history="1">
        <w:r>
          <w:rPr>
            <w:rStyle w:val="Hyperlink"/>
          </w:rPr>
          <w:t>https://doi.org/10.3390/ai5010019</w:t>
        </w:r>
      </w:hyperlink>
    </w:p>
    <w:p w14:paraId="347BB88F" w14:textId="751CB194" w:rsidR="00FE4678" w:rsidRDefault="00FE4678" w:rsidP="00FE4678">
      <w:pPr>
        <w:pStyle w:val="NormalWeb"/>
        <w:numPr>
          <w:ilvl w:val="0"/>
          <w:numId w:val="38"/>
        </w:numPr>
        <w:jc w:val="both"/>
      </w:pPr>
      <w:r>
        <w:t xml:space="preserve">Albaroudi, E., Mansouri, T., Hatamleh, M., </w:t>
      </w:r>
      <w:proofErr w:type="spellStart"/>
      <w:r>
        <w:t>Elbehairy</w:t>
      </w:r>
      <w:proofErr w:type="spellEnd"/>
      <w:r>
        <w:t xml:space="preserve">, M., &amp; Alameer, A. (2025). Generative AI and the future of software engineering in Saudi Arabia: Governance, innovation, and workforce transformation. </w:t>
      </w:r>
      <w:r>
        <w:rPr>
          <w:rStyle w:val="Emphasis"/>
        </w:rPr>
        <w:t>International Journal of Theoretical and Applied Computational Intelligence, 84–105.</w:t>
      </w:r>
      <w:r>
        <w:t xml:space="preserve"> </w:t>
      </w:r>
      <w:hyperlink r:id="rId19" w:tgtFrame="_new" w:history="1">
        <w:r>
          <w:rPr>
            <w:rStyle w:val="Hyperlink"/>
          </w:rPr>
          <w:t>https://ijtaci.com/index.php/ojs/article/view/4</w:t>
        </w:r>
      </w:hyperlink>
    </w:p>
    <w:p w14:paraId="096404AB" w14:textId="68D55EF1" w:rsidR="00FE4678" w:rsidRDefault="00FE4678" w:rsidP="00FE4678">
      <w:pPr>
        <w:pStyle w:val="NormalWeb"/>
        <w:numPr>
          <w:ilvl w:val="0"/>
          <w:numId w:val="38"/>
        </w:numPr>
        <w:jc w:val="both"/>
      </w:pPr>
      <w:r>
        <w:t xml:space="preserve">Albaroudi, E., </w:t>
      </w:r>
      <w:proofErr w:type="spellStart"/>
      <w:r>
        <w:t>Elbehairy</w:t>
      </w:r>
      <w:proofErr w:type="spellEnd"/>
      <w:r>
        <w:t xml:space="preserve">, M., Al Hinnawi, M. N. E., Hatamleh, M., Mansouri, T., &amp; Alameer, A. (2025). Empowering data sovereignty through artificial intelligence: A framework for sustainable smart energy systems in Saudi Arabia. </w:t>
      </w:r>
      <w:r>
        <w:rPr>
          <w:rStyle w:val="Emphasis"/>
        </w:rPr>
        <w:t>Current Journal of Applied Science and Technology, 44</w:t>
      </w:r>
      <w:r>
        <w:t xml:space="preserve">(9), 77–88. </w:t>
      </w:r>
      <w:hyperlink r:id="rId20" w:tgtFrame="_new" w:history="1">
        <w:r>
          <w:rPr>
            <w:rStyle w:val="Hyperlink"/>
          </w:rPr>
          <w:t>https://doi.org/10.9734/cjast/2025/v44i94606</w:t>
        </w:r>
      </w:hyperlink>
    </w:p>
    <w:p w14:paraId="5D13C8DF" w14:textId="5CA83E35" w:rsidR="00FE4678" w:rsidRDefault="00FE4678" w:rsidP="00FE4678">
      <w:pPr>
        <w:pStyle w:val="NormalWeb"/>
        <w:numPr>
          <w:ilvl w:val="0"/>
          <w:numId w:val="38"/>
        </w:numPr>
        <w:jc w:val="both"/>
      </w:pPr>
      <w:r>
        <w:t xml:space="preserve">Aleisa, N., Alqahtani, S., &amp; Alzahrani, A. (2021). AI-based workforce optimization: A data-driven approach to labor-market analysis in Saudi Arabia. </w:t>
      </w:r>
      <w:r>
        <w:rPr>
          <w:rStyle w:val="Emphasis"/>
        </w:rPr>
        <w:t>Saudi Journal of Business and Technology, 10</w:t>
      </w:r>
      <w:r>
        <w:t>(4), 125–140.</w:t>
      </w:r>
    </w:p>
    <w:p w14:paraId="5B0DE80E" w14:textId="3D675E5B" w:rsidR="00FE4678" w:rsidRDefault="00FE4678" w:rsidP="00FE4678">
      <w:pPr>
        <w:pStyle w:val="NormalWeb"/>
        <w:numPr>
          <w:ilvl w:val="0"/>
          <w:numId w:val="38"/>
        </w:numPr>
        <w:jc w:val="both"/>
      </w:pPr>
      <w:proofErr w:type="spellStart"/>
      <w:r>
        <w:t>Alrefaei</w:t>
      </w:r>
      <w:proofErr w:type="spellEnd"/>
      <w:r>
        <w:t xml:space="preserve">, K., Almutairi, A., &amp; Alghamdi, M. (2022). Genomic data analytics and AI: Opportunities and challenges for personalized medicine in Saudi Arabia. </w:t>
      </w:r>
      <w:r>
        <w:rPr>
          <w:rStyle w:val="Emphasis"/>
        </w:rPr>
        <w:t>Saudi Medical Journal, 43</w:t>
      </w:r>
      <w:r>
        <w:t>(8), 235–250.</w:t>
      </w:r>
    </w:p>
    <w:p w14:paraId="3F8C4125" w14:textId="419BA080" w:rsidR="00FE4678" w:rsidRDefault="00FE4678" w:rsidP="00FE4678">
      <w:pPr>
        <w:pStyle w:val="NormalWeb"/>
        <w:numPr>
          <w:ilvl w:val="0"/>
          <w:numId w:val="38"/>
        </w:numPr>
        <w:jc w:val="both"/>
      </w:pPr>
      <w:proofErr w:type="spellStart"/>
      <w:r>
        <w:t>Schejter</w:t>
      </w:r>
      <w:proofErr w:type="spellEnd"/>
      <w:r>
        <w:t xml:space="preserve">, A. M., &amp; Tirosh, N. (2020). Data nationalism and AI governance: Comparative perspectives on digital sovereignty. </w:t>
      </w:r>
      <w:r>
        <w:rPr>
          <w:rStyle w:val="Emphasis"/>
        </w:rPr>
        <w:t>Telecommunications Policy, 44</w:t>
      </w:r>
      <w:r>
        <w:t>(6), 101–115.</w:t>
      </w:r>
    </w:p>
    <w:p w14:paraId="02ABFD0A" w14:textId="0A69275E" w:rsidR="00FE4678" w:rsidRDefault="00FE4678" w:rsidP="00FE4678">
      <w:pPr>
        <w:pStyle w:val="NormalWeb"/>
        <w:numPr>
          <w:ilvl w:val="0"/>
          <w:numId w:val="38"/>
        </w:numPr>
        <w:jc w:val="both"/>
      </w:pPr>
      <w:r>
        <w:t xml:space="preserve">World Bank. (2023). </w:t>
      </w:r>
      <w:r>
        <w:rPr>
          <w:rStyle w:val="Emphasis"/>
        </w:rPr>
        <w:t xml:space="preserve">World development </w:t>
      </w:r>
      <w:proofErr w:type="gramStart"/>
      <w:r>
        <w:rPr>
          <w:rStyle w:val="Emphasis"/>
        </w:rPr>
        <w:t>indicators 2023</w:t>
      </w:r>
      <w:proofErr w:type="gramEnd"/>
      <w:r>
        <w:t>. Washington, DC: World Bank.</w:t>
      </w:r>
    </w:p>
    <w:p w14:paraId="1B171EE2" w14:textId="7F1804F4" w:rsidR="00FE4678" w:rsidRDefault="00FE4678" w:rsidP="00FE4678">
      <w:pPr>
        <w:pStyle w:val="NormalWeb"/>
        <w:numPr>
          <w:ilvl w:val="0"/>
          <w:numId w:val="38"/>
        </w:numPr>
        <w:jc w:val="both"/>
      </w:pPr>
      <w:r>
        <w:t xml:space="preserve">Lincoln, Y. S., &amp; Guba, E. G. (1985). </w:t>
      </w:r>
      <w:r>
        <w:rPr>
          <w:rStyle w:val="Emphasis"/>
        </w:rPr>
        <w:t>Naturalistic inquiry</w:t>
      </w:r>
      <w:r>
        <w:t>. Sage Publications.</w:t>
      </w:r>
    </w:p>
    <w:p w14:paraId="61088B0F" w14:textId="5783139A" w:rsidR="00FE4678" w:rsidRDefault="00FE4678" w:rsidP="00FE4678">
      <w:pPr>
        <w:pStyle w:val="NormalWeb"/>
        <w:numPr>
          <w:ilvl w:val="0"/>
          <w:numId w:val="38"/>
        </w:numPr>
        <w:jc w:val="both"/>
      </w:pPr>
      <w:r>
        <w:t xml:space="preserve">Abu Farwah, A. (2025). Intellectual property rights and artificial intelligence in Saudi Arabia: Barriers and opportunities. </w:t>
      </w:r>
      <w:r>
        <w:rPr>
          <w:rStyle w:val="Emphasis"/>
        </w:rPr>
        <w:t>Journal of Policy and Innovation, 12</w:t>
      </w:r>
      <w:r>
        <w:t>(1), 45–62.</w:t>
      </w:r>
    </w:p>
    <w:p w14:paraId="1FCBAFD1" w14:textId="5A93EAA9" w:rsidR="00FE4678" w:rsidRDefault="00FE4678" w:rsidP="00FE4678">
      <w:pPr>
        <w:pStyle w:val="NormalWeb"/>
        <w:numPr>
          <w:ilvl w:val="0"/>
          <w:numId w:val="38"/>
        </w:numPr>
        <w:jc w:val="both"/>
      </w:pPr>
      <w:proofErr w:type="spellStart"/>
      <w:r>
        <w:lastRenderedPageBreak/>
        <w:t>Alrefaei</w:t>
      </w:r>
      <w:proofErr w:type="spellEnd"/>
      <w:r>
        <w:t xml:space="preserve">, M., Alghamdi, S., &amp; Khan, R. (2022). Genomic data governance and AI applications in Saudi healthcare: Challenges and prospects. </w:t>
      </w:r>
      <w:r>
        <w:rPr>
          <w:rStyle w:val="Emphasis"/>
        </w:rPr>
        <w:t>Health Informatics Journal, 28</w:t>
      </w:r>
      <w:r>
        <w:t>(3), 487–503.</w:t>
      </w:r>
    </w:p>
    <w:p w14:paraId="6424B7F2" w14:textId="779E4EED" w:rsidR="00FE4678" w:rsidRDefault="00FE4678" w:rsidP="00FE4678">
      <w:pPr>
        <w:pStyle w:val="NormalWeb"/>
        <w:numPr>
          <w:ilvl w:val="0"/>
          <w:numId w:val="38"/>
        </w:numPr>
        <w:jc w:val="both"/>
      </w:pPr>
      <w:proofErr w:type="spellStart"/>
      <w:r>
        <w:t>Memish</w:t>
      </w:r>
      <w:proofErr w:type="spellEnd"/>
      <w:r>
        <w:t xml:space="preserve">, Z. A., Alharthy, A., &amp; Al-Tawfiq, J. A. (2021). The role of national authorities in advancing AI and data governance in Saudi Arabia. </w:t>
      </w:r>
      <w:r>
        <w:rPr>
          <w:rStyle w:val="Emphasis"/>
        </w:rPr>
        <w:t>Saudi Journal of Health Sciences, 10</w:t>
      </w:r>
      <w:r>
        <w:t>(2), 67–74.</w:t>
      </w:r>
    </w:p>
    <w:p w14:paraId="6FB1A2A4" w14:textId="0F46CBC4" w:rsidR="00FE4678" w:rsidRDefault="00FE4678" w:rsidP="00FE4678">
      <w:pPr>
        <w:pStyle w:val="NormalWeb"/>
        <w:numPr>
          <w:ilvl w:val="0"/>
          <w:numId w:val="38"/>
        </w:numPr>
        <w:jc w:val="both"/>
      </w:pPr>
      <w:r>
        <w:t xml:space="preserve">Braun, V., &amp; Clarke, V. (2006). Using thematic analysis in psychology. </w:t>
      </w:r>
      <w:r>
        <w:rPr>
          <w:rStyle w:val="Emphasis"/>
        </w:rPr>
        <w:t>Qualitative Research in Psychology, 3</w:t>
      </w:r>
      <w:r>
        <w:t>(2), 77–101.</w:t>
      </w:r>
    </w:p>
    <w:p w14:paraId="0CB964B8" w14:textId="2A03E6CF" w:rsidR="00FE4678" w:rsidRDefault="00FE4678" w:rsidP="00FE4678">
      <w:pPr>
        <w:pStyle w:val="NormalWeb"/>
        <w:numPr>
          <w:ilvl w:val="0"/>
          <w:numId w:val="38"/>
        </w:numPr>
        <w:jc w:val="both"/>
      </w:pPr>
      <w:r>
        <w:t xml:space="preserve">Creswell, J. W., &amp; Plano Clark, V. L. (2017). </w:t>
      </w:r>
      <w:r>
        <w:rPr>
          <w:rStyle w:val="Emphasis"/>
        </w:rPr>
        <w:t>Designing and conducting mixed methods research</w:t>
      </w:r>
      <w:r>
        <w:t xml:space="preserve"> (3rd ed.). Sage Publications.</w:t>
      </w:r>
    </w:p>
    <w:p w14:paraId="3F599320" w14:textId="72BA6D69" w:rsidR="00FE4678" w:rsidRDefault="00FE4678" w:rsidP="00FE4678">
      <w:pPr>
        <w:pStyle w:val="NormalWeb"/>
        <w:numPr>
          <w:ilvl w:val="0"/>
          <w:numId w:val="38"/>
        </w:numPr>
        <w:jc w:val="both"/>
      </w:pPr>
      <w:r>
        <w:t xml:space="preserve">Cohen, J. (1960). A coefficient of agreement for nominal scales. </w:t>
      </w:r>
      <w:r>
        <w:rPr>
          <w:rStyle w:val="Emphasis"/>
        </w:rPr>
        <w:t>Educational and Psychological Measurement, 20</w:t>
      </w:r>
      <w:r>
        <w:t>(1), 37–46.</w:t>
      </w:r>
    </w:p>
    <w:p w14:paraId="6A6E19E0" w14:textId="750449A8" w:rsidR="00FE4678" w:rsidRDefault="00FE4678" w:rsidP="00FE4678">
      <w:pPr>
        <w:pStyle w:val="NormalWeb"/>
        <w:numPr>
          <w:ilvl w:val="0"/>
          <w:numId w:val="38"/>
        </w:numPr>
        <w:jc w:val="both"/>
      </w:pPr>
      <w:proofErr w:type="spellStart"/>
      <w:r>
        <w:t>Memish</w:t>
      </w:r>
      <w:proofErr w:type="spellEnd"/>
      <w:r>
        <w:t xml:space="preserve">, Z. A., Al-Tawfiq, J. A., &amp; </w:t>
      </w:r>
      <w:proofErr w:type="spellStart"/>
      <w:r>
        <w:t>Assiri</w:t>
      </w:r>
      <w:proofErr w:type="spellEnd"/>
      <w:r>
        <w:t xml:space="preserve">, A. (2021). Saudi Arabia’s national strategy for data and artificial intelligence: Building a foundation for Vision 2030. </w:t>
      </w:r>
      <w:r>
        <w:rPr>
          <w:rStyle w:val="Emphasis"/>
        </w:rPr>
        <w:t>Journal of Infection and Public Health, 14</w:t>
      </w:r>
      <w:r>
        <w:t>(10), 1359–1365.</w:t>
      </w:r>
    </w:p>
    <w:p w14:paraId="1CE38BC1" w14:textId="408A9D41" w:rsidR="00FE4678" w:rsidRDefault="00FE4678" w:rsidP="00FE4678">
      <w:pPr>
        <w:pStyle w:val="NormalWeb"/>
        <w:numPr>
          <w:ilvl w:val="0"/>
          <w:numId w:val="38"/>
        </w:numPr>
        <w:jc w:val="both"/>
      </w:pPr>
      <w:r>
        <w:t xml:space="preserve">Aleisa, E., </w:t>
      </w:r>
      <w:proofErr w:type="spellStart"/>
      <w:r>
        <w:t>Alhumam</w:t>
      </w:r>
      <w:proofErr w:type="spellEnd"/>
      <w:r>
        <w:t xml:space="preserve">, A., &amp; Aldossary, M. (2021). Leveraging data sovereignty for AI-driven labor market optimization in Saudi Arabia. </w:t>
      </w:r>
      <w:r>
        <w:rPr>
          <w:rStyle w:val="Emphasis"/>
        </w:rPr>
        <w:t>International Journal of Advanced Computer Science and Applications, 12</w:t>
      </w:r>
      <w:r>
        <w:t>(8), 132–140.</w:t>
      </w:r>
    </w:p>
    <w:p w14:paraId="60753BBC" w14:textId="20BF9DC2" w:rsidR="00FE4678" w:rsidRDefault="00FE4678" w:rsidP="00FE4678">
      <w:pPr>
        <w:pStyle w:val="NormalWeb"/>
        <w:numPr>
          <w:ilvl w:val="0"/>
          <w:numId w:val="38"/>
        </w:numPr>
        <w:jc w:val="both"/>
      </w:pPr>
      <w:r>
        <w:t xml:space="preserve">Abu Farwah, H. (2025). Intellectual property barriers in AI development: Policy implications for Vision 2030. </w:t>
      </w:r>
      <w:r>
        <w:rPr>
          <w:rStyle w:val="Emphasis"/>
        </w:rPr>
        <w:t>Middle East Journal of Innovation Policy, 3</w:t>
      </w:r>
      <w:r>
        <w:t>(1), 71–83.</w:t>
      </w:r>
    </w:p>
    <w:p w14:paraId="0C818639" w14:textId="7213D877" w:rsidR="00FE4678" w:rsidRDefault="00FE4678" w:rsidP="00FE4678">
      <w:pPr>
        <w:pStyle w:val="NormalWeb"/>
        <w:numPr>
          <w:ilvl w:val="0"/>
          <w:numId w:val="38"/>
        </w:numPr>
        <w:jc w:val="both"/>
      </w:pPr>
      <w:r>
        <w:t xml:space="preserve">Alzahrani, M. (2024). Assessing the alignment of Saudi Arabia’s Personal Data Protection Law with GDPR. </w:t>
      </w:r>
      <w:r>
        <w:rPr>
          <w:rStyle w:val="Emphasis"/>
        </w:rPr>
        <w:t>International Journal of Law and Information Technology, 32</w:t>
      </w:r>
      <w:r>
        <w:t>(2), 105–120.</w:t>
      </w:r>
    </w:p>
    <w:p w14:paraId="6006F3E6" w14:textId="7E6447E2" w:rsidR="00FE4678" w:rsidRDefault="00FE4678" w:rsidP="00FE4678">
      <w:pPr>
        <w:pStyle w:val="NormalWeb"/>
        <w:numPr>
          <w:ilvl w:val="0"/>
          <w:numId w:val="38"/>
        </w:numPr>
        <w:jc w:val="both"/>
      </w:pPr>
      <w:proofErr w:type="spellStart"/>
      <w:r>
        <w:t>Alhoussari</w:t>
      </w:r>
      <w:proofErr w:type="spellEnd"/>
      <w:r>
        <w:t xml:space="preserve">, F. (2025). Benchmarking Saudi Arabia’s health data governance with HIPAA: Strengths, weaknesses, and opportunities. </w:t>
      </w:r>
      <w:r>
        <w:rPr>
          <w:rStyle w:val="Emphasis"/>
        </w:rPr>
        <w:t>Health Policy and Technology, 14</w:t>
      </w:r>
      <w:r>
        <w:t>(3), 385–395.</w:t>
      </w:r>
    </w:p>
    <w:p w14:paraId="05C7AB6E" w14:textId="6826B6A4" w:rsidR="00FE4678" w:rsidRDefault="00FE4678" w:rsidP="00FE4678">
      <w:pPr>
        <w:pStyle w:val="NormalWeb"/>
        <w:numPr>
          <w:ilvl w:val="0"/>
          <w:numId w:val="38"/>
        </w:numPr>
        <w:jc w:val="both"/>
      </w:pPr>
      <w:proofErr w:type="spellStart"/>
      <w:r>
        <w:t>Alrefaei</w:t>
      </w:r>
      <w:proofErr w:type="spellEnd"/>
      <w:r>
        <w:t xml:space="preserve">, Y., Alghamdi, N., &amp; Alotaibi, H. (2022). Public trust and genomic data sharing under the Saudi Human Genome Program: A governance perspective. </w:t>
      </w:r>
      <w:r>
        <w:rPr>
          <w:rStyle w:val="Emphasis"/>
        </w:rPr>
        <w:t>Frontiers in Genetics, 13,</w:t>
      </w:r>
      <w:r>
        <w:t xml:space="preserve"> 241–252.</w:t>
      </w:r>
    </w:p>
    <w:p w14:paraId="43D8058F" w14:textId="34FE70E2" w:rsidR="00FE4678" w:rsidRDefault="00FE4678" w:rsidP="00FE4678">
      <w:pPr>
        <w:pStyle w:val="NormalWeb"/>
        <w:numPr>
          <w:ilvl w:val="0"/>
          <w:numId w:val="38"/>
        </w:numPr>
        <w:jc w:val="both"/>
      </w:pPr>
      <w:r w:rsidRPr="00FE4678">
        <w:t>Elham Albaroudi, Moustafa Elbehairy, Mohammad Nour Eddin Al Hinnawi, Mohammad Hatamleh, Taha Mansouri and Ali Alameer. Artificial Intelligence innovations for sustainable water management and climate resilience in Saudi Arabia’s Vision 2030 Framework. International Journal of Science and Research Archive, 2025, 16(03), 716-726. Article DOI: https://doi.org/10.30574/ijsra.2025.16.3.2624.</w:t>
      </w:r>
    </w:p>
    <w:p w14:paraId="622B51BF" w14:textId="77777777" w:rsidR="007C1A2B" w:rsidRPr="001B60EE" w:rsidRDefault="007C1A2B" w:rsidP="007F02B1">
      <w:pPr>
        <w:pStyle w:val="BodyText"/>
        <w:jc w:val="both"/>
        <w:rPr>
          <w:rFonts w:asciiTheme="majorBidi" w:hAnsiTheme="majorBidi" w:cstheme="majorBidi"/>
        </w:rPr>
      </w:pPr>
    </w:p>
    <w:sectPr w:rsidR="007C1A2B" w:rsidRPr="001B60EE">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8DDB4" w14:textId="77777777" w:rsidR="00475302" w:rsidRDefault="00475302">
      <w:pPr>
        <w:spacing w:after="0"/>
      </w:pPr>
      <w:r>
        <w:separator/>
      </w:r>
    </w:p>
  </w:endnote>
  <w:endnote w:type="continuationSeparator" w:id="0">
    <w:p w14:paraId="2C01ADBC" w14:textId="77777777" w:rsidR="00475302" w:rsidRDefault="0047530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82CF0" w14:textId="77777777" w:rsidR="0041339B" w:rsidRDefault="004133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3E952" w14:textId="77777777" w:rsidR="0041339B" w:rsidRDefault="004133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05196" w14:textId="77777777" w:rsidR="0041339B" w:rsidRDefault="004133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AC4191" w14:textId="77777777" w:rsidR="00475302" w:rsidRDefault="00475302">
      <w:r>
        <w:separator/>
      </w:r>
    </w:p>
  </w:footnote>
  <w:footnote w:type="continuationSeparator" w:id="0">
    <w:p w14:paraId="6796CA1D" w14:textId="77777777" w:rsidR="00475302" w:rsidRDefault="004753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CA14F" w14:textId="79A7A855" w:rsidR="0041339B" w:rsidRDefault="00000000">
    <w:pPr>
      <w:pStyle w:val="Header"/>
    </w:pPr>
    <w:r>
      <w:rPr>
        <w:noProof/>
      </w:rPr>
      <w:pict w14:anchorId="349CAD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906485" o:spid="_x0000_s1026" type="#_x0000_t136" style="position:absolute;margin-left:0;margin-top:0;width:586.55pt;height:73.3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AB17E" w14:textId="63BD5AA9" w:rsidR="0041339B" w:rsidRDefault="00000000">
    <w:pPr>
      <w:pStyle w:val="Header"/>
    </w:pPr>
    <w:r>
      <w:rPr>
        <w:noProof/>
      </w:rPr>
      <w:pict w14:anchorId="0A7273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906486" o:spid="_x0000_s1027" type="#_x0000_t136" style="position:absolute;margin-left:0;margin-top:0;width:586.55pt;height:73.3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7D85A" w14:textId="0A73A811" w:rsidR="0041339B" w:rsidRDefault="00000000">
    <w:pPr>
      <w:pStyle w:val="Header"/>
    </w:pPr>
    <w:r>
      <w:rPr>
        <w:noProof/>
      </w:rPr>
      <w:pict w14:anchorId="73E745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906484" o:spid="_x0000_s1025" type="#_x0000_t136" style="position:absolute;margin-left:0;margin-top:0;width:586.55pt;height:73.3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845AD"/>
    <w:multiLevelType w:val="multilevel"/>
    <w:tmpl w:val="97807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FE30FD"/>
    <w:multiLevelType w:val="hybridMultilevel"/>
    <w:tmpl w:val="2EF6145E"/>
    <w:lvl w:ilvl="0" w:tplc="C6042AA2">
      <w:start w:val="1"/>
      <w:numFmt w:val="decimal"/>
      <w:pStyle w:val="q-References"/>
      <w:lvlText w:val="[%1]"/>
      <w:lvlJc w:val="left"/>
      <w:pPr>
        <w:ind w:left="720" w:hanging="360"/>
      </w:pPr>
      <w:rPr>
        <w:rFonts w:ascii="Cambria" w:hAnsi="Cambria" w:hint="default"/>
        <w:b w:val="0"/>
        <w:i w:val="0"/>
        <w:color w:val="auto"/>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B085DA7"/>
    <w:multiLevelType w:val="multilevel"/>
    <w:tmpl w:val="33FC9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6D12A6"/>
    <w:multiLevelType w:val="multilevel"/>
    <w:tmpl w:val="3BCEE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8355AA"/>
    <w:multiLevelType w:val="multilevel"/>
    <w:tmpl w:val="61020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214C51"/>
    <w:multiLevelType w:val="multilevel"/>
    <w:tmpl w:val="EB0CA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814902"/>
    <w:multiLevelType w:val="multilevel"/>
    <w:tmpl w:val="1F16D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132500"/>
    <w:multiLevelType w:val="multilevel"/>
    <w:tmpl w:val="64DA6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955E4E"/>
    <w:multiLevelType w:val="multilevel"/>
    <w:tmpl w:val="5DBEA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C4764D"/>
    <w:multiLevelType w:val="multilevel"/>
    <w:tmpl w:val="709A2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220BFE"/>
    <w:multiLevelType w:val="multilevel"/>
    <w:tmpl w:val="6D942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D60C97"/>
    <w:multiLevelType w:val="multilevel"/>
    <w:tmpl w:val="83DAD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234249"/>
    <w:multiLevelType w:val="multilevel"/>
    <w:tmpl w:val="77380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CD25B4"/>
    <w:multiLevelType w:val="multilevel"/>
    <w:tmpl w:val="4978E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CCC3ADD"/>
    <w:multiLevelType w:val="multilevel"/>
    <w:tmpl w:val="FAF4F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470783"/>
    <w:multiLevelType w:val="multilevel"/>
    <w:tmpl w:val="B388F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EB67E4"/>
    <w:multiLevelType w:val="multilevel"/>
    <w:tmpl w:val="E7EE3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0D5B70"/>
    <w:multiLevelType w:val="multilevel"/>
    <w:tmpl w:val="363CE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782D4F"/>
    <w:multiLevelType w:val="multilevel"/>
    <w:tmpl w:val="F17EF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FBA79A6"/>
    <w:multiLevelType w:val="hybridMultilevel"/>
    <w:tmpl w:val="55EA4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6209CA"/>
    <w:multiLevelType w:val="multilevel"/>
    <w:tmpl w:val="55BC9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22938B4"/>
    <w:multiLevelType w:val="multilevel"/>
    <w:tmpl w:val="22E2B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FC4516"/>
    <w:multiLevelType w:val="hybridMultilevel"/>
    <w:tmpl w:val="5DC84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AE01D3"/>
    <w:multiLevelType w:val="multilevel"/>
    <w:tmpl w:val="4F364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FD156A"/>
    <w:multiLevelType w:val="multilevel"/>
    <w:tmpl w:val="74A08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6EE0A06"/>
    <w:multiLevelType w:val="multilevel"/>
    <w:tmpl w:val="88C43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B55F9B"/>
    <w:multiLevelType w:val="multilevel"/>
    <w:tmpl w:val="FD0A1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1544D3"/>
    <w:multiLevelType w:val="multilevel"/>
    <w:tmpl w:val="089A5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EF78A1"/>
    <w:multiLevelType w:val="multilevel"/>
    <w:tmpl w:val="1046B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B7714F"/>
    <w:multiLevelType w:val="multilevel"/>
    <w:tmpl w:val="68C499D6"/>
    <w:lvl w:ilvl="0">
      <w:start w:val="1"/>
      <w:numFmt w:val="decimal"/>
      <w:lvlText w:val="%1"/>
      <w:lvlJc w:val="left"/>
      <w:pPr>
        <w:ind w:left="588" w:hanging="588"/>
      </w:pPr>
      <w:rPr>
        <w:rFonts w:hint="default"/>
      </w:rPr>
    </w:lvl>
    <w:lvl w:ilvl="1">
      <w:start w:val="1"/>
      <w:numFmt w:val="decimal"/>
      <w:lvlText w:val="%1.%2"/>
      <w:lvlJc w:val="left"/>
      <w:pPr>
        <w:ind w:left="588" w:hanging="58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514417F"/>
    <w:multiLevelType w:val="multilevel"/>
    <w:tmpl w:val="CA00E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BF011A"/>
    <w:multiLevelType w:val="multilevel"/>
    <w:tmpl w:val="ECE23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73D23F6"/>
    <w:multiLevelType w:val="multilevel"/>
    <w:tmpl w:val="B2DE6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DC3762"/>
    <w:multiLevelType w:val="multilevel"/>
    <w:tmpl w:val="F344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80409A"/>
    <w:multiLevelType w:val="multilevel"/>
    <w:tmpl w:val="16121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620780"/>
    <w:multiLevelType w:val="multilevel"/>
    <w:tmpl w:val="C9149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E6E19B2"/>
    <w:multiLevelType w:val="hybridMultilevel"/>
    <w:tmpl w:val="FEBAC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10579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93803702">
    <w:abstractNumId w:val="8"/>
  </w:num>
  <w:num w:numId="3" w16cid:durableId="271057388">
    <w:abstractNumId w:val="31"/>
  </w:num>
  <w:num w:numId="4" w16cid:durableId="1168640584">
    <w:abstractNumId w:val="3"/>
  </w:num>
  <w:num w:numId="5" w16cid:durableId="1401950114">
    <w:abstractNumId w:val="18"/>
  </w:num>
  <w:num w:numId="6" w16cid:durableId="114106195">
    <w:abstractNumId w:val="28"/>
  </w:num>
  <w:num w:numId="7" w16cid:durableId="1616794619">
    <w:abstractNumId w:val="9"/>
  </w:num>
  <w:num w:numId="8" w16cid:durableId="1897399552">
    <w:abstractNumId w:val="12"/>
  </w:num>
  <w:num w:numId="9" w16cid:durableId="313144425">
    <w:abstractNumId w:val="35"/>
  </w:num>
  <w:num w:numId="10" w16cid:durableId="1565488129">
    <w:abstractNumId w:val="5"/>
  </w:num>
  <w:num w:numId="11" w16cid:durableId="953563624">
    <w:abstractNumId w:val="27"/>
  </w:num>
  <w:num w:numId="12" w16cid:durableId="129326045">
    <w:abstractNumId w:val="16"/>
  </w:num>
  <w:num w:numId="13" w16cid:durableId="2106026105">
    <w:abstractNumId w:val="11"/>
  </w:num>
  <w:num w:numId="14" w16cid:durableId="1801878711">
    <w:abstractNumId w:val="33"/>
  </w:num>
  <w:num w:numId="15" w16cid:durableId="719599567">
    <w:abstractNumId w:val="7"/>
  </w:num>
  <w:num w:numId="16" w16cid:durableId="201945548">
    <w:abstractNumId w:val="0"/>
  </w:num>
  <w:num w:numId="17" w16cid:durableId="751704806">
    <w:abstractNumId w:val="24"/>
  </w:num>
  <w:num w:numId="18" w16cid:durableId="1371759479">
    <w:abstractNumId w:val="2"/>
  </w:num>
  <w:num w:numId="19" w16cid:durableId="1358430349">
    <w:abstractNumId w:val="21"/>
  </w:num>
  <w:num w:numId="20" w16cid:durableId="581914228">
    <w:abstractNumId w:val="4"/>
  </w:num>
  <w:num w:numId="21" w16cid:durableId="1298531727">
    <w:abstractNumId w:val="32"/>
  </w:num>
  <w:num w:numId="22" w16cid:durableId="205799147">
    <w:abstractNumId w:val="17"/>
  </w:num>
  <w:num w:numId="23" w16cid:durableId="1547176940">
    <w:abstractNumId w:val="10"/>
  </w:num>
  <w:num w:numId="24" w16cid:durableId="1131896236">
    <w:abstractNumId w:val="23"/>
  </w:num>
  <w:num w:numId="25" w16cid:durableId="2130977247">
    <w:abstractNumId w:val="34"/>
  </w:num>
  <w:num w:numId="26" w16cid:durableId="36046980">
    <w:abstractNumId w:val="14"/>
  </w:num>
  <w:num w:numId="27" w16cid:durableId="1626352834">
    <w:abstractNumId w:val="13"/>
  </w:num>
  <w:num w:numId="28" w16cid:durableId="1676417615">
    <w:abstractNumId w:val="20"/>
  </w:num>
  <w:num w:numId="29" w16cid:durableId="866605031">
    <w:abstractNumId w:val="26"/>
  </w:num>
  <w:num w:numId="30" w16cid:durableId="564683677">
    <w:abstractNumId w:val="29"/>
  </w:num>
  <w:num w:numId="31" w16cid:durableId="1042436140">
    <w:abstractNumId w:val="15"/>
  </w:num>
  <w:num w:numId="32" w16cid:durableId="146634623">
    <w:abstractNumId w:val="25"/>
  </w:num>
  <w:num w:numId="33" w16cid:durableId="1736276649">
    <w:abstractNumId w:val="6"/>
  </w:num>
  <w:num w:numId="34" w16cid:durableId="62678353">
    <w:abstractNumId w:val="30"/>
  </w:num>
  <w:num w:numId="35" w16cid:durableId="85154811">
    <w:abstractNumId w:val="1"/>
  </w:num>
  <w:num w:numId="36" w16cid:durableId="1067412425">
    <w:abstractNumId w:val="19"/>
  </w:num>
  <w:num w:numId="37" w16cid:durableId="281154236">
    <w:abstractNumId w:val="22"/>
  </w:num>
  <w:num w:numId="38" w16cid:durableId="771778399">
    <w:abstractNumId w:val="3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LIwNrW0NLQwMDE0tzRT0lEKTi0uzszPAykwrAUAEO+9gSwAAAA="/>
  </w:docVars>
  <w:rsids>
    <w:rsidRoot w:val="00590D07"/>
    <w:rsid w:val="00011C8B"/>
    <w:rsid w:val="000316B2"/>
    <w:rsid w:val="00054FC6"/>
    <w:rsid w:val="00131608"/>
    <w:rsid w:val="001B60EE"/>
    <w:rsid w:val="001F6DAA"/>
    <w:rsid w:val="00270088"/>
    <w:rsid w:val="002C0E46"/>
    <w:rsid w:val="003004DD"/>
    <w:rsid w:val="00401155"/>
    <w:rsid w:val="0041339B"/>
    <w:rsid w:val="00445F7A"/>
    <w:rsid w:val="00451763"/>
    <w:rsid w:val="00475302"/>
    <w:rsid w:val="00493608"/>
    <w:rsid w:val="004C4001"/>
    <w:rsid w:val="004D7A61"/>
    <w:rsid w:val="004E29B3"/>
    <w:rsid w:val="00504819"/>
    <w:rsid w:val="005303E6"/>
    <w:rsid w:val="00590D07"/>
    <w:rsid w:val="0060310D"/>
    <w:rsid w:val="00665BA0"/>
    <w:rsid w:val="0068015F"/>
    <w:rsid w:val="00704069"/>
    <w:rsid w:val="00714AD8"/>
    <w:rsid w:val="007676B1"/>
    <w:rsid w:val="00784D58"/>
    <w:rsid w:val="00785642"/>
    <w:rsid w:val="007C1A2B"/>
    <w:rsid w:val="007F02B1"/>
    <w:rsid w:val="008D6863"/>
    <w:rsid w:val="00902837"/>
    <w:rsid w:val="00924EC7"/>
    <w:rsid w:val="00967A51"/>
    <w:rsid w:val="009772CF"/>
    <w:rsid w:val="0099065F"/>
    <w:rsid w:val="009A0616"/>
    <w:rsid w:val="009B3325"/>
    <w:rsid w:val="00A00AEC"/>
    <w:rsid w:val="00B346C0"/>
    <w:rsid w:val="00B86B75"/>
    <w:rsid w:val="00BC48D5"/>
    <w:rsid w:val="00C14572"/>
    <w:rsid w:val="00C21977"/>
    <w:rsid w:val="00C2527D"/>
    <w:rsid w:val="00C36279"/>
    <w:rsid w:val="00CB58CD"/>
    <w:rsid w:val="00CD702C"/>
    <w:rsid w:val="00CE0B90"/>
    <w:rsid w:val="00DF5F41"/>
    <w:rsid w:val="00E315A3"/>
    <w:rsid w:val="00E52C83"/>
    <w:rsid w:val="00E7496F"/>
    <w:rsid w:val="00EC00F9"/>
    <w:rsid w:val="00EF503B"/>
    <w:rsid w:val="00F204C6"/>
    <w:rsid w:val="00F22428"/>
    <w:rsid w:val="00F247ED"/>
    <w:rsid w:val="00F50044"/>
    <w:rsid w:val="00F502B2"/>
    <w:rsid w:val="00F6698A"/>
    <w:rsid w:val="00FE4678"/>
  </w:rsids>
  <m:mathPr>
    <m:mathFont m:val="Cambria Math"/>
    <m:brkBin m:val="before"/>
    <m:brkBinSub m:val="--"/>
    <m:smallFrac m:val="0"/>
    <m:dispDef m:val="0"/>
    <m:lMargin m:val="0"/>
    <m:rMargin m:val="0"/>
    <m:defJc m:val="centerGroup"/>
    <m:wrapRight/>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E6575"/>
  <w15:docId w15:val="{257AB7C4-E243-4A2D-ABCF-C67084025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customStyle="1" w:styleId="address">
    <w:name w:val="address"/>
    <w:basedOn w:val="Normal"/>
    <w:rsid w:val="00CB58CD"/>
    <w:pPr>
      <w:overflowPunct w:val="0"/>
      <w:autoSpaceDE w:val="0"/>
      <w:autoSpaceDN w:val="0"/>
      <w:adjustRightInd w:val="0"/>
      <w:spacing w:line="220" w:lineRule="atLeast"/>
      <w:contextualSpacing/>
      <w:jc w:val="center"/>
      <w:textAlignment w:val="baseline"/>
    </w:pPr>
    <w:rPr>
      <w:rFonts w:ascii="Times New Roman" w:eastAsia="Times New Roman" w:hAnsi="Times New Roman" w:cs="Times New Roman"/>
      <w:sz w:val="18"/>
      <w:szCs w:val="20"/>
    </w:rPr>
  </w:style>
  <w:style w:type="character" w:customStyle="1" w:styleId="e-mail">
    <w:name w:val="e-mail"/>
    <w:rsid w:val="00CB58CD"/>
    <w:rPr>
      <w:rFonts w:ascii="Courier" w:hAnsi="Courier"/>
      <w:noProof/>
    </w:rPr>
  </w:style>
  <w:style w:type="paragraph" w:customStyle="1" w:styleId="q-References">
    <w:name w:val="q-References"/>
    <w:basedOn w:val="Normal"/>
    <w:qFormat/>
    <w:rsid w:val="000316B2"/>
    <w:pPr>
      <w:numPr>
        <w:numId w:val="1"/>
      </w:numPr>
      <w:spacing w:after="120"/>
      <w:ind w:left="576" w:hanging="576"/>
      <w:jc w:val="both"/>
    </w:pPr>
    <w:rPr>
      <w:rFonts w:ascii="Cambria" w:eastAsia="Times New Roman" w:hAnsi="Cambria" w:cs="Times New Roman"/>
      <w:sz w:val="20"/>
      <w:szCs w:val="20"/>
    </w:rPr>
  </w:style>
  <w:style w:type="table" w:styleId="PlainTable1">
    <w:name w:val="Plain Table 1"/>
    <w:basedOn w:val="TableNormal"/>
    <w:rsid w:val="000316B2"/>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270088"/>
    <w:rPr>
      <w:color w:val="605E5C"/>
      <w:shd w:val="clear" w:color="auto" w:fill="E1DFDD"/>
    </w:rPr>
  </w:style>
  <w:style w:type="character" w:styleId="FollowedHyperlink">
    <w:name w:val="FollowedHyperlink"/>
    <w:basedOn w:val="DefaultParagraphFont"/>
    <w:rsid w:val="00270088"/>
    <w:rPr>
      <w:color w:val="800080" w:themeColor="followedHyperlink"/>
      <w:u w:val="single"/>
    </w:rPr>
  </w:style>
  <w:style w:type="character" w:styleId="Strong">
    <w:name w:val="Strong"/>
    <w:basedOn w:val="DefaultParagraphFont"/>
    <w:uiPriority w:val="22"/>
    <w:qFormat/>
    <w:rsid w:val="00F502B2"/>
    <w:rPr>
      <w:b/>
      <w:bCs/>
    </w:rPr>
  </w:style>
  <w:style w:type="paragraph" w:styleId="NormalWeb">
    <w:name w:val="Normal (Web)"/>
    <w:basedOn w:val="Normal"/>
    <w:uiPriority w:val="99"/>
    <w:unhideWhenUsed/>
    <w:rsid w:val="00F502B2"/>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F502B2"/>
    <w:rPr>
      <w:i/>
      <w:iCs/>
    </w:rPr>
  </w:style>
  <w:style w:type="character" w:customStyle="1" w:styleId="Heading3Char">
    <w:name w:val="Heading 3 Char"/>
    <w:basedOn w:val="DefaultParagraphFont"/>
    <w:link w:val="Heading3"/>
    <w:uiPriority w:val="9"/>
    <w:rsid w:val="00B346C0"/>
    <w:rPr>
      <w:rFonts w:asciiTheme="majorHAnsi" w:eastAsiaTheme="majorEastAsia" w:hAnsiTheme="majorHAnsi" w:cstheme="majorBidi"/>
      <w:b/>
      <w:bCs/>
      <w:color w:val="4F81BD" w:themeColor="accent1"/>
    </w:rPr>
  </w:style>
  <w:style w:type="paragraph" w:styleId="Header">
    <w:name w:val="header"/>
    <w:basedOn w:val="Normal"/>
    <w:link w:val="HeaderChar"/>
    <w:rsid w:val="0041339B"/>
    <w:pPr>
      <w:tabs>
        <w:tab w:val="center" w:pos="4680"/>
        <w:tab w:val="right" w:pos="9360"/>
      </w:tabs>
      <w:spacing w:after="0"/>
    </w:pPr>
  </w:style>
  <w:style w:type="character" w:customStyle="1" w:styleId="HeaderChar">
    <w:name w:val="Header Char"/>
    <w:basedOn w:val="DefaultParagraphFont"/>
    <w:link w:val="Header"/>
    <w:rsid w:val="0041339B"/>
  </w:style>
  <w:style w:type="paragraph" w:styleId="Footer">
    <w:name w:val="footer"/>
    <w:basedOn w:val="Normal"/>
    <w:link w:val="FooterChar"/>
    <w:rsid w:val="0041339B"/>
    <w:pPr>
      <w:tabs>
        <w:tab w:val="center" w:pos="4680"/>
        <w:tab w:val="right" w:pos="9360"/>
      </w:tabs>
      <w:spacing w:after="0"/>
    </w:pPr>
  </w:style>
  <w:style w:type="character" w:customStyle="1" w:styleId="FooterChar">
    <w:name w:val="Footer Char"/>
    <w:basedOn w:val="DefaultParagraphFont"/>
    <w:link w:val="Footer"/>
    <w:rsid w:val="004133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hyperlink" Target="https://doi.org/10.3390/ai5010019"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yperlink" Target="https://www.techrxiv.org/users/746157/articles/1314406-empowering-data-sovereignty-through-artificial-intelligence-a-framework-for-sustainable-smart-energy-systems?commit=fd48d20d364fe290c4f2805a28b8fce16f64a9cf"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doi.org/10.9734/cjast/2025/v44i946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hyperlink" Target="https://ijtaci.com/index.php/ojs/article/view/4"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84B3C5-EE2C-4185-9BFA-DFD741F56F3F}"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US"/>
        </a:p>
      </dgm:t>
    </dgm:pt>
    <dgm:pt modelId="{4C20A095-38BA-4C62-AEEB-810D7C2E50CD}">
      <dgm:prSet phldrT="[Text]" custT="1"/>
      <dgm:spPr/>
      <dgm:t>
        <a:bodyPr/>
        <a:lstStyle/>
        <a:p>
          <a:pPr>
            <a:buNone/>
          </a:pPr>
          <a:r>
            <a:rPr lang="en-US" sz="1050" b="1"/>
            <a:t>Identification</a:t>
          </a:r>
          <a:endParaRPr lang="en-US" sz="1050"/>
        </a:p>
      </dgm:t>
    </dgm:pt>
    <dgm:pt modelId="{73CBF96A-FB89-4E1F-8974-801452043D15}" type="parTrans" cxnId="{79E01B17-5483-4CA7-AA88-9A4BF9CE1BF5}">
      <dgm:prSet/>
      <dgm:spPr/>
      <dgm:t>
        <a:bodyPr/>
        <a:lstStyle/>
        <a:p>
          <a:endParaRPr lang="en-US" sz="1050"/>
        </a:p>
      </dgm:t>
    </dgm:pt>
    <dgm:pt modelId="{B198529C-13F4-4D55-B781-7F382B9761F7}" type="sibTrans" cxnId="{79E01B17-5483-4CA7-AA88-9A4BF9CE1BF5}">
      <dgm:prSet custT="1"/>
      <dgm:spPr/>
      <dgm:t>
        <a:bodyPr/>
        <a:lstStyle/>
        <a:p>
          <a:endParaRPr lang="en-US" sz="1050"/>
        </a:p>
      </dgm:t>
    </dgm:pt>
    <dgm:pt modelId="{207A2537-4E1E-4948-959E-A5FE06082FA2}">
      <dgm:prSet custT="1"/>
      <dgm:spPr/>
      <dgm:t>
        <a:bodyPr/>
        <a:lstStyle/>
        <a:p>
          <a:pPr>
            <a:buFont typeface="Arial" panose="020B0604020202020204" pitchFamily="34" charset="0"/>
            <a:buChar char="•"/>
          </a:pPr>
          <a:r>
            <a:rPr lang="en-US" sz="1050"/>
            <a:t>Records identified through database searching: </a:t>
          </a:r>
          <a:r>
            <a:rPr lang="en-US" sz="1050" b="1"/>
            <a:t>142</a:t>
          </a:r>
          <a:endParaRPr lang="en-US" sz="1050"/>
        </a:p>
      </dgm:t>
    </dgm:pt>
    <dgm:pt modelId="{CE92EC19-D4EF-4B62-950F-B7B326501924}" type="parTrans" cxnId="{C4710721-087F-4008-B0FB-7110D7A2E891}">
      <dgm:prSet/>
      <dgm:spPr/>
      <dgm:t>
        <a:bodyPr/>
        <a:lstStyle/>
        <a:p>
          <a:endParaRPr lang="en-US" sz="1050"/>
        </a:p>
      </dgm:t>
    </dgm:pt>
    <dgm:pt modelId="{A898EB80-BA45-409E-82DA-CDFA4D3C5F3F}" type="sibTrans" cxnId="{C4710721-087F-4008-B0FB-7110D7A2E891}">
      <dgm:prSet/>
      <dgm:spPr/>
      <dgm:t>
        <a:bodyPr/>
        <a:lstStyle/>
        <a:p>
          <a:endParaRPr lang="en-US" sz="1050"/>
        </a:p>
      </dgm:t>
    </dgm:pt>
    <dgm:pt modelId="{8633547A-E699-4DEA-9585-AAC6DD660F27}">
      <dgm:prSet custT="1"/>
      <dgm:spPr/>
      <dgm:t>
        <a:bodyPr/>
        <a:lstStyle/>
        <a:p>
          <a:pPr>
            <a:buFont typeface="Arial" panose="020B0604020202020204" pitchFamily="34" charset="0"/>
            <a:buChar char="•"/>
          </a:pPr>
          <a:r>
            <a:rPr lang="en-US" sz="1050"/>
            <a:t>Records after duplicates removed: </a:t>
          </a:r>
          <a:r>
            <a:rPr lang="en-US" sz="1050" b="1"/>
            <a:t>128</a:t>
          </a:r>
          <a:endParaRPr lang="en-US" sz="1050"/>
        </a:p>
      </dgm:t>
    </dgm:pt>
    <dgm:pt modelId="{8EE04644-65F4-4E92-A939-94D341172DA6}" type="parTrans" cxnId="{283618B1-0EE4-44B6-899D-57CD6E456E36}">
      <dgm:prSet/>
      <dgm:spPr/>
      <dgm:t>
        <a:bodyPr/>
        <a:lstStyle/>
        <a:p>
          <a:endParaRPr lang="en-US" sz="1050"/>
        </a:p>
      </dgm:t>
    </dgm:pt>
    <dgm:pt modelId="{20D1301E-E016-43A1-8465-8A7CAF2A5274}" type="sibTrans" cxnId="{283618B1-0EE4-44B6-899D-57CD6E456E36}">
      <dgm:prSet/>
      <dgm:spPr/>
      <dgm:t>
        <a:bodyPr/>
        <a:lstStyle/>
        <a:p>
          <a:endParaRPr lang="en-US" sz="1050"/>
        </a:p>
      </dgm:t>
    </dgm:pt>
    <dgm:pt modelId="{E75A1A14-D173-4AB2-92E8-A9F763DD2CFF}">
      <dgm:prSet custT="1"/>
      <dgm:spPr/>
      <dgm:t>
        <a:bodyPr/>
        <a:lstStyle/>
        <a:p>
          <a:pPr>
            <a:buNone/>
          </a:pPr>
          <a:r>
            <a:rPr lang="en-US" sz="1050" b="1"/>
            <a:t>Screening</a:t>
          </a:r>
          <a:endParaRPr lang="en-US" sz="1050"/>
        </a:p>
      </dgm:t>
    </dgm:pt>
    <dgm:pt modelId="{CE4DA0F9-FC26-4ABE-B776-A681F61D8A4E}" type="parTrans" cxnId="{917B80BA-C959-452D-BA33-7FC27EC62B8A}">
      <dgm:prSet/>
      <dgm:spPr/>
      <dgm:t>
        <a:bodyPr/>
        <a:lstStyle/>
        <a:p>
          <a:endParaRPr lang="en-US" sz="1050"/>
        </a:p>
      </dgm:t>
    </dgm:pt>
    <dgm:pt modelId="{5D29EC0D-1F1C-4161-8BB2-4BDF45643CCF}" type="sibTrans" cxnId="{917B80BA-C959-452D-BA33-7FC27EC62B8A}">
      <dgm:prSet custT="1"/>
      <dgm:spPr/>
      <dgm:t>
        <a:bodyPr/>
        <a:lstStyle/>
        <a:p>
          <a:endParaRPr lang="en-US" sz="1050"/>
        </a:p>
      </dgm:t>
    </dgm:pt>
    <dgm:pt modelId="{5BEBBD69-4C7E-4938-AFD9-69A463EB15ED}">
      <dgm:prSet custT="1"/>
      <dgm:spPr/>
      <dgm:t>
        <a:bodyPr/>
        <a:lstStyle/>
        <a:p>
          <a:pPr>
            <a:buFont typeface="Arial" panose="020B0604020202020204" pitchFamily="34" charset="0"/>
            <a:buChar char="•"/>
          </a:pPr>
          <a:r>
            <a:rPr lang="en-US" sz="1050"/>
            <a:t>Records screened for relevance: </a:t>
          </a:r>
          <a:r>
            <a:rPr lang="en-US" sz="1050" b="1"/>
            <a:t>64</a:t>
          </a:r>
          <a:endParaRPr lang="en-US" sz="1050"/>
        </a:p>
      </dgm:t>
    </dgm:pt>
    <dgm:pt modelId="{E28242B7-4B63-4818-AFF2-3B3C2DD24F91}" type="parTrans" cxnId="{325AE705-FEB1-4BE2-B865-F5821CE6B296}">
      <dgm:prSet/>
      <dgm:spPr/>
      <dgm:t>
        <a:bodyPr/>
        <a:lstStyle/>
        <a:p>
          <a:endParaRPr lang="en-US" sz="1050"/>
        </a:p>
      </dgm:t>
    </dgm:pt>
    <dgm:pt modelId="{E92CD72F-C2CB-42AC-9D63-9F0989A82CA8}" type="sibTrans" cxnId="{325AE705-FEB1-4BE2-B865-F5821CE6B296}">
      <dgm:prSet/>
      <dgm:spPr/>
      <dgm:t>
        <a:bodyPr/>
        <a:lstStyle/>
        <a:p>
          <a:endParaRPr lang="en-US" sz="1050"/>
        </a:p>
      </dgm:t>
    </dgm:pt>
    <dgm:pt modelId="{A1C1FF95-82E6-44C5-887E-D1D3DB139B7C}">
      <dgm:prSet custT="1"/>
      <dgm:spPr/>
      <dgm:t>
        <a:bodyPr/>
        <a:lstStyle/>
        <a:p>
          <a:pPr>
            <a:buFont typeface="Arial" panose="020B0604020202020204" pitchFamily="34" charset="0"/>
            <a:buChar char="•"/>
          </a:pPr>
          <a:r>
            <a:rPr lang="en-US" sz="1050"/>
            <a:t>Records excluded: </a:t>
          </a:r>
          <a:r>
            <a:rPr lang="en-US" sz="1050" b="1"/>
            <a:t>42</a:t>
          </a:r>
          <a:endParaRPr lang="en-US" sz="1050"/>
        </a:p>
      </dgm:t>
    </dgm:pt>
    <dgm:pt modelId="{BC877A2A-3DF3-491C-815D-FDA918F0AAD2}" type="parTrans" cxnId="{35BFCA6E-78D1-496A-B522-3BF51B6F49D8}">
      <dgm:prSet/>
      <dgm:spPr/>
      <dgm:t>
        <a:bodyPr/>
        <a:lstStyle/>
        <a:p>
          <a:endParaRPr lang="en-US" sz="1050"/>
        </a:p>
      </dgm:t>
    </dgm:pt>
    <dgm:pt modelId="{150717A5-71BB-4CBC-9438-E9B5790469ED}" type="sibTrans" cxnId="{35BFCA6E-78D1-496A-B522-3BF51B6F49D8}">
      <dgm:prSet/>
      <dgm:spPr/>
      <dgm:t>
        <a:bodyPr/>
        <a:lstStyle/>
        <a:p>
          <a:endParaRPr lang="en-US" sz="1050"/>
        </a:p>
      </dgm:t>
    </dgm:pt>
    <dgm:pt modelId="{301D8D75-E884-4443-B83E-60BDED1C6DFE}">
      <dgm:prSet custT="1"/>
      <dgm:spPr/>
      <dgm:t>
        <a:bodyPr/>
        <a:lstStyle/>
        <a:p>
          <a:pPr>
            <a:buNone/>
          </a:pPr>
          <a:r>
            <a:rPr lang="en-US" sz="1050" b="1"/>
            <a:t>Eligibility</a:t>
          </a:r>
          <a:endParaRPr lang="en-US" sz="1050"/>
        </a:p>
      </dgm:t>
    </dgm:pt>
    <dgm:pt modelId="{A8B91F77-2566-4CDB-B0DD-D6C7A8D3C22C}" type="parTrans" cxnId="{98C4DE57-17D2-4458-8032-051E6C9C3C82}">
      <dgm:prSet/>
      <dgm:spPr/>
      <dgm:t>
        <a:bodyPr/>
        <a:lstStyle/>
        <a:p>
          <a:endParaRPr lang="en-US" sz="1050"/>
        </a:p>
      </dgm:t>
    </dgm:pt>
    <dgm:pt modelId="{726180D5-3140-4458-A99D-A223681EF5E0}" type="sibTrans" cxnId="{98C4DE57-17D2-4458-8032-051E6C9C3C82}">
      <dgm:prSet custT="1"/>
      <dgm:spPr/>
      <dgm:t>
        <a:bodyPr/>
        <a:lstStyle/>
        <a:p>
          <a:endParaRPr lang="en-US" sz="1050"/>
        </a:p>
      </dgm:t>
    </dgm:pt>
    <dgm:pt modelId="{046AFE2C-57E9-4D72-98F6-972A25D504FF}">
      <dgm:prSet custT="1"/>
      <dgm:spPr/>
      <dgm:t>
        <a:bodyPr/>
        <a:lstStyle/>
        <a:p>
          <a:pPr>
            <a:buFont typeface="Arial" panose="020B0604020202020204" pitchFamily="34" charset="0"/>
            <a:buChar char="•"/>
          </a:pPr>
          <a:r>
            <a:rPr lang="en-US" sz="1050"/>
            <a:t>Full-text articles assessed for eligibility: </a:t>
          </a:r>
          <a:r>
            <a:rPr lang="en-US" sz="1050" b="1"/>
            <a:t>22</a:t>
          </a:r>
          <a:endParaRPr lang="en-US" sz="1050"/>
        </a:p>
      </dgm:t>
    </dgm:pt>
    <dgm:pt modelId="{82EEC098-E438-403A-896E-CEEE6F599D4F}" type="parTrans" cxnId="{2011FD15-C520-4AFD-AA8F-6F6D8278124C}">
      <dgm:prSet/>
      <dgm:spPr/>
      <dgm:t>
        <a:bodyPr/>
        <a:lstStyle/>
        <a:p>
          <a:endParaRPr lang="en-US" sz="1050"/>
        </a:p>
      </dgm:t>
    </dgm:pt>
    <dgm:pt modelId="{637846E7-7A82-441B-8D71-864EEBAE2C59}" type="sibTrans" cxnId="{2011FD15-C520-4AFD-AA8F-6F6D8278124C}">
      <dgm:prSet/>
      <dgm:spPr/>
      <dgm:t>
        <a:bodyPr/>
        <a:lstStyle/>
        <a:p>
          <a:endParaRPr lang="en-US" sz="1050"/>
        </a:p>
      </dgm:t>
    </dgm:pt>
    <dgm:pt modelId="{789E36AF-1444-438D-95CE-FA8799B6FC4D}">
      <dgm:prSet custT="1"/>
      <dgm:spPr/>
      <dgm:t>
        <a:bodyPr/>
        <a:lstStyle/>
        <a:p>
          <a:pPr>
            <a:buFont typeface="Arial" panose="020B0604020202020204" pitchFamily="34" charset="0"/>
            <a:buChar char="•"/>
          </a:pPr>
          <a:r>
            <a:rPr lang="en-US" sz="1050"/>
            <a:t>Full-text articles excluded (with reasons): </a:t>
          </a:r>
          <a:r>
            <a:rPr lang="en-US" sz="1050" b="1"/>
            <a:t>15</a:t>
          </a:r>
          <a:endParaRPr lang="en-US" sz="1050"/>
        </a:p>
      </dgm:t>
    </dgm:pt>
    <dgm:pt modelId="{8338F99E-61D4-44DC-91FF-43EBC6BDDC18}" type="parTrans" cxnId="{00BF826F-C442-42E2-8C6C-15BD090BC9E0}">
      <dgm:prSet/>
      <dgm:spPr/>
      <dgm:t>
        <a:bodyPr/>
        <a:lstStyle/>
        <a:p>
          <a:endParaRPr lang="en-US" sz="1050"/>
        </a:p>
      </dgm:t>
    </dgm:pt>
    <dgm:pt modelId="{BDF0E330-94EC-4583-A536-636BF3A9F966}" type="sibTrans" cxnId="{00BF826F-C442-42E2-8C6C-15BD090BC9E0}">
      <dgm:prSet/>
      <dgm:spPr/>
      <dgm:t>
        <a:bodyPr/>
        <a:lstStyle/>
        <a:p>
          <a:endParaRPr lang="en-US" sz="1050"/>
        </a:p>
      </dgm:t>
    </dgm:pt>
    <dgm:pt modelId="{46E19720-86FB-4A42-8D54-E457CF3E7553}">
      <dgm:prSet custT="1"/>
      <dgm:spPr/>
      <dgm:t>
        <a:bodyPr/>
        <a:lstStyle/>
        <a:p>
          <a:pPr>
            <a:buFont typeface="Arial" panose="020B0604020202020204" pitchFamily="34" charset="0"/>
            <a:buChar char="•"/>
          </a:pPr>
          <a:r>
            <a:rPr lang="en-US" sz="1050"/>
            <a:t>Not Saudi context (6)</a:t>
          </a:r>
        </a:p>
      </dgm:t>
    </dgm:pt>
    <dgm:pt modelId="{46CA44A7-415C-4F00-AA33-E5A8E0C47DC5}" type="parTrans" cxnId="{21BBCD4E-BA74-4DA0-A024-6AE61146A1BE}">
      <dgm:prSet/>
      <dgm:spPr/>
      <dgm:t>
        <a:bodyPr/>
        <a:lstStyle/>
        <a:p>
          <a:endParaRPr lang="en-US" sz="1050"/>
        </a:p>
      </dgm:t>
    </dgm:pt>
    <dgm:pt modelId="{26FF0599-77A7-4460-B089-85CC912C16BA}" type="sibTrans" cxnId="{21BBCD4E-BA74-4DA0-A024-6AE61146A1BE}">
      <dgm:prSet/>
      <dgm:spPr/>
      <dgm:t>
        <a:bodyPr/>
        <a:lstStyle/>
        <a:p>
          <a:endParaRPr lang="en-US" sz="1050"/>
        </a:p>
      </dgm:t>
    </dgm:pt>
    <dgm:pt modelId="{32BBA0EE-B2B6-47DC-9A92-E978C17A8DB4}">
      <dgm:prSet custT="1"/>
      <dgm:spPr/>
      <dgm:t>
        <a:bodyPr/>
        <a:lstStyle/>
        <a:p>
          <a:pPr>
            <a:buFont typeface="Arial" panose="020B0604020202020204" pitchFamily="34" charset="0"/>
            <a:buChar char="•"/>
          </a:pPr>
          <a:r>
            <a:rPr lang="en-US" sz="1050"/>
            <a:t>Not focused on generative AI (5)</a:t>
          </a:r>
        </a:p>
      </dgm:t>
    </dgm:pt>
    <dgm:pt modelId="{E9275815-6954-47C0-AA1F-513A54657A06}" type="parTrans" cxnId="{50D23082-8C68-43E2-91B6-4F49155BEBD8}">
      <dgm:prSet/>
      <dgm:spPr/>
      <dgm:t>
        <a:bodyPr/>
        <a:lstStyle/>
        <a:p>
          <a:endParaRPr lang="en-US" sz="1050"/>
        </a:p>
      </dgm:t>
    </dgm:pt>
    <dgm:pt modelId="{51CB76D7-77CB-4220-BB06-32CF83570B97}" type="sibTrans" cxnId="{50D23082-8C68-43E2-91B6-4F49155BEBD8}">
      <dgm:prSet/>
      <dgm:spPr/>
      <dgm:t>
        <a:bodyPr/>
        <a:lstStyle/>
        <a:p>
          <a:endParaRPr lang="en-US" sz="1050"/>
        </a:p>
      </dgm:t>
    </dgm:pt>
    <dgm:pt modelId="{BD3242CA-BAF0-4393-9F7C-8F3BE88A052A}">
      <dgm:prSet custT="1"/>
      <dgm:spPr/>
      <dgm:t>
        <a:bodyPr/>
        <a:lstStyle/>
        <a:p>
          <a:pPr>
            <a:buFont typeface="Arial" panose="020B0604020202020204" pitchFamily="34" charset="0"/>
            <a:buChar char="•"/>
          </a:pPr>
          <a:r>
            <a:rPr lang="en-US" sz="1050"/>
            <a:t>Insufficient policy relevance (4)</a:t>
          </a:r>
        </a:p>
      </dgm:t>
    </dgm:pt>
    <dgm:pt modelId="{94D0229D-7E17-400C-AA2F-1FDAB257D669}" type="parTrans" cxnId="{BA44B9AB-66E5-461F-A56F-705357517AEC}">
      <dgm:prSet/>
      <dgm:spPr/>
      <dgm:t>
        <a:bodyPr/>
        <a:lstStyle/>
        <a:p>
          <a:endParaRPr lang="en-US" sz="1050"/>
        </a:p>
      </dgm:t>
    </dgm:pt>
    <dgm:pt modelId="{2C38596E-D474-4E76-83A7-0E16D041EDC8}" type="sibTrans" cxnId="{BA44B9AB-66E5-461F-A56F-705357517AEC}">
      <dgm:prSet/>
      <dgm:spPr/>
      <dgm:t>
        <a:bodyPr/>
        <a:lstStyle/>
        <a:p>
          <a:endParaRPr lang="en-US" sz="1050"/>
        </a:p>
      </dgm:t>
    </dgm:pt>
    <dgm:pt modelId="{3C7A6962-A191-41B9-B12B-5018924D6F80}">
      <dgm:prSet custT="1"/>
      <dgm:spPr/>
      <dgm:t>
        <a:bodyPr/>
        <a:lstStyle/>
        <a:p>
          <a:pPr>
            <a:buNone/>
          </a:pPr>
          <a:r>
            <a:rPr lang="en-US" sz="1050" b="1"/>
            <a:t>Included</a:t>
          </a:r>
          <a:endParaRPr lang="en-US" sz="1050"/>
        </a:p>
      </dgm:t>
    </dgm:pt>
    <dgm:pt modelId="{9D401986-2B0D-49C6-8A97-C238C70CBCFF}" type="parTrans" cxnId="{617CB210-A287-44AD-A802-C84C4049F80B}">
      <dgm:prSet/>
      <dgm:spPr/>
      <dgm:t>
        <a:bodyPr/>
        <a:lstStyle/>
        <a:p>
          <a:endParaRPr lang="en-US" sz="1050"/>
        </a:p>
      </dgm:t>
    </dgm:pt>
    <dgm:pt modelId="{99597581-CCEE-466E-94F7-E9860E5889B8}" type="sibTrans" cxnId="{617CB210-A287-44AD-A802-C84C4049F80B}">
      <dgm:prSet/>
      <dgm:spPr/>
      <dgm:t>
        <a:bodyPr/>
        <a:lstStyle/>
        <a:p>
          <a:endParaRPr lang="en-US" sz="1050"/>
        </a:p>
      </dgm:t>
    </dgm:pt>
    <dgm:pt modelId="{0491990C-8EE5-4AFF-82B6-3740E7F9D04C}">
      <dgm:prSet custT="1"/>
      <dgm:spPr/>
      <dgm:t>
        <a:bodyPr/>
        <a:lstStyle/>
        <a:p>
          <a:pPr>
            <a:buFont typeface="Arial" panose="020B0604020202020204" pitchFamily="34" charset="0"/>
            <a:buChar char="•"/>
          </a:pPr>
          <a:r>
            <a:rPr lang="en-US" sz="1050"/>
            <a:t>Studies included in final synthesis: </a:t>
          </a:r>
          <a:r>
            <a:rPr lang="en-US" sz="1050" b="1"/>
            <a:t>7</a:t>
          </a:r>
          <a:endParaRPr lang="en-US" sz="1050"/>
        </a:p>
      </dgm:t>
    </dgm:pt>
    <dgm:pt modelId="{00DEE3C4-9D96-44D8-B4D7-135A697DBD6F}" type="parTrans" cxnId="{8307C878-D35C-4435-A8E9-06B6E8CBD738}">
      <dgm:prSet/>
      <dgm:spPr/>
      <dgm:t>
        <a:bodyPr/>
        <a:lstStyle/>
        <a:p>
          <a:endParaRPr lang="en-US" sz="1050"/>
        </a:p>
      </dgm:t>
    </dgm:pt>
    <dgm:pt modelId="{D13A1D5A-784C-4DA3-A98B-FE93A85F6044}" type="sibTrans" cxnId="{8307C878-D35C-4435-A8E9-06B6E8CBD738}">
      <dgm:prSet/>
      <dgm:spPr/>
      <dgm:t>
        <a:bodyPr/>
        <a:lstStyle/>
        <a:p>
          <a:endParaRPr lang="en-US" sz="1050"/>
        </a:p>
      </dgm:t>
    </dgm:pt>
    <dgm:pt modelId="{1652620B-AEBB-4B26-8D44-1FB178EBE62A}" type="pres">
      <dgm:prSet presAssocID="{BF84B3C5-EE2C-4185-9BFA-DFD741F56F3F}" presName="linearFlow" presStyleCnt="0">
        <dgm:presLayoutVars>
          <dgm:resizeHandles val="exact"/>
        </dgm:presLayoutVars>
      </dgm:prSet>
      <dgm:spPr/>
    </dgm:pt>
    <dgm:pt modelId="{D91CF447-FD3F-460C-B9D2-470FE2719EE4}" type="pres">
      <dgm:prSet presAssocID="{4C20A095-38BA-4C62-AEEB-810D7C2E50CD}" presName="node" presStyleLbl="node1" presStyleIdx="0" presStyleCnt="4">
        <dgm:presLayoutVars>
          <dgm:bulletEnabled val="1"/>
        </dgm:presLayoutVars>
      </dgm:prSet>
      <dgm:spPr/>
    </dgm:pt>
    <dgm:pt modelId="{65A75875-00FF-4505-AB3B-F2514D6A067B}" type="pres">
      <dgm:prSet presAssocID="{B198529C-13F4-4D55-B781-7F382B9761F7}" presName="sibTrans" presStyleLbl="sibTrans2D1" presStyleIdx="0" presStyleCnt="3"/>
      <dgm:spPr/>
    </dgm:pt>
    <dgm:pt modelId="{F412FAEF-E733-4502-B95A-D145B13DE855}" type="pres">
      <dgm:prSet presAssocID="{B198529C-13F4-4D55-B781-7F382B9761F7}" presName="connectorText" presStyleLbl="sibTrans2D1" presStyleIdx="0" presStyleCnt="3"/>
      <dgm:spPr/>
    </dgm:pt>
    <dgm:pt modelId="{9E9EA31E-6F7D-458C-B832-DB3C23BF3A85}" type="pres">
      <dgm:prSet presAssocID="{E75A1A14-D173-4AB2-92E8-A9F763DD2CFF}" presName="node" presStyleLbl="node1" presStyleIdx="1" presStyleCnt="4">
        <dgm:presLayoutVars>
          <dgm:bulletEnabled val="1"/>
        </dgm:presLayoutVars>
      </dgm:prSet>
      <dgm:spPr/>
    </dgm:pt>
    <dgm:pt modelId="{0E6EB174-8399-4822-9565-6B4FDD13C091}" type="pres">
      <dgm:prSet presAssocID="{5D29EC0D-1F1C-4161-8BB2-4BDF45643CCF}" presName="sibTrans" presStyleLbl="sibTrans2D1" presStyleIdx="1" presStyleCnt="3"/>
      <dgm:spPr/>
    </dgm:pt>
    <dgm:pt modelId="{49EEEE7E-15CD-46AE-9A78-2896F4C61F77}" type="pres">
      <dgm:prSet presAssocID="{5D29EC0D-1F1C-4161-8BB2-4BDF45643CCF}" presName="connectorText" presStyleLbl="sibTrans2D1" presStyleIdx="1" presStyleCnt="3"/>
      <dgm:spPr/>
    </dgm:pt>
    <dgm:pt modelId="{937AC4D0-75E4-4A25-BC2B-D92E1A0800D0}" type="pres">
      <dgm:prSet presAssocID="{301D8D75-E884-4443-B83E-60BDED1C6DFE}" presName="node" presStyleLbl="node1" presStyleIdx="2" presStyleCnt="4">
        <dgm:presLayoutVars>
          <dgm:bulletEnabled val="1"/>
        </dgm:presLayoutVars>
      </dgm:prSet>
      <dgm:spPr/>
    </dgm:pt>
    <dgm:pt modelId="{F419AA18-D8A8-4979-BC1F-06642C8E15D5}" type="pres">
      <dgm:prSet presAssocID="{726180D5-3140-4458-A99D-A223681EF5E0}" presName="sibTrans" presStyleLbl="sibTrans2D1" presStyleIdx="2" presStyleCnt="3"/>
      <dgm:spPr/>
    </dgm:pt>
    <dgm:pt modelId="{4299030E-DAEC-4BB7-AADA-71DD351480E4}" type="pres">
      <dgm:prSet presAssocID="{726180D5-3140-4458-A99D-A223681EF5E0}" presName="connectorText" presStyleLbl="sibTrans2D1" presStyleIdx="2" presStyleCnt="3"/>
      <dgm:spPr/>
    </dgm:pt>
    <dgm:pt modelId="{14B4DC1E-2DBF-4F4D-A019-C4F32162D007}" type="pres">
      <dgm:prSet presAssocID="{3C7A6962-A191-41B9-B12B-5018924D6F80}" presName="node" presStyleLbl="node1" presStyleIdx="3" presStyleCnt="4">
        <dgm:presLayoutVars>
          <dgm:bulletEnabled val="1"/>
        </dgm:presLayoutVars>
      </dgm:prSet>
      <dgm:spPr/>
    </dgm:pt>
  </dgm:ptLst>
  <dgm:cxnLst>
    <dgm:cxn modelId="{325AE705-FEB1-4BE2-B865-F5821CE6B296}" srcId="{E75A1A14-D173-4AB2-92E8-A9F763DD2CFF}" destId="{5BEBBD69-4C7E-4938-AFD9-69A463EB15ED}" srcOrd="0" destOrd="0" parTransId="{E28242B7-4B63-4818-AFF2-3B3C2DD24F91}" sibTransId="{E92CD72F-C2CB-42AC-9D63-9F0989A82CA8}"/>
    <dgm:cxn modelId="{A3880606-65B4-474C-AF6C-0E3D6847B75F}" type="presOf" srcId="{32BBA0EE-B2B6-47DC-9A92-E978C17A8DB4}" destId="{937AC4D0-75E4-4A25-BC2B-D92E1A0800D0}" srcOrd="0" destOrd="4" presId="urn:microsoft.com/office/officeart/2005/8/layout/process2"/>
    <dgm:cxn modelId="{1C79260B-EC29-473E-B83E-F646992AF22B}" type="presOf" srcId="{3C7A6962-A191-41B9-B12B-5018924D6F80}" destId="{14B4DC1E-2DBF-4F4D-A019-C4F32162D007}" srcOrd="0" destOrd="0" presId="urn:microsoft.com/office/officeart/2005/8/layout/process2"/>
    <dgm:cxn modelId="{CBAB0C0C-FD79-4E57-A15E-9FF1185A38CB}" type="presOf" srcId="{BF84B3C5-EE2C-4185-9BFA-DFD741F56F3F}" destId="{1652620B-AEBB-4B26-8D44-1FB178EBE62A}" srcOrd="0" destOrd="0" presId="urn:microsoft.com/office/officeart/2005/8/layout/process2"/>
    <dgm:cxn modelId="{617CB210-A287-44AD-A802-C84C4049F80B}" srcId="{BF84B3C5-EE2C-4185-9BFA-DFD741F56F3F}" destId="{3C7A6962-A191-41B9-B12B-5018924D6F80}" srcOrd="3" destOrd="0" parTransId="{9D401986-2B0D-49C6-8A97-C238C70CBCFF}" sibTransId="{99597581-CCEE-466E-94F7-E9860E5889B8}"/>
    <dgm:cxn modelId="{2011FD15-C520-4AFD-AA8F-6F6D8278124C}" srcId="{301D8D75-E884-4443-B83E-60BDED1C6DFE}" destId="{046AFE2C-57E9-4D72-98F6-972A25D504FF}" srcOrd="0" destOrd="0" parTransId="{82EEC098-E438-403A-896E-CEEE6F599D4F}" sibTransId="{637846E7-7A82-441B-8D71-864EEBAE2C59}"/>
    <dgm:cxn modelId="{79E01B17-5483-4CA7-AA88-9A4BF9CE1BF5}" srcId="{BF84B3C5-EE2C-4185-9BFA-DFD741F56F3F}" destId="{4C20A095-38BA-4C62-AEEB-810D7C2E50CD}" srcOrd="0" destOrd="0" parTransId="{73CBF96A-FB89-4E1F-8974-801452043D15}" sibTransId="{B198529C-13F4-4D55-B781-7F382B9761F7}"/>
    <dgm:cxn modelId="{78460119-73C3-49F5-9784-EE44C88E6094}" type="presOf" srcId="{726180D5-3140-4458-A99D-A223681EF5E0}" destId="{4299030E-DAEC-4BB7-AADA-71DD351480E4}" srcOrd="1" destOrd="0" presId="urn:microsoft.com/office/officeart/2005/8/layout/process2"/>
    <dgm:cxn modelId="{C855D41B-544F-4FA7-B181-EDD118200E88}" type="presOf" srcId="{B198529C-13F4-4D55-B781-7F382B9761F7}" destId="{65A75875-00FF-4505-AB3B-F2514D6A067B}" srcOrd="0" destOrd="0" presId="urn:microsoft.com/office/officeart/2005/8/layout/process2"/>
    <dgm:cxn modelId="{C4710721-087F-4008-B0FB-7110D7A2E891}" srcId="{4C20A095-38BA-4C62-AEEB-810D7C2E50CD}" destId="{207A2537-4E1E-4948-959E-A5FE06082FA2}" srcOrd="0" destOrd="0" parTransId="{CE92EC19-D4EF-4B62-950F-B7B326501924}" sibTransId="{A898EB80-BA45-409E-82DA-CDFA4D3C5F3F}"/>
    <dgm:cxn modelId="{2BD77334-D542-4BBE-ABE4-96EAD5B77A02}" type="presOf" srcId="{5BEBBD69-4C7E-4938-AFD9-69A463EB15ED}" destId="{9E9EA31E-6F7D-458C-B832-DB3C23BF3A85}" srcOrd="0" destOrd="1" presId="urn:microsoft.com/office/officeart/2005/8/layout/process2"/>
    <dgm:cxn modelId="{69033D6C-D880-43AC-9F4B-3F846754A5BE}" type="presOf" srcId="{4C20A095-38BA-4C62-AEEB-810D7C2E50CD}" destId="{D91CF447-FD3F-460C-B9D2-470FE2719EE4}" srcOrd="0" destOrd="0" presId="urn:microsoft.com/office/officeart/2005/8/layout/process2"/>
    <dgm:cxn modelId="{A2AA7D6C-696C-4EC7-9E3B-01747CA10365}" type="presOf" srcId="{BD3242CA-BAF0-4393-9F7C-8F3BE88A052A}" destId="{937AC4D0-75E4-4A25-BC2B-D92E1A0800D0}" srcOrd="0" destOrd="5" presId="urn:microsoft.com/office/officeart/2005/8/layout/process2"/>
    <dgm:cxn modelId="{8991214E-0DE7-4E8E-A47C-58EA42955453}" type="presOf" srcId="{0491990C-8EE5-4AFF-82B6-3740E7F9D04C}" destId="{14B4DC1E-2DBF-4F4D-A019-C4F32162D007}" srcOrd="0" destOrd="1" presId="urn:microsoft.com/office/officeart/2005/8/layout/process2"/>
    <dgm:cxn modelId="{35BFCA6E-78D1-496A-B522-3BF51B6F49D8}" srcId="{E75A1A14-D173-4AB2-92E8-A9F763DD2CFF}" destId="{A1C1FF95-82E6-44C5-887E-D1D3DB139B7C}" srcOrd="1" destOrd="0" parTransId="{BC877A2A-3DF3-491C-815D-FDA918F0AAD2}" sibTransId="{150717A5-71BB-4CBC-9438-E9B5790469ED}"/>
    <dgm:cxn modelId="{21BBCD4E-BA74-4DA0-A024-6AE61146A1BE}" srcId="{789E36AF-1444-438D-95CE-FA8799B6FC4D}" destId="{46E19720-86FB-4A42-8D54-E457CF3E7553}" srcOrd="0" destOrd="0" parTransId="{46CA44A7-415C-4F00-AA33-E5A8E0C47DC5}" sibTransId="{26FF0599-77A7-4460-B089-85CC912C16BA}"/>
    <dgm:cxn modelId="{00BF826F-C442-42E2-8C6C-15BD090BC9E0}" srcId="{301D8D75-E884-4443-B83E-60BDED1C6DFE}" destId="{789E36AF-1444-438D-95CE-FA8799B6FC4D}" srcOrd="1" destOrd="0" parTransId="{8338F99E-61D4-44DC-91FF-43EBC6BDDC18}" sibTransId="{BDF0E330-94EC-4583-A536-636BF3A9F966}"/>
    <dgm:cxn modelId="{650E9855-4651-4AD8-877B-2DE40CB8D000}" type="presOf" srcId="{46E19720-86FB-4A42-8D54-E457CF3E7553}" destId="{937AC4D0-75E4-4A25-BC2B-D92E1A0800D0}" srcOrd="0" destOrd="3" presId="urn:microsoft.com/office/officeart/2005/8/layout/process2"/>
    <dgm:cxn modelId="{9C1A0A57-24BA-444F-9DA5-981E8235FCCC}" type="presOf" srcId="{5D29EC0D-1F1C-4161-8BB2-4BDF45643CCF}" destId="{0E6EB174-8399-4822-9565-6B4FDD13C091}" srcOrd="0" destOrd="0" presId="urn:microsoft.com/office/officeart/2005/8/layout/process2"/>
    <dgm:cxn modelId="{98C4DE57-17D2-4458-8032-051E6C9C3C82}" srcId="{BF84B3C5-EE2C-4185-9BFA-DFD741F56F3F}" destId="{301D8D75-E884-4443-B83E-60BDED1C6DFE}" srcOrd="2" destOrd="0" parTransId="{A8B91F77-2566-4CDB-B0DD-D6C7A8D3C22C}" sibTransId="{726180D5-3140-4458-A99D-A223681EF5E0}"/>
    <dgm:cxn modelId="{8307C878-D35C-4435-A8E9-06B6E8CBD738}" srcId="{3C7A6962-A191-41B9-B12B-5018924D6F80}" destId="{0491990C-8EE5-4AFF-82B6-3740E7F9D04C}" srcOrd="0" destOrd="0" parTransId="{00DEE3C4-9D96-44D8-B4D7-135A697DBD6F}" sibTransId="{D13A1D5A-784C-4DA3-A98B-FE93A85F6044}"/>
    <dgm:cxn modelId="{A3C44D7A-EF66-4646-85B7-B7D994E1246E}" type="presOf" srcId="{E75A1A14-D173-4AB2-92E8-A9F763DD2CFF}" destId="{9E9EA31E-6F7D-458C-B832-DB3C23BF3A85}" srcOrd="0" destOrd="0" presId="urn:microsoft.com/office/officeart/2005/8/layout/process2"/>
    <dgm:cxn modelId="{DC94217F-0CF7-4247-BB5B-3A74081CC3E5}" type="presOf" srcId="{5D29EC0D-1F1C-4161-8BB2-4BDF45643CCF}" destId="{49EEEE7E-15CD-46AE-9A78-2896F4C61F77}" srcOrd="1" destOrd="0" presId="urn:microsoft.com/office/officeart/2005/8/layout/process2"/>
    <dgm:cxn modelId="{50D23082-8C68-43E2-91B6-4F49155BEBD8}" srcId="{789E36AF-1444-438D-95CE-FA8799B6FC4D}" destId="{32BBA0EE-B2B6-47DC-9A92-E978C17A8DB4}" srcOrd="1" destOrd="0" parTransId="{E9275815-6954-47C0-AA1F-513A54657A06}" sibTransId="{51CB76D7-77CB-4220-BB06-32CF83570B97}"/>
    <dgm:cxn modelId="{B3038A87-FFFB-446D-A93F-9DA4B830F4A0}" type="presOf" srcId="{789E36AF-1444-438D-95CE-FA8799B6FC4D}" destId="{937AC4D0-75E4-4A25-BC2B-D92E1A0800D0}" srcOrd="0" destOrd="2" presId="urn:microsoft.com/office/officeart/2005/8/layout/process2"/>
    <dgm:cxn modelId="{1CB9BF89-E5A3-457C-8A66-AACBA7F2792E}" type="presOf" srcId="{726180D5-3140-4458-A99D-A223681EF5E0}" destId="{F419AA18-D8A8-4979-BC1F-06642C8E15D5}" srcOrd="0" destOrd="0" presId="urn:microsoft.com/office/officeart/2005/8/layout/process2"/>
    <dgm:cxn modelId="{D1D24A8C-40BE-45DD-AA89-A8788230C9FB}" type="presOf" srcId="{207A2537-4E1E-4948-959E-A5FE06082FA2}" destId="{D91CF447-FD3F-460C-B9D2-470FE2719EE4}" srcOrd="0" destOrd="1" presId="urn:microsoft.com/office/officeart/2005/8/layout/process2"/>
    <dgm:cxn modelId="{C017B7A5-B761-46DE-801C-00BB25FB367C}" type="presOf" srcId="{B198529C-13F4-4D55-B781-7F382B9761F7}" destId="{F412FAEF-E733-4502-B95A-D145B13DE855}" srcOrd="1" destOrd="0" presId="urn:microsoft.com/office/officeart/2005/8/layout/process2"/>
    <dgm:cxn modelId="{BA44B9AB-66E5-461F-A56F-705357517AEC}" srcId="{789E36AF-1444-438D-95CE-FA8799B6FC4D}" destId="{BD3242CA-BAF0-4393-9F7C-8F3BE88A052A}" srcOrd="2" destOrd="0" parTransId="{94D0229D-7E17-400C-AA2F-1FDAB257D669}" sibTransId="{2C38596E-D474-4E76-83A7-0E16D041EDC8}"/>
    <dgm:cxn modelId="{283618B1-0EE4-44B6-899D-57CD6E456E36}" srcId="{4C20A095-38BA-4C62-AEEB-810D7C2E50CD}" destId="{8633547A-E699-4DEA-9585-AAC6DD660F27}" srcOrd="1" destOrd="0" parTransId="{8EE04644-65F4-4E92-A939-94D341172DA6}" sibTransId="{20D1301E-E016-43A1-8465-8A7CAF2A5274}"/>
    <dgm:cxn modelId="{7F79FAB9-DEC0-42C3-9DDF-267BE67B290A}" type="presOf" srcId="{046AFE2C-57E9-4D72-98F6-972A25D504FF}" destId="{937AC4D0-75E4-4A25-BC2B-D92E1A0800D0}" srcOrd="0" destOrd="1" presId="urn:microsoft.com/office/officeart/2005/8/layout/process2"/>
    <dgm:cxn modelId="{917B80BA-C959-452D-BA33-7FC27EC62B8A}" srcId="{BF84B3C5-EE2C-4185-9BFA-DFD741F56F3F}" destId="{E75A1A14-D173-4AB2-92E8-A9F763DD2CFF}" srcOrd="1" destOrd="0" parTransId="{CE4DA0F9-FC26-4ABE-B776-A681F61D8A4E}" sibTransId="{5D29EC0D-1F1C-4161-8BB2-4BDF45643CCF}"/>
    <dgm:cxn modelId="{2942D9EB-F583-493E-97B4-A3A87C5F1277}" type="presOf" srcId="{301D8D75-E884-4443-B83E-60BDED1C6DFE}" destId="{937AC4D0-75E4-4A25-BC2B-D92E1A0800D0}" srcOrd="0" destOrd="0" presId="urn:microsoft.com/office/officeart/2005/8/layout/process2"/>
    <dgm:cxn modelId="{2A72A0F0-121A-4093-A324-678B3E6E271E}" type="presOf" srcId="{8633547A-E699-4DEA-9585-AAC6DD660F27}" destId="{D91CF447-FD3F-460C-B9D2-470FE2719EE4}" srcOrd="0" destOrd="2" presId="urn:microsoft.com/office/officeart/2005/8/layout/process2"/>
    <dgm:cxn modelId="{8A89B1FF-26BF-4B58-BEDE-76EF657CA2E0}" type="presOf" srcId="{A1C1FF95-82E6-44C5-887E-D1D3DB139B7C}" destId="{9E9EA31E-6F7D-458C-B832-DB3C23BF3A85}" srcOrd="0" destOrd="2" presId="urn:microsoft.com/office/officeart/2005/8/layout/process2"/>
    <dgm:cxn modelId="{E373215A-9B77-47EB-A7AB-B7A6A8E142EF}" type="presParOf" srcId="{1652620B-AEBB-4B26-8D44-1FB178EBE62A}" destId="{D91CF447-FD3F-460C-B9D2-470FE2719EE4}" srcOrd="0" destOrd="0" presId="urn:microsoft.com/office/officeart/2005/8/layout/process2"/>
    <dgm:cxn modelId="{8DEA37FA-6F4B-4AD6-8F6F-2896032F79AE}" type="presParOf" srcId="{1652620B-AEBB-4B26-8D44-1FB178EBE62A}" destId="{65A75875-00FF-4505-AB3B-F2514D6A067B}" srcOrd="1" destOrd="0" presId="urn:microsoft.com/office/officeart/2005/8/layout/process2"/>
    <dgm:cxn modelId="{600D1212-6AAE-4FAE-87CE-9849DF59BBA6}" type="presParOf" srcId="{65A75875-00FF-4505-AB3B-F2514D6A067B}" destId="{F412FAEF-E733-4502-B95A-D145B13DE855}" srcOrd="0" destOrd="0" presId="urn:microsoft.com/office/officeart/2005/8/layout/process2"/>
    <dgm:cxn modelId="{8CF98B7B-C189-4FF3-82A9-85D304AE0393}" type="presParOf" srcId="{1652620B-AEBB-4B26-8D44-1FB178EBE62A}" destId="{9E9EA31E-6F7D-458C-B832-DB3C23BF3A85}" srcOrd="2" destOrd="0" presId="urn:microsoft.com/office/officeart/2005/8/layout/process2"/>
    <dgm:cxn modelId="{69441CAA-3BEE-4166-AD01-EDA5650B9B98}" type="presParOf" srcId="{1652620B-AEBB-4B26-8D44-1FB178EBE62A}" destId="{0E6EB174-8399-4822-9565-6B4FDD13C091}" srcOrd="3" destOrd="0" presId="urn:microsoft.com/office/officeart/2005/8/layout/process2"/>
    <dgm:cxn modelId="{C7427E12-5B68-42A0-B031-2823A8D0A36A}" type="presParOf" srcId="{0E6EB174-8399-4822-9565-6B4FDD13C091}" destId="{49EEEE7E-15CD-46AE-9A78-2896F4C61F77}" srcOrd="0" destOrd="0" presId="urn:microsoft.com/office/officeart/2005/8/layout/process2"/>
    <dgm:cxn modelId="{4234B33A-D41B-44F3-8C1E-38DC2148D4B7}" type="presParOf" srcId="{1652620B-AEBB-4B26-8D44-1FB178EBE62A}" destId="{937AC4D0-75E4-4A25-BC2B-D92E1A0800D0}" srcOrd="4" destOrd="0" presId="urn:microsoft.com/office/officeart/2005/8/layout/process2"/>
    <dgm:cxn modelId="{F888A30E-8A33-4F95-805E-5D08AC2879E7}" type="presParOf" srcId="{1652620B-AEBB-4B26-8D44-1FB178EBE62A}" destId="{F419AA18-D8A8-4979-BC1F-06642C8E15D5}" srcOrd="5" destOrd="0" presId="urn:microsoft.com/office/officeart/2005/8/layout/process2"/>
    <dgm:cxn modelId="{51AB2426-A50B-43DF-800C-6806D35E3D0D}" type="presParOf" srcId="{F419AA18-D8A8-4979-BC1F-06642C8E15D5}" destId="{4299030E-DAEC-4BB7-AADA-71DD351480E4}" srcOrd="0" destOrd="0" presId="urn:microsoft.com/office/officeart/2005/8/layout/process2"/>
    <dgm:cxn modelId="{BBCA0561-B828-46A9-9AD4-5C9481A84896}" type="presParOf" srcId="{1652620B-AEBB-4B26-8D44-1FB178EBE62A}" destId="{14B4DC1E-2DBF-4F4D-A019-C4F32162D007}" srcOrd="6" destOrd="0" presId="urn:microsoft.com/office/officeart/2005/8/layout/process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1CF447-FD3F-460C-B9D2-470FE2719EE4}">
      <dsp:nvSpPr>
        <dsp:cNvPr id="0" name=""/>
        <dsp:cNvSpPr/>
      </dsp:nvSpPr>
      <dsp:spPr>
        <a:xfrm>
          <a:off x="1950589" y="5630"/>
          <a:ext cx="2819660" cy="10467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en-US" sz="1050" b="1" kern="1200"/>
            <a:t>Identification</a:t>
          </a:r>
          <a:endParaRPr lang="en-US" sz="1050" kern="1200"/>
        </a:p>
        <a:p>
          <a:pPr marL="57150" lvl="1" indent="-57150" algn="l" defTabSz="466725">
            <a:lnSpc>
              <a:spcPct val="90000"/>
            </a:lnSpc>
            <a:spcBef>
              <a:spcPct val="0"/>
            </a:spcBef>
            <a:spcAft>
              <a:spcPct val="15000"/>
            </a:spcAft>
            <a:buFont typeface="Arial" panose="020B0604020202020204" pitchFamily="34" charset="0"/>
            <a:buChar char="•"/>
          </a:pPr>
          <a:r>
            <a:rPr lang="en-US" sz="1050" kern="1200"/>
            <a:t>Records identified through database searching: </a:t>
          </a:r>
          <a:r>
            <a:rPr lang="en-US" sz="1050" b="1" kern="1200"/>
            <a:t>142</a:t>
          </a:r>
          <a:endParaRPr lang="en-US" sz="1050" kern="1200"/>
        </a:p>
        <a:p>
          <a:pPr marL="57150" lvl="1" indent="-57150" algn="l" defTabSz="466725">
            <a:lnSpc>
              <a:spcPct val="90000"/>
            </a:lnSpc>
            <a:spcBef>
              <a:spcPct val="0"/>
            </a:spcBef>
            <a:spcAft>
              <a:spcPct val="15000"/>
            </a:spcAft>
            <a:buFont typeface="Arial" panose="020B0604020202020204" pitchFamily="34" charset="0"/>
            <a:buChar char="•"/>
          </a:pPr>
          <a:r>
            <a:rPr lang="en-US" sz="1050" kern="1200"/>
            <a:t>Records after duplicates removed: </a:t>
          </a:r>
          <a:r>
            <a:rPr lang="en-US" sz="1050" b="1" kern="1200"/>
            <a:t>128</a:t>
          </a:r>
          <a:endParaRPr lang="en-US" sz="1050" kern="1200"/>
        </a:p>
      </dsp:txBody>
      <dsp:txXfrm>
        <a:off x="1981247" y="36288"/>
        <a:ext cx="2758344" cy="985425"/>
      </dsp:txXfrm>
    </dsp:sp>
    <dsp:sp modelId="{65A75875-00FF-4505-AB3B-F2514D6A067B}">
      <dsp:nvSpPr>
        <dsp:cNvPr id="0" name=""/>
        <dsp:cNvSpPr/>
      </dsp:nvSpPr>
      <dsp:spPr>
        <a:xfrm rot="5400000">
          <a:off x="3164155" y="1078540"/>
          <a:ext cx="392528" cy="47103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US" sz="1050" kern="1200"/>
        </a:p>
      </dsp:txBody>
      <dsp:txXfrm rot="-5400000">
        <a:off x="3219110" y="1117792"/>
        <a:ext cx="282619" cy="274770"/>
      </dsp:txXfrm>
    </dsp:sp>
    <dsp:sp modelId="{9E9EA31E-6F7D-458C-B832-DB3C23BF3A85}">
      <dsp:nvSpPr>
        <dsp:cNvPr id="0" name=""/>
        <dsp:cNvSpPr/>
      </dsp:nvSpPr>
      <dsp:spPr>
        <a:xfrm>
          <a:off x="1950589" y="1575742"/>
          <a:ext cx="2819660" cy="10467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en-US" sz="1050" b="1" kern="1200"/>
            <a:t>Screening</a:t>
          </a:r>
          <a:endParaRPr lang="en-US" sz="1050" kern="1200"/>
        </a:p>
        <a:p>
          <a:pPr marL="57150" lvl="1" indent="-57150" algn="l" defTabSz="466725">
            <a:lnSpc>
              <a:spcPct val="90000"/>
            </a:lnSpc>
            <a:spcBef>
              <a:spcPct val="0"/>
            </a:spcBef>
            <a:spcAft>
              <a:spcPct val="15000"/>
            </a:spcAft>
            <a:buFont typeface="Arial" panose="020B0604020202020204" pitchFamily="34" charset="0"/>
            <a:buChar char="•"/>
          </a:pPr>
          <a:r>
            <a:rPr lang="en-US" sz="1050" kern="1200"/>
            <a:t>Records screened for relevance: </a:t>
          </a:r>
          <a:r>
            <a:rPr lang="en-US" sz="1050" b="1" kern="1200"/>
            <a:t>64</a:t>
          </a:r>
          <a:endParaRPr lang="en-US" sz="1050" kern="1200"/>
        </a:p>
        <a:p>
          <a:pPr marL="57150" lvl="1" indent="-57150" algn="l" defTabSz="466725">
            <a:lnSpc>
              <a:spcPct val="90000"/>
            </a:lnSpc>
            <a:spcBef>
              <a:spcPct val="0"/>
            </a:spcBef>
            <a:spcAft>
              <a:spcPct val="15000"/>
            </a:spcAft>
            <a:buFont typeface="Arial" panose="020B0604020202020204" pitchFamily="34" charset="0"/>
            <a:buChar char="•"/>
          </a:pPr>
          <a:r>
            <a:rPr lang="en-US" sz="1050" kern="1200"/>
            <a:t>Records excluded: </a:t>
          </a:r>
          <a:r>
            <a:rPr lang="en-US" sz="1050" b="1" kern="1200"/>
            <a:t>42</a:t>
          </a:r>
          <a:endParaRPr lang="en-US" sz="1050" kern="1200"/>
        </a:p>
      </dsp:txBody>
      <dsp:txXfrm>
        <a:off x="1981247" y="1606400"/>
        <a:ext cx="2758344" cy="985425"/>
      </dsp:txXfrm>
    </dsp:sp>
    <dsp:sp modelId="{0E6EB174-8399-4822-9565-6B4FDD13C091}">
      <dsp:nvSpPr>
        <dsp:cNvPr id="0" name=""/>
        <dsp:cNvSpPr/>
      </dsp:nvSpPr>
      <dsp:spPr>
        <a:xfrm rot="5400000">
          <a:off x="3164155" y="2648653"/>
          <a:ext cx="392528" cy="47103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US" sz="1050" kern="1200"/>
        </a:p>
      </dsp:txBody>
      <dsp:txXfrm rot="-5400000">
        <a:off x="3219110" y="2687905"/>
        <a:ext cx="282619" cy="274770"/>
      </dsp:txXfrm>
    </dsp:sp>
    <dsp:sp modelId="{937AC4D0-75E4-4A25-BC2B-D92E1A0800D0}">
      <dsp:nvSpPr>
        <dsp:cNvPr id="0" name=""/>
        <dsp:cNvSpPr/>
      </dsp:nvSpPr>
      <dsp:spPr>
        <a:xfrm>
          <a:off x="1950589" y="3145855"/>
          <a:ext cx="2819660" cy="10467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en-US" sz="1050" b="1" kern="1200"/>
            <a:t>Eligibility</a:t>
          </a:r>
          <a:endParaRPr lang="en-US" sz="1050" kern="1200"/>
        </a:p>
        <a:p>
          <a:pPr marL="57150" lvl="1" indent="-57150" algn="l" defTabSz="466725">
            <a:lnSpc>
              <a:spcPct val="90000"/>
            </a:lnSpc>
            <a:spcBef>
              <a:spcPct val="0"/>
            </a:spcBef>
            <a:spcAft>
              <a:spcPct val="15000"/>
            </a:spcAft>
            <a:buFont typeface="Arial" panose="020B0604020202020204" pitchFamily="34" charset="0"/>
            <a:buChar char="•"/>
          </a:pPr>
          <a:r>
            <a:rPr lang="en-US" sz="1050" kern="1200"/>
            <a:t>Full-text articles assessed for eligibility: </a:t>
          </a:r>
          <a:r>
            <a:rPr lang="en-US" sz="1050" b="1" kern="1200"/>
            <a:t>22</a:t>
          </a:r>
          <a:endParaRPr lang="en-US" sz="1050" kern="1200"/>
        </a:p>
        <a:p>
          <a:pPr marL="57150" lvl="1" indent="-57150" algn="l" defTabSz="466725">
            <a:lnSpc>
              <a:spcPct val="90000"/>
            </a:lnSpc>
            <a:spcBef>
              <a:spcPct val="0"/>
            </a:spcBef>
            <a:spcAft>
              <a:spcPct val="15000"/>
            </a:spcAft>
            <a:buFont typeface="Arial" panose="020B0604020202020204" pitchFamily="34" charset="0"/>
            <a:buChar char="•"/>
          </a:pPr>
          <a:r>
            <a:rPr lang="en-US" sz="1050" kern="1200"/>
            <a:t>Full-text articles excluded (with reasons): </a:t>
          </a:r>
          <a:r>
            <a:rPr lang="en-US" sz="1050" b="1" kern="1200"/>
            <a:t>15</a:t>
          </a:r>
          <a:endParaRPr lang="en-US" sz="1050" kern="1200"/>
        </a:p>
        <a:p>
          <a:pPr marL="114300" lvl="2" indent="-57150" algn="l" defTabSz="466725">
            <a:lnSpc>
              <a:spcPct val="90000"/>
            </a:lnSpc>
            <a:spcBef>
              <a:spcPct val="0"/>
            </a:spcBef>
            <a:spcAft>
              <a:spcPct val="15000"/>
            </a:spcAft>
            <a:buFont typeface="Arial" panose="020B0604020202020204" pitchFamily="34" charset="0"/>
            <a:buChar char="•"/>
          </a:pPr>
          <a:r>
            <a:rPr lang="en-US" sz="1050" kern="1200"/>
            <a:t>Not Saudi context (6)</a:t>
          </a:r>
        </a:p>
        <a:p>
          <a:pPr marL="114300" lvl="2" indent="-57150" algn="l" defTabSz="466725">
            <a:lnSpc>
              <a:spcPct val="90000"/>
            </a:lnSpc>
            <a:spcBef>
              <a:spcPct val="0"/>
            </a:spcBef>
            <a:spcAft>
              <a:spcPct val="15000"/>
            </a:spcAft>
            <a:buFont typeface="Arial" panose="020B0604020202020204" pitchFamily="34" charset="0"/>
            <a:buChar char="•"/>
          </a:pPr>
          <a:r>
            <a:rPr lang="en-US" sz="1050" kern="1200"/>
            <a:t>Not focused on generative AI (5)</a:t>
          </a:r>
        </a:p>
        <a:p>
          <a:pPr marL="114300" lvl="2" indent="-57150" algn="l" defTabSz="466725">
            <a:lnSpc>
              <a:spcPct val="90000"/>
            </a:lnSpc>
            <a:spcBef>
              <a:spcPct val="0"/>
            </a:spcBef>
            <a:spcAft>
              <a:spcPct val="15000"/>
            </a:spcAft>
            <a:buFont typeface="Arial" panose="020B0604020202020204" pitchFamily="34" charset="0"/>
            <a:buChar char="•"/>
          </a:pPr>
          <a:r>
            <a:rPr lang="en-US" sz="1050" kern="1200"/>
            <a:t>Insufficient policy relevance (4)</a:t>
          </a:r>
        </a:p>
      </dsp:txBody>
      <dsp:txXfrm>
        <a:off x="1981247" y="3176513"/>
        <a:ext cx="2758344" cy="985425"/>
      </dsp:txXfrm>
    </dsp:sp>
    <dsp:sp modelId="{F419AA18-D8A8-4979-BC1F-06642C8E15D5}">
      <dsp:nvSpPr>
        <dsp:cNvPr id="0" name=""/>
        <dsp:cNvSpPr/>
      </dsp:nvSpPr>
      <dsp:spPr>
        <a:xfrm rot="5400000">
          <a:off x="3164155" y="4218765"/>
          <a:ext cx="392528" cy="47103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US" sz="1050" kern="1200"/>
        </a:p>
      </dsp:txBody>
      <dsp:txXfrm rot="-5400000">
        <a:off x="3219110" y="4258017"/>
        <a:ext cx="282619" cy="274770"/>
      </dsp:txXfrm>
    </dsp:sp>
    <dsp:sp modelId="{14B4DC1E-2DBF-4F4D-A019-C4F32162D007}">
      <dsp:nvSpPr>
        <dsp:cNvPr id="0" name=""/>
        <dsp:cNvSpPr/>
      </dsp:nvSpPr>
      <dsp:spPr>
        <a:xfrm>
          <a:off x="1950589" y="4715967"/>
          <a:ext cx="2819660" cy="10467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en-US" sz="1050" b="1" kern="1200"/>
            <a:t>Included</a:t>
          </a:r>
          <a:endParaRPr lang="en-US" sz="1050" kern="1200"/>
        </a:p>
        <a:p>
          <a:pPr marL="57150" lvl="1" indent="-57150" algn="l" defTabSz="466725">
            <a:lnSpc>
              <a:spcPct val="90000"/>
            </a:lnSpc>
            <a:spcBef>
              <a:spcPct val="0"/>
            </a:spcBef>
            <a:spcAft>
              <a:spcPct val="15000"/>
            </a:spcAft>
            <a:buFont typeface="Arial" panose="020B0604020202020204" pitchFamily="34" charset="0"/>
            <a:buChar char="•"/>
          </a:pPr>
          <a:r>
            <a:rPr lang="en-US" sz="1050" kern="1200"/>
            <a:t>Studies included in final synthesis: </a:t>
          </a:r>
          <a:r>
            <a:rPr lang="en-US" sz="1050" b="1" kern="1200"/>
            <a:t>7</a:t>
          </a:r>
          <a:endParaRPr lang="en-US" sz="1050" kern="1200"/>
        </a:p>
      </dsp:txBody>
      <dsp:txXfrm>
        <a:off x="1981247" y="4746625"/>
        <a:ext cx="2758344" cy="98542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B1DA38-5937-4D5D-B57F-6B15D200F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27</Pages>
  <Words>7487</Words>
  <Characters>48447</Characters>
  <Application>Microsoft Office Word</Application>
  <DocSecurity>0</DocSecurity>
  <Lines>1153</Lines>
  <Paragraphs>607</Paragraphs>
  <ScaleCrop>false</ScaleCrop>
  <HeadingPairs>
    <vt:vector size="2" baseType="variant">
      <vt:variant>
        <vt:lpstr>Title</vt:lpstr>
      </vt:variant>
      <vt:variant>
        <vt:i4>1</vt:i4>
      </vt:variant>
    </vt:vector>
  </HeadingPairs>
  <TitlesOfParts>
    <vt:vector size="1" baseType="lpstr">
      <vt:lpstr>How can data sovereignty strategies in generative AI support the technological innovation goals of Saudi Arabia’s Vision 2030?</vt:lpstr>
    </vt:vector>
  </TitlesOfParts>
  <Company/>
  <LinksUpToDate>false</LinksUpToDate>
  <CharactersWithSpaces>55327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can data sovereignty strategies in generative AI support the technological innovation goals of Saudi Arabia’s Vision 2030?</dc:title>
  <dc:creator>Elham Albaroudi; MOHAMMAD HATAMLEH</dc:creator>
  <cp:keywords/>
  <cp:lastModifiedBy>Elham Albaroudi</cp:lastModifiedBy>
  <cp:revision>23</cp:revision>
  <dcterms:created xsi:type="dcterms:W3CDTF">2025-09-14T11:44:00Z</dcterms:created>
  <dcterms:modified xsi:type="dcterms:W3CDTF">2025-09-24T11:45:00Z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September 14, 2025</vt:lpwstr>
  </property>
  <property fmtid="{D5CDD505-2E9C-101B-9397-08002B2CF9AE}" pid="3" name="GrammarlyDocumentId">
    <vt:lpwstr>bfc8fea6-05f3-42fd-a17b-b9c8990b178f</vt:lpwstr>
  </property>
</Properties>
</file>