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611F7" w14:textId="15379527" w:rsidR="001A4839" w:rsidRPr="004C7164" w:rsidRDefault="004C7164" w:rsidP="001A4839">
      <w:pPr>
        <w:spacing w:line="360" w:lineRule="auto"/>
        <w:jc w:val="both"/>
        <w:rPr>
          <w:rFonts w:eastAsia="Times New Roman" w:cstheme="minorHAnsi"/>
          <w:b/>
          <w:bCs/>
          <w:kern w:val="36"/>
          <w:sz w:val="32"/>
          <w:szCs w:val="24"/>
        </w:rPr>
      </w:pPr>
      <w:r w:rsidRPr="004C7164">
        <w:rPr>
          <w:rFonts w:eastAsia="Times New Roman" w:cstheme="minorHAnsi"/>
          <w:b/>
          <w:bCs/>
          <w:kern w:val="36"/>
          <w:sz w:val="32"/>
          <w:szCs w:val="24"/>
        </w:rPr>
        <w:t>Elevated Markers of Metabolic Syndrome and Inflammation in Hypertensive Naval Personnel on Treatment: An Increasing Concern in Naval Medical Center Sapele, Nigeria</w:t>
      </w:r>
    </w:p>
    <w:p w14:paraId="7BDC16EE" w14:textId="77777777" w:rsidR="001A4839" w:rsidRPr="004C7164" w:rsidRDefault="001A4839" w:rsidP="001A4839">
      <w:pPr>
        <w:spacing w:before="100" w:beforeAutospacing="1" w:after="100" w:afterAutospacing="1" w:line="240" w:lineRule="auto"/>
        <w:jc w:val="both"/>
        <w:outlineLvl w:val="0"/>
        <w:rPr>
          <w:rFonts w:eastAsia="Times New Roman" w:cstheme="minorHAnsi"/>
          <w:b/>
          <w:bCs/>
          <w:kern w:val="36"/>
          <w:sz w:val="24"/>
          <w:szCs w:val="24"/>
        </w:rPr>
      </w:pPr>
      <w:r w:rsidRPr="004C7164">
        <w:rPr>
          <w:rFonts w:eastAsia="Times New Roman" w:cstheme="minorHAnsi"/>
          <w:b/>
          <w:bCs/>
          <w:kern w:val="36"/>
          <w:sz w:val="24"/>
          <w:szCs w:val="24"/>
        </w:rPr>
        <w:t>ABSTRACT</w:t>
      </w:r>
    </w:p>
    <w:p w14:paraId="45689F5F" w14:textId="77777777" w:rsidR="001A4839" w:rsidRPr="004C7164" w:rsidRDefault="001A4839" w:rsidP="001A4839">
      <w:pPr>
        <w:spacing w:before="100" w:beforeAutospacing="1" w:after="100" w:afterAutospacing="1" w:line="360" w:lineRule="auto"/>
        <w:jc w:val="both"/>
        <w:outlineLvl w:val="1"/>
        <w:rPr>
          <w:rFonts w:eastAsia="Times New Roman" w:cstheme="minorHAnsi"/>
          <w:bCs/>
          <w:sz w:val="24"/>
          <w:szCs w:val="24"/>
        </w:rPr>
      </w:pPr>
      <w:r w:rsidRPr="004C7164">
        <w:rPr>
          <w:rFonts w:eastAsia="Times New Roman" w:cstheme="minorHAnsi"/>
          <w:b/>
          <w:bCs/>
          <w:sz w:val="24"/>
          <w:szCs w:val="24"/>
        </w:rPr>
        <w:t>Background:</w:t>
      </w:r>
      <w:r w:rsidRPr="004C7164">
        <w:rPr>
          <w:rFonts w:eastAsia="Times New Roman" w:cstheme="minorHAnsi"/>
          <w:bCs/>
          <w:sz w:val="24"/>
          <w:szCs w:val="24"/>
        </w:rPr>
        <w:t xml:space="preserve"> Hypertension is a major health problem among naval personnel, and it is exacerbated by occupational stressors and hazards. </w:t>
      </w:r>
      <w:r w:rsidRPr="004C7164">
        <w:rPr>
          <w:rFonts w:eastAsia="Times New Roman" w:cstheme="minorHAnsi"/>
          <w:b/>
          <w:bCs/>
          <w:sz w:val="24"/>
          <w:szCs w:val="24"/>
        </w:rPr>
        <w:t>Aims and Objective:</w:t>
      </w:r>
      <w:r w:rsidRPr="004C7164">
        <w:rPr>
          <w:rFonts w:eastAsia="Times New Roman" w:cstheme="minorHAnsi"/>
          <w:bCs/>
          <w:sz w:val="24"/>
          <w:szCs w:val="24"/>
        </w:rPr>
        <w:t xml:space="preserve"> This study was carried out to determine the markers of metabolic syndrome (</w:t>
      </w:r>
      <w:proofErr w:type="spellStart"/>
      <w:r w:rsidRPr="004C7164">
        <w:rPr>
          <w:rFonts w:eastAsia="Times New Roman" w:cstheme="minorHAnsi"/>
          <w:bCs/>
          <w:sz w:val="24"/>
          <w:szCs w:val="24"/>
        </w:rPr>
        <w:t>MetS</w:t>
      </w:r>
      <w:proofErr w:type="spellEnd"/>
      <w:r w:rsidRPr="004C7164">
        <w:rPr>
          <w:rFonts w:eastAsia="Times New Roman" w:cstheme="minorHAnsi"/>
          <w:bCs/>
          <w:sz w:val="24"/>
          <w:szCs w:val="24"/>
        </w:rPr>
        <w:t xml:space="preserve">) and inflammation and their association with hypertension in naval officers. </w:t>
      </w:r>
      <w:r w:rsidRPr="004C7164">
        <w:rPr>
          <w:rFonts w:eastAsia="Times New Roman" w:cstheme="minorHAnsi"/>
          <w:b/>
          <w:bCs/>
          <w:sz w:val="24"/>
          <w:szCs w:val="24"/>
        </w:rPr>
        <w:t>Materials and Methods:</w:t>
      </w:r>
      <w:r w:rsidRPr="004C7164">
        <w:rPr>
          <w:rFonts w:eastAsia="Times New Roman" w:cstheme="minorHAnsi"/>
          <w:bCs/>
          <w:sz w:val="24"/>
          <w:szCs w:val="24"/>
        </w:rPr>
        <w:t xml:space="preserve"> Sixty (60) hypertensive and 60 age-matched normotensive male naval officers participated in this study. 5ml of venous blood sample was collected from each participant. Markers for </w:t>
      </w:r>
      <w:proofErr w:type="spellStart"/>
      <w:r w:rsidRPr="004C7164">
        <w:rPr>
          <w:rFonts w:eastAsia="Times New Roman" w:cstheme="minorHAnsi"/>
          <w:bCs/>
          <w:sz w:val="24"/>
          <w:szCs w:val="24"/>
        </w:rPr>
        <w:t>MetS</w:t>
      </w:r>
      <w:proofErr w:type="spellEnd"/>
      <w:r w:rsidRPr="004C7164">
        <w:rPr>
          <w:rFonts w:eastAsia="Times New Roman" w:cstheme="minorHAnsi"/>
          <w:bCs/>
          <w:sz w:val="24"/>
          <w:szCs w:val="24"/>
        </w:rPr>
        <w:t xml:space="preserve">; systolic blood pressure (SBP), diastolic blood pressure (DBP), body mass index (BMI) were determined by standard methods, while serum total cholesterol (TC), triglycerides (TG), high-density lipoprotein (HDL) and low-density lipoprotein (LDL)were determined using spectrophotometric methods. Markers of inflammation; C-reactive protein (CRP) and interleukin-6 (IL-6) were determined using Enzyme-link immunosorbent assay (ELISA) methods. </w:t>
      </w:r>
      <w:r w:rsidRPr="004C7164">
        <w:rPr>
          <w:rFonts w:eastAsia="Times New Roman" w:cstheme="minorHAnsi"/>
          <w:b/>
          <w:bCs/>
          <w:sz w:val="24"/>
          <w:szCs w:val="24"/>
        </w:rPr>
        <w:t>Results:</w:t>
      </w:r>
      <w:r w:rsidRPr="004C7164">
        <w:rPr>
          <w:rFonts w:eastAsia="Times New Roman" w:cstheme="minorHAnsi"/>
          <w:bCs/>
          <w:sz w:val="24"/>
          <w:szCs w:val="24"/>
        </w:rPr>
        <w:t xml:space="preserve"> The hypertensive naval officers had significantly higher SBP (131.65±11.82 vs. 122.95±5.27 mmHg,), DBP (87.36±7.73 vs. 81.20±4.81 mmHg), BMI (29.95±2.20 vs. 23.20±1.79 kg/m²), TC (4.97±0.97 vs. 4.24±0.55 mmol/L), TG (1.33±0.29 vs. 1.10±0.24 mmol/L), LDL (3.22±0.84 vs. 2.58±0.55 mmol/L), and lower HDL (1.24±0.27 vs. 1.56±0.24 mmol/L) (p=0.001 in each case). The level of markers of inflammation was elevated in the hypertensive naval officers; CRP (6.56±1.62 vs. 3.66±0.78 mg/L) and IL-6 (19.62±5.88 vs. 15.58±5.46 </w:t>
      </w:r>
      <w:proofErr w:type="spellStart"/>
      <w:r w:rsidRPr="004C7164">
        <w:rPr>
          <w:rFonts w:eastAsia="Times New Roman" w:cstheme="minorHAnsi"/>
          <w:bCs/>
          <w:sz w:val="24"/>
          <w:szCs w:val="24"/>
        </w:rPr>
        <w:t>pg</w:t>
      </w:r>
      <w:proofErr w:type="spellEnd"/>
      <w:r w:rsidRPr="004C7164">
        <w:rPr>
          <w:rFonts w:eastAsia="Times New Roman" w:cstheme="minorHAnsi"/>
          <w:bCs/>
          <w:sz w:val="24"/>
          <w:szCs w:val="24"/>
        </w:rPr>
        <w:t xml:space="preserve">/mL) (p=0.001 in each case). Strongly significant positive correlations were observed between SBP and DBP (r=0.805, p=0.000), TC and LDL (r=0.794, p=0.000), and between TG and HDL (r=0.651, p=0.000). There were non-significant correlations between </w:t>
      </w:r>
      <w:proofErr w:type="spellStart"/>
      <w:r w:rsidRPr="004C7164">
        <w:rPr>
          <w:rFonts w:eastAsia="Times New Roman" w:cstheme="minorHAnsi"/>
          <w:bCs/>
          <w:sz w:val="24"/>
          <w:szCs w:val="24"/>
        </w:rPr>
        <w:t>MetS</w:t>
      </w:r>
      <w:proofErr w:type="spellEnd"/>
      <w:r w:rsidRPr="004C7164">
        <w:rPr>
          <w:rFonts w:eastAsia="Times New Roman" w:cstheme="minorHAnsi"/>
          <w:bCs/>
          <w:sz w:val="24"/>
          <w:szCs w:val="24"/>
        </w:rPr>
        <w:t xml:space="preserve"> and inflammatory markers. </w:t>
      </w:r>
      <w:r w:rsidRPr="004C7164">
        <w:rPr>
          <w:rFonts w:eastAsia="Times New Roman" w:cstheme="minorHAnsi"/>
          <w:b/>
          <w:bCs/>
          <w:sz w:val="24"/>
          <w:szCs w:val="24"/>
        </w:rPr>
        <w:t>Conclusion</w:t>
      </w:r>
      <w:bookmarkStart w:id="0" w:name="_Hlk211292563"/>
      <w:r w:rsidRPr="004C7164">
        <w:rPr>
          <w:rFonts w:eastAsia="Times New Roman" w:cstheme="minorHAnsi"/>
          <w:bCs/>
          <w:sz w:val="24"/>
          <w:szCs w:val="24"/>
        </w:rPr>
        <w:t xml:space="preserve">: </w:t>
      </w:r>
      <w:r w:rsidRPr="004C7164">
        <w:rPr>
          <w:sz w:val="24"/>
          <w:szCs w:val="24"/>
        </w:rPr>
        <w:t>Elevated level of markers of metabolic syndrome; BP, BMI, TC, TG, LDL and low level of HDL parallel elevated level of inflammatory markers; CRP and IL-6 in hypertensive naval officers. This may be an indication of susceptibility to cardiovascular disorders due to prolonged deployment in the sea</w:t>
      </w:r>
      <w:bookmarkEnd w:id="0"/>
      <w:r w:rsidRPr="004C7164">
        <w:rPr>
          <w:sz w:val="24"/>
          <w:szCs w:val="24"/>
        </w:rPr>
        <w:t xml:space="preserve">, </w:t>
      </w:r>
      <w:r w:rsidRPr="004C7164">
        <w:rPr>
          <w:rFonts w:eastAsia="Times New Roman" w:cstheme="minorHAnsi"/>
          <w:bCs/>
          <w:sz w:val="24"/>
          <w:szCs w:val="24"/>
        </w:rPr>
        <w:t xml:space="preserve">with implications for the </w:t>
      </w:r>
      <w:r w:rsidRPr="004C7164">
        <w:rPr>
          <w:rFonts w:eastAsia="Times New Roman" w:cstheme="minorHAnsi"/>
          <w:bCs/>
          <w:sz w:val="24"/>
          <w:szCs w:val="24"/>
        </w:rPr>
        <w:lastRenderedPageBreak/>
        <w:t>need to institute targeted interventions for the reduction of cardiovascular risk in this high-risk group.</w:t>
      </w:r>
    </w:p>
    <w:p w14:paraId="59B6E38A" w14:textId="77777777" w:rsidR="001A4839" w:rsidRPr="004C7164" w:rsidRDefault="001A4839" w:rsidP="001A4839">
      <w:pPr>
        <w:spacing w:before="100" w:beforeAutospacing="1" w:after="100" w:afterAutospacing="1" w:line="360" w:lineRule="auto"/>
        <w:jc w:val="both"/>
        <w:outlineLvl w:val="1"/>
        <w:rPr>
          <w:rFonts w:eastAsia="Times New Roman" w:cstheme="minorHAnsi"/>
          <w:bCs/>
          <w:sz w:val="24"/>
          <w:szCs w:val="24"/>
        </w:rPr>
      </w:pPr>
      <w:r w:rsidRPr="004C7164">
        <w:rPr>
          <w:rFonts w:eastAsia="Times New Roman" w:cstheme="minorHAnsi"/>
          <w:b/>
          <w:sz w:val="24"/>
          <w:szCs w:val="24"/>
        </w:rPr>
        <w:t>Keywords</w:t>
      </w:r>
      <w:r w:rsidRPr="004C7164">
        <w:rPr>
          <w:rFonts w:eastAsia="Times New Roman" w:cstheme="minorHAnsi"/>
          <w:bCs/>
          <w:sz w:val="24"/>
          <w:szCs w:val="24"/>
        </w:rPr>
        <w:t>: High blood pressure; Dysmetabolic Syndromes; Infections; Naval Officers</w:t>
      </w:r>
    </w:p>
    <w:p w14:paraId="584411C7" w14:textId="77777777" w:rsidR="001A4839" w:rsidRPr="004C7164" w:rsidRDefault="001A4839" w:rsidP="001A4839">
      <w:pPr>
        <w:pStyle w:val="ListParagraph"/>
        <w:numPr>
          <w:ilvl w:val="0"/>
          <w:numId w:val="18"/>
        </w:numPr>
        <w:spacing w:before="100" w:beforeAutospacing="1" w:after="100" w:afterAutospacing="1" w:line="360" w:lineRule="auto"/>
        <w:jc w:val="both"/>
        <w:outlineLvl w:val="1"/>
        <w:rPr>
          <w:rFonts w:eastAsia="Times New Roman" w:cstheme="minorHAnsi"/>
          <w:b/>
          <w:bCs/>
          <w:sz w:val="24"/>
          <w:szCs w:val="24"/>
        </w:rPr>
      </w:pPr>
      <w:r w:rsidRPr="004C7164">
        <w:rPr>
          <w:rFonts w:eastAsia="Times New Roman" w:cstheme="minorHAnsi"/>
          <w:b/>
          <w:bCs/>
          <w:sz w:val="24"/>
          <w:szCs w:val="24"/>
        </w:rPr>
        <w:t>INTRODUCTION</w:t>
      </w:r>
    </w:p>
    <w:p w14:paraId="466AE7AB" w14:textId="17780DC4"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Hypertension, characterized by systolic blood pressure (SBP) ≥140 mmHg or diastolic blood pressure (DBP) ≥90 mmHg, is a global health crisis affecting over 1.28 billion adults and is a major cause of cardiovascular disease (CVD) and stroke (World Health Organization, 2023). In Nigeria, hypertension prevalence stands at 28.9%, with projections indicating a significant rise by 2030 (</w:t>
      </w:r>
      <w:proofErr w:type="spellStart"/>
      <w:r w:rsidRPr="004C7164">
        <w:rPr>
          <w:rFonts w:eastAsia="Times New Roman" w:cstheme="minorHAnsi"/>
          <w:sz w:val="24"/>
          <w:szCs w:val="24"/>
        </w:rPr>
        <w:t>Adeloye</w:t>
      </w:r>
      <w:proofErr w:type="spellEnd"/>
      <w:r w:rsidRPr="004C7164">
        <w:rPr>
          <w:rFonts w:eastAsia="Times New Roman" w:cstheme="minorHAnsi"/>
          <w:sz w:val="24"/>
          <w:szCs w:val="24"/>
        </w:rPr>
        <w:t xml:space="preserve"> et al., 2015). Military populations, particularly naval personnel, face heightened risks due to occupational stressors, including irregular work schedules, intense physical and psychological demands, and high-sodium diets prevalent in naval settings (</w:t>
      </w:r>
      <w:proofErr w:type="spellStart"/>
      <w:r w:rsidR="00191A93" w:rsidRPr="004C7164">
        <w:rPr>
          <w:rFonts w:eastAsiaTheme="minorEastAsia" w:cstheme="minorHAnsi"/>
          <w:sz w:val="24"/>
          <w:szCs w:val="24"/>
        </w:rPr>
        <w:t>Pietrzak</w:t>
      </w:r>
      <w:proofErr w:type="spellEnd"/>
      <w:r w:rsidR="00191A93" w:rsidRPr="004C7164">
        <w:rPr>
          <w:rFonts w:eastAsiaTheme="minorEastAsia" w:cstheme="minorHAnsi"/>
          <w:sz w:val="24"/>
          <w:szCs w:val="24"/>
        </w:rPr>
        <w:t xml:space="preserve"> et al., 2021</w:t>
      </w:r>
      <w:r w:rsidRPr="004C7164">
        <w:rPr>
          <w:rFonts w:eastAsia="Times New Roman" w:cstheme="minorHAnsi"/>
          <w:sz w:val="24"/>
          <w:szCs w:val="24"/>
        </w:rPr>
        <w:t>; Jacobson et al., 2024). These factors contribute to a higher prevalence of hypertension and associated comorbidities, such as metabolic syndrome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and systemic inflammation, compared to civilian populations.</w:t>
      </w:r>
    </w:p>
    <w:p w14:paraId="0E4665F0"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 xml:space="preserve">Metabolic syndrome, as defined by the National Cholesterol Education Program Adult Treatment Panel III (NCEP ATP III), is diagnosed when three or more of the following are present: elevated blood pressure, central obesity, high triglycerides (TG), low high-density lipoprotein (HDL) cholesterol, and elevated fasting glucose (Huang, 2009).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significantly elevates the risk of cardiovascular disease (CVD) and type 2 diabetes, with military personnel showing a higher prevalence due to lifestyle and environmental factors (</w:t>
      </w:r>
      <w:proofErr w:type="spellStart"/>
      <w:r w:rsidRPr="004C7164">
        <w:rPr>
          <w:rFonts w:eastAsia="Times New Roman" w:cstheme="minorHAnsi"/>
          <w:sz w:val="24"/>
          <w:szCs w:val="24"/>
        </w:rPr>
        <w:t>Ibirongbe</w:t>
      </w:r>
      <w:proofErr w:type="spellEnd"/>
      <w:r w:rsidRPr="004C7164">
        <w:rPr>
          <w:rFonts w:eastAsia="Times New Roman" w:cstheme="minorHAnsi"/>
          <w:sz w:val="24"/>
          <w:szCs w:val="24"/>
        </w:rPr>
        <w:t xml:space="preserve"> et al., 2023). Systemic inflammation, marked by elevated levels of C-reactive protein (CRP) and interleukin-6 (IL-6), is a key driver of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and CVD progression. These inflammatory markers, driven by oxidative stress and endothelial dysfunction, exacerbate vascular damage, creating a vicious cycle with hypertension and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w:t>
      </w:r>
      <w:proofErr w:type="spellStart"/>
      <w:r w:rsidRPr="004C7164">
        <w:rPr>
          <w:rFonts w:eastAsia="Times New Roman" w:cstheme="minorHAnsi"/>
          <w:sz w:val="24"/>
          <w:szCs w:val="24"/>
        </w:rPr>
        <w:t>Morgado</w:t>
      </w:r>
      <w:proofErr w:type="spellEnd"/>
      <w:r w:rsidRPr="004C7164">
        <w:rPr>
          <w:rFonts w:eastAsia="Times New Roman" w:cstheme="minorHAnsi"/>
          <w:sz w:val="24"/>
          <w:szCs w:val="24"/>
        </w:rPr>
        <w:t xml:space="preserve"> et al., 2018). The interplay of these factors is particularly pronounced in high-stress occupational groups like naval personnel.</w:t>
      </w:r>
    </w:p>
    <w:p w14:paraId="3DC1615C"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lastRenderedPageBreak/>
        <w:t xml:space="preserve">Naval personnel at Naval Medical Center Sapele, located in Nigeria’s coastal, Delta State, represent a unique cohort for studying these interactions. Their occupational environment, characterized by high humidity, salt exposure, and limited access to fresh food during deployments, may amplify the risk of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and inflammation (Hatch-McChesney et al., 2023). A 2023 study reported a hypertension prevalence of 34.3% among Nigerian military personnel, surpassing the civilian rate of 28.9%, attributed to chronic stress, irregular sleep, and dietary patterns (</w:t>
      </w:r>
      <w:proofErr w:type="spellStart"/>
      <w:r w:rsidRPr="004C7164">
        <w:rPr>
          <w:rFonts w:eastAsia="Times New Roman" w:cstheme="minorHAnsi"/>
          <w:sz w:val="24"/>
          <w:szCs w:val="24"/>
        </w:rPr>
        <w:t>Ibirongbe</w:t>
      </w:r>
      <w:proofErr w:type="spellEnd"/>
      <w:r w:rsidRPr="004C7164">
        <w:rPr>
          <w:rFonts w:eastAsia="Times New Roman" w:cstheme="minorHAnsi"/>
          <w:sz w:val="24"/>
          <w:szCs w:val="24"/>
        </w:rPr>
        <w:t xml:space="preserve"> et al., 2023). However, data specific to naval personnel in sub-Saharan Africa are limited, particularly concerning the clustering of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and inflammation, making this study critical for addressing this knowledge gap.</w:t>
      </w:r>
    </w:p>
    <w:p w14:paraId="3EC0D09A"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 xml:space="preserve">Understanding the interactions of hypertension,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and inflammation is critical for developing targeted interventions, such as dietary modifications, stress management programs, and regular health screenings, to mitigate cardiovascular risk and enhance operational effectiveness.</w:t>
      </w:r>
    </w:p>
    <w:p w14:paraId="060F770B"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 xml:space="preserve">This study addresses a critical gap in understanding the clustering of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and inflammation in hypertensive naval personnel. By evaluating key biochemical markers, including SBP, DBP, body mass index (BMI), total cholesterol (TC), TG, HDL, LDL, CRP, and IL-6, it aims to elucidate their prevalence, interrelationships, and implications in a high-risk occupational group. The findings could inform evidence-based interventions to improve health outcomes, enhance operational readiness, and reduce the long-term burden of chronic diseases in naval settings. Moreover, this research aligns with the WHO’s 2024 directive for localized studies on non-communicable diseases, contributing to national and global efforts to address hypertension-related comorbidities (WHO, 2024).</w:t>
      </w:r>
    </w:p>
    <w:p w14:paraId="1A56A555" w14:textId="1EC501F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Previous studies have highlighted the need for occupation-specific research in military populations. For example,</w:t>
      </w:r>
      <w:r w:rsidR="00D82675" w:rsidRPr="004C7164">
        <w:t xml:space="preserve"> </w:t>
      </w:r>
      <w:proofErr w:type="spellStart"/>
      <w:r w:rsidR="00D82675" w:rsidRPr="004C7164">
        <w:rPr>
          <w:rFonts w:eastAsiaTheme="minorEastAsia" w:cstheme="minorHAnsi"/>
          <w:sz w:val="24"/>
          <w:szCs w:val="24"/>
        </w:rPr>
        <w:t>Pietrzak</w:t>
      </w:r>
      <w:proofErr w:type="spellEnd"/>
      <w:r w:rsidR="00D82675" w:rsidRPr="004C7164">
        <w:rPr>
          <w:rFonts w:eastAsiaTheme="minorEastAsia" w:cstheme="minorHAnsi"/>
          <w:sz w:val="24"/>
          <w:szCs w:val="24"/>
        </w:rPr>
        <w:t xml:space="preserve"> et al., (2021)</w:t>
      </w:r>
      <w:r w:rsidRPr="004C7164">
        <w:rPr>
          <w:rFonts w:eastAsia="Times New Roman" w:cstheme="minorHAnsi"/>
          <w:sz w:val="24"/>
          <w:szCs w:val="24"/>
        </w:rPr>
        <w:t xml:space="preserve"> found that military personnel face unique health challenges due to deployment-related stressors, while Jacobson et al. (2024) emphasized the role of occupational factors in elevating CVD risk. However, most studies focus on Western military populations, with limited data on sub-Saharan African naval personnel. This study fills </w:t>
      </w:r>
      <w:r w:rsidRPr="004C7164">
        <w:rPr>
          <w:rFonts w:eastAsia="Times New Roman" w:cstheme="minorHAnsi"/>
          <w:sz w:val="24"/>
          <w:szCs w:val="24"/>
        </w:rPr>
        <w:lastRenderedPageBreak/>
        <w:t>this gap by providing localized data on a high-risk cohort, contributing to a more comprehensive understanding of hypertension and its comorbidities in diverse settings.</w:t>
      </w:r>
    </w:p>
    <w:p w14:paraId="09117A89"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t xml:space="preserve">Therefore, the aim of this study was to evaluate markers of metabolic syndrome (SBP, DBP, BMI, TC, TG, HDL and LDL) and inflammation (CRP and IL-6) in hypertensive male naval personnel at Naval Medical Center Sapele. </w:t>
      </w:r>
    </w:p>
    <w:p w14:paraId="7E968646" w14:textId="77777777" w:rsidR="001A4839" w:rsidRPr="00157365" w:rsidRDefault="001A4839" w:rsidP="001A4839">
      <w:pPr>
        <w:pStyle w:val="Heading2"/>
        <w:spacing w:line="360" w:lineRule="auto"/>
        <w:jc w:val="both"/>
        <w:rPr>
          <w:rFonts w:asciiTheme="minorHAnsi" w:hAnsiTheme="minorHAnsi" w:cstheme="minorHAnsi"/>
          <w:b/>
          <w:color w:val="auto"/>
          <w:sz w:val="24"/>
          <w:szCs w:val="24"/>
        </w:rPr>
      </w:pPr>
      <w:r w:rsidRPr="00157365">
        <w:rPr>
          <w:rFonts w:asciiTheme="minorHAnsi" w:hAnsiTheme="minorHAnsi" w:cstheme="minorHAnsi"/>
          <w:b/>
          <w:color w:val="auto"/>
          <w:sz w:val="24"/>
          <w:szCs w:val="24"/>
        </w:rPr>
        <w:t>2. METHODOLOGY</w:t>
      </w:r>
    </w:p>
    <w:p w14:paraId="6FAA2795" w14:textId="77777777" w:rsidR="001A4839" w:rsidRPr="004C7164" w:rsidRDefault="001A4839" w:rsidP="001A4839">
      <w:pPr>
        <w:pStyle w:val="Heading1"/>
        <w:tabs>
          <w:tab w:val="center" w:pos="500"/>
          <w:tab w:val="center" w:pos="1725"/>
        </w:tabs>
        <w:spacing w:after="0"/>
        <w:jc w:val="both"/>
        <w:rPr>
          <w:rFonts w:asciiTheme="minorHAnsi" w:hAnsiTheme="minorHAnsi" w:cstheme="minorHAnsi"/>
          <w:color w:val="auto"/>
          <w:sz w:val="24"/>
          <w:szCs w:val="24"/>
        </w:rPr>
      </w:pPr>
      <w:r w:rsidRPr="004C7164">
        <w:rPr>
          <w:rFonts w:asciiTheme="minorHAnsi" w:hAnsiTheme="minorHAnsi" w:cstheme="minorHAnsi"/>
          <w:color w:val="auto"/>
          <w:sz w:val="24"/>
          <w:szCs w:val="24"/>
        </w:rPr>
        <w:tab/>
        <w:t xml:space="preserve">2.1 Study Design </w:t>
      </w:r>
      <w:bookmarkStart w:id="1" w:name="_GoBack"/>
      <w:bookmarkEnd w:id="1"/>
    </w:p>
    <w:p w14:paraId="6DBD7E94"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t>The study comprising of participants selection, assessment and classification of subjects, sample collection, determination of markers of metabolic syndrome and inflammation and data generation lasted from August 2024 to July, 2025. This cross-sectional and case-control study was conducted at Naval Medical Center Sapele.</w:t>
      </w:r>
    </w:p>
    <w:p w14:paraId="42B847FE" w14:textId="77777777" w:rsidR="001A4839" w:rsidRPr="004C7164" w:rsidRDefault="001A4839" w:rsidP="001A4839">
      <w:pPr>
        <w:pStyle w:val="NormalWeb"/>
        <w:spacing w:line="360" w:lineRule="auto"/>
        <w:jc w:val="both"/>
        <w:rPr>
          <w:rFonts w:asciiTheme="minorHAnsi" w:hAnsiTheme="minorHAnsi" w:cstheme="minorHAnsi"/>
          <w:b/>
        </w:rPr>
      </w:pPr>
      <w:r w:rsidRPr="004C7164">
        <w:rPr>
          <w:rFonts w:asciiTheme="minorHAnsi" w:hAnsiTheme="minorHAnsi" w:cstheme="minorHAnsi"/>
          <w:b/>
        </w:rPr>
        <w:t>2.2 Study Population</w:t>
      </w:r>
    </w:p>
    <w:p w14:paraId="32AEC67F"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t>Sixty (60) hypertensive and 60 age-matched normotensive male naval personnel participated in this study. Hypertension was defined as SBP ≥140 mmHg or DBP ≥90 mmHg, or current antihypertensive medication use. Normotensive controls had SBP &lt;140 mmHg and DBP &lt;90 mmHg.</w:t>
      </w:r>
    </w:p>
    <w:p w14:paraId="7601CD33" w14:textId="77777777" w:rsidR="001A4839" w:rsidRPr="004C7164" w:rsidRDefault="001A4839" w:rsidP="001A4839">
      <w:pPr>
        <w:pStyle w:val="NormalWeb"/>
        <w:spacing w:line="360" w:lineRule="auto"/>
        <w:jc w:val="both"/>
        <w:rPr>
          <w:rFonts w:asciiTheme="minorHAnsi" w:hAnsiTheme="minorHAnsi" w:cstheme="minorHAnsi"/>
          <w:b/>
          <w:i/>
        </w:rPr>
      </w:pPr>
      <w:r w:rsidRPr="004C7164">
        <w:rPr>
          <w:rFonts w:asciiTheme="minorHAnsi" w:hAnsiTheme="minorHAnsi" w:cstheme="minorHAnsi"/>
          <w:b/>
          <w:bCs/>
        </w:rPr>
        <w:t>2.3 Selection Criteria</w:t>
      </w:r>
      <w:r w:rsidRPr="004C7164">
        <w:rPr>
          <w:rFonts w:asciiTheme="minorHAnsi" w:hAnsiTheme="minorHAnsi" w:cstheme="minorHAnsi"/>
          <w:b/>
          <w:i/>
        </w:rPr>
        <w:t xml:space="preserve"> </w:t>
      </w:r>
    </w:p>
    <w:p w14:paraId="3E2A2047"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b/>
          <w:i/>
        </w:rPr>
        <w:t>2.3.1 Inclusion criteria</w:t>
      </w:r>
      <w:r w:rsidRPr="004C7164">
        <w:rPr>
          <w:rFonts w:asciiTheme="minorHAnsi" w:hAnsiTheme="minorHAnsi" w:cstheme="minorHAnsi"/>
          <w:b/>
        </w:rPr>
        <w:t xml:space="preserve"> </w:t>
      </w:r>
      <w:r w:rsidRPr="004C7164">
        <w:rPr>
          <w:rFonts w:asciiTheme="minorHAnsi" w:hAnsiTheme="minorHAnsi" w:cstheme="minorHAnsi"/>
        </w:rPr>
        <w:t>included</w:t>
      </w:r>
      <w:r w:rsidRPr="004C7164">
        <w:rPr>
          <w:rFonts w:asciiTheme="minorHAnsi" w:hAnsiTheme="minorHAnsi" w:cstheme="minorHAnsi"/>
          <w:b/>
        </w:rPr>
        <w:t xml:space="preserve"> </w:t>
      </w:r>
      <w:r w:rsidRPr="004C7164">
        <w:rPr>
          <w:rFonts w:asciiTheme="minorHAnsi" w:hAnsiTheme="minorHAnsi" w:cstheme="minorHAnsi"/>
        </w:rPr>
        <w:t>active-duty male naval personnel aged 25 to 55 years and above, diagnosed with hypertension and receiving treatment or regular follow-up at the Naval Medical Center Sapele.</w:t>
      </w:r>
    </w:p>
    <w:p w14:paraId="71251C48"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b/>
          <w:i/>
        </w:rPr>
        <w:t>2.3.2 Exclusion criteria</w:t>
      </w:r>
      <w:r w:rsidRPr="004C7164">
        <w:rPr>
          <w:rFonts w:asciiTheme="minorHAnsi" w:hAnsiTheme="minorHAnsi" w:cstheme="minorHAnsi"/>
        </w:rPr>
        <w:t xml:space="preserve"> included diabetes, known inflammatory diseases, or use of anti-inflammatory medications.</w:t>
      </w:r>
    </w:p>
    <w:p w14:paraId="37BAE3DA" w14:textId="77777777" w:rsidR="001A4839" w:rsidRPr="004C7164" w:rsidRDefault="001A4839" w:rsidP="001A4839">
      <w:pPr>
        <w:pStyle w:val="NormalWeb"/>
        <w:numPr>
          <w:ilvl w:val="1"/>
          <w:numId w:val="20"/>
        </w:numPr>
        <w:spacing w:line="360" w:lineRule="auto"/>
        <w:jc w:val="both"/>
        <w:rPr>
          <w:rFonts w:asciiTheme="minorHAnsi" w:hAnsiTheme="minorHAnsi" w:cstheme="minorHAnsi"/>
          <w:b/>
          <w:bCs/>
        </w:rPr>
      </w:pPr>
      <w:r w:rsidRPr="004C7164">
        <w:rPr>
          <w:rFonts w:asciiTheme="minorHAnsi" w:hAnsiTheme="minorHAnsi" w:cstheme="minorHAnsi"/>
          <w:b/>
          <w:bCs/>
        </w:rPr>
        <w:t>Data Collection</w:t>
      </w:r>
    </w:p>
    <w:p w14:paraId="17C3F90A" w14:textId="77777777" w:rsidR="001A4839" w:rsidRPr="004C7164" w:rsidRDefault="001A4839" w:rsidP="001A4839">
      <w:pPr>
        <w:pStyle w:val="NormalWeb"/>
        <w:spacing w:line="360" w:lineRule="auto"/>
        <w:jc w:val="both"/>
        <w:rPr>
          <w:rFonts w:asciiTheme="minorHAnsi" w:hAnsiTheme="minorHAnsi" w:cstheme="minorHAnsi"/>
          <w:b/>
        </w:rPr>
      </w:pPr>
      <w:r w:rsidRPr="004C7164">
        <w:rPr>
          <w:rFonts w:asciiTheme="minorHAnsi" w:hAnsiTheme="minorHAnsi" w:cstheme="minorHAnsi"/>
          <w:iCs/>
        </w:rPr>
        <w:lastRenderedPageBreak/>
        <w:t>Clinical assessment included blood pressure measurement, where systolic blood pressure (SBP) and diastolic blood pressure (DBP) were measured using a calibrated sphygmomanometer following standard protocols. Anthropometric measurements such as height, weight, and waist circumference were recorded to calculate Body Mass Index (BMI) and assess central obesity. Additionally, a structured questionnaire was administered to collect data on demographic information, medical history, and lifestyle factors including diet, physical activity, smoking, alcohol consumption, and medication use</w:t>
      </w:r>
    </w:p>
    <w:p w14:paraId="5435BC1D" w14:textId="77777777" w:rsidR="001A4839" w:rsidRPr="004C7164" w:rsidRDefault="001A4839" w:rsidP="001A4839">
      <w:pPr>
        <w:pStyle w:val="NormalWeb"/>
        <w:spacing w:line="360" w:lineRule="auto"/>
        <w:jc w:val="both"/>
        <w:rPr>
          <w:rFonts w:asciiTheme="minorHAnsi" w:hAnsiTheme="minorHAnsi" w:cstheme="minorHAnsi"/>
          <w:b/>
        </w:rPr>
      </w:pPr>
      <w:r w:rsidRPr="004C7164">
        <w:rPr>
          <w:rFonts w:asciiTheme="minorHAnsi" w:hAnsiTheme="minorHAnsi" w:cstheme="minorHAnsi"/>
          <w:b/>
        </w:rPr>
        <w:t xml:space="preserve">2.5 Sample Collection </w:t>
      </w:r>
    </w:p>
    <w:p w14:paraId="2C7E8951"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t>Fasting blood samples were collected to analyze various parameters, including lipid profile, inflammatory markers. The lipid profile consisted of total cholesterol, triglycerides, high-density lipoprotein (HDL) cholesterol, and low-density lipoprotein (LDL) cholesterol. Inflammatory markers such as C-reactive protein (CRP) and interleukin-6 (IL-6) were measured.</w:t>
      </w:r>
    </w:p>
    <w:p w14:paraId="0D66A7AB"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t>All laboratory analyses were conducted at the Naval Medical Center Sapele's laboratory, adhering to standard operating procedures. Participants were instructed to fast overnight (8–12 hours) before blood sample collection. Venipuncture was performed under aseptic conditions to obtain approximately 10 mL of blood. The samples were then centrifuged at 3000 rpm for 10 minutes to separate the serum, which was aliquoted and stored at -20°C until analysis.</w:t>
      </w:r>
    </w:p>
    <w:p w14:paraId="363B0A49"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b/>
          <w:bCs/>
        </w:rPr>
        <w:t>2.6 Method of determination of lipids profile and markers of inflammation</w:t>
      </w:r>
    </w:p>
    <w:p w14:paraId="12067115" w14:textId="77777777" w:rsidR="001A4839" w:rsidRPr="004C7164" w:rsidRDefault="001A4839" w:rsidP="001A4839">
      <w:pPr>
        <w:pStyle w:val="NormalWeb"/>
        <w:spacing w:line="360" w:lineRule="auto"/>
        <w:jc w:val="both"/>
        <w:rPr>
          <w:rFonts w:asciiTheme="minorHAnsi" w:hAnsiTheme="minorHAnsi" w:cstheme="minorHAnsi"/>
          <w:b/>
          <w:bCs/>
        </w:rPr>
      </w:pPr>
      <w:r w:rsidRPr="004C7164">
        <w:rPr>
          <w:rFonts w:asciiTheme="minorHAnsi" w:hAnsiTheme="minorHAnsi" w:cstheme="minorHAnsi"/>
          <w:b/>
          <w:bCs/>
        </w:rPr>
        <w:t>2.6.1 Determination of Lipid Profile</w:t>
      </w:r>
    </w:p>
    <w:p w14:paraId="1C2CEEF3"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t xml:space="preserve">Lipid profiles (TC, TG, HDL and LDL) were determined using spectrophotometric methods BIOBASE BK 200 using commercial reagent kits supplied by AGGAPE Diagnostic Switzerland with TC: LOT 32505365, TG: LOT 32505283, HDL: 32306111 and LDL by Precision diagnostic India with LOT Number: 23CX22A. </w:t>
      </w:r>
    </w:p>
    <w:p w14:paraId="02D79C39" w14:textId="77777777" w:rsidR="001A4839" w:rsidRPr="004C7164" w:rsidRDefault="001A4839" w:rsidP="001A4839">
      <w:pPr>
        <w:pStyle w:val="NormalWeb"/>
        <w:spacing w:line="360" w:lineRule="auto"/>
        <w:jc w:val="both"/>
        <w:rPr>
          <w:rFonts w:asciiTheme="minorHAnsi" w:hAnsiTheme="minorHAnsi" w:cstheme="minorHAnsi"/>
          <w:b/>
          <w:bCs/>
        </w:rPr>
      </w:pPr>
      <w:r w:rsidRPr="004C7164">
        <w:rPr>
          <w:rFonts w:asciiTheme="minorHAnsi" w:hAnsiTheme="minorHAnsi" w:cstheme="minorHAnsi"/>
          <w:b/>
          <w:bCs/>
        </w:rPr>
        <w:t xml:space="preserve"> 2.6.2 Determination of markers of inflammation</w:t>
      </w:r>
    </w:p>
    <w:p w14:paraId="2490F62C"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lastRenderedPageBreak/>
        <w:t xml:space="preserve">C-reactive protein and Interleukin-6 were assessed via enzyme-linked immunosorbent assay (ELISA) BIOBASE 1000. All laboratory analyses were performed using automated analyzers LOT Number il-6 202501, IL-6 ELISA kit 96T, </w:t>
      </w:r>
      <w:proofErr w:type="spellStart"/>
      <w:r w:rsidRPr="004C7164">
        <w:rPr>
          <w:rFonts w:asciiTheme="minorHAnsi" w:hAnsiTheme="minorHAnsi" w:cstheme="minorHAnsi"/>
        </w:rPr>
        <w:t>Eldera</w:t>
      </w:r>
      <w:proofErr w:type="spellEnd"/>
      <w:r w:rsidRPr="004C7164">
        <w:rPr>
          <w:rFonts w:asciiTheme="minorHAnsi" w:hAnsiTheme="minorHAnsi" w:cstheme="minorHAnsi"/>
        </w:rPr>
        <w:t xml:space="preserve">, China, the C-RP test was done by Latex-enhanced immunoturbidimetric method as modified by </w:t>
      </w:r>
      <w:proofErr w:type="spellStart"/>
      <w:r w:rsidRPr="004C7164">
        <w:rPr>
          <w:rFonts w:asciiTheme="minorHAnsi" w:hAnsiTheme="minorHAnsi" w:cstheme="minorHAnsi"/>
          <w:i/>
          <w:iCs/>
        </w:rPr>
        <w:t>Agappe</w:t>
      </w:r>
      <w:proofErr w:type="spellEnd"/>
      <w:r w:rsidRPr="004C7164">
        <w:rPr>
          <w:rFonts w:asciiTheme="minorHAnsi" w:hAnsiTheme="minorHAnsi" w:cstheme="minorHAnsi"/>
          <w:i/>
          <w:iCs/>
        </w:rPr>
        <w:t xml:space="preserve"> Diagnostic Ltd Ernakulam India</w:t>
      </w:r>
      <w:r w:rsidRPr="004C7164">
        <w:rPr>
          <w:rFonts w:asciiTheme="minorHAnsi" w:hAnsiTheme="minorHAnsi" w:cstheme="minorHAnsi"/>
        </w:rPr>
        <w:t xml:space="preserve"> LOT Number: 32308474 with quality control measures to ensure accuracy.</w:t>
      </w:r>
    </w:p>
    <w:p w14:paraId="6840CA0E" w14:textId="77777777" w:rsidR="001A4839" w:rsidRPr="004C7164" w:rsidRDefault="001A4839" w:rsidP="001A4839">
      <w:pPr>
        <w:pStyle w:val="NormalWeb"/>
        <w:numPr>
          <w:ilvl w:val="1"/>
          <w:numId w:val="12"/>
        </w:numPr>
        <w:spacing w:line="360" w:lineRule="auto"/>
        <w:jc w:val="both"/>
        <w:rPr>
          <w:rFonts w:asciiTheme="minorHAnsi" w:hAnsiTheme="minorHAnsi" w:cstheme="minorHAnsi"/>
        </w:rPr>
      </w:pPr>
      <w:r w:rsidRPr="004C7164">
        <w:rPr>
          <w:rFonts w:asciiTheme="minorHAnsi" w:hAnsiTheme="minorHAnsi" w:cstheme="minorHAnsi"/>
          <w:b/>
          <w:bCs/>
        </w:rPr>
        <w:t>Statistical Analysis</w:t>
      </w:r>
      <w:r w:rsidRPr="004C7164">
        <w:rPr>
          <w:rFonts w:asciiTheme="minorHAnsi" w:hAnsiTheme="minorHAnsi" w:cstheme="minorHAnsi"/>
        </w:rPr>
        <w:t xml:space="preserve"> </w:t>
      </w:r>
    </w:p>
    <w:p w14:paraId="1894644A"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t>IBM SPSS version 23 was employed in statistical analysis. Group comparisons were conducted using students’ t-tests, while Pearson’s correlation was employed in determining association between markers with significance set at p &lt; 0.05. All values were expressed as mean ± standard deviation.</w:t>
      </w:r>
    </w:p>
    <w:p w14:paraId="0FD81F43" w14:textId="77777777" w:rsidR="001A4839" w:rsidRPr="004C7164" w:rsidRDefault="001A4839" w:rsidP="001A4839">
      <w:pPr>
        <w:pStyle w:val="NormalWeb"/>
        <w:spacing w:line="360" w:lineRule="auto"/>
        <w:jc w:val="both"/>
        <w:rPr>
          <w:rFonts w:asciiTheme="minorHAnsi" w:hAnsiTheme="minorHAnsi" w:cstheme="minorHAnsi"/>
          <w:b/>
          <w:bCs/>
        </w:rPr>
      </w:pPr>
    </w:p>
    <w:p w14:paraId="7133FF8A" w14:textId="77777777" w:rsidR="001A4839" w:rsidRPr="004C7164" w:rsidRDefault="001A4839" w:rsidP="001A4839">
      <w:pPr>
        <w:pStyle w:val="NormalWeb"/>
        <w:spacing w:line="360" w:lineRule="auto"/>
        <w:jc w:val="both"/>
        <w:rPr>
          <w:rFonts w:asciiTheme="minorHAnsi" w:hAnsiTheme="minorHAnsi" w:cstheme="minorHAnsi"/>
          <w:b/>
          <w:bCs/>
        </w:rPr>
      </w:pPr>
      <w:r w:rsidRPr="004C7164">
        <w:rPr>
          <w:rFonts w:asciiTheme="minorHAnsi" w:hAnsiTheme="minorHAnsi" w:cstheme="minorHAnsi"/>
          <w:b/>
          <w:bCs/>
        </w:rPr>
        <w:t>RESULTS</w:t>
      </w:r>
      <w:r w:rsidRPr="004C7164">
        <w:rPr>
          <w:rFonts w:asciiTheme="minorHAnsi" w:hAnsiTheme="minorHAnsi" w:cstheme="minorHAnsi"/>
          <w:b/>
          <w:bCs/>
        </w:rPr>
        <w:br/>
      </w:r>
    </w:p>
    <w:p w14:paraId="72DF45CB" w14:textId="3CE3068C" w:rsidR="001A4839" w:rsidRPr="004C7164" w:rsidRDefault="001A4839" w:rsidP="001A4839">
      <w:pPr>
        <w:pStyle w:val="Heading2"/>
        <w:spacing w:line="360" w:lineRule="auto"/>
        <w:jc w:val="both"/>
        <w:rPr>
          <w:rFonts w:asciiTheme="minorHAnsi" w:hAnsiTheme="minorHAnsi" w:cstheme="minorHAnsi"/>
          <w:color w:val="auto"/>
          <w:sz w:val="24"/>
          <w:szCs w:val="24"/>
        </w:rPr>
      </w:pPr>
      <w:r w:rsidRPr="004C7164">
        <w:rPr>
          <w:rFonts w:asciiTheme="minorHAnsi" w:hAnsiTheme="minorHAnsi" w:cstheme="minorHAnsi"/>
          <w:color w:val="auto"/>
          <w:sz w:val="24"/>
          <w:szCs w:val="24"/>
        </w:rPr>
        <w:t>3.1 Comparison of Markers of Metabolic Syndrome and Inflammation in Hypertensive and     Normotensive Naval Personnel</w:t>
      </w:r>
      <w:r w:rsidR="00A46EB1" w:rsidRPr="004C7164">
        <w:rPr>
          <w:rFonts w:asciiTheme="minorHAnsi" w:hAnsiTheme="minorHAnsi" w:cstheme="minorHAnsi"/>
          <w:color w:val="auto"/>
          <w:sz w:val="24"/>
          <w:szCs w:val="24"/>
        </w:rPr>
        <w:t xml:space="preserve"> on treatment</w:t>
      </w:r>
    </w:p>
    <w:p w14:paraId="7A8575E7"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t xml:space="preserve">Table 1 represents the comparison of metabolic and inflammatory markers between hypertensive male naval officers and normotensive male controls. The table revealed significant differences across most parameters. As expected, SBP (131.65 ± 11.82 mmHg vs. 122.95 ± 5.27 mmHg, </w:t>
      </w:r>
      <w:r w:rsidRPr="004C7164">
        <w:rPr>
          <w:rStyle w:val="Emphasis"/>
          <w:rFonts w:asciiTheme="minorHAnsi" w:eastAsiaTheme="majorEastAsia" w:hAnsiTheme="minorHAnsi" w:cstheme="minorHAnsi"/>
        </w:rPr>
        <w:t>p</w:t>
      </w:r>
      <w:r w:rsidRPr="004C7164">
        <w:rPr>
          <w:rFonts w:asciiTheme="minorHAnsi" w:hAnsiTheme="minorHAnsi" w:cstheme="minorHAnsi"/>
        </w:rPr>
        <w:t xml:space="preserve"> = 0.001) and DBP (87.36 ± 7.73 mmHg vs. 81.20 ± 4.81 mmHg, </w:t>
      </w:r>
      <w:r w:rsidRPr="004C7164">
        <w:rPr>
          <w:rStyle w:val="Emphasis"/>
          <w:rFonts w:asciiTheme="minorHAnsi" w:eastAsiaTheme="majorEastAsia" w:hAnsiTheme="minorHAnsi" w:cstheme="minorHAnsi"/>
        </w:rPr>
        <w:t>p</w:t>
      </w:r>
      <w:r w:rsidRPr="004C7164">
        <w:rPr>
          <w:rFonts w:asciiTheme="minorHAnsi" w:hAnsiTheme="minorHAnsi" w:cstheme="minorHAnsi"/>
        </w:rPr>
        <w:t xml:space="preserve"> = 0.001) were significantly higher among hypertensive participants. Body mass index was also markedly elevated in hypertensives (29.95 ± 2.20 kg/m²) compared to controls (23.20 ± 1.79 kg/m², </w:t>
      </w:r>
      <w:r w:rsidRPr="004C7164">
        <w:rPr>
          <w:rStyle w:val="Emphasis"/>
          <w:rFonts w:asciiTheme="minorHAnsi" w:eastAsiaTheme="majorEastAsia" w:hAnsiTheme="minorHAnsi" w:cstheme="minorHAnsi"/>
        </w:rPr>
        <w:t>p</w:t>
      </w:r>
      <w:r w:rsidRPr="004C7164">
        <w:rPr>
          <w:rFonts w:asciiTheme="minorHAnsi" w:hAnsiTheme="minorHAnsi" w:cstheme="minorHAnsi"/>
        </w:rPr>
        <w:t xml:space="preserve"> = 0.001), indicating greater obesity burden.</w:t>
      </w:r>
    </w:p>
    <w:p w14:paraId="6D09142E"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t xml:space="preserve">Regarding lipid profile, hypertensive officers showed significantly higher total cholesterol (4.97 ± 0.97 vs. 4.24 ± 0.55 mmol/L, </w:t>
      </w:r>
      <w:r w:rsidRPr="004C7164">
        <w:rPr>
          <w:rStyle w:val="Emphasis"/>
          <w:rFonts w:asciiTheme="minorHAnsi" w:eastAsiaTheme="majorEastAsia" w:hAnsiTheme="minorHAnsi" w:cstheme="minorHAnsi"/>
        </w:rPr>
        <w:t>p</w:t>
      </w:r>
      <w:r w:rsidRPr="004C7164">
        <w:rPr>
          <w:rFonts w:asciiTheme="minorHAnsi" w:hAnsiTheme="minorHAnsi" w:cstheme="minorHAnsi"/>
        </w:rPr>
        <w:t xml:space="preserve"> = 0.001), triglycerides (1.33 ± 0.29 vs. 1.10 ± 0.24 mmol/L, </w:t>
      </w:r>
      <w:r w:rsidRPr="004C7164">
        <w:rPr>
          <w:rStyle w:val="Emphasis"/>
          <w:rFonts w:asciiTheme="minorHAnsi" w:eastAsiaTheme="majorEastAsia" w:hAnsiTheme="minorHAnsi" w:cstheme="minorHAnsi"/>
        </w:rPr>
        <w:t>p</w:t>
      </w:r>
      <w:r w:rsidRPr="004C7164">
        <w:rPr>
          <w:rFonts w:asciiTheme="minorHAnsi" w:hAnsiTheme="minorHAnsi" w:cstheme="minorHAnsi"/>
        </w:rPr>
        <w:t xml:space="preserve"> = 0.001), and LDL cholesterol (3.22 ± 0.84 vs. 2.58 ± 0.55 mmol/L, </w:t>
      </w:r>
      <w:r w:rsidRPr="004C7164">
        <w:rPr>
          <w:rStyle w:val="Emphasis"/>
          <w:rFonts w:asciiTheme="minorHAnsi" w:eastAsiaTheme="majorEastAsia" w:hAnsiTheme="minorHAnsi" w:cstheme="minorHAnsi"/>
        </w:rPr>
        <w:t>p</w:t>
      </w:r>
      <w:r w:rsidRPr="004C7164">
        <w:rPr>
          <w:rFonts w:asciiTheme="minorHAnsi" w:hAnsiTheme="minorHAnsi" w:cstheme="minorHAnsi"/>
        </w:rPr>
        <w:t xml:space="preserve"> = 0.001). Conversely, HDL </w:t>
      </w:r>
      <w:r w:rsidRPr="004C7164">
        <w:rPr>
          <w:rFonts w:asciiTheme="minorHAnsi" w:hAnsiTheme="minorHAnsi" w:cstheme="minorHAnsi"/>
        </w:rPr>
        <w:lastRenderedPageBreak/>
        <w:t xml:space="preserve">cholesterol was significantly lower in hypertensives (1.24 ± 0.27 vs. 1.56 ± 0.24 mmol/L, </w:t>
      </w:r>
      <w:r w:rsidRPr="004C7164">
        <w:rPr>
          <w:rStyle w:val="Emphasis"/>
          <w:rFonts w:asciiTheme="minorHAnsi" w:eastAsiaTheme="majorEastAsia" w:hAnsiTheme="minorHAnsi" w:cstheme="minorHAnsi"/>
        </w:rPr>
        <w:t>p</w:t>
      </w:r>
      <w:r w:rsidRPr="004C7164">
        <w:rPr>
          <w:rFonts w:asciiTheme="minorHAnsi" w:hAnsiTheme="minorHAnsi" w:cstheme="minorHAnsi"/>
        </w:rPr>
        <w:t xml:space="preserve"> = 0.001), reflecting an atherogenic lipid profile. Very low-density lipoprotein (VLDL) levels showed a slight elevation among hypertensives (0.58 ± 0.16 vs. 0.53 ± 0.11 mmol/L), but the difference was not statistically significant (</w:t>
      </w:r>
      <w:r w:rsidRPr="004C7164">
        <w:rPr>
          <w:rStyle w:val="Emphasis"/>
          <w:rFonts w:asciiTheme="minorHAnsi" w:eastAsiaTheme="majorEastAsia" w:hAnsiTheme="minorHAnsi" w:cstheme="minorHAnsi"/>
        </w:rPr>
        <w:t>p</w:t>
      </w:r>
      <w:r w:rsidRPr="004C7164">
        <w:rPr>
          <w:rFonts w:asciiTheme="minorHAnsi" w:hAnsiTheme="minorHAnsi" w:cstheme="minorHAnsi"/>
        </w:rPr>
        <w:t xml:space="preserve"> = 0.068).</w:t>
      </w:r>
    </w:p>
    <w:p w14:paraId="10580CE5" w14:textId="77777777" w:rsidR="001A4839" w:rsidRPr="004C7164" w:rsidRDefault="001A4839" w:rsidP="001A4839">
      <w:pPr>
        <w:pStyle w:val="NormalWeb"/>
        <w:spacing w:line="360" w:lineRule="auto"/>
        <w:jc w:val="both"/>
        <w:rPr>
          <w:rFonts w:asciiTheme="minorHAnsi" w:hAnsiTheme="minorHAnsi" w:cstheme="minorHAnsi"/>
        </w:rPr>
      </w:pPr>
      <w:r w:rsidRPr="004C7164">
        <w:rPr>
          <w:rFonts w:asciiTheme="minorHAnsi" w:hAnsiTheme="minorHAnsi" w:cstheme="minorHAnsi"/>
        </w:rPr>
        <w:t xml:space="preserve">Markers of inflammation were also significantly elevated in hypertensive naval officers. Interleukin-6 was higher (19.62 ± 5.88 vs. 15.58 ± 5.46, </w:t>
      </w:r>
      <w:r w:rsidRPr="004C7164">
        <w:rPr>
          <w:rStyle w:val="Emphasis"/>
          <w:rFonts w:asciiTheme="minorHAnsi" w:eastAsiaTheme="majorEastAsia" w:hAnsiTheme="minorHAnsi" w:cstheme="minorHAnsi"/>
        </w:rPr>
        <w:t>p</w:t>
      </w:r>
      <w:r w:rsidRPr="004C7164">
        <w:rPr>
          <w:rFonts w:asciiTheme="minorHAnsi" w:hAnsiTheme="minorHAnsi" w:cstheme="minorHAnsi"/>
        </w:rPr>
        <w:t xml:space="preserve"> = 0.001), while C-reactive protein levels were more than doubled (6.56 ± 1.62 vs. 3.66 ± 0.78, </w:t>
      </w:r>
      <w:r w:rsidRPr="004C7164">
        <w:rPr>
          <w:rStyle w:val="Emphasis"/>
          <w:rFonts w:asciiTheme="minorHAnsi" w:eastAsiaTheme="majorEastAsia" w:hAnsiTheme="minorHAnsi" w:cstheme="minorHAnsi"/>
        </w:rPr>
        <w:t>p</w:t>
      </w:r>
      <w:r w:rsidRPr="004C7164">
        <w:rPr>
          <w:rFonts w:asciiTheme="minorHAnsi" w:hAnsiTheme="minorHAnsi" w:cstheme="minorHAnsi"/>
        </w:rPr>
        <w:t xml:space="preserve"> = 0.001).</w:t>
      </w:r>
    </w:p>
    <w:p w14:paraId="1CF35B20" w14:textId="0F4E3CEC" w:rsidR="001A4839" w:rsidRPr="004C7164" w:rsidRDefault="001A4839" w:rsidP="001A4839">
      <w:pPr>
        <w:pStyle w:val="Heading2"/>
        <w:spacing w:line="360" w:lineRule="auto"/>
        <w:jc w:val="both"/>
        <w:rPr>
          <w:rFonts w:asciiTheme="minorHAnsi" w:hAnsiTheme="minorHAnsi" w:cstheme="minorHAnsi"/>
          <w:color w:val="auto"/>
          <w:sz w:val="24"/>
          <w:szCs w:val="24"/>
        </w:rPr>
      </w:pPr>
      <w:r w:rsidRPr="004C7164">
        <w:rPr>
          <w:rFonts w:asciiTheme="minorHAnsi" w:hAnsiTheme="minorHAnsi" w:cstheme="minorHAnsi"/>
          <w:color w:val="auto"/>
          <w:sz w:val="24"/>
          <w:szCs w:val="24"/>
        </w:rPr>
        <w:t>3.2 Correlation of markers of metabolic syndrome and inflammation in Hypertensive Naval Personnel</w:t>
      </w:r>
      <w:r w:rsidR="00854F4E" w:rsidRPr="004C7164">
        <w:rPr>
          <w:rFonts w:asciiTheme="minorHAnsi" w:hAnsiTheme="minorHAnsi" w:cstheme="minorHAnsi"/>
          <w:color w:val="auto"/>
          <w:sz w:val="24"/>
          <w:szCs w:val="24"/>
        </w:rPr>
        <w:t xml:space="preserve"> on treatment</w:t>
      </w:r>
    </w:p>
    <w:p w14:paraId="3EFB9B5D"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Table 2 presents the Pearson correlation coefficients (</w:t>
      </w:r>
      <w:proofErr w:type="spellStart"/>
      <w:r w:rsidRPr="004C7164">
        <w:rPr>
          <w:rFonts w:eastAsia="Times New Roman" w:cstheme="minorHAnsi"/>
          <w:bCs/>
          <w:sz w:val="24"/>
          <w:szCs w:val="24"/>
        </w:rPr>
        <w:t>r-values</w:t>
      </w:r>
      <w:proofErr w:type="spellEnd"/>
      <w:r w:rsidRPr="004C7164">
        <w:rPr>
          <w:rFonts w:eastAsia="Times New Roman" w:cstheme="minorHAnsi"/>
          <w:sz w:val="24"/>
          <w:szCs w:val="24"/>
        </w:rPr>
        <w:t xml:space="preserve">) and associated </w:t>
      </w:r>
      <w:r w:rsidRPr="004C7164">
        <w:rPr>
          <w:rFonts w:eastAsia="Times New Roman" w:cstheme="minorHAnsi"/>
          <w:bCs/>
          <w:sz w:val="24"/>
          <w:szCs w:val="24"/>
        </w:rPr>
        <w:t>p-values</w:t>
      </w:r>
      <w:r w:rsidRPr="004C7164">
        <w:rPr>
          <w:rFonts w:eastAsia="Times New Roman" w:cstheme="minorHAnsi"/>
          <w:sz w:val="24"/>
          <w:szCs w:val="24"/>
        </w:rPr>
        <w:t xml:space="preserve"> showing the relationships between various markers of metabolic syndrome, </w:t>
      </w:r>
      <w:bookmarkStart w:id="2" w:name="_Hlk211289313"/>
      <w:r w:rsidRPr="004C7164">
        <w:rPr>
          <w:rFonts w:eastAsia="Times New Roman" w:cstheme="minorHAnsi"/>
          <w:sz w:val="24"/>
          <w:szCs w:val="24"/>
        </w:rPr>
        <w:t>including SBP, DBP, BMI, TC, TG, HDL, LDL, and VLDL, among hypertensive male naval officers.</w:t>
      </w:r>
    </w:p>
    <w:bookmarkEnd w:id="2"/>
    <w:p w14:paraId="5584163A"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 xml:space="preserve">A strong </w:t>
      </w:r>
      <w:r w:rsidRPr="004C7164">
        <w:rPr>
          <w:rFonts w:eastAsia="Times New Roman" w:cstheme="minorHAnsi"/>
          <w:bCs/>
          <w:sz w:val="24"/>
          <w:szCs w:val="24"/>
        </w:rPr>
        <w:t>positive correlation</w:t>
      </w:r>
      <w:r w:rsidRPr="004C7164">
        <w:rPr>
          <w:rFonts w:eastAsia="Times New Roman" w:cstheme="minorHAnsi"/>
          <w:sz w:val="24"/>
          <w:szCs w:val="24"/>
        </w:rPr>
        <w:t xml:space="preserve"> was observed between SBP and DBP (r = 0.805, p = 0.000), indicating that as systolic pressure increases, diastolic pressure also tends to rise significantly. This relationship is expected, as both values are directly related measures of arterial pressure. SBP also showed a </w:t>
      </w:r>
      <w:r w:rsidRPr="004C7164">
        <w:rPr>
          <w:rFonts w:eastAsia="Times New Roman" w:cstheme="minorHAnsi"/>
          <w:bCs/>
          <w:sz w:val="24"/>
          <w:szCs w:val="24"/>
        </w:rPr>
        <w:t>moderate positive correlation</w:t>
      </w:r>
      <w:r w:rsidRPr="004C7164">
        <w:rPr>
          <w:rFonts w:eastAsia="Times New Roman" w:cstheme="minorHAnsi"/>
          <w:sz w:val="24"/>
          <w:szCs w:val="24"/>
        </w:rPr>
        <w:t xml:space="preserve"> with BMI (r = 0.491, p = 0.000), suggesting that increased body mass is associated with higher systolic blood pressure, consistent with the known influence of obesity on hypertension. However, SBP did not show significant correlations with lipid markers such as total cholesterol, triglycerides, HDL, LDL, or VLDL (p &gt; 0.05), indicating that in this sample, systolic pressure may not be directly influenced by dyslipidemia.</w:t>
      </w:r>
    </w:p>
    <w:p w14:paraId="475587EF"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 xml:space="preserve">DBP also demonstrated a significant but weaker </w:t>
      </w:r>
      <w:r w:rsidRPr="004C7164">
        <w:rPr>
          <w:rFonts w:eastAsia="Times New Roman" w:cstheme="minorHAnsi"/>
          <w:bCs/>
          <w:sz w:val="24"/>
          <w:szCs w:val="24"/>
        </w:rPr>
        <w:t>positive correlation</w:t>
      </w:r>
      <w:r w:rsidRPr="004C7164">
        <w:rPr>
          <w:rFonts w:eastAsia="Times New Roman" w:cstheme="minorHAnsi"/>
          <w:sz w:val="24"/>
          <w:szCs w:val="24"/>
        </w:rPr>
        <w:t xml:space="preserve"> with BMI (r = 0.382, p = 0.003) and a weaker but statistically significant correlation with total cholesterol (r = 0.259, p = 0.046), indicating that increases in body weight and cholesterol may modestly influence diastolic pressure. No significant correlations were found between DBP and the other lipid markers.</w:t>
      </w:r>
    </w:p>
    <w:p w14:paraId="374CC600"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lastRenderedPageBreak/>
        <w:t>BMI did not significantly correlate with any of the lipid parameters (p &gt; 0.05), suggesting that in this population, increased body mass does not necessarily translate into dyslipidemia, though it does affect blood pressure.</w:t>
      </w:r>
    </w:p>
    <w:p w14:paraId="1754B03D"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 xml:space="preserve">Total cholesterol had a </w:t>
      </w:r>
      <w:r w:rsidRPr="004C7164">
        <w:rPr>
          <w:rFonts w:eastAsia="Times New Roman" w:cstheme="minorHAnsi"/>
          <w:bCs/>
          <w:sz w:val="24"/>
          <w:szCs w:val="24"/>
        </w:rPr>
        <w:t>moderate positive and statistically significant correlation</w:t>
      </w:r>
      <w:r w:rsidRPr="004C7164">
        <w:rPr>
          <w:rFonts w:eastAsia="Times New Roman" w:cstheme="minorHAnsi"/>
          <w:sz w:val="24"/>
          <w:szCs w:val="24"/>
        </w:rPr>
        <w:t xml:space="preserve"> with LDL (r = 0.794, p = 0.000), which is expected because LDL constitutes a substantial component of total cholesterol. Additionally, total cholesterol showed a </w:t>
      </w:r>
      <w:r w:rsidRPr="004C7164">
        <w:rPr>
          <w:rFonts w:eastAsia="Times New Roman" w:cstheme="minorHAnsi"/>
          <w:bCs/>
          <w:sz w:val="24"/>
          <w:szCs w:val="24"/>
        </w:rPr>
        <w:t>weak but significant correlation</w:t>
      </w:r>
      <w:r w:rsidRPr="004C7164">
        <w:rPr>
          <w:rFonts w:eastAsia="Times New Roman" w:cstheme="minorHAnsi"/>
          <w:sz w:val="24"/>
          <w:szCs w:val="24"/>
        </w:rPr>
        <w:t xml:space="preserve"> with HDL (r = 0.304, p = 0.018), suggesting some degree of concurrent elevation, although HDL is considered protective. No significant correlation was observed between total cholesterol and VLDL.</w:t>
      </w:r>
    </w:p>
    <w:p w14:paraId="26F9DD84"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 xml:space="preserve">Triglycerides (TG) demonstrated a </w:t>
      </w:r>
      <w:r w:rsidRPr="004C7164">
        <w:rPr>
          <w:rFonts w:eastAsia="Times New Roman" w:cstheme="minorHAnsi"/>
          <w:bCs/>
          <w:sz w:val="24"/>
          <w:szCs w:val="24"/>
        </w:rPr>
        <w:t>strong and significant positive correlation</w:t>
      </w:r>
      <w:r w:rsidRPr="004C7164">
        <w:rPr>
          <w:rFonts w:eastAsia="Times New Roman" w:cstheme="minorHAnsi"/>
          <w:sz w:val="24"/>
          <w:szCs w:val="24"/>
        </w:rPr>
        <w:t xml:space="preserve"> with HDL (r = 0.651, p = 0.000), which is unusual, as HDL typically has an inverse relationship with TG. This may indicate a unique pattern in the lipid profile of this population or a compensatory mechanism. TG showed no significant correlation with SBP, DBP, BMI, LDL, or VLDL.</w:t>
      </w:r>
    </w:p>
    <w:p w14:paraId="5AB3E41F"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HDL showed no significant correlation with LDL or VLDL. LDL, as previously mentioned, was significantly correlated with total cholesterol, but not with the other markers, including BMI or blood pressure. VLDL did not significantly correlate with any of the measured variables, indicating a lack of association with other markers in this group.</w:t>
      </w:r>
    </w:p>
    <w:p w14:paraId="42436AEE" w14:textId="77777777" w:rsidR="001A4839" w:rsidRPr="004C7164" w:rsidRDefault="001A4839" w:rsidP="001A4839">
      <w:pPr>
        <w:spacing w:before="100" w:beforeAutospacing="1" w:after="100" w:afterAutospacing="1" w:line="360" w:lineRule="auto"/>
        <w:jc w:val="both"/>
        <w:rPr>
          <w:rFonts w:eastAsia="Times New Roman" w:cstheme="minorHAnsi"/>
          <w:sz w:val="24"/>
          <w:szCs w:val="24"/>
        </w:rPr>
      </w:pPr>
      <w:r w:rsidRPr="004C7164">
        <w:rPr>
          <w:rFonts w:eastAsia="Times New Roman" w:cstheme="minorHAnsi"/>
          <w:sz w:val="24"/>
          <w:szCs w:val="24"/>
        </w:rPr>
        <w:t xml:space="preserve">In summary, the strongest and most significant correlations were observed between SBP and DBP, SBP and BMI, DBP and BMI, and total cholesterol and LDL. These findings suggest that in hypertensive male naval officers, </w:t>
      </w:r>
      <w:r w:rsidRPr="004C7164">
        <w:rPr>
          <w:rFonts w:eastAsia="Times New Roman" w:cstheme="minorHAnsi"/>
          <w:bCs/>
          <w:sz w:val="24"/>
          <w:szCs w:val="24"/>
        </w:rPr>
        <w:t>body mass index and lipid abnormalities (particularly elevated LDL) play notable roles in cardiovascular risk</w:t>
      </w:r>
      <w:r w:rsidRPr="004C7164">
        <w:rPr>
          <w:rFonts w:eastAsia="Times New Roman" w:cstheme="minorHAnsi"/>
          <w:sz w:val="24"/>
          <w:szCs w:val="24"/>
        </w:rPr>
        <w:t>, although some expected relationships (e.g., between TG and HDL or VLDL and other lipids) were not statistically significant. These patterns highlight the multifactorial nature of metabolic syndrome and suggest a need for integrated management approaches targeting both blood pressure and metabolic risk factors.</w:t>
      </w:r>
    </w:p>
    <w:p w14:paraId="2F69F4FE" w14:textId="77777777" w:rsidR="001A4839" w:rsidRPr="004C7164" w:rsidRDefault="001A4839" w:rsidP="001A4839">
      <w:pPr>
        <w:autoSpaceDE w:val="0"/>
        <w:autoSpaceDN w:val="0"/>
        <w:adjustRightInd w:val="0"/>
        <w:spacing w:after="0" w:line="360" w:lineRule="auto"/>
        <w:jc w:val="both"/>
        <w:rPr>
          <w:rFonts w:cstheme="minorHAnsi"/>
          <w:bCs/>
          <w:sz w:val="24"/>
          <w:szCs w:val="24"/>
        </w:rPr>
      </w:pPr>
    </w:p>
    <w:p w14:paraId="0493D217" w14:textId="77777777" w:rsidR="001A4839" w:rsidRPr="004C7164" w:rsidRDefault="001A4839" w:rsidP="001A4839">
      <w:pPr>
        <w:autoSpaceDE w:val="0"/>
        <w:autoSpaceDN w:val="0"/>
        <w:adjustRightInd w:val="0"/>
        <w:spacing w:after="0" w:line="360" w:lineRule="auto"/>
        <w:jc w:val="both"/>
        <w:rPr>
          <w:rFonts w:cstheme="minorHAnsi"/>
          <w:bCs/>
          <w:sz w:val="24"/>
          <w:szCs w:val="24"/>
        </w:rPr>
      </w:pPr>
    </w:p>
    <w:p w14:paraId="129D21AD"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3121B7C6"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7593FD2B"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49645D72"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2A61BDCD"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02BB1DB8"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5F6FD0D1"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5FAACBE0"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365C3B13"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0B53148F"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0D485E76"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2C5C844C"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744C309F"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29F23BE0"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4CEFBA72"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23D0787D"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0FAB1B6B"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3247A0B4"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00ECE226"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1AAC8D98"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68C0C620"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467DB106"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5EFD0AEB"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2C98CE1C"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7D27E1DC"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7E109F04"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5EB16472"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56675D54"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56743947"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43C649DC"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290C5A6F"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59F6222C"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5289E79F"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0F879F59"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60F8D1FA"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449C49F3"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1894D928" w14:textId="77777777" w:rsidR="003E21FD" w:rsidRPr="004C7164" w:rsidRDefault="003E21FD" w:rsidP="001A4839">
      <w:pPr>
        <w:pStyle w:val="Heading2"/>
        <w:spacing w:before="0" w:after="0"/>
        <w:rPr>
          <w:rFonts w:asciiTheme="minorHAnsi" w:hAnsiTheme="minorHAnsi" w:cstheme="minorHAnsi"/>
          <w:color w:val="auto"/>
          <w:sz w:val="24"/>
          <w:szCs w:val="24"/>
        </w:rPr>
      </w:pPr>
    </w:p>
    <w:p w14:paraId="35E53024" w14:textId="3678C665" w:rsidR="001A4839" w:rsidRPr="004C7164" w:rsidRDefault="001A4839" w:rsidP="001A4839">
      <w:pPr>
        <w:pStyle w:val="Heading2"/>
        <w:spacing w:before="0" w:after="0"/>
        <w:rPr>
          <w:rFonts w:asciiTheme="minorHAnsi" w:hAnsiTheme="minorHAnsi" w:cstheme="minorHAnsi"/>
          <w:color w:val="auto"/>
          <w:sz w:val="24"/>
          <w:szCs w:val="24"/>
        </w:rPr>
      </w:pPr>
      <w:r w:rsidRPr="004C7164">
        <w:rPr>
          <w:rFonts w:asciiTheme="minorHAnsi" w:hAnsiTheme="minorHAnsi" w:cstheme="minorHAnsi"/>
          <w:color w:val="auto"/>
          <w:sz w:val="24"/>
          <w:szCs w:val="24"/>
        </w:rPr>
        <w:lastRenderedPageBreak/>
        <w:t>Table 1: Comparison of Markers of Metabolic Syndrome and Inflammation in Hypertensive and Normotensive Naval Personnel</w:t>
      </w:r>
      <w:r w:rsidR="00FC67C8" w:rsidRPr="004C7164">
        <w:rPr>
          <w:rFonts w:asciiTheme="minorHAnsi" w:hAnsiTheme="minorHAnsi" w:cstheme="minorHAnsi"/>
          <w:color w:val="auto"/>
          <w:sz w:val="24"/>
          <w:szCs w:val="24"/>
        </w:rPr>
        <w:t xml:space="preserve"> on treatment</w:t>
      </w:r>
    </w:p>
    <w:tbl>
      <w:tblPr>
        <w:tblStyle w:val="TableGrid"/>
        <w:tblW w:w="9604" w:type="dxa"/>
        <w:tblLook w:val="04A0" w:firstRow="1" w:lastRow="0" w:firstColumn="1" w:lastColumn="0" w:noHBand="0" w:noVBand="1"/>
      </w:tblPr>
      <w:tblGrid>
        <w:gridCol w:w="2718"/>
        <w:gridCol w:w="2520"/>
        <w:gridCol w:w="2070"/>
        <w:gridCol w:w="1170"/>
        <w:gridCol w:w="1126"/>
      </w:tblGrid>
      <w:tr w:rsidR="004C7164" w:rsidRPr="004C7164" w14:paraId="1E03CF3B" w14:textId="77777777" w:rsidTr="00DE3D61">
        <w:trPr>
          <w:trHeight w:val="599"/>
        </w:trPr>
        <w:tc>
          <w:tcPr>
            <w:tcW w:w="2718" w:type="dxa"/>
          </w:tcPr>
          <w:p w14:paraId="3474A6D3" w14:textId="77777777" w:rsidR="001A4839" w:rsidRPr="004C7164" w:rsidRDefault="001A4839" w:rsidP="003E21FD">
            <w:pPr>
              <w:spacing w:after="0" w:line="240" w:lineRule="auto"/>
              <w:rPr>
                <w:rFonts w:cstheme="minorHAnsi"/>
                <w:b/>
                <w:sz w:val="24"/>
                <w:szCs w:val="24"/>
              </w:rPr>
            </w:pPr>
            <w:r w:rsidRPr="004C7164">
              <w:rPr>
                <w:rFonts w:cstheme="minorHAnsi"/>
                <w:b/>
                <w:sz w:val="24"/>
                <w:szCs w:val="24"/>
              </w:rPr>
              <w:t>Variables</w:t>
            </w:r>
          </w:p>
          <w:p w14:paraId="7A30CD02" w14:textId="77777777" w:rsidR="001A4839" w:rsidRPr="004C7164" w:rsidRDefault="001A4839" w:rsidP="003E21FD">
            <w:pPr>
              <w:spacing w:after="0" w:line="240" w:lineRule="auto"/>
              <w:rPr>
                <w:rFonts w:cstheme="minorHAnsi"/>
                <w:b/>
                <w:sz w:val="24"/>
                <w:szCs w:val="24"/>
              </w:rPr>
            </w:pPr>
            <w:r w:rsidRPr="004C7164">
              <w:rPr>
                <w:rFonts w:cstheme="minorHAnsi"/>
                <w:b/>
                <w:sz w:val="24"/>
                <w:szCs w:val="24"/>
              </w:rPr>
              <w:t>(mean± SD)</w:t>
            </w:r>
          </w:p>
        </w:tc>
        <w:tc>
          <w:tcPr>
            <w:tcW w:w="2520" w:type="dxa"/>
          </w:tcPr>
          <w:p w14:paraId="3D35B632" w14:textId="77777777" w:rsidR="001A4839" w:rsidRPr="004C7164" w:rsidRDefault="001A4839" w:rsidP="003E21FD">
            <w:pPr>
              <w:spacing w:after="0" w:line="240" w:lineRule="auto"/>
              <w:jc w:val="center"/>
              <w:rPr>
                <w:rFonts w:cstheme="minorHAnsi"/>
                <w:b/>
                <w:sz w:val="24"/>
                <w:szCs w:val="24"/>
              </w:rPr>
            </w:pPr>
            <w:r w:rsidRPr="004C7164">
              <w:rPr>
                <w:rFonts w:cstheme="minorHAnsi"/>
                <w:b/>
                <w:sz w:val="24"/>
                <w:szCs w:val="24"/>
              </w:rPr>
              <w:t>Hypertensive Male Naval Officers(n=60)</w:t>
            </w:r>
          </w:p>
        </w:tc>
        <w:tc>
          <w:tcPr>
            <w:tcW w:w="2070" w:type="dxa"/>
          </w:tcPr>
          <w:p w14:paraId="509B685E" w14:textId="77777777" w:rsidR="001A4839" w:rsidRPr="004C7164" w:rsidRDefault="001A4839" w:rsidP="003E21FD">
            <w:pPr>
              <w:spacing w:after="0" w:line="240" w:lineRule="auto"/>
              <w:jc w:val="center"/>
              <w:rPr>
                <w:rFonts w:cstheme="minorHAnsi"/>
                <w:b/>
                <w:sz w:val="24"/>
                <w:szCs w:val="24"/>
              </w:rPr>
            </w:pPr>
            <w:r w:rsidRPr="004C7164">
              <w:rPr>
                <w:rFonts w:cstheme="minorHAnsi"/>
                <w:b/>
                <w:sz w:val="24"/>
                <w:szCs w:val="24"/>
              </w:rPr>
              <w:t>Male Controls</w:t>
            </w:r>
          </w:p>
          <w:p w14:paraId="74FFAD92" w14:textId="77777777" w:rsidR="001A4839" w:rsidRPr="004C7164" w:rsidRDefault="001A4839" w:rsidP="003E21FD">
            <w:pPr>
              <w:spacing w:after="0" w:line="240" w:lineRule="auto"/>
              <w:jc w:val="center"/>
              <w:rPr>
                <w:rFonts w:cstheme="minorHAnsi"/>
                <w:b/>
                <w:sz w:val="24"/>
                <w:szCs w:val="24"/>
              </w:rPr>
            </w:pPr>
            <w:r w:rsidRPr="004C7164">
              <w:rPr>
                <w:rFonts w:cstheme="minorHAnsi"/>
                <w:b/>
                <w:sz w:val="24"/>
                <w:szCs w:val="24"/>
              </w:rPr>
              <w:t>(n=60)</w:t>
            </w:r>
          </w:p>
        </w:tc>
        <w:tc>
          <w:tcPr>
            <w:tcW w:w="1170" w:type="dxa"/>
          </w:tcPr>
          <w:p w14:paraId="0FB2A890" w14:textId="77777777" w:rsidR="001A4839" w:rsidRPr="004C7164" w:rsidRDefault="001A4839" w:rsidP="003E21FD">
            <w:pPr>
              <w:spacing w:after="0" w:line="240" w:lineRule="auto"/>
              <w:jc w:val="center"/>
              <w:rPr>
                <w:rFonts w:cstheme="minorHAnsi"/>
                <w:b/>
                <w:sz w:val="24"/>
                <w:szCs w:val="24"/>
              </w:rPr>
            </w:pPr>
            <w:r w:rsidRPr="004C7164">
              <w:rPr>
                <w:rFonts w:cstheme="minorHAnsi"/>
                <w:b/>
                <w:sz w:val="24"/>
                <w:szCs w:val="24"/>
              </w:rPr>
              <w:t>t-value</w:t>
            </w:r>
          </w:p>
        </w:tc>
        <w:tc>
          <w:tcPr>
            <w:tcW w:w="1126" w:type="dxa"/>
          </w:tcPr>
          <w:p w14:paraId="53F94CCA" w14:textId="77777777" w:rsidR="001A4839" w:rsidRPr="004C7164" w:rsidRDefault="001A4839" w:rsidP="003E21FD">
            <w:pPr>
              <w:spacing w:after="0" w:line="240" w:lineRule="auto"/>
              <w:jc w:val="center"/>
              <w:rPr>
                <w:rFonts w:cstheme="minorHAnsi"/>
                <w:b/>
                <w:sz w:val="24"/>
                <w:szCs w:val="24"/>
              </w:rPr>
            </w:pPr>
            <w:r w:rsidRPr="004C7164">
              <w:rPr>
                <w:rFonts w:cstheme="minorHAnsi"/>
                <w:b/>
                <w:sz w:val="24"/>
                <w:szCs w:val="24"/>
              </w:rPr>
              <w:t>p-value</w:t>
            </w:r>
          </w:p>
        </w:tc>
      </w:tr>
      <w:tr w:rsidR="004C7164" w:rsidRPr="004C7164" w14:paraId="012ACAC2" w14:textId="77777777" w:rsidTr="00DE3D61">
        <w:trPr>
          <w:trHeight w:val="353"/>
        </w:trPr>
        <w:tc>
          <w:tcPr>
            <w:tcW w:w="2718" w:type="dxa"/>
          </w:tcPr>
          <w:p w14:paraId="1331C8DA" w14:textId="77777777" w:rsidR="001A4839" w:rsidRPr="004C7164" w:rsidRDefault="001A4839" w:rsidP="003E21FD">
            <w:pPr>
              <w:spacing w:after="0" w:line="240" w:lineRule="auto"/>
              <w:rPr>
                <w:rFonts w:cstheme="minorHAnsi"/>
                <w:b/>
                <w:sz w:val="24"/>
                <w:szCs w:val="24"/>
              </w:rPr>
            </w:pPr>
            <w:proofErr w:type="gramStart"/>
            <w:r w:rsidRPr="004C7164">
              <w:rPr>
                <w:rFonts w:cstheme="minorHAnsi"/>
                <w:b/>
                <w:sz w:val="24"/>
                <w:szCs w:val="24"/>
              </w:rPr>
              <w:t>SBP(</w:t>
            </w:r>
            <w:proofErr w:type="gramEnd"/>
            <w:r w:rsidRPr="004C7164">
              <w:rPr>
                <w:rFonts w:cstheme="minorHAnsi"/>
                <w:b/>
                <w:sz w:val="24"/>
                <w:szCs w:val="24"/>
              </w:rPr>
              <w:t>mmHg)</w:t>
            </w:r>
          </w:p>
        </w:tc>
        <w:tc>
          <w:tcPr>
            <w:tcW w:w="2520" w:type="dxa"/>
          </w:tcPr>
          <w:p w14:paraId="77F3126F"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131.65±11.82</w:t>
            </w:r>
          </w:p>
          <w:p w14:paraId="431711DA" w14:textId="77777777" w:rsidR="001A4839" w:rsidRPr="004C7164" w:rsidRDefault="001A4839" w:rsidP="003E21FD">
            <w:pPr>
              <w:spacing w:after="0" w:line="240" w:lineRule="auto"/>
              <w:jc w:val="center"/>
              <w:rPr>
                <w:rFonts w:cstheme="minorHAnsi"/>
                <w:sz w:val="24"/>
                <w:szCs w:val="24"/>
              </w:rPr>
            </w:pPr>
          </w:p>
        </w:tc>
        <w:tc>
          <w:tcPr>
            <w:tcW w:w="2070" w:type="dxa"/>
          </w:tcPr>
          <w:p w14:paraId="6714B6D4"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122.95 ± 5.27</w:t>
            </w:r>
          </w:p>
        </w:tc>
        <w:tc>
          <w:tcPr>
            <w:tcW w:w="1170" w:type="dxa"/>
          </w:tcPr>
          <w:p w14:paraId="20B6CCAB" w14:textId="77777777" w:rsidR="001A4839" w:rsidRPr="004C7164" w:rsidRDefault="001A4839" w:rsidP="003E21FD">
            <w:pPr>
              <w:spacing w:after="0" w:line="240" w:lineRule="auto"/>
              <w:rPr>
                <w:rFonts w:cstheme="minorHAnsi"/>
                <w:sz w:val="24"/>
                <w:szCs w:val="24"/>
              </w:rPr>
            </w:pPr>
            <w:r w:rsidRPr="004C7164">
              <w:rPr>
                <w:rFonts w:cstheme="minorHAnsi"/>
                <w:sz w:val="24"/>
                <w:szCs w:val="24"/>
              </w:rPr>
              <w:t>5.408</w:t>
            </w:r>
          </w:p>
        </w:tc>
        <w:tc>
          <w:tcPr>
            <w:tcW w:w="1126" w:type="dxa"/>
          </w:tcPr>
          <w:p w14:paraId="1FD673F2"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0.001</w:t>
            </w:r>
          </w:p>
        </w:tc>
      </w:tr>
      <w:tr w:rsidR="004C7164" w:rsidRPr="004C7164" w14:paraId="1EB71D24" w14:textId="77777777" w:rsidTr="00DE3D61">
        <w:trPr>
          <w:trHeight w:val="562"/>
        </w:trPr>
        <w:tc>
          <w:tcPr>
            <w:tcW w:w="2718" w:type="dxa"/>
          </w:tcPr>
          <w:p w14:paraId="61B11EA9" w14:textId="77777777" w:rsidR="001A4839" w:rsidRPr="004C7164" w:rsidRDefault="001A4839" w:rsidP="003E21FD">
            <w:pPr>
              <w:spacing w:after="0" w:line="240" w:lineRule="auto"/>
              <w:rPr>
                <w:rFonts w:cstheme="minorHAnsi"/>
                <w:b/>
                <w:sz w:val="24"/>
                <w:szCs w:val="24"/>
              </w:rPr>
            </w:pPr>
            <w:proofErr w:type="gramStart"/>
            <w:r w:rsidRPr="004C7164">
              <w:rPr>
                <w:rFonts w:cstheme="minorHAnsi"/>
                <w:b/>
                <w:sz w:val="24"/>
                <w:szCs w:val="24"/>
              </w:rPr>
              <w:t>DBP(</w:t>
            </w:r>
            <w:proofErr w:type="gramEnd"/>
            <w:r w:rsidRPr="004C7164">
              <w:rPr>
                <w:rFonts w:cstheme="minorHAnsi"/>
                <w:b/>
                <w:sz w:val="24"/>
                <w:szCs w:val="24"/>
              </w:rPr>
              <w:t>mmHg)</w:t>
            </w:r>
          </w:p>
          <w:p w14:paraId="62F21D59" w14:textId="77777777" w:rsidR="001A4839" w:rsidRPr="004C7164" w:rsidRDefault="001A4839" w:rsidP="003E21FD">
            <w:pPr>
              <w:spacing w:after="0" w:line="240" w:lineRule="auto"/>
              <w:rPr>
                <w:rFonts w:cstheme="minorHAnsi"/>
                <w:b/>
                <w:sz w:val="24"/>
                <w:szCs w:val="24"/>
              </w:rPr>
            </w:pPr>
          </w:p>
        </w:tc>
        <w:tc>
          <w:tcPr>
            <w:tcW w:w="2520" w:type="dxa"/>
          </w:tcPr>
          <w:p w14:paraId="7D5CD078"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87.36±7.73</w:t>
            </w:r>
          </w:p>
        </w:tc>
        <w:tc>
          <w:tcPr>
            <w:tcW w:w="2070" w:type="dxa"/>
          </w:tcPr>
          <w:p w14:paraId="6CB6966F"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81.20±4.81</w:t>
            </w:r>
          </w:p>
        </w:tc>
        <w:tc>
          <w:tcPr>
            <w:tcW w:w="1170" w:type="dxa"/>
          </w:tcPr>
          <w:p w14:paraId="33B6107E" w14:textId="77777777" w:rsidR="001A4839" w:rsidRPr="004C7164" w:rsidRDefault="001A4839" w:rsidP="003E21FD">
            <w:pPr>
              <w:spacing w:after="0" w:line="240" w:lineRule="auto"/>
              <w:rPr>
                <w:rFonts w:cstheme="minorHAnsi"/>
                <w:sz w:val="24"/>
                <w:szCs w:val="24"/>
              </w:rPr>
            </w:pPr>
            <w:r w:rsidRPr="004C7164">
              <w:rPr>
                <w:rFonts w:cstheme="minorHAnsi"/>
                <w:sz w:val="24"/>
                <w:szCs w:val="24"/>
              </w:rPr>
              <w:t>4.87</w:t>
            </w:r>
          </w:p>
        </w:tc>
        <w:tc>
          <w:tcPr>
            <w:tcW w:w="1126" w:type="dxa"/>
          </w:tcPr>
          <w:p w14:paraId="6AA38877"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0.001</w:t>
            </w:r>
          </w:p>
        </w:tc>
      </w:tr>
      <w:tr w:rsidR="004C7164" w:rsidRPr="004C7164" w14:paraId="7F327B47" w14:textId="77777777" w:rsidTr="00DE3D61">
        <w:trPr>
          <w:trHeight w:val="444"/>
        </w:trPr>
        <w:tc>
          <w:tcPr>
            <w:tcW w:w="2718" w:type="dxa"/>
          </w:tcPr>
          <w:p w14:paraId="71E5B4BC" w14:textId="77777777" w:rsidR="001A4839" w:rsidRPr="004C7164" w:rsidRDefault="001A4839" w:rsidP="003E21FD">
            <w:pPr>
              <w:spacing w:after="0" w:line="240" w:lineRule="auto"/>
              <w:rPr>
                <w:rFonts w:cstheme="minorHAnsi"/>
                <w:b/>
                <w:sz w:val="24"/>
                <w:szCs w:val="24"/>
              </w:rPr>
            </w:pPr>
            <w:r w:rsidRPr="004C7164">
              <w:rPr>
                <w:rFonts w:cstheme="minorHAnsi"/>
                <w:b/>
                <w:sz w:val="24"/>
                <w:szCs w:val="24"/>
              </w:rPr>
              <w:t>BMI(Kg/m2)</w:t>
            </w:r>
          </w:p>
          <w:p w14:paraId="14537527" w14:textId="77777777" w:rsidR="001A4839" w:rsidRPr="004C7164" w:rsidRDefault="001A4839" w:rsidP="003E21FD">
            <w:pPr>
              <w:spacing w:after="0" w:line="240" w:lineRule="auto"/>
              <w:rPr>
                <w:rFonts w:cstheme="minorHAnsi"/>
                <w:b/>
                <w:sz w:val="24"/>
                <w:szCs w:val="24"/>
              </w:rPr>
            </w:pPr>
          </w:p>
        </w:tc>
        <w:tc>
          <w:tcPr>
            <w:tcW w:w="2520" w:type="dxa"/>
          </w:tcPr>
          <w:p w14:paraId="60C21F86"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29.95±2.20</w:t>
            </w:r>
          </w:p>
          <w:p w14:paraId="12404707" w14:textId="77777777" w:rsidR="001A4839" w:rsidRPr="004C7164" w:rsidRDefault="001A4839" w:rsidP="003E21FD">
            <w:pPr>
              <w:spacing w:after="0" w:line="240" w:lineRule="auto"/>
              <w:jc w:val="center"/>
              <w:rPr>
                <w:rFonts w:cstheme="minorHAnsi"/>
                <w:sz w:val="24"/>
                <w:szCs w:val="24"/>
              </w:rPr>
            </w:pPr>
          </w:p>
        </w:tc>
        <w:tc>
          <w:tcPr>
            <w:tcW w:w="2070" w:type="dxa"/>
          </w:tcPr>
          <w:p w14:paraId="46F187DF"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23.20±1.79</w:t>
            </w:r>
          </w:p>
          <w:p w14:paraId="3AF655EC" w14:textId="77777777" w:rsidR="001A4839" w:rsidRPr="004C7164" w:rsidRDefault="001A4839" w:rsidP="003E21FD">
            <w:pPr>
              <w:spacing w:after="0" w:line="240" w:lineRule="auto"/>
              <w:jc w:val="center"/>
              <w:rPr>
                <w:rFonts w:cstheme="minorHAnsi"/>
                <w:sz w:val="24"/>
                <w:szCs w:val="24"/>
              </w:rPr>
            </w:pPr>
          </w:p>
        </w:tc>
        <w:tc>
          <w:tcPr>
            <w:tcW w:w="1170" w:type="dxa"/>
          </w:tcPr>
          <w:p w14:paraId="174B0565" w14:textId="77777777" w:rsidR="001A4839" w:rsidRPr="004C7164" w:rsidRDefault="001A4839" w:rsidP="003E21FD">
            <w:pPr>
              <w:spacing w:after="0" w:line="240" w:lineRule="auto"/>
              <w:rPr>
                <w:rFonts w:cstheme="minorHAnsi"/>
                <w:sz w:val="24"/>
                <w:szCs w:val="24"/>
              </w:rPr>
            </w:pPr>
            <w:r w:rsidRPr="004C7164">
              <w:rPr>
                <w:rFonts w:cstheme="minorHAnsi"/>
                <w:sz w:val="24"/>
                <w:szCs w:val="24"/>
              </w:rPr>
              <w:t>6.685</w:t>
            </w:r>
          </w:p>
        </w:tc>
        <w:tc>
          <w:tcPr>
            <w:tcW w:w="1126" w:type="dxa"/>
          </w:tcPr>
          <w:p w14:paraId="341AB22F"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0.001</w:t>
            </w:r>
          </w:p>
        </w:tc>
      </w:tr>
      <w:tr w:rsidR="004C7164" w:rsidRPr="004C7164" w14:paraId="0949881F" w14:textId="77777777" w:rsidTr="00DE3D61">
        <w:trPr>
          <w:trHeight w:val="508"/>
        </w:trPr>
        <w:tc>
          <w:tcPr>
            <w:tcW w:w="2718" w:type="dxa"/>
          </w:tcPr>
          <w:p w14:paraId="4EB05A90" w14:textId="77777777" w:rsidR="001A4839" w:rsidRPr="004C7164" w:rsidRDefault="001A4839" w:rsidP="003E21FD">
            <w:pPr>
              <w:spacing w:after="0" w:line="240" w:lineRule="auto"/>
              <w:rPr>
                <w:rFonts w:cstheme="minorHAnsi"/>
                <w:b/>
                <w:sz w:val="24"/>
                <w:szCs w:val="24"/>
              </w:rPr>
            </w:pPr>
            <w:proofErr w:type="spellStart"/>
            <w:proofErr w:type="gramStart"/>
            <w:r w:rsidRPr="004C7164">
              <w:rPr>
                <w:rFonts w:cstheme="minorHAnsi"/>
                <w:b/>
                <w:sz w:val="24"/>
                <w:szCs w:val="24"/>
              </w:rPr>
              <w:t>T.Cholesterol</w:t>
            </w:r>
            <w:proofErr w:type="spellEnd"/>
            <w:proofErr w:type="gramEnd"/>
            <w:r w:rsidRPr="004C7164">
              <w:rPr>
                <w:rFonts w:cstheme="minorHAnsi"/>
                <w:b/>
                <w:sz w:val="24"/>
                <w:szCs w:val="24"/>
              </w:rPr>
              <w:t xml:space="preserve"> (mmol/L)</w:t>
            </w:r>
          </w:p>
          <w:p w14:paraId="5E8F253F" w14:textId="77777777" w:rsidR="001A4839" w:rsidRPr="004C7164" w:rsidRDefault="001A4839" w:rsidP="003E21FD">
            <w:pPr>
              <w:spacing w:after="0" w:line="240" w:lineRule="auto"/>
              <w:rPr>
                <w:rFonts w:cstheme="minorHAnsi"/>
                <w:b/>
                <w:sz w:val="24"/>
                <w:szCs w:val="24"/>
              </w:rPr>
            </w:pPr>
          </w:p>
        </w:tc>
        <w:tc>
          <w:tcPr>
            <w:tcW w:w="2520" w:type="dxa"/>
          </w:tcPr>
          <w:p w14:paraId="3494C10C"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4.97±0.97</w:t>
            </w:r>
          </w:p>
          <w:p w14:paraId="49BEB70F" w14:textId="77777777" w:rsidR="001A4839" w:rsidRPr="004C7164" w:rsidRDefault="001A4839" w:rsidP="003E21FD">
            <w:pPr>
              <w:spacing w:after="0" w:line="240" w:lineRule="auto"/>
              <w:jc w:val="center"/>
              <w:rPr>
                <w:rFonts w:cstheme="minorHAnsi"/>
                <w:sz w:val="24"/>
                <w:szCs w:val="24"/>
              </w:rPr>
            </w:pPr>
          </w:p>
        </w:tc>
        <w:tc>
          <w:tcPr>
            <w:tcW w:w="2070" w:type="dxa"/>
          </w:tcPr>
          <w:p w14:paraId="3481A227"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4.24±0.55</w:t>
            </w:r>
          </w:p>
          <w:p w14:paraId="6C3674A1" w14:textId="77777777" w:rsidR="001A4839" w:rsidRPr="004C7164" w:rsidRDefault="001A4839" w:rsidP="003E21FD">
            <w:pPr>
              <w:spacing w:after="0" w:line="240" w:lineRule="auto"/>
              <w:jc w:val="center"/>
              <w:rPr>
                <w:rFonts w:cstheme="minorHAnsi"/>
                <w:sz w:val="24"/>
                <w:szCs w:val="24"/>
              </w:rPr>
            </w:pPr>
          </w:p>
        </w:tc>
        <w:tc>
          <w:tcPr>
            <w:tcW w:w="1170" w:type="dxa"/>
          </w:tcPr>
          <w:p w14:paraId="002522C1" w14:textId="77777777" w:rsidR="001A4839" w:rsidRPr="004C7164" w:rsidRDefault="001A4839" w:rsidP="003E21FD">
            <w:pPr>
              <w:spacing w:after="0" w:line="240" w:lineRule="auto"/>
              <w:rPr>
                <w:rFonts w:cstheme="minorHAnsi"/>
                <w:sz w:val="24"/>
                <w:szCs w:val="24"/>
              </w:rPr>
            </w:pPr>
            <w:r w:rsidRPr="004C7164">
              <w:rPr>
                <w:rFonts w:cstheme="minorHAnsi"/>
                <w:sz w:val="24"/>
                <w:szCs w:val="24"/>
              </w:rPr>
              <w:t>5.801</w:t>
            </w:r>
          </w:p>
        </w:tc>
        <w:tc>
          <w:tcPr>
            <w:tcW w:w="1126" w:type="dxa"/>
          </w:tcPr>
          <w:p w14:paraId="2BB2E6B5"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0.001</w:t>
            </w:r>
          </w:p>
        </w:tc>
      </w:tr>
      <w:tr w:rsidR="004C7164" w:rsidRPr="004C7164" w14:paraId="010B0A9D" w14:textId="77777777" w:rsidTr="00DE3D61">
        <w:trPr>
          <w:trHeight w:val="490"/>
        </w:trPr>
        <w:tc>
          <w:tcPr>
            <w:tcW w:w="2718" w:type="dxa"/>
          </w:tcPr>
          <w:p w14:paraId="64F7D15F" w14:textId="77777777" w:rsidR="001A4839" w:rsidRPr="004C7164" w:rsidRDefault="001A4839" w:rsidP="003E21FD">
            <w:pPr>
              <w:spacing w:after="0" w:line="240" w:lineRule="auto"/>
              <w:rPr>
                <w:rFonts w:cstheme="minorHAnsi"/>
                <w:b/>
                <w:sz w:val="24"/>
                <w:szCs w:val="24"/>
              </w:rPr>
            </w:pPr>
            <w:proofErr w:type="spellStart"/>
            <w:r w:rsidRPr="004C7164">
              <w:rPr>
                <w:rFonts w:cstheme="minorHAnsi"/>
                <w:b/>
                <w:sz w:val="24"/>
                <w:szCs w:val="24"/>
              </w:rPr>
              <w:t>Triglycrides</w:t>
            </w:r>
            <w:proofErr w:type="spellEnd"/>
            <w:r w:rsidRPr="004C7164">
              <w:rPr>
                <w:rFonts w:cstheme="minorHAnsi"/>
                <w:b/>
                <w:sz w:val="24"/>
                <w:szCs w:val="24"/>
              </w:rPr>
              <w:t xml:space="preserve"> (mmol/L)</w:t>
            </w:r>
          </w:p>
          <w:p w14:paraId="122807A0" w14:textId="77777777" w:rsidR="001A4839" w:rsidRPr="004C7164" w:rsidRDefault="001A4839" w:rsidP="003E21FD">
            <w:pPr>
              <w:spacing w:after="0" w:line="240" w:lineRule="auto"/>
              <w:rPr>
                <w:rFonts w:cstheme="minorHAnsi"/>
                <w:b/>
                <w:sz w:val="24"/>
                <w:szCs w:val="24"/>
              </w:rPr>
            </w:pPr>
          </w:p>
        </w:tc>
        <w:tc>
          <w:tcPr>
            <w:tcW w:w="2520" w:type="dxa"/>
          </w:tcPr>
          <w:p w14:paraId="24B93DFF"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1.33±0.29</w:t>
            </w:r>
          </w:p>
          <w:p w14:paraId="718C344E" w14:textId="77777777" w:rsidR="001A4839" w:rsidRPr="004C7164" w:rsidRDefault="001A4839" w:rsidP="003E21FD">
            <w:pPr>
              <w:spacing w:after="0" w:line="240" w:lineRule="auto"/>
              <w:jc w:val="center"/>
              <w:rPr>
                <w:rFonts w:cstheme="minorHAnsi"/>
                <w:sz w:val="24"/>
                <w:szCs w:val="24"/>
              </w:rPr>
            </w:pPr>
          </w:p>
        </w:tc>
        <w:tc>
          <w:tcPr>
            <w:tcW w:w="2070" w:type="dxa"/>
          </w:tcPr>
          <w:p w14:paraId="2ABF77EB"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1.10±0.24</w:t>
            </w:r>
          </w:p>
          <w:p w14:paraId="0E683549" w14:textId="77777777" w:rsidR="001A4839" w:rsidRPr="004C7164" w:rsidRDefault="001A4839" w:rsidP="003E21FD">
            <w:pPr>
              <w:spacing w:after="0" w:line="240" w:lineRule="auto"/>
              <w:jc w:val="center"/>
              <w:rPr>
                <w:rFonts w:cstheme="minorHAnsi"/>
                <w:sz w:val="24"/>
                <w:szCs w:val="24"/>
              </w:rPr>
            </w:pPr>
          </w:p>
        </w:tc>
        <w:tc>
          <w:tcPr>
            <w:tcW w:w="1170" w:type="dxa"/>
          </w:tcPr>
          <w:p w14:paraId="4ED0ECDD" w14:textId="77777777" w:rsidR="001A4839" w:rsidRPr="004C7164" w:rsidRDefault="001A4839" w:rsidP="003E21FD">
            <w:pPr>
              <w:spacing w:after="0" w:line="240" w:lineRule="auto"/>
              <w:rPr>
                <w:rFonts w:cstheme="minorHAnsi"/>
                <w:sz w:val="24"/>
                <w:szCs w:val="24"/>
              </w:rPr>
            </w:pPr>
            <w:r w:rsidRPr="004C7164">
              <w:rPr>
                <w:rFonts w:cstheme="minorHAnsi"/>
                <w:sz w:val="24"/>
                <w:szCs w:val="24"/>
              </w:rPr>
              <w:t>4.944</w:t>
            </w:r>
          </w:p>
        </w:tc>
        <w:tc>
          <w:tcPr>
            <w:tcW w:w="1126" w:type="dxa"/>
          </w:tcPr>
          <w:p w14:paraId="401BAEBB"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0.001</w:t>
            </w:r>
          </w:p>
        </w:tc>
      </w:tr>
      <w:tr w:rsidR="004C7164" w:rsidRPr="004C7164" w14:paraId="31ADDCD5" w14:textId="77777777" w:rsidTr="00DE3D61">
        <w:trPr>
          <w:trHeight w:val="372"/>
        </w:trPr>
        <w:tc>
          <w:tcPr>
            <w:tcW w:w="2718" w:type="dxa"/>
          </w:tcPr>
          <w:p w14:paraId="1FA2D1E0" w14:textId="77777777" w:rsidR="001A4839" w:rsidRPr="004C7164" w:rsidRDefault="001A4839" w:rsidP="003E21FD">
            <w:pPr>
              <w:spacing w:after="0" w:line="240" w:lineRule="auto"/>
              <w:rPr>
                <w:rFonts w:cstheme="minorHAnsi"/>
                <w:b/>
                <w:sz w:val="24"/>
                <w:szCs w:val="24"/>
              </w:rPr>
            </w:pPr>
            <w:proofErr w:type="gramStart"/>
            <w:r w:rsidRPr="004C7164">
              <w:rPr>
                <w:rFonts w:cstheme="minorHAnsi"/>
                <w:b/>
                <w:sz w:val="24"/>
                <w:szCs w:val="24"/>
              </w:rPr>
              <w:t>HDL(</w:t>
            </w:r>
            <w:proofErr w:type="gramEnd"/>
            <w:r w:rsidRPr="004C7164">
              <w:rPr>
                <w:rFonts w:cstheme="minorHAnsi"/>
                <w:b/>
                <w:sz w:val="24"/>
                <w:szCs w:val="24"/>
              </w:rPr>
              <w:t>mmol/L)</w:t>
            </w:r>
          </w:p>
          <w:p w14:paraId="445A31A1" w14:textId="77777777" w:rsidR="001A4839" w:rsidRPr="004C7164" w:rsidRDefault="001A4839" w:rsidP="003E21FD">
            <w:pPr>
              <w:spacing w:after="0" w:line="240" w:lineRule="auto"/>
              <w:rPr>
                <w:rFonts w:cstheme="minorHAnsi"/>
                <w:b/>
                <w:sz w:val="24"/>
                <w:szCs w:val="24"/>
              </w:rPr>
            </w:pPr>
          </w:p>
        </w:tc>
        <w:tc>
          <w:tcPr>
            <w:tcW w:w="2520" w:type="dxa"/>
          </w:tcPr>
          <w:p w14:paraId="532EB5C1"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1.24±0.27</w:t>
            </w:r>
          </w:p>
          <w:p w14:paraId="41FFA18D" w14:textId="77777777" w:rsidR="001A4839" w:rsidRPr="004C7164" w:rsidRDefault="001A4839" w:rsidP="003E21FD">
            <w:pPr>
              <w:spacing w:after="0" w:line="240" w:lineRule="auto"/>
              <w:jc w:val="center"/>
              <w:rPr>
                <w:rFonts w:cstheme="minorHAnsi"/>
                <w:sz w:val="24"/>
                <w:szCs w:val="24"/>
              </w:rPr>
            </w:pPr>
          </w:p>
        </w:tc>
        <w:tc>
          <w:tcPr>
            <w:tcW w:w="2070" w:type="dxa"/>
          </w:tcPr>
          <w:p w14:paraId="06E58268"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1.56±0.24</w:t>
            </w:r>
          </w:p>
          <w:p w14:paraId="2DC87DA4" w14:textId="77777777" w:rsidR="001A4839" w:rsidRPr="004C7164" w:rsidRDefault="001A4839" w:rsidP="003E21FD">
            <w:pPr>
              <w:spacing w:after="0" w:line="240" w:lineRule="auto"/>
              <w:jc w:val="center"/>
              <w:rPr>
                <w:rFonts w:cstheme="minorHAnsi"/>
                <w:sz w:val="24"/>
                <w:szCs w:val="24"/>
              </w:rPr>
            </w:pPr>
          </w:p>
        </w:tc>
        <w:tc>
          <w:tcPr>
            <w:tcW w:w="1170" w:type="dxa"/>
          </w:tcPr>
          <w:p w14:paraId="7F88B658" w14:textId="77777777" w:rsidR="001A4839" w:rsidRPr="004C7164" w:rsidRDefault="001A4839" w:rsidP="003E21FD">
            <w:pPr>
              <w:spacing w:after="0" w:line="240" w:lineRule="auto"/>
              <w:rPr>
                <w:rFonts w:cstheme="minorHAnsi"/>
                <w:sz w:val="24"/>
                <w:szCs w:val="24"/>
              </w:rPr>
            </w:pPr>
            <w:r w:rsidRPr="004C7164">
              <w:rPr>
                <w:rFonts w:cstheme="minorHAnsi"/>
                <w:sz w:val="24"/>
                <w:szCs w:val="24"/>
              </w:rPr>
              <w:t>-6.431</w:t>
            </w:r>
          </w:p>
        </w:tc>
        <w:tc>
          <w:tcPr>
            <w:tcW w:w="1126" w:type="dxa"/>
          </w:tcPr>
          <w:p w14:paraId="3AC84FE5"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0.001</w:t>
            </w:r>
          </w:p>
        </w:tc>
      </w:tr>
      <w:tr w:rsidR="004C7164" w:rsidRPr="004C7164" w14:paraId="41887721" w14:textId="77777777" w:rsidTr="00DE3D61">
        <w:trPr>
          <w:trHeight w:val="444"/>
        </w:trPr>
        <w:tc>
          <w:tcPr>
            <w:tcW w:w="2718" w:type="dxa"/>
          </w:tcPr>
          <w:p w14:paraId="75FDACA5" w14:textId="77777777" w:rsidR="001A4839" w:rsidRPr="004C7164" w:rsidRDefault="001A4839" w:rsidP="003E21FD">
            <w:pPr>
              <w:spacing w:after="0" w:line="240" w:lineRule="auto"/>
              <w:rPr>
                <w:rFonts w:cstheme="minorHAnsi"/>
                <w:b/>
                <w:sz w:val="24"/>
                <w:szCs w:val="24"/>
              </w:rPr>
            </w:pPr>
            <w:proofErr w:type="gramStart"/>
            <w:r w:rsidRPr="004C7164">
              <w:rPr>
                <w:rFonts w:cstheme="minorHAnsi"/>
                <w:b/>
                <w:sz w:val="24"/>
                <w:szCs w:val="24"/>
              </w:rPr>
              <w:t>LDL(</w:t>
            </w:r>
            <w:proofErr w:type="gramEnd"/>
            <w:r w:rsidRPr="004C7164">
              <w:rPr>
                <w:rFonts w:cstheme="minorHAnsi"/>
                <w:b/>
                <w:sz w:val="24"/>
                <w:szCs w:val="24"/>
              </w:rPr>
              <w:t>mmol/L)</w:t>
            </w:r>
          </w:p>
          <w:p w14:paraId="1FD52AE8" w14:textId="77777777" w:rsidR="001A4839" w:rsidRPr="004C7164" w:rsidRDefault="001A4839" w:rsidP="003E21FD">
            <w:pPr>
              <w:spacing w:after="0" w:line="240" w:lineRule="auto"/>
              <w:rPr>
                <w:rFonts w:cstheme="minorHAnsi"/>
                <w:b/>
                <w:sz w:val="24"/>
                <w:szCs w:val="24"/>
              </w:rPr>
            </w:pPr>
          </w:p>
        </w:tc>
        <w:tc>
          <w:tcPr>
            <w:tcW w:w="2520" w:type="dxa"/>
          </w:tcPr>
          <w:p w14:paraId="4FDBCE96"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3.22±0.84</w:t>
            </w:r>
          </w:p>
          <w:p w14:paraId="3E913532" w14:textId="77777777" w:rsidR="001A4839" w:rsidRPr="004C7164" w:rsidRDefault="001A4839" w:rsidP="003E21FD">
            <w:pPr>
              <w:spacing w:after="0" w:line="240" w:lineRule="auto"/>
              <w:jc w:val="center"/>
              <w:rPr>
                <w:rFonts w:cstheme="minorHAnsi"/>
                <w:sz w:val="24"/>
                <w:szCs w:val="24"/>
              </w:rPr>
            </w:pPr>
          </w:p>
        </w:tc>
        <w:tc>
          <w:tcPr>
            <w:tcW w:w="2070" w:type="dxa"/>
          </w:tcPr>
          <w:p w14:paraId="63B29DCC"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2.58±0.55</w:t>
            </w:r>
          </w:p>
          <w:p w14:paraId="565C84C2" w14:textId="77777777" w:rsidR="001A4839" w:rsidRPr="004C7164" w:rsidRDefault="001A4839" w:rsidP="003E21FD">
            <w:pPr>
              <w:spacing w:after="0" w:line="240" w:lineRule="auto"/>
              <w:jc w:val="center"/>
              <w:rPr>
                <w:rFonts w:cstheme="minorHAnsi"/>
                <w:sz w:val="24"/>
                <w:szCs w:val="24"/>
              </w:rPr>
            </w:pPr>
          </w:p>
        </w:tc>
        <w:tc>
          <w:tcPr>
            <w:tcW w:w="1170" w:type="dxa"/>
          </w:tcPr>
          <w:p w14:paraId="365DE4AA" w14:textId="77777777" w:rsidR="001A4839" w:rsidRPr="004C7164" w:rsidRDefault="001A4839" w:rsidP="003E21FD">
            <w:pPr>
              <w:spacing w:after="0" w:line="240" w:lineRule="auto"/>
              <w:rPr>
                <w:rFonts w:cstheme="minorHAnsi"/>
                <w:sz w:val="24"/>
                <w:szCs w:val="24"/>
              </w:rPr>
            </w:pPr>
            <w:r w:rsidRPr="004C7164">
              <w:rPr>
                <w:rFonts w:cstheme="minorHAnsi"/>
                <w:sz w:val="24"/>
                <w:szCs w:val="24"/>
              </w:rPr>
              <w:t>5.106</w:t>
            </w:r>
          </w:p>
        </w:tc>
        <w:tc>
          <w:tcPr>
            <w:tcW w:w="1126" w:type="dxa"/>
          </w:tcPr>
          <w:p w14:paraId="4B1A0D99"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0.001</w:t>
            </w:r>
          </w:p>
        </w:tc>
      </w:tr>
      <w:tr w:rsidR="004C7164" w:rsidRPr="004C7164" w14:paraId="2B78885A" w14:textId="77777777" w:rsidTr="00DE3D61">
        <w:trPr>
          <w:trHeight w:val="508"/>
        </w:trPr>
        <w:tc>
          <w:tcPr>
            <w:tcW w:w="2718" w:type="dxa"/>
          </w:tcPr>
          <w:p w14:paraId="2B4F10F2" w14:textId="77777777" w:rsidR="001A4839" w:rsidRPr="004C7164" w:rsidRDefault="001A4839" w:rsidP="003E21FD">
            <w:pPr>
              <w:spacing w:after="0" w:line="240" w:lineRule="auto"/>
              <w:rPr>
                <w:rFonts w:cstheme="minorHAnsi"/>
                <w:b/>
                <w:sz w:val="24"/>
                <w:szCs w:val="24"/>
              </w:rPr>
            </w:pPr>
            <w:proofErr w:type="gramStart"/>
            <w:r w:rsidRPr="004C7164">
              <w:rPr>
                <w:rFonts w:cstheme="minorHAnsi"/>
                <w:b/>
                <w:sz w:val="24"/>
                <w:szCs w:val="24"/>
              </w:rPr>
              <w:t>VLDL(</w:t>
            </w:r>
            <w:proofErr w:type="gramEnd"/>
            <w:r w:rsidRPr="004C7164">
              <w:rPr>
                <w:rFonts w:cstheme="minorHAnsi"/>
                <w:b/>
                <w:sz w:val="24"/>
                <w:szCs w:val="24"/>
              </w:rPr>
              <w:t>mmol/L)</w:t>
            </w:r>
          </w:p>
          <w:p w14:paraId="1349D33B" w14:textId="77777777" w:rsidR="001A4839" w:rsidRPr="004C7164" w:rsidRDefault="001A4839" w:rsidP="003E21FD">
            <w:pPr>
              <w:spacing w:after="0" w:line="240" w:lineRule="auto"/>
              <w:rPr>
                <w:rFonts w:cstheme="minorHAnsi"/>
                <w:b/>
                <w:sz w:val="24"/>
                <w:szCs w:val="24"/>
              </w:rPr>
            </w:pPr>
          </w:p>
        </w:tc>
        <w:tc>
          <w:tcPr>
            <w:tcW w:w="2520" w:type="dxa"/>
          </w:tcPr>
          <w:p w14:paraId="12394492"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0.58±0.16</w:t>
            </w:r>
          </w:p>
          <w:p w14:paraId="3A08491D" w14:textId="77777777" w:rsidR="001A4839" w:rsidRPr="004C7164" w:rsidRDefault="001A4839" w:rsidP="003E21FD">
            <w:pPr>
              <w:spacing w:after="0" w:line="240" w:lineRule="auto"/>
              <w:jc w:val="center"/>
              <w:rPr>
                <w:rFonts w:cstheme="minorHAnsi"/>
                <w:sz w:val="24"/>
                <w:szCs w:val="24"/>
              </w:rPr>
            </w:pPr>
          </w:p>
        </w:tc>
        <w:tc>
          <w:tcPr>
            <w:tcW w:w="2070" w:type="dxa"/>
          </w:tcPr>
          <w:p w14:paraId="6AE9C097"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0.53±0.11</w:t>
            </w:r>
          </w:p>
          <w:p w14:paraId="248E3FA4" w14:textId="77777777" w:rsidR="001A4839" w:rsidRPr="004C7164" w:rsidRDefault="001A4839" w:rsidP="003E21FD">
            <w:pPr>
              <w:spacing w:after="0" w:line="240" w:lineRule="auto"/>
              <w:jc w:val="center"/>
              <w:rPr>
                <w:rFonts w:cstheme="minorHAnsi"/>
                <w:sz w:val="24"/>
                <w:szCs w:val="24"/>
              </w:rPr>
            </w:pPr>
          </w:p>
        </w:tc>
        <w:tc>
          <w:tcPr>
            <w:tcW w:w="1170" w:type="dxa"/>
          </w:tcPr>
          <w:p w14:paraId="002C47E1" w14:textId="77777777" w:rsidR="001A4839" w:rsidRPr="004C7164" w:rsidRDefault="001A4839" w:rsidP="003E21FD">
            <w:pPr>
              <w:spacing w:after="0" w:line="240" w:lineRule="auto"/>
              <w:rPr>
                <w:rFonts w:cstheme="minorHAnsi"/>
                <w:sz w:val="24"/>
                <w:szCs w:val="24"/>
              </w:rPr>
            </w:pPr>
            <w:r w:rsidRPr="004C7164">
              <w:rPr>
                <w:rFonts w:cstheme="minorHAnsi"/>
                <w:sz w:val="24"/>
                <w:szCs w:val="24"/>
              </w:rPr>
              <w:t>1.862</w:t>
            </w:r>
          </w:p>
        </w:tc>
        <w:tc>
          <w:tcPr>
            <w:tcW w:w="1126" w:type="dxa"/>
          </w:tcPr>
          <w:p w14:paraId="3DCE3949"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0.068</w:t>
            </w:r>
          </w:p>
        </w:tc>
      </w:tr>
      <w:tr w:rsidR="004C7164" w:rsidRPr="004C7164" w14:paraId="7081C0B8" w14:textId="77777777" w:rsidTr="00DE3D61">
        <w:trPr>
          <w:trHeight w:val="508"/>
        </w:trPr>
        <w:tc>
          <w:tcPr>
            <w:tcW w:w="2718" w:type="dxa"/>
          </w:tcPr>
          <w:p w14:paraId="4A13BCF6" w14:textId="77777777" w:rsidR="001A4839" w:rsidRPr="004C7164" w:rsidRDefault="001A4839" w:rsidP="003E21FD">
            <w:pPr>
              <w:spacing w:after="0" w:line="240" w:lineRule="auto"/>
              <w:rPr>
                <w:rFonts w:cstheme="minorHAnsi"/>
                <w:b/>
                <w:sz w:val="24"/>
                <w:szCs w:val="24"/>
              </w:rPr>
            </w:pPr>
            <w:r w:rsidRPr="004C7164">
              <w:rPr>
                <w:rFonts w:cstheme="minorHAnsi"/>
                <w:b/>
                <w:sz w:val="24"/>
                <w:szCs w:val="24"/>
              </w:rPr>
              <w:t>Interleukin 6</w:t>
            </w:r>
          </w:p>
          <w:p w14:paraId="72450228" w14:textId="77777777" w:rsidR="001A4839" w:rsidRPr="004C7164" w:rsidRDefault="001A4839" w:rsidP="003E21FD">
            <w:pPr>
              <w:spacing w:after="0" w:line="240" w:lineRule="auto"/>
              <w:rPr>
                <w:rFonts w:cstheme="minorHAnsi"/>
                <w:sz w:val="24"/>
                <w:szCs w:val="24"/>
              </w:rPr>
            </w:pPr>
          </w:p>
        </w:tc>
        <w:tc>
          <w:tcPr>
            <w:tcW w:w="2520" w:type="dxa"/>
          </w:tcPr>
          <w:p w14:paraId="5C709BBC"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19.62±5.88</w:t>
            </w:r>
          </w:p>
          <w:p w14:paraId="67136804" w14:textId="77777777" w:rsidR="001A4839" w:rsidRPr="004C7164" w:rsidRDefault="001A4839" w:rsidP="003E21FD">
            <w:pPr>
              <w:spacing w:after="0" w:line="240" w:lineRule="auto"/>
              <w:jc w:val="center"/>
              <w:rPr>
                <w:rFonts w:cstheme="minorHAnsi"/>
                <w:sz w:val="24"/>
                <w:szCs w:val="24"/>
              </w:rPr>
            </w:pPr>
          </w:p>
        </w:tc>
        <w:tc>
          <w:tcPr>
            <w:tcW w:w="2070" w:type="dxa"/>
          </w:tcPr>
          <w:p w14:paraId="6E8A50CB"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15.58±5.46</w:t>
            </w:r>
          </w:p>
          <w:p w14:paraId="4B4A78CD" w14:textId="77777777" w:rsidR="001A4839" w:rsidRPr="004C7164" w:rsidRDefault="001A4839" w:rsidP="003E21FD">
            <w:pPr>
              <w:spacing w:after="0" w:line="240" w:lineRule="auto"/>
              <w:jc w:val="center"/>
              <w:rPr>
                <w:rFonts w:cstheme="minorHAnsi"/>
                <w:sz w:val="24"/>
                <w:szCs w:val="24"/>
              </w:rPr>
            </w:pPr>
          </w:p>
        </w:tc>
        <w:tc>
          <w:tcPr>
            <w:tcW w:w="1170" w:type="dxa"/>
          </w:tcPr>
          <w:p w14:paraId="03093076"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4.280</w:t>
            </w:r>
          </w:p>
        </w:tc>
        <w:tc>
          <w:tcPr>
            <w:tcW w:w="1126" w:type="dxa"/>
          </w:tcPr>
          <w:p w14:paraId="1294C622"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0.001</w:t>
            </w:r>
          </w:p>
        </w:tc>
      </w:tr>
      <w:tr w:rsidR="004C7164" w:rsidRPr="004C7164" w14:paraId="1EF54E32" w14:textId="77777777" w:rsidTr="00DE3D61">
        <w:trPr>
          <w:trHeight w:val="508"/>
        </w:trPr>
        <w:tc>
          <w:tcPr>
            <w:tcW w:w="2718" w:type="dxa"/>
          </w:tcPr>
          <w:p w14:paraId="3CCB56CB" w14:textId="77777777" w:rsidR="001A4839" w:rsidRPr="004C7164" w:rsidRDefault="001A4839" w:rsidP="003E21FD">
            <w:pPr>
              <w:spacing w:after="0" w:line="240" w:lineRule="auto"/>
              <w:rPr>
                <w:rFonts w:cstheme="minorHAnsi"/>
                <w:b/>
                <w:sz w:val="24"/>
                <w:szCs w:val="24"/>
              </w:rPr>
            </w:pPr>
            <w:r w:rsidRPr="004C7164">
              <w:rPr>
                <w:rFonts w:cstheme="minorHAnsi"/>
                <w:b/>
                <w:sz w:val="24"/>
                <w:szCs w:val="24"/>
              </w:rPr>
              <w:t>CRP</w:t>
            </w:r>
          </w:p>
          <w:p w14:paraId="5FCD7EA3" w14:textId="77777777" w:rsidR="001A4839" w:rsidRPr="004C7164" w:rsidRDefault="001A4839" w:rsidP="003E21FD">
            <w:pPr>
              <w:spacing w:after="0" w:line="240" w:lineRule="auto"/>
              <w:rPr>
                <w:rFonts w:cstheme="minorHAnsi"/>
                <w:b/>
                <w:sz w:val="24"/>
                <w:szCs w:val="24"/>
              </w:rPr>
            </w:pPr>
          </w:p>
        </w:tc>
        <w:tc>
          <w:tcPr>
            <w:tcW w:w="2520" w:type="dxa"/>
          </w:tcPr>
          <w:p w14:paraId="69802BB3"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6.56±1.62</w:t>
            </w:r>
          </w:p>
          <w:p w14:paraId="75194EDC" w14:textId="77777777" w:rsidR="001A4839" w:rsidRPr="004C7164" w:rsidRDefault="001A4839" w:rsidP="003E21FD">
            <w:pPr>
              <w:spacing w:after="0" w:line="240" w:lineRule="auto"/>
              <w:jc w:val="center"/>
              <w:rPr>
                <w:rFonts w:cstheme="minorHAnsi"/>
                <w:sz w:val="24"/>
                <w:szCs w:val="24"/>
              </w:rPr>
            </w:pPr>
          </w:p>
        </w:tc>
        <w:tc>
          <w:tcPr>
            <w:tcW w:w="2070" w:type="dxa"/>
          </w:tcPr>
          <w:p w14:paraId="66F35025"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3.66±0.78</w:t>
            </w:r>
          </w:p>
          <w:p w14:paraId="1F568FF5" w14:textId="77777777" w:rsidR="001A4839" w:rsidRPr="004C7164" w:rsidRDefault="001A4839" w:rsidP="003E21FD">
            <w:pPr>
              <w:spacing w:after="0" w:line="240" w:lineRule="auto"/>
              <w:jc w:val="center"/>
              <w:rPr>
                <w:rFonts w:cstheme="minorHAnsi"/>
                <w:sz w:val="24"/>
                <w:szCs w:val="24"/>
              </w:rPr>
            </w:pPr>
          </w:p>
        </w:tc>
        <w:tc>
          <w:tcPr>
            <w:tcW w:w="1170" w:type="dxa"/>
          </w:tcPr>
          <w:p w14:paraId="56DD6EC9"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12.496</w:t>
            </w:r>
          </w:p>
        </w:tc>
        <w:tc>
          <w:tcPr>
            <w:tcW w:w="1126" w:type="dxa"/>
          </w:tcPr>
          <w:p w14:paraId="07F00B7C" w14:textId="77777777" w:rsidR="001A4839" w:rsidRPr="004C7164" w:rsidRDefault="001A4839" w:rsidP="003E21FD">
            <w:pPr>
              <w:spacing w:after="0" w:line="240" w:lineRule="auto"/>
              <w:jc w:val="center"/>
              <w:rPr>
                <w:rFonts w:cstheme="minorHAnsi"/>
                <w:sz w:val="24"/>
                <w:szCs w:val="24"/>
              </w:rPr>
            </w:pPr>
            <w:r w:rsidRPr="004C7164">
              <w:rPr>
                <w:rFonts w:cstheme="minorHAnsi"/>
                <w:sz w:val="24"/>
                <w:szCs w:val="24"/>
              </w:rPr>
              <w:t>0.001</w:t>
            </w:r>
          </w:p>
        </w:tc>
      </w:tr>
    </w:tbl>
    <w:p w14:paraId="43C585D7" w14:textId="77777777" w:rsidR="001A4839" w:rsidRPr="004C7164" w:rsidRDefault="001A4839" w:rsidP="001A4839">
      <w:pPr>
        <w:pStyle w:val="NormalWeb"/>
        <w:rPr>
          <w:rFonts w:asciiTheme="minorHAnsi" w:hAnsiTheme="minorHAnsi" w:cstheme="minorHAnsi"/>
        </w:rPr>
      </w:pPr>
      <w:r w:rsidRPr="004C7164">
        <w:rPr>
          <w:rStyle w:val="Emphasis"/>
          <w:rFonts w:asciiTheme="minorHAnsi" w:eastAsiaTheme="majorEastAsia" w:hAnsiTheme="minorHAnsi" w:cstheme="minorHAnsi"/>
        </w:rPr>
        <w:t>Note: SBP: systolic blood pressure; DBP: diastolic blood pressure; BMI: body mass index; TC: total cholesterol; TG: triglycerides; HDL: high-density lipoprotein; LDL: low-density lipoprotein; VLDL: very low-density lipoprotein: C-Reactive Protein</w:t>
      </w:r>
    </w:p>
    <w:p w14:paraId="0BAC735B" w14:textId="77777777" w:rsidR="001A4839" w:rsidRPr="004C7164" w:rsidRDefault="001A4839" w:rsidP="001A4839">
      <w:pPr>
        <w:pStyle w:val="Heading2"/>
        <w:spacing w:line="360" w:lineRule="auto"/>
        <w:jc w:val="both"/>
        <w:rPr>
          <w:rFonts w:asciiTheme="minorHAnsi" w:hAnsiTheme="minorHAnsi" w:cstheme="minorHAnsi"/>
          <w:color w:val="auto"/>
          <w:sz w:val="24"/>
          <w:szCs w:val="24"/>
        </w:rPr>
      </w:pPr>
    </w:p>
    <w:p w14:paraId="71D23343" w14:textId="77777777" w:rsidR="001A4839" w:rsidRPr="004C7164" w:rsidRDefault="001A4839" w:rsidP="001A4839">
      <w:pPr>
        <w:pStyle w:val="Heading2"/>
        <w:spacing w:line="360" w:lineRule="auto"/>
        <w:jc w:val="both"/>
        <w:rPr>
          <w:rFonts w:asciiTheme="minorHAnsi" w:hAnsiTheme="minorHAnsi" w:cstheme="minorHAnsi"/>
          <w:color w:val="auto"/>
          <w:sz w:val="24"/>
          <w:szCs w:val="24"/>
        </w:rPr>
      </w:pPr>
    </w:p>
    <w:p w14:paraId="28057CF0" w14:textId="77777777" w:rsidR="001A4839" w:rsidRPr="004C7164" w:rsidRDefault="001A4839" w:rsidP="001A4839">
      <w:pPr>
        <w:pStyle w:val="Heading2"/>
        <w:spacing w:line="360" w:lineRule="auto"/>
        <w:jc w:val="both"/>
        <w:rPr>
          <w:rFonts w:asciiTheme="minorHAnsi" w:hAnsiTheme="minorHAnsi" w:cstheme="minorHAnsi"/>
          <w:color w:val="auto"/>
          <w:sz w:val="24"/>
          <w:szCs w:val="24"/>
        </w:rPr>
      </w:pPr>
    </w:p>
    <w:p w14:paraId="669483B4" w14:textId="77777777" w:rsidR="001A4839" w:rsidRPr="004C7164" w:rsidRDefault="001A4839" w:rsidP="001A4839">
      <w:pPr>
        <w:pStyle w:val="Heading2"/>
        <w:spacing w:line="360" w:lineRule="auto"/>
        <w:jc w:val="both"/>
        <w:rPr>
          <w:rFonts w:asciiTheme="minorHAnsi" w:hAnsiTheme="minorHAnsi" w:cstheme="minorHAnsi"/>
          <w:color w:val="auto"/>
          <w:sz w:val="24"/>
          <w:szCs w:val="24"/>
        </w:rPr>
      </w:pPr>
    </w:p>
    <w:p w14:paraId="03408348" w14:textId="77777777" w:rsidR="004009FE" w:rsidRPr="004C7164" w:rsidRDefault="004009FE" w:rsidP="004009FE"/>
    <w:p w14:paraId="5CF907D1" w14:textId="77777777" w:rsidR="004009FE" w:rsidRPr="004C7164" w:rsidRDefault="004009FE" w:rsidP="004009FE"/>
    <w:p w14:paraId="6A8D7372" w14:textId="76070F55" w:rsidR="001A4839" w:rsidRPr="004C7164" w:rsidRDefault="001A4839" w:rsidP="001A4839">
      <w:pPr>
        <w:pStyle w:val="Heading2"/>
        <w:spacing w:line="360" w:lineRule="auto"/>
        <w:jc w:val="both"/>
        <w:rPr>
          <w:rFonts w:asciiTheme="minorHAnsi" w:hAnsiTheme="minorHAnsi" w:cstheme="minorHAnsi"/>
          <w:color w:val="auto"/>
          <w:sz w:val="24"/>
          <w:szCs w:val="24"/>
        </w:rPr>
      </w:pPr>
      <w:r w:rsidRPr="004C7164">
        <w:rPr>
          <w:rFonts w:asciiTheme="minorHAnsi" w:hAnsiTheme="minorHAnsi" w:cstheme="minorHAnsi"/>
          <w:color w:val="auto"/>
          <w:sz w:val="24"/>
          <w:szCs w:val="24"/>
        </w:rPr>
        <w:lastRenderedPageBreak/>
        <w:t>Table 2: Pearson Correlation of markers of metabolic syndrome and inflammation</w:t>
      </w:r>
      <w:r w:rsidR="00001D13" w:rsidRPr="004C7164">
        <w:rPr>
          <w:rFonts w:asciiTheme="minorHAnsi" w:hAnsiTheme="minorHAnsi" w:cstheme="minorHAnsi"/>
          <w:color w:val="auto"/>
          <w:sz w:val="24"/>
          <w:szCs w:val="24"/>
        </w:rPr>
        <w:t xml:space="preserve"> of Naval Personnel on treatment</w:t>
      </w:r>
    </w:p>
    <w:tbl>
      <w:tblPr>
        <w:tblStyle w:val="TableGrid"/>
        <w:tblW w:w="10260" w:type="dxa"/>
        <w:tblInd w:w="-252" w:type="dxa"/>
        <w:tblLook w:val="04A0" w:firstRow="1" w:lastRow="0" w:firstColumn="1" w:lastColumn="0" w:noHBand="0" w:noVBand="1"/>
      </w:tblPr>
      <w:tblGrid>
        <w:gridCol w:w="655"/>
        <w:gridCol w:w="910"/>
        <w:gridCol w:w="896"/>
        <w:gridCol w:w="896"/>
        <w:gridCol w:w="896"/>
        <w:gridCol w:w="872"/>
        <w:gridCol w:w="872"/>
        <w:gridCol w:w="872"/>
        <w:gridCol w:w="872"/>
        <w:gridCol w:w="865"/>
        <w:gridCol w:w="789"/>
        <w:gridCol w:w="865"/>
      </w:tblGrid>
      <w:tr w:rsidR="004C7164" w:rsidRPr="004C7164" w14:paraId="10DA7474" w14:textId="77777777" w:rsidTr="00DE3D61">
        <w:tc>
          <w:tcPr>
            <w:tcW w:w="662" w:type="dxa"/>
            <w:tcBorders>
              <w:top w:val="single" w:sz="4" w:space="0" w:color="auto"/>
              <w:left w:val="single" w:sz="4" w:space="0" w:color="auto"/>
              <w:bottom w:val="single" w:sz="4" w:space="0" w:color="auto"/>
              <w:right w:val="single" w:sz="4" w:space="0" w:color="auto"/>
            </w:tcBorders>
          </w:tcPr>
          <w:p w14:paraId="4F92BB33" w14:textId="77777777" w:rsidR="001A4839" w:rsidRPr="004C7164" w:rsidRDefault="001A4839" w:rsidP="00A4189B">
            <w:pPr>
              <w:spacing w:after="0" w:line="240" w:lineRule="auto"/>
              <w:rPr>
                <w:rFonts w:cstheme="minorHAnsi"/>
                <w:sz w:val="20"/>
                <w:szCs w:val="20"/>
              </w:rPr>
            </w:pPr>
          </w:p>
        </w:tc>
        <w:tc>
          <w:tcPr>
            <w:tcW w:w="958" w:type="dxa"/>
            <w:tcBorders>
              <w:top w:val="single" w:sz="4" w:space="0" w:color="auto"/>
              <w:left w:val="single" w:sz="4" w:space="0" w:color="auto"/>
              <w:bottom w:val="single" w:sz="4" w:space="0" w:color="auto"/>
              <w:right w:val="single" w:sz="4" w:space="0" w:color="auto"/>
            </w:tcBorders>
          </w:tcPr>
          <w:p w14:paraId="4B2464C0" w14:textId="77777777" w:rsidR="001A4839" w:rsidRPr="004C7164" w:rsidRDefault="001A4839" w:rsidP="00A4189B">
            <w:pPr>
              <w:spacing w:after="0" w:line="240" w:lineRule="auto"/>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4E39EFB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SBP</w:t>
            </w:r>
          </w:p>
        </w:tc>
        <w:tc>
          <w:tcPr>
            <w:tcW w:w="900" w:type="dxa"/>
            <w:tcBorders>
              <w:top w:val="single" w:sz="4" w:space="0" w:color="auto"/>
              <w:left w:val="single" w:sz="4" w:space="0" w:color="auto"/>
              <w:bottom w:val="single" w:sz="4" w:space="0" w:color="auto"/>
              <w:right w:val="single" w:sz="4" w:space="0" w:color="auto"/>
            </w:tcBorders>
            <w:hideMark/>
          </w:tcPr>
          <w:p w14:paraId="1FAD404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DBP</w:t>
            </w:r>
          </w:p>
        </w:tc>
        <w:tc>
          <w:tcPr>
            <w:tcW w:w="900" w:type="dxa"/>
            <w:tcBorders>
              <w:top w:val="single" w:sz="4" w:space="0" w:color="auto"/>
              <w:left w:val="single" w:sz="4" w:space="0" w:color="auto"/>
              <w:bottom w:val="single" w:sz="4" w:space="0" w:color="auto"/>
              <w:right w:val="single" w:sz="4" w:space="0" w:color="auto"/>
            </w:tcBorders>
            <w:hideMark/>
          </w:tcPr>
          <w:p w14:paraId="5486C71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BMI</w:t>
            </w:r>
          </w:p>
        </w:tc>
        <w:tc>
          <w:tcPr>
            <w:tcW w:w="810" w:type="dxa"/>
            <w:tcBorders>
              <w:top w:val="single" w:sz="4" w:space="0" w:color="auto"/>
              <w:left w:val="single" w:sz="4" w:space="0" w:color="auto"/>
              <w:bottom w:val="single" w:sz="4" w:space="0" w:color="auto"/>
              <w:right w:val="single" w:sz="4" w:space="0" w:color="auto"/>
            </w:tcBorders>
            <w:hideMark/>
          </w:tcPr>
          <w:p w14:paraId="5191AB0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TC</w:t>
            </w:r>
          </w:p>
        </w:tc>
        <w:tc>
          <w:tcPr>
            <w:tcW w:w="857" w:type="dxa"/>
            <w:tcBorders>
              <w:top w:val="single" w:sz="4" w:space="0" w:color="auto"/>
              <w:left w:val="single" w:sz="4" w:space="0" w:color="auto"/>
              <w:bottom w:val="single" w:sz="4" w:space="0" w:color="auto"/>
              <w:right w:val="single" w:sz="4" w:space="0" w:color="auto"/>
            </w:tcBorders>
            <w:hideMark/>
          </w:tcPr>
          <w:p w14:paraId="5C5A2EC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TG</w:t>
            </w:r>
          </w:p>
        </w:tc>
        <w:tc>
          <w:tcPr>
            <w:tcW w:w="853" w:type="dxa"/>
            <w:tcBorders>
              <w:top w:val="single" w:sz="4" w:space="0" w:color="auto"/>
              <w:left w:val="single" w:sz="4" w:space="0" w:color="auto"/>
              <w:bottom w:val="single" w:sz="4" w:space="0" w:color="auto"/>
              <w:right w:val="single" w:sz="4" w:space="0" w:color="auto"/>
            </w:tcBorders>
            <w:hideMark/>
          </w:tcPr>
          <w:p w14:paraId="0AC1C4A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HDL</w:t>
            </w:r>
          </w:p>
        </w:tc>
        <w:tc>
          <w:tcPr>
            <w:tcW w:w="810" w:type="dxa"/>
            <w:tcBorders>
              <w:top w:val="single" w:sz="4" w:space="0" w:color="auto"/>
              <w:left w:val="single" w:sz="4" w:space="0" w:color="auto"/>
              <w:bottom w:val="single" w:sz="4" w:space="0" w:color="auto"/>
              <w:right w:val="single" w:sz="4" w:space="0" w:color="auto"/>
            </w:tcBorders>
            <w:hideMark/>
          </w:tcPr>
          <w:p w14:paraId="46A279F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LDL</w:t>
            </w:r>
          </w:p>
        </w:tc>
        <w:tc>
          <w:tcPr>
            <w:tcW w:w="900" w:type="dxa"/>
            <w:tcBorders>
              <w:top w:val="single" w:sz="4" w:space="0" w:color="auto"/>
              <w:left w:val="single" w:sz="4" w:space="0" w:color="auto"/>
              <w:bottom w:val="single" w:sz="4" w:space="0" w:color="auto"/>
              <w:right w:val="single" w:sz="4" w:space="0" w:color="auto"/>
            </w:tcBorders>
            <w:hideMark/>
          </w:tcPr>
          <w:p w14:paraId="622DA1C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VLDL</w:t>
            </w:r>
          </w:p>
        </w:tc>
        <w:tc>
          <w:tcPr>
            <w:tcW w:w="810" w:type="dxa"/>
            <w:tcBorders>
              <w:top w:val="single" w:sz="4" w:space="0" w:color="auto"/>
              <w:left w:val="single" w:sz="4" w:space="0" w:color="auto"/>
              <w:bottom w:val="single" w:sz="4" w:space="0" w:color="auto"/>
              <w:right w:val="single" w:sz="4" w:space="0" w:color="auto"/>
            </w:tcBorders>
            <w:hideMark/>
          </w:tcPr>
          <w:p w14:paraId="0BA4B0E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IL-6</w:t>
            </w:r>
          </w:p>
        </w:tc>
        <w:tc>
          <w:tcPr>
            <w:tcW w:w="900" w:type="dxa"/>
            <w:tcBorders>
              <w:top w:val="single" w:sz="4" w:space="0" w:color="auto"/>
              <w:left w:val="single" w:sz="4" w:space="0" w:color="auto"/>
              <w:bottom w:val="single" w:sz="4" w:space="0" w:color="auto"/>
              <w:right w:val="single" w:sz="4" w:space="0" w:color="auto"/>
            </w:tcBorders>
            <w:hideMark/>
          </w:tcPr>
          <w:p w14:paraId="482364A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CRP</w:t>
            </w:r>
          </w:p>
        </w:tc>
      </w:tr>
      <w:tr w:rsidR="004C7164" w:rsidRPr="004C7164" w14:paraId="77C37A02" w14:textId="77777777" w:rsidTr="00DE3D61">
        <w:tc>
          <w:tcPr>
            <w:tcW w:w="662" w:type="dxa"/>
            <w:tcBorders>
              <w:top w:val="single" w:sz="4" w:space="0" w:color="auto"/>
              <w:left w:val="single" w:sz="4" w:space="0" w:color="auto"/>
              <w:bottom w:val="single" w:sz="4" w:space="0" w:color="auto"/>
              <w:right w:val="single" w:sz="4" w:space="0" w:color="auto"/>
            </w:tcBorders>
            <w:hideMark/>
          </w:tcPr>
          <w:p w14:paraId="27B248A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 xml:space="preserve">SBP          </w:t>
            </w:r>
          </w:p>
        </w:tc>
        <w:tc>
          <w:tcPr>
            <w:tcW w:w="958" w:type="dxa"/>
            <w:tcBorders>
              <w:top w:val="single" w:sz="4" w:space="0" w:color="auto"/>
              <w:left w:val="single" w:sz="4" w:space="0" w:color="auto"/>
              <w:bottom w:val="single" w:sz="4" w:space="0" w:color="auto"/>
              <w:right w:val="single" w:sz="4" w:space="0" w:color="auto"/>
            </w:tcBorders>
            <w:hideMark/>
          </w:tcPr>
          <w:p w14:paraId="7D9AFA13" w14:textId="77777777" w:rsidR="001A4839" w:rsidRPr="004C7164" w:rsidRDefault="001A4839" w:rsidP="00A4189B">
            <w:pPr>
              <w:spacing w:after="0" w:line="240" w:lineRule="auto"/>
              <w:rPr>
                <w:rFonts w:cstheme="minorHAnsi"/>
                <w:sz w:val="20"/>
                <w:szCs w:val="20"/>
              </w:rPr>
            </w:pPr>
            <w:proofErr w:type="spellStart"/>
            <w:r w:rsidRPr="004C7164">
              <w:rPr>
                <w:rFonts w:cstheme="minorHAnsi"/>
                <w:sz w:val="20"/>
                <w:szCs w:val="20"/>
              </w:rPr>
              <w:t>r-value</w:t>
            </w:r>
            <w:proofErr w:type="spellEnd"/>
            <w:r w:rsidRPr="004C7164">
              <w:rPr>
                <w:rFonts w:cstheme="minorHAnsi"/>
                <w:sz w:val="20"/>
                <w:szCs w:val="20"/>
              </w:rPr>
              <w:t xml:space="preserve"> p-value</w:t>
            </w:r>
          </w:p>
          <w:p w14:paraId="3D7893F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tcPr>
          <w:p w14:paraId="55D0C49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1</w:t>
            </w:r>
          </w:p>
          <w:p w14:paraId="4512C399" w14:textId="77777777" w:rsidR="001A4839" w:rsidRPr="004C7164" w:rsidRDefault="001A4839" w:rsidP="00A4189B">
            <w:pPr>
              <w:spacing w:after="0" w:line="240" w:lineRule="auto"/>
              <w:rPr>
                <w:rFonts w:cstheme="minorHAnsi"/>
                <w:sz w:val="20"/>
                <w:szCs w:val="20"/>
              </w:rPr>
            </w:pPr>
          </w:p>
          <w:p w14:paraId="7BE6B04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C04882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0.806**</w:t>
            </w:r>
          </w:p>
          <w:p w14:paraId="34E71DA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0.000</w:t>
            </w:r>
          </w:p>
          <w:p w14:paraId="216943F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E6152B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0.491**</w:t>
            </w:r>
          </w:p>
          <w:p w14:paraId="56AE22B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0.000</w:t>
            </w:r>
          </w:p>
          <w:p w14:paraId="7176E58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795143F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0.231</w:t>
            </w:r>
          </w:p>
          <w:p w14:paraId="3DA92A6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0.076</w:t>
            </w:r>
          </w:p>
          <w:p w14:paraId="1DCBA86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29073C4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0.201</w:t>
            </w:r>
          </w:p>
          <w:p w14:paraId="159F20C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0.124</w:t>
            </w:r>
          </w:p>
          <w:p w14:paraId="14B8DDE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1326244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0.139</w:t>
            </w:r>
          </w:p>
          <w:p w14:paraId="3949F86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0.291</w:t>
            </w:r>
          </w:p>
          <w:p w14:paraId="65CB6DF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48479CA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0.104</w:t>
            </w:r>
          </w:p>
          <w:p w14:paraId="7E51F51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0.429</w:t>
            </w:r>
          </w:p>
          <w:p w14:paraId="2934F45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6F8F487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-0.060</w:t>
            </w:r>
          </w:p>
          <w:p w14:paraId="66DBA4F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0.650</w:t>
            </w:r>
          </w:p>
          <w:p w14:paraId="135395E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08A9BAE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0.202</w:t>
            </w:r>
          </w:p>
          <w:p w14:paraId="7273BB1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0.122</w:t>
            </w:r>
          </w:p>
          <w:p w14:paraId="5CDCF0F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23141F0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-0.106</w:t>
            </w:r>
          </w:p>
          <w:p w14:paraId="55F6077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0.421</w:t>
            </w:r>
          </w:p>
          <w:p w14:paraId="5A89FAA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p w14:paraId="7A6109D7" w14:textId="77777777" w:rsidR="001A4839" w:rsidRPr="004C7164" w:rsidRDefault="001A4839" w:rsidP="00A4189B">
            <w:pPr>
              <w:spacing w:after="0" w:line="240" w:lineRule="auto"/>
              <w:rPr>
                <w:rFonts w:cstheme="minorHAnsi"/>
                <w:sz w:val="20"/>
                <w:szCs w:val="20"/>
              </w:rPr>
            </w:pPr>
          </w:p>
        </w:tc>
      </w:tr>
      <w:tr w:rsidR="004C7164" w:rsidRPr="004C7164" w14:paraId="4F5D6FF0" w14:textId="77777777" w:rsidTr="00DE3D61">
        <w:tc>
          <w:tcPr>
            <w:tcW w:w="662" w:type="dxa"/>
            <w:tcBorders>
              <w:top w:val="single" w:sz="4" w:space="0" w:color="auto"/>
              <w:left w:val="single" w:sz="4" w:space="0" w:color="auto"/>
              <w:bottom w:val="single" w:sz="4" w:space="0" w:color="auto"/>
              <w:right w:val="single" w:sz="4" w:space="0" w:color="auto"/>
            </w:tcBorders>
            <w:hideMark/>
          </w:tcPr>
          <w:p w14:paraId="212C972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 xml:space="preserve">DBP       </w:t>
            </w:r>
          </w:p>
          <w:p w14:paraId="46AEEFA8" w14:textId="77777777" w:rsidR="001A4839" w:rsidRPr="004C7164" w:rsidRDefault="001A4839" w:rsidP="00A4189B">
            <w:pPr>
              <w:spacing w:after="0" w:line="240" w:lineRule="auto"/>
              <w:rPr>
                <w:rFonts w:cstheme="minorHAnsi"/>
                <w:sz w:val="20"/>
                <w:szCs w:val="20"/>
              </w:rPr>
            </w:pPr>
          </w:p>
        </w:tc>
        <w:tc>
          <w:tcPr>
            <w:tcW w:w="958" w:type="dxa"/>
            <w:tcBorders>
              <w:top w:val="single" w:sz="4" w:space="0" w:color="auto"/>
              <w:left w:val="single" w:sz="4" w:space="0" w:color="auto"/>
              <w:bottom w:val="single" w:sz="4" w:space="0" w:color="auto"/>
              <w:right w:val="single" w:sz="4" w:space="0" w:color="auto"/>
            </w:tcBorders>
            <w:hideMark/>
          </w:tcPr>
          <w:p w14:paraId="402CE6FC" w14:textId="77777777" w:rsidR="001A4839" w:rsidRPr="004C7164" w:rsidRDefault="001A4839" w:rsidP="00A4189B">
            <w:pPr>
              <w:spacing w:after="0" w:line="240" w:lineRule="auto"/>
              <w:rPr>
                <w:rFonts w:cstheme="minorHAnsi"/>
                <w:sz w:val="20"/>
                <w:szCs w:val="20"/>
              </w:rPr>
            </w:pPr>
            <w:proofErr w:type="spellStart"/>
            <w:r w:rsidRPr="004C7164">
              <w:rPr>
                <w:rFonts w:cstheme="minorHAnsi"/>
                <w:sz w:val="20"/>
                <w:szCs w:val="20"/>
              </w:rPr>
              <w:t>r-value</w:t>
            </w:r>
            <w:proofErr w:type="spellEnd"/>
          </w:p>
          <w:p w14:paraId="15A61B0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p-value</w:t>
            </w:r>
          </w:p>
          <w:p w14:paraId="2068A2D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 xml:space="preserve">n         </w:t>
            </w:r>
          </w:p>
        </w:tc>
        <w:tc>
          <w:tcPr>
            <w:tcW w:w="900" w:type="dxa"/>
            <w:tcBorders>
              <w:top w:val="single" w:sz="4" w:space="0" w:color="auto"/>
              <w:left w:val="single" w:sz="4" w:space="0" w:color="auto"/>
              <w:bottom w:val="single" w:sz="4" w:space="0" w:color="auto"/>
              <w:right w:val="single" w:sz="4" w:space="0" w:color="auto"/>
            </w:tcBorders>
            <w:hideMark/>
          </w:tcPr>
          <w:p w14:paraId="693B887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0.806**</w:t>
            </w:r>
          </w:p>
          <w:p w14:paraId="2BEE205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0.000</w:t>
            </w:r>
          </w:p>
          <w:p w14:paraId="695B291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6943DA0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1</w:t>
            </w:r>
          </w:p>
          <w:p w14:paraId="6B11133D" w14:textId="77777777" w:rsidR="001A4839" w:rsidRPr="004C7164" w:rsidRDefault="001A4839" w:rsidP="00A4189B">
            <w:pPr>
              <w:spacing w:after="0" w:line="240" w:lineRule="auto"/>
              <w:rPr>
                <w:rFonts w:cstheme="minorHAnsi"/>
                <w:sz w:val="20"/>
                <w:szCs w:val="20"/>
              </w:rPr>
            </w:pPr>
          </w:p>
          <w:p w14:paraId="091C084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1376E5E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0.382**</w:t>
            </w:r>
          </w:p>
          <w:p w14:paraId="535EEC1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0.003</w:t>
            </w:r>
          </w:p>
          <w:p w14:paraId="7B9517E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21C222E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0.259</w:t>
            </w:r>
          </w:p>
          <w:p w14:paraId="2FC1BDA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0.046</w:t>
            </w:r>
          </w:p>
          <w:p w14:paraId="369673C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44E59D7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0.077</w:t>
            </w:r>
          </w:p>
          <w:p w14:paraId="37D7EE0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0.557</w:t>
            </w:r>
          </w:p>
          <w:p w14:paraId="71D4253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72A392A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0.109</w:t>
            </w:r>
          </w:p>
          <w:p w14:paraId="083EFAF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0.406</w:t>
            </w:r>
          </w:p>
          <w:p w14:paraId="732DF8B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45AC814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0.177</w:t>
            </w:r>
          </w:p>
          <w:p w14:paraId="05E7EB7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0.177</w:t>
            </w:r>
          </w:p>
          <w:p w14:paraId="2D400A7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0CDD7A5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-0.106</w:t>
            </w:r>
          </w:p>
          <w:p w14:paraId="27AAA3D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0.420</w:t>
            </w:r>
          </w:p>
          <w:p w14:paraId="585D035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0356FBD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0.174</w:t>
            </w:r>
          </w:p>
          <w:p w14:paraId="3B079CD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0.184</w:t>
            </w:r>
          </w:p>
          <w:p w14:paraId="2E1930D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1772585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-0.090</w:t>
            </w:r>
          </w:p>
          <w:p w14:paraId="18B3744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0.496</w:t>
            </w:r>
          </w:p>
          <w:p w14:paraId="3780482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r>
      <w:tr w:rsidR="004C7164" w:rsidRPr="004C7164" w14:paraId="07CAE993" w14:textId="77777777" w:rsidTr="00DE3D61">
        <w:tc>
          <w:tcPr>
            <w:tcW w:w="662" w:type="dxa"/>
            <w:tcBorders>
              <w:top w:val="single" w:sz="4" w:space="0" w:color="auto"/>
              <w:left w:val="single" w:sz="4" w:space="0" w:color="auto"/>
              <w:bottom w:val="single" w:sz="4" w:space="0" w:color="auto"/>
              <w:right w:val="single" w:sz="4" w:space="0" w:color="auto"/>
            </w:tcBorders>
            <w:hideMark/>
          </w:tcPr>
          <w:p w14:paraId="4E9C2D9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 xml:space="preserve">BMI        </w:t>
            </w:r>
          </w:p>
          <w:p w14:paraId="588EE1A9" w14:textId="77777777" w:rsidR="001A4839" w:rsidRPr="004C7164" w:rsidRDefault="001A4839" w:rsidP="00A4189B">
            <w:pPr>
              <w:spacing w:after="0" w:line="240" w:lineRule="auto"/>
              <w:rPr>
                <w:rFonts w:cstheme="minorHAnsi"/>
                <w:sz w:val="20"/>
                <w:szCs w:val="20"/>
              </w:rPr>
            </w:pPr>
          </w:p>
        </w:tc>
        <w:tc>
          <w:tcPr>
            <w:tcW w:w="958" w:type="dxa"/>
            <w:tcBorders>
              <w:top w:val="single" w:sz="4" w:space="0" w:color="auto"/>
              <w:left w:val="single" w:sz="4" w:space="0" w:color="auto"/>
              <w:bottom w:val="single" w:sz="4" w:space="0" w:color="auto"/>
              <w:right w:val="single" w:sz="4" w:space="0" w:color="auto"/>
            </w:tcBorders>
            <w:hideMark/>
          </w:tcPr>
          <w:p w14:paraId="7C73F35F" w14:textId="77777777" w:rsidR="001A4839" w:rsidRPr="004C7164" w:rsidRDefault="001A4839" w:rsidP="00A4189B">
            <w:pPr>
              <w:spacing w:after="0" w:line="240" w:lineRule="auto"/>
              <w:rPr>
                <w:rFonts w:cstheme="minorHAnsi"/>
                <w:sz w:val="20"/>
                <w:szCs w:val="20"/>
              </w:rPr>
            </w:pPr>
            <w:proofErr w:type="spellStart"/>
            <w:r w:rsidRPr="004C7164">
              <w:rPr>
                <w:rFonts w:cstheme="minorHAnsi"/>
                <w:sz w:val="20"/>
                <w:szCs w:val="20"/>
              </w:rPr>
              <w:t>r-value</w:t>
            </w:r>
            <w:proofErr w:type="spellEnd"/>
          </w:p>
          <w:p w14:paraId="074C81B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p-value</w:t>
            </w:r>
          </w:p>
          <w:p w14:paraId="1D1838A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14:paraId="4541E78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0.491**</w:t>
            </w:r>
          </w:p>
          <w:p w14:paraId="0C5B50B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0.000</w:t>
            </w:r>
          </w:p>
          <w:p w14:paraId="2633C12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2A853AF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0.382**</w:t>
            </w:r>
          </w:p>
          <w:p w14:paraId="543350F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0.003</w:t>
            </w:r>
          </w:p>
          <w:p w14:paraId="4FB5377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761EC5F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1</w:t>
            </w:r>
          </w:p>
          <w:p w14:paraId="159DBC33" w14:textId="77777777" w:rsidR="001A4839" w:rsidRPr="004C7164" w:rsidRDefault="001A4839" w:rsidP="00A4189B">
            <w:pPr>
              <w:spacing w:after="0" w:line="240" w:lineRule="auto"/>
              <w:rPr>
                <w:rFonts w:cstheme="minorHAnsi"/>
                <w:sz w:val="20"/>
                <w:szCs w:val="20"/>
              </w:rPr>
            </w:pPr>
          </w:p>
          <w:p w14:paraId="5F49A2C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26F78E1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0.063</w:t>
            </w:r>
          </w:p>
          <w:p w14:paraId="0213706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0.632</w:t>
            </w:r>
          </w:p>
          <w:p w14:paraId="3ECC346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3B02249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0.095</w:t>
            </w:r>
          </w:p>
          <w:p w14:paraId="5C436E6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0.470</w:t>
            </w:r>
          </w:p>
          <w:p w14:paraId="21F0522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1B8D1E2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0.078</w:t>
            </w:r>
          </w:p>
          <w:p w14:paraId="0FCA928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0.554</w:t>
            </w:r>
          </w:p>
          <w:p w14:paraId="69647FD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4F892E6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-0.041</w:t>
            </w:r>
          </w:p>
          <w:p w14:paraId="5CC6E4D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0.754</w:t>
            </w:r>
          </w:p>
          <w:p w14:paraId="5545CC6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71BF12A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0.100</w:t>
            </w:r>
          </w:p>
          <w:p w14:paraId="4A3CB52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0.448</w:t>
            </w:r>
          </w:p>
          <w:p w14:paraId="15FEF43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70EA867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-0.006</w:t>
            </w:r>
          </w:p>
          <w:p w14:paraId="70346EF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0.963</w:t>
            </w:r>
          </w:p>
          <w:p w14:paraId="2691284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29C3416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0.003</w:t>
            </w:r>
          </w:p>
          <w:p w14:paraId="42B1C25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0.983</w:t>
            </w:r>
          </w:p>
          <w:p w14:paraId="3878A7D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r>
      <w:tr w:rsidR="004C7164" w:rsidRPr="004C7164" w14:paraId="58E98E7E" w14:textId="77777777" w:rsidTr="00DE3D61">
        <w:tc>
          <w:tcPr>
            <w:tcW w:w="662" w:type="dxa"/>
            <w:tcBorders>
              <w:top w:val="single" w:sz="4" w:space="0" w:color="auto"/>
              <w:left w:val="single" w:sz="4" w:space="0" w:color="auto"/>
              <w:bottom w:val="single" w:sz="4" w:space="0" w:color="auto"/>
              <w:right w:val="single" w:sz="4" w:space="0" w:color="auto"/>
            </w:tcBorders>
            <w:hideMark/>
          </w:tcPr>
          <w:p w14:paraId="0E6F6E6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TC</w:t>
            </w:r>
          </w:p>
        </w:tc>
        <w:tc>
          <w:tcPr>
            <w:tcW w:w="958" w:type="dxa"/>
            <w:tcBorders>
              <w:top w:val="single" w:sz="4" w:space="0" w:color="auto"/>
              <w:left w:val="single" w:sz="4" w:space="0" w:color="auto"/>
              <w:bottom w:val="single" w:sz="4" w:space="0" w:color="auto"/>
              <w:right w:val="single" w:sz="4" w:space="0" w:color="auto"/>
            </w:tcBorders>
            <w:hideMark/>
          </w:tcPr>
          <w:p w14:paraId="63EBB352" w14:textId="77777777" w:rsidR="001A4839" w:rsidRPr="004C7164" w:rsidRDefault="001A4839" w:rsidP="00A4189B">
            <w:pPr>
              <w:spacing w:after="0" w:line="240" w:lineRule="auto"/>
              <w:rPr>
                <w:rFonts w:cstheme="minorHAnsi"/>
                <w:sz w:val="20"/>
                <w:szCs w:val="20"/>
              </w:rPr>
            </w:pPr>
            <w:proofErr w:type="spellStart"/>
            <w:r w:rsidRPr="004C7164">
              <w:rPr>
                <w:rFonts w:cstheme="minorHAnsi"/>
                <w:sz w:val="20"/>
                <w:szCs w:val="20"/>
              </w:rPr>
              <w:t>r-value</w:t>
            </w:r>
            <w:proofErr w:type="spellEnd"/>
          </w:p>
          <w:p w14:paraId="644B305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p-value</w:t>
            </w:r>
          </w:p>
          <w:p w14:paraId="3389AA5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14:paraId="435851F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0.231</w:t>
            </w:r>
          </w:p>
          <w:p w14:paraId="2E4DA82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0.076</w:t>
            </w:r>
          </w:p>
          <w:p w14:paraId="7438D32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430A84F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0.259*</w:t>
            </w:r>
          </w:p>
          <w:p w14:paraId="059B0DD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0.046</w:t>
            </w:r>
          </w:p>
          <w:p w14:paraId="286F718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662781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0.063</w:t>
            </w:r>
          </w:p>
          <w:p w14:paraId="1AA611D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0.632</w:t>
            </w:r>
          </w:p>
          <w:p w14:paraId="7006B51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tcPr>
          <w:p w14:paraId="4C5D898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1</w:t>
            </w:r>
          </w:p>
          <w:p w14:paraId="3B728C36" w14:textId="77777777" w:rsidR="001A4839" w:rsidRPr="004C7164" w:rsidRDefault="001A4839" w:rsidP="00A4189B">
            <w:pPr>
              <w:spacing w:after="0" w:line="240" w:lineRule="auto"/>
              <w:rPr>
                <w:rFonts w:cstheme="minorHAnsi"/>
                <w:sz w:val="20"/>
                <w:szCs w:val="20"/>
              </w:rPr>
            </w:pPr>
          </w:p>
          <w:p w14:paraId="3479D0F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4052ED1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0.128</w:t>
            </w:r>
          </w:p>
          <w:p w14:paraId="485EAF9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0.329</w:t>
            </w:r>
          </w:p>
          <w:p w14:paraId="7383606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1216A89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0.304*</w:t>
            </w:r>
          </w:p>
          <w:p w14:paraId="0A4D5F1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0.018</w:t>
            </w:r>
          </w:p>
          <w:p w14:paraId="55452FA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5A42B62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0.794**</w:t>
            </w:r>
          </w:p>
          <w:p w14:paraId="4C5383E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0.000</w:t>
            </w:r>
          </w:p>
          <w:p w14:paraId="3AF857E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64507BE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-0.054</w:t>
            </w:r>
          </w:p>
          <w:p w14:paraId="7EAF127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0.683</w:t>
            </w:r>
          </w:p>
          <w:p w14:paraId="1D64DB4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413D813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-0.027</w:t>
            </w:r>
          </w:p>
          <w:p w14:paraId="6F932B4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0.838</w:t>
            </w:r>
          </w:p>
          <w:p w14:paraId="7BF0AFF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B9A865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-0.170</w:t>
            </w:r>
          </w:p>
          <w:p w14:paraId="5220B70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0.195</w:t>
            </w:r>
          </w:p>
          <w:p w14:paraId="4C1B932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r>
      <w:tr w:rsidR="004C7164" w:rsidRPr="004C7164" w14:paraId="0E69E4E3" w14:textId="77777777" w:rsidTr="00DE3D61">
        <w:tc>
          <w:tcPr>
            <w:tcW w:w="662" w:type="dxa"/>
            <w:tcBorders>
              <w:top w:val="single" w:sz="4" w:space="0" w:color="auto"/>
              <w:left w:val="single" w:sz="4" w:space="0" w:color="auto"/>
              <w:bottom w:val="single" w:sz="4" w:space="0" w:color="auto"/>
              <w:right w:val="single" w:sz="4" w:space="0" w:color="auto"/>
            </w:tcBorders>
            <w:hideMark/>
          </w:tcPr>
          <w:p w14:paraId="130C689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TG</w:t>
            </w:r>
          </w:p>
        </w:tc>
        <w:tc>
          <w:tcPr>
            <w:tcW w:w="958" w:type="dxa"/>
            <w:tcBorders>
              <w:top w:val="single" w:sz="4" w:space="0" w:color="auto"/>
              <w:left w:val="single" w:sz="4" w:space="0" w:color="auto"/>
              <w:bottom w:val="single" w:sz="4" w:space="0" w:color="auto"/>
              <w:right w:val="single" w:sz="4" w:space="0" w:color="auto"/>
            </w:tcBorders>
            <w:hideMark/>
          </w:tcPr>
          <w:p w14:paraId="5E163E01" w14:textId="77777777" w:rsidR="001A4839" w:rsidRPr="004C7164" w:rsidRDefault="001A4839" w:rsidP="00A4189B">
            <w:pPr>
              <w:spacing w:after="0" w:line="240" w:lineRule="auto"/>
              <w:rPr>
                <w:rFonts w:cstheme="minorHAnsi"/>
                <w:sz w:val="20"/>
                <w:szCs w:val="20"/>
              </w:rPr>
            </w:pPr>
            <w:proofErr w:type="spellStart"/>
            <w:r w:rsidRPr="004C7164">
              <w:rPr>
                <w:rFonts w:cstheme="minorHAnsi"/>
                <w:sz w:val="20"/>
                <w:szCs w:val="20"/>
              </w:rPr>
              <w:t>r-value</w:t>
            </w:r>
            <w:proofErr w:type="spellEnd"/>
          </w:p>
          <w:p w14:paraId="1655869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p-value</w:t>
            </w:r>
          </w:p>
          <w:p w14:paraId="6A18A9E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 xml:space="preserve"> n</w:t>
            </w:r>
          </w:p>
        </w:tc>
        <w:tc>
          <w:tcPr>
            <w:tcW w:w="900" w:type="dxa"/>
            <w:tcBorders>
              <w:top w:val="single" w:sz="4" w:space="0" w:color="auto"/>
              <w:left w:val="single" w:sz="4" w:space="0" w:color="auto"/>
              <w:bottom w:val="single" w:sz="4" w:space="0" w:color="auto"/>
              <w:right w:val="single" w:sz="4" w:space="0" w:color="auto"/>
            </w:tcBorders>
            <w:hideMark/>
          </w:tcPr>
          <w:p w14:paraId="4F3B612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0.201</w:t>
            </w:r>
          </w:p>
          <w:p w14:paraId="340B0BA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0.124</w:t>
            </w:r>
          </w:p>
          <w:p w14:paraId="26C9FFF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2E6EB1A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0.077</w:t>
            </w:r>
          </w:p>
          <w:p w14:paraId="67A3241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0.557</w:t>
            </w:r>
          </w:p>
          <w:p w14:paraId="78AC9C4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10F4881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0.095</w:t>
            </w:r>
          </w:p>
          <w:p w14:paraId="1016BA7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0.470</w:t>
            </w:r>
          </w:p>
          <w:p w14:paraId="52FB6F3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12E5AB7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0.128</w:t>
            </w:r>
          </w:p>
          <w:p w14:paraId="0FEF564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0.329</w:t>
            </w:r>
          </w:p>
          <w:p w14:paraId="6BCD090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tcPr>
          <w:p w14:paraId="33DF3BD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1</w:t>
            </w:r>
          </w:p>
          <w:p w14:paraId="16075DE2" w14:textId="77777777" w:rsidR="001A4839" w:rsidRPr="004C7164" w:rsidRDefault="001A4839" w:rsidP="00A4189B">
            <w:pPr>
              <w:spacing w:after="0" w:line="240" w:lineRule="auto"/>
              <w:rPr>
                <w:rFonts w:cstheme="minorHAnsi"/>
                <w:sz w:val="20"/>
                <w:szCs w:val="20"/>
              </w:rPr>
            </w:pPr>
          </w:p>
          <w:p w14:paraId="33A9521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01BFE00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0.651**</w:t>
            </w:r>
          </w:p>
          <w:p w14:paraId="3903316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0.000</w:t>
            </w:r>
          </w:p>
          <w:p w14:paraId="4A8C399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0089D3D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-0.023</w:t>
            </w:r>
          </w:p>
          <w:p w14:paraId="42906FE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0.863</w:t>
            </w:r>
          </w:p>
          <w:p w14:paraId="3A214BA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2A612CF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-0.035</w:t>
            </w:r>
          </w:p>
          <w:p w14:paraId="6D063ED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0.789</w:t>
            </w:r>
          </w:p>
          <w:p w14:paraId="23A5B2C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26C8025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-0.060</w:t>
            </w:r>
          </w:p>
          <w:p w14:paraId="620F789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0.650</w:t>
            </w:r>
          </w:p>
          <w:p w14:paraId="0692D5D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4A21379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-0.064</w:t>
            </w:r>
          </w:p>
          <w:p w14:paraId="775DBFE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0.629</w:t>
            </w:r>
          </w:p>
          <w:p w14:paraId="6298791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r>
      <w:tr w:rsidR="004C7164" w:rsidRPr="004C7164" w14:paraId="1DC96CE5" w14:textId="77777777" w:rsidTr="00DE3D61">
        <w:tc>
          <w:tcPr>
            <w:tcW w:w="662" w:type="dxa"/>
            <w:tcBorders>
              <w:top w:val="single" w:sz="4" w:space="0" w:color="auto"/>
              <w:left w:val="single" w:sz="4" w:space="0" w:color="auto"/>
              <w:bottom w:val="single" w:sz="4" w:space="0" w:color="auto"/>
              <w:right w:val="single" w:sz="4" w:space="0" w:color="auto"/>
            </w:tcBorders>
            <w:hideMark/>
          </w:tcPr>
          <w:p w14:paraId="0F7E8C2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HDL</w:t>
            </w:r>
          </w:p>
        </w:tc>
        <w:tc>
          <w:tcPr>
            <w:tcW w:w="958" w:type="dxa"/>
            <w:tcBorders>
              <w:top w:val="single" w:sz="4" w:space="0" w:color="auto"/>
              <w:left w:val="single" w:sz="4" w:space="0" w:color="auto"/>
              <w:bottom w:val="single" w:sz="4" w:space="0" w:color="auto"/>
              <w:right w:val="single" w:sz="4" w:space="0" w:color="auto"/>
            </w:tcBorders>
            <w:hideMark/>
          </w:tcPr>
          <w:p w14:paraId="04D40DD7" w14:textId="77777777" w:rsidR="001A4839" w:rsidRPr="004C7164" w:rsidRDefault="001A4839" w:rsidP="00A4189B">
            <w:pPr>
              <w:spacing w:after="0" w:line="240" w:lineRule="auto"/>
              <w:rPr>
                <w:rFonts w:cstheme="minorHAnsi"/>
                <w:sz w:val="20"/>
                <w:szCs w:val="20"/>
              </w:rPr>
            </w:pPr>
            <w:proofErr w:type="spellStart"/>
            <w:r w:rsidRPr="004C7164">
              <w:rPr>
                <w:rFonts w:cstheme="minorHAnsi"/>
                <w:sz w:val="20"/>
                <w:szCs w:val="20"/>
              </w:rPr>
              <w:t>r-value</w:t>
            </w:r>
            <w:proofErr w:type="spellEnd"/>
            <w:r w:rsidRPr="004C7164">
              <w:rPr>
                <w:rFonts w:cstheme="minorHAnsi"/>
                <w:sz w:val="20"/>
                <w:szCs w:val="20"/>
              </w:rPr>
              <w:t xml:space="preserve"> p-value</w:t>
            </w:r>
          </w:p>
          <w:p w14:paraId="562397C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14:paraId="2E822FE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0.139</w:t>
            </w:r>
          </w:p>
          <w:p w14:paraId="53750B8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0.291</w:t>
            </w:r>
          </w:p>
          <w:p w14:paraId="4C4947D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3255C33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0.109</w:t>
            </w:r>
          </w:p>
          <w:p w14:paraId="1F300DF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0.406</w:t>
            </w:r>
          </w:p>
          <w:p w14:paraId="1193D06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6EAE26C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0.078</w:t>
            </w:r>
          </w:p>
          <w:p w14:paraId="2A127EB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0.554</w:t>
            </w:r>
          </w:p>
          <w:p w14:paraId="2293942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12A6C6E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0.304</w:t>
            </w:r>
          </w:p>
          <w:p w14:paraId="23294AA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0.018</w:t>
            </w:r>
          </w:p>
          <w:p w14:paraId="022103F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47A1EFC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0.651**</w:t>
            </w:r>
          </w:p>
          <w:p w14:paraId="2A785EF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0.000</w:t>
            </w:r>
          </w:p>
          <w:p w14:paraId="66E0FB8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tcPr>
          <w:p w14:paraId="601D7DC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1</w:t>
            </w:r>
          </w:p>
          <w:p w14:paraId="666EDCB5" w14:textId="77777777" w:rsidR="001A4839" w:rsidRPr="004C7164" w:rsidRDefault="001A4839" w:rsidP="00A4189B">
            <w:pPr>
              <w:spacing w:after="0" w:line="240" w:lineRule="auto"/>
              <w:rPr>
                <w:rFonts w:cstheme="minorHAnsi"/>
                <w:sz w:val="20"/>
                <w:szCs w:val="20"/>
              </w:rPr>
            </w:pPr>
          </w:p>
          <w:p w14:paraId="46160C6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56E6C6E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0.035</w:t>
            </w:r>
          </w:p>
          <w:p w14:paraId="6E694C9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0.792</w:t>
            </w:r>
          </w:p>
          <w:p w14:paraId="58ABC09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008B11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-0.061</w:t>
            </w:r>
          </w:p>
          <w:p w14:paraId="787E43F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0.645</w:t>
            </w:r>
          </w:p>
          <w:p w14:paraId="1F0397E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67E6718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0.065</w:t>
            </w:r>
          </w:p>
          <w:p w14:paraId="0E9DF2E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0.624</w:t>
            </w:r>
          </w:p>
          <w:p w14:paraId="5C7C5DD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2A29A7E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-0.228</w:t>
            </w:r>
          </w:p>
          <w:p w14:paraId="1B1A05E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0.080</w:t>
            </w:r>
          </w:p>
          <w:p w14:paraId="506069D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r>
      <w:tr w:rsidR="004C7164" w:rsidRPr="004C7164" w14:paraId="52E61BBB" w14:textId="77777777" w:rsidTr="00DE3D61">
        <w:tc>
          <w:tcPr>
            <w:tcW w:w="662" w:type="dxa"/>
            <w:tcBorders>
              <w:top w:val="single" w:sz="4" w:space="0" w:color="auto"/>
              <w:left w:val="single" w:sz="4" w:space="0" w:color="auto"/>
              <w:bottom w:val="single" w:sz="4" w:space="0" w:color="auto"/>
              <w:right w:val="single" w:sz="4" w:space="0" w:color="auto"/>
            </w:tcBorders>
            <w:hideMark/>
          </w:tcPr>
          <w:p w14:paraId="5363567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LDL</w:t>
            </w:r>
          </w:p>
        </w:tc>
        <w:tc>
          <w:tcPr>
            <w:tcW w:w="958" w:type="dxa"/>
            <w:tcBorders>
              <w:top w:val="single" w:sz="4" w:space="0" w:color="auto"/>
              <w:left w:val="single" w:sz="4" w:space="0" w:color="auto"/>
              <w:bottom w:val="single" w:sz="4" w:space="0" w:color="auto"/>
              <w:right w:val="single" w:sz="4" w:space="0" w:color="auto"/>
            </w:tcBorders>
            <w:hideMark/>
          </w:tcPr>
          <w:p w14:paraId="24F92C29" w14:textId="77777777" w:rsidR="001A4839" w:rsidRPr="004C7164" w:rsidRDefault="001A4839" w:rsidP="00A4189B">
            <w:pPr>
              <w:spacing w:after="0" w:line="240" w:lineRule="auto"/>
              <w:rPr>
                <w:rFonts w:cstheme="minorHAnsi"/>
                <w:sz w:val="20"/>
                <w:szCs w:val="20"/>
              </w:rPr>
            </w:pPr>
            <w:proofErr w:type="spellStart"/>
            <w:r w:rsidRPr="004C7164">
              <w:rPr>
                <w:rFonts w:cstheme="minorHAnsi"/>
                <w:sz w:val="20"/>
                <w:szCs w:val="20"/>
              </w:rPr>
              <w:t>r-value</w:t>
            </w:r>
            <w:proofErr w:type="spellEnd"/>
          </w:p>
          <w:p w14:paraId="061FF05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p-value</w:t>
            </w:r>
          </w:p>
          <w:p w14:paraId="125341F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 xml:space="preserve">n         </w:t>
            </w:r>
          </w:p>
        </w:tc>
        <w:tc>
          <w:tcPr>
            <w:tcW w:w="900" w:type="dxa"/>
            <w:tcBorders>
              <w:top w:val="single" w:sz="4" w:space="0" w:color="auto"/>
              <w:left w:val="single" w:sz="4" w:space="0" w:color="auto"/>
              <w:bottom w:val="single" w:sz="4" w:space="0" w:color="auto"/>
              <w:right w:val="single" w:sz="4" w:space="0" w:color="auto"/>
            </w:tcBorders>
            <w:hideMark/>
          </w:tcPr>
          <w:p w14:paraId="1F15B7A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0.104</w:t>
            </w:r>
          </w:p>
          <w:p w14:paraId="1F34751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0.429</w:t>
            </w:r>
          </w:p>
          <w:p w14:paraId="3A7CB5E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D5AD10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0.177</w:t>
            </w:r>
          </w:p>
          <w:p w14:paraId="0012EF2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0.177</w:t>
            </w:r>
          </w:p>
          <w:p w14:paraId="716CDE8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78A14EC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-0.041</w:t>
            </w:r>
          </w:p>
          <w:p w14:paraId="5F576A2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0.754</w:t>
            </w:r>
          </w:p>
          <w:p w14:paraId="37912A5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5713592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0.794**</w:t>
            </w:r>
          </w:p>
          <w:p w14:paraId="1C50E4F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0.000</w:t>
            </w:r>
          </w:p>
          <w:p w14:paraId="666BEA5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5509B79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-0.023</w:t>
            </w:r>
          </w:p>
          <w:p w14:paraId="70D4E73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0.863</w:t>
            </w:r>
          </w:p>
          <w:p w14:paraId="32B7B84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4D260AC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0.035</w:t>
            </w:r>
          </w:p>
          <w:p w14:paraId="477980D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0.792</w:t>
            </w:r>
          </w:p>
          <w:p w14:paraId="1B4F8EB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tcPr>
          <w:p w14:paraId="5622020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1</w:t>
            </w:r>
          </w:p>
          <w:p w14:paraId="71B5A02F" w14:textId="77777777" w:rsidR="001A4839" w:rsidRPr="004C7164" w:rsidRDefault="001A4839" w:rsidP="00A4189B">
            <w:pPr>
              <w:spacing w:after="0" w:line="240" w:lineRule="auto"/>
              <w:rPr>
                <w:rFonts w:cstheme="minorHAnsi"/>
                <w:sz w:val="20"/>
                <w:szCs w:val="20"/>
              </w:rPr>
            </w:pPr>
          </w:p>
          <w:p w14:paraId="5FCF27C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2934FA8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-0.074</w:t>
            </w:r>
          </w:p>
          <w:p w14:paraId="707C81C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0.575</w:t>
            </w:r>
          </w:p>
          <w:p w14:paraId="738AD27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2FB8AA6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-0.031</w:t>
            </w:r>
          </w:p>
          <w:p w14:paraId="5A6DC11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0.817</w:t>
            </w:r>
          </w:p>
          <w:p w14:paraId="3F94F4A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07B9DF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-0.019</w:t>
            </w:r>
          </w:p>
          <w:p w14:paraId="3166DB2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0.888</w:t>
            </w:r>
          </w:p>
          <w:p w14:paraId="51F22E4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r>
      <w:tr w:rsidR="004C7164" w:rsidRPr="004C7164" w14:paraId="624C82D3" w14:textId="77777777" w:rsidTr="00DE3D61">
        <w:tc>
          <w:tcPr>
            <w:tcW w:w="662" w:type="dxa"/>
            <w:tcBorders>
              <w:top w:val="single" w:sz="4" w:space="0" w:color="auto"/>
              <w:left w:val="single" w:sz="4" w:space="0" w:color="auto"/>
              <w:bottom w:val="single" w:sz="4" w:space="0" w:color="auto"/>
              <w:right w:val="single" w:sz="4" w:space="0" w:color="auto"/>
            </w:tcBorders>
            <w:hideMark/>
          </w:tcPr>
          <w:p w14:paraId="60C2A8C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VLDL</w:t>
            </w:r>
          </w:p>
        </w:tc>
        <w:tc>
          <w:tcPr>
            <w:tcW w:w="958" w:type="dxa"/>
            <w:tcBorders>
              <w:top w:val="single" w:sz="4" w:space="0" w:color="auto"/>
              <w:left w:val="single" w:sz="4" w:space="0" w:color="auto"/>
              <w:bottom w:val="single" w:sz="4" w:space="0" w:color="auto"/>
              <w:right w:val="single" w:sz="4" w:space="0" w:color="auto"/>
            </w:tcBorders>
            <w:hideMark/>
          </w:tcPr>
          <w:p w14:paraId="26D1BDF3" w14:textId="77777777" w:rsidR="001A4839" w:rsidRPr="004C7164" w:rsidRDefault="001A4839" w:rsidP="00A4189B">
            <w:pPr>
              <w:spacing w:after="0" w:line="240" w:lineRule="auto"/>
              <w:rPr>
                <w:rFonts w:cstheme="minorHAnsi"/>
                <w:sz w:val="20"/>
                <w:szCs w:val="20"/>
              </w:rPr>
            </w:pPr>
            <w:proofErr w:type="spellStart"/>
            <w:r w:rsidRPr="004C7164">
              <w:rPr>
                <w:rFonts w:cstheme="minorHAnsi"/>
                <w:sz w:val="20"/>
                <w:szCs w:val="20"/>
              </w:rPr>
              <w:t>r-value</w:t>
            </w:r>
            <w:proofErr w:type="spellEnd"/>
          </w:p>
          <w:p w14:paraId="5770DD1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p-value</w:t>
            </w:r>
          </w:p>
          <w:p w14:paraId="1FDE454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14:paraId="2D135AD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-0.060</w:t>
            </w:r>
          </w:p>
          <w:p w14:paraId="5A9041C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0.650</w:t>
            </w:r>
          </w:p>
          <w:p w14:paraId="6B38ED3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01F193C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-0.106</w:t>
            </w:r>
          </w:p>
          <w:p w14:paraId="2BBFEF1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0.420</w:t>
            </w:r>
          </w:p>
          <w:p w14:paraId="7D45555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67E7328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0.100</w:t>
            </w:r>
          </w:p>
          <w:p w14:paraId="2B8B76E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0.448</w:t>
            </w:r>
          </w:p>
          <w:p w14:paraId="205C9B4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1BBD270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-0.054</w:t>
            </w:r>
          </w:p>
          <w:p w14:paraId="428F925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0.683</w:t>
            </w:r>
          </w:p>
          <w:p w14:paraId="18EDAFB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717A6AA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-0.035</w:t>
            </w:r>
          </w:p>
          <w:p w14:paraId="005A4F7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0.789</w:t>
            </w:r>
          </w:p>
          <w:p w14:paraId="23A7C7D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76A9AE9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-0.061</w:t>
            </w:r>
          </w:p>
          <w:p w14:paraId="669B9CE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0.645</w:t>
            </w:r>
          </w:p>
          <w:p w14:paraId="7ADF908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6DB95F5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-0.074</w:t>
            </w:r>
          </w:p>
          <w:p w14:paraId="7B8C739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0.575</w:t>
            </w:r>
          </w:p>
          <w:p w14:paraId="563B249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35F8CD9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1</w:t>
            </w:r>
          </w:p>
          <w:p w14:paraId="24F3EDED" w14:textId="77777777" w:rsidR="001A4839" w:rsidRPr="004C7164" w:rsidRDefault="001A4839" w:rsidP="00A4189B">
            <w:pPr>
              <w:spacing w:after="0" w:line="240" w:lineRule="auto"/>
              <w:rPr>
                <w:rFonts w:cstheme="minorHAnsi"/>
                <w:sz w:val="20"/>
                <w:szCs w:val="20"/>
              </w:rPr>
            </w:pPr>
          </w:p>
          <w:p w14:paraId="3CFB6F4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14E9740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0.008</w:t>
            </w:r>
          </w:p>
          <w:p w14:paraId="5B15EE7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0.950</w:t>
            </w:r>
          </w:p>
          <w:p w14:paraId="736A199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486528F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0.028</w:t>
            </w:r>
          </w:p>
          <w:p w14:paraId="6BE2A8C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0.832</w:t>
            </w:r>
          </w:p>
          <w:p w14:paraId="7172F5C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r>
      <w:tr w:rsidR="004C7164" w:rsidRPr="004C7164" w14:paraId="46A0008E" w14:textId="77777777" w:rsidTr="00DE3D61">
        <w:tc>
          <w:tcPr>
            <w:tcW w:w="662" w:type="dxa"/>
            <w:tcBorders>
              <w:top w:val="single" w:sz="4" w:space="0" w:color="auto"/>
              <w:left w:val="single" w:sz="4" w:space="0" w:color="auto"/>
              <w:bottom w:val="single" w:sz="4" w:space="0" w:color="auto"/>
              <w:right w:val="single" w:sz="4" w:space="0" w:color="auto"/>
            </w:tcBorders>
            <w:hideMark/>
          </w:tcPr>
          <w:p w14:paraId="2C43D24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IL-6</w:t>
            </w:r>
          </w:p>
        </w:tc>
        <w:tc>
          <w:tcPr>
            <w:tcW w:w="958" w:type="dxa"/>
            <w:tcBorders>
              <w:top w:val="single" w:sz="4" w:space="0" w:color="auto"/>
              <w:left w:val="single" w:sz="4" w:space="0" w:color="auto"/>
              <w:bottom w:val="single" w:sz="4" w:space="0" w:color="auto"/>
              <w:right w:val="single" w:sz="4" w:space="0" w:color="auto"/>
            </w:tcBorders>
            <w:hideMark/>
          </w:tcPr>
          <w:p w14:paraId="40E6269D" w14:textId="77777777" w:rsidR="001A4839" w:rsidRPr="004C7164" w:rsidRDefault="001A4839" w:rsidP="00A4189B">
            <w:pPr>
              <w:spacing w:after="0" w:line="240" w:lineRule="auto"/>
              <w:rPr>
                <w:rFonts w:cstheme="minorHAnsi"/>
                <w:sz w:val="20"/>
                <w:szCs w:val="20"/>
              </w:rPr>
            </w:pPr>
            <w:proofErr w:type="spellStart"/>
            <w:r w:rsidRPr="004C7164">
              <w:rPr>
                <w:rFonts w:cstheme="minorHAnsi"/>
                <w:sz w:val="20"/>
                <w:szCs w:val="20"/>
              </w:rPr>
              <w:t>r-value</w:t>
            </w:r>
            <w:proofErr w:type="spellEnd"/>
          </w:p>
          <w:p w14:paraId="5864197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p-value</w:t>
            </w:r>
          </w:p>
          <w:p w14:paraId="1330FE0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14:paraId="598E6E0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0.202</w:t>
            </w:r>
          </w:p>
          <w:p w14:paraId="481F8BF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0.122</w:t>
            </w:r>
          </w:p>
          <w:p w14:paraId="7D4A180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1E891B2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0.174</w:t>
            </w:r>
          </w:p>
          <w:p w14:paraId="0CE2EFF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0.184</w:t>
            </w:r>
          </w:p>
          <w:p w14:paraId="791BF5C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40B0851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-0.006</w:t>
            </w:r>
          </w:p>
          <w:p w14:paraId="4EEFC82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0.963</w:t>
            </w:r>
          </w:p>
          <w:p w14:paraId="5FDE94D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79004AE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-0.027</w:t>
            </w:r>
          </w:p>
          <w:p w14:paraId="1B45669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0.838</w:t>
            </w:r>
          </w:p>
          <w:p w14:paraId="507E7CF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1F8CC0B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-0.060</w:t>
            </w:r>
          </w:p>
          <w:p w14:paraId="75CABE3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0.650</w:t>
            </w:r>
          </w:p>
          <w:p w14:paraId="7DEF4C1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60471CF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0.065</w:t>
            </w:r>
          </w:p>
          <w:p w14:paraId="232E3CD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0.624</w:t>
            </w:r>
          </w:p>
          <w:p w14:paraId="3FE1D90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564FCD3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-0.031</w:t>
            </w:r>
          </w:p>
          <w:p w14:paraId="4E80917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0.817</w:t>
            </w:r>
          </w:p>
          <w:p w14:paraId="355A78CC"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6AD904C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0.008</w:t>
            </w:r>
          </w:p>
          <w:p w14:paraId="2298F18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0.950</w:t>
            </w:r>
          </w:p>
          <w:p w14:paraId="60769A8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tcPr>
          <w:p w14:paraId="4113797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1</w:t>
            </w:r>
          </w:p>
          <w:p w14:paraId="2326F809" w14:textId="77777777" w:rsidR="001A4839" w:rsidRPr="004C7164" w:rsidRDefault="001A4839" w:rsidP="00A4189B">
            <w:pPr>
              <w:spacing w:after="0" w:line="240" w:lineRule="auto"/>
              <w:rPr>
                <w:rFonts w:cstheme="minorHAnsi"/>
                <w:sz w:val="20"/>
                <w:szCs w:val="20"/>
              </w:rPr>
            </w:pPr>
          </w:p>
          <w:p w14:paraId="29064125"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6FFDF40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-0.213</w:t>
            </w:r>
          </w:p>
          <w:p w14:paraId="7C882E6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0.103</w:t>
            </w:r>
          </w:p>
          <w:p w14:paraId="0F68E82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r>
      <w:tr w:rsidR="004C7164" w:rsidRPr="004C7164" w14:paraId="5B01597C" w14:textId="77777777" w:rsidTr="00DE3D61">
        <w:tc>
          <w:tcPr>
            <w:tcW w:w="662" w:type="dxa"/>
            <w:tcBorders>
              <w:top w:val="single" w:sz="4" w:space="0" w:color="auto"/>
              <w:left w:val="single" w:sz="4" w:space="0" w:color="auto"/>
              <w:bottom w:val="single" w:sz="4" w:space="0" w:color="auto"/>
              <w:right w:val="single" w:sz="4" w:space="0" w:color="auto"/>
            </w:tcBorders>
            <w:hideMark/>
          </w:tcPr>
          <w:p w14:paraId="03422B3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CRP</w:t>
            </w:r>
          </w:p>
        </w:tc>
        <w:tc>
          <w:tcPr>
            <w:tcW w:w="958" w:type="dxa"/>
            <w:tcBorders>
              <w:top w:val="single" w:sz="4" w:space="0" w:color="auto"/>
              <w:left w:val="single" w:sz="4" w:space="0" w:color="auto"/>
              <w:bottom w:val="single" w:sz="4" w:space="0" w:color="auto"/>
              <w:right w:val="single" w:sz="4" w:space="0" w:color="auto"/>
            </w:tcBorders>
            <w:hideMark/>
          </w:tcPr>
          <w:p w14:paraId="1C81B355" w14:textId="77777777" w:rsidR="001A4839" w:rsidRPr="004C7164" w:rsidRDefault="001A4839" w:rsidP="00A4189B">
            <w:pPr>
              <w:spacing w:after="0" w:line="240" w:lineRule="auto"/>
              <w:rPr>
                <w:rFonts w:cstheme="minorHAnsi"/>
                <w:sz w:val="20"/>
                <w:szCs w:val="20"/>
              </w:rPr>
            </w:pPr>
            <w:proofErr w:type="spellStart"/>
            <w:r w:rsidRPr="004C7164">
              <w:rPr>
                <w:rFonts w:cstheme="minorHAnsi"/>
                <w:sz w:val="20"/>
                <w:szCs w:val="20"/>
              </w:rPr>
              <w:t>r-value</w:t>
            </w:r>
            <w:proofErr w:type="spellEnd"/>
          </w:p>
          <w:p w14:paraId="36C9742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p-value</w:t>
            </w:r>
          </w:p>
          <w:p w14:paraId="69792C4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tcPr>
          <w:p w14:paraId="68A5215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-0.106</w:t>
            </w:r>
          </w:p>
          <w:p w14:paraId="21FC2C1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0.421</w:t>
            </w:r>
          </w:p>
          <w:p w14:paraId="62345E5F"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p w14:paraId="0E15518F" w14:textId="77777777" w:rsidR="001A4839" w:rsidRPr="004C7164" w:rsidRDefault="001A4839" w:rsidP="00A4189B">
            <w:pPr>
              <w:spacing w:after="0" w:line="240" w:lineRule="auto"/>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62E695C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-0.090</w:t>
            </w:r>
          </w:p>
          <w:p w14:paraId="430C709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0.496</w:t>
            </w:r>
          </w:p>
          <w:p w14:paraId="4F4862B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2700DF9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0.003</w:t>
            </w:r>
          </w:p>
          <w:p w14:paraId="678EE2D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0.983</w:t>
            </w:r>
          </w:p>
          <w:p w14:paraId="6FA178B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20A21007"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-0.170</w:t>
            </w:r>
          </w:p>
          <w:p w14:paraId="044DB1E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0.195</w:t>
            </w:r>
          </w:p>
          <w:p w14:paraId="33AE270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3B1C4861"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-0.064</w:t>
            </w:r>
          </w:p>
          <w:p w14:paraId="47118F59"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0.629</w:t>
            </w:r>
          </w:p>
          <w:p w14:paraId="07B5289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4BE21758"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-0.228</w:t>
            </w:r>
          </w:p>
          <w:p w14:paraId="3BA66E8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0.080</w:t>
            </w:r>
          </w:p>
          <w:p w14:paraId="7AEBDA0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45194C30"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-0.019</w:t>
            </w:r>
          </w:p>
          <w:p w14:paraId="768CA613"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0.888</w:t>
            </w:r>
          </w:p>
          <w:p w14:paraId="0CCC228A"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0E55B08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0.028</w:t>
            </w:r>
          </w:p>
          <w:p w14:paraId="0861B47D"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0.832</w:t>
            </w:r>
          </w:p>
          <w:p w14:paraId="2755CE8B"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21E167A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-0.213</w:t>
            </w:r>
          </w:p>
          <w:p w14:paraId="5F51BA72"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0.103</w:t>
            </w:r>
          </w:p>
          <w:p w14:paraId="5D6A8646"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5AAE039E"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1</w:t>
            </w:r>
          </w:p>
          <w:p w14:paraId="60CDBC95" w14:textId="77777777" w:rsidR="001A4839" w:rsidRPr="004C7164" w:rsidRDefault="001A4839" w:rsidP="00A4189B">
            <w:pPr>
              <w:spacing w:after="0" w:line="240" w:lineRule="auto"/>
              <w:rPr>
                <w:rFonts w:cstheme="minorHAnsi"/>
                <w:sz w:val="20"/>
                <w:szCs w:val="20"/>
              </w:rPr>
            </w:pPr>
          </w:p>
          <w:p w14:paraId="4FC88774" w14:textId="77777777" w:rsidR="001A4839" w:rsidRPr="004C7164" w:rsidRDefault="001A4839" w:rsidP="00A4189B">
            <w:pPr>
              <w:spacing w:after="0" w:line="240" w:lineRule="auto"/>
              <w:rPr>
                <w:rFonts w:cstheme="minorHAnsi"/>
                <w:sz w:val="20"/>
                <w:szCs w:val="20"/>
              </w:rPr>
            </w:pPr>
            <w:r w:rsidRPr="004C7164">
              <w:rPr>
                <w:rFonts w:cstheme="minorHAnsi"/>
                <w:sz w:val="20"/>
                <w:szCs w:val="20"/>
              </w:rPr>
              <w:t>60</w:t>
            </w:r>
          </w:p>
        </w:tc>
      </w:tr>
    </w:tbl>
    <w:p w14:paraId="102A1897" w14:textId="6EA23C5A" w:rsidR="001A4839" w:rsidRPr="004C7164" w:rsidRDefault="00DE3D61" w:rsidP="001A4839">
      <w:pPr>
        <w:spacing w:before="100" w:beforeAutospacing="1" w:after="100" w:afterAutospacing="1" w:line="240" w:lineRule="auto"/>
        <w:jc w:val="both"/>
        <w:outlineLvl w:val="0"/>
        <w:rPr>
          <w:rFonts w:eastAsia="Times New Roman" w:cstheme="minorHAnsi"/>
          <w:b/>
          <w:bCs/>
          <w:kern w:val="36"/>
          <w:sz w:val="24"/>
          <w:szCs w:val="24"/>
        </w:rPr>
      </w:pPr>
      <w:r w:rsidRPr="004C7164">
        <w:rPr>
          <w:rFonts w:cstheme="minorHAnsi"/>
          <w:b/>
          <w:sz w:val="20"/>
          <w:szCs w:val="20"/>
        </w:rPr>
        <w:t>** Correlation is significant at 0.01level (2-tailed)</w:t>
      </w:r>
    </w:p>
    <w:p w14:paraId="39FE0AD5" w14:textId="77777777" w:rsidR="001A4839" w:rsidRPr="004C7164" w:rsidRDefault="001A4839" w:rsidP="001A4839">
      <w:pPr>
        <w:spacing w:before="100" w:beforeAutospacing="1" w:after="100" w:afterAutospacing="1" w:line="240" w:lineRule="auto"/>
        <w:jc w:val="both"/>
        <w:outlineLvl w:val="0"/>
        <w:rPr>
          <w:rFonts w:eastAsia="Times New Roman" w:cstheme="minorHAnsi"/>
          <w:b/>
          <w:bCs/>
          <w:kern w:val="36"/>
          <w:sz w:val="24"/>
          <w:szCs w:val="24"/>
        </w:rPr>
      </w:pPr>
    </w:p>
    <w:p w14:paraId="61F26D23" w14:textId="77777777" w:rsidR="001A4839" w:rsidRPr="004C7164" w:rsidRDefault="001A4839" w:rsidP="001A4839">
      <w:pPr>
        <w:spacing w:before="100" w:beforeAutospacing="1" w:after="100" w:afterAutospacing="1" w:line="240" w:lineRule="auto"/>
        <w:jc w:val="both"/>
        <w:outlineLvl w:val="0"/>
        <w:rPr>
          <w:rFonts w:eastAsia="Times New Roman" w:cstheme="minorHAnsi"/>
          <w:b/>
          <w:bCs/>
          <w:kern w:val="36"/>
          <w:sz w:val="24"/>
          <w:szCs w:val="24"/>
        </w:rPr>
      </w:pPr>
    </w:p>
    <w:p w14:paraId="2C51B6CD" w14:textId="77777777" w:rsidR="001A4839" w:rsidRPr="004C7164" w:rsidRDefault="001A4839" w:rsidP="001A4839">
      <w:pPr>
        <w:spacing w:before="100" w:beforeAutospacing="1" w:after="100" w:afterAutospacing="1" w:line="240" w:lineRule="auto"/>
        <w:jc w:val="both"/>
        <w:outlineLvl w:val="0"/>
        <w:rPr>
          <w:rFonts w:eastAsia="Times New Roman" w:cstheme="minorHAnsi"/>
          <w:b/>
          <w:bCs/>
          <w:kern w:val="36"/>
          <w:sz w:val="24"/>
          <w:szCs w:val="24"/>
        </w:rPr>
      </w:pPr>
    </w:p>
    <w:p w14:paraId="55DE9D34" w14:textId="77777777" w:rsidR="001A4839" w:rsidRPr="004C7164" w:rsidRDefault="001A4839" w:rsidP="001A4839">
      <w:pPr>
        <w:spacing w:before="100" w:beforeAutospacing="1" w:after="100" w:afterAutospacing="1" w:line="240" w:lineRule="auto"/>
        <w:jc w:val="both"/>
        <w:outlineLvl w:val="0"/>
        <w:rPr>
          <w:rFonts w:eastAsia="Times New Roman" w:cstheme="minorHAnsi"/>
          <w:b/>
          <w:bCs/>
          <w:kern w:val="36"/>
          <w:sz w:val="24"/>
          <w:szCs w:val="24"/>
        </w:rPr>
      </w:pPr>
    </w:p>
    <w:p w14:paraId="58ADD2A4" w14:textId="77777777" w:rsidR="004009FE" w:rsidRPr="004C7164" w:rsidRDefault="004009FE" w:rsidP="001A4839">
      <w:pPr>
        <w:spacing w:before="100" w:beforeAutospacing="1" w:after="100" w:afterAutospacing="1" w:line="240" w:lineRule="auto"/>
        <w:jc w:val="both"/>
        <w:outlineLvl w:val="0"/>
        <w:rPr>
          <w:rFonts w:eastAsia="Times New Roman" w:cstheme="minorHAnsi"/>
          <w:b/>
          <w:bCs/>
          <w:kern w:val="36"/>
          <w:sz w:val="24"/>
          <w:szCs w:val="24"/>
        </w:rPr>
      </w:pPr>
    </w:p>
    <w:p w14:paraId="5841BFB6" w14:textId="77777777" w:rsidR="001A4839" w:rsidRPr="004C7164" w:rsidRDefault="001A4839" w:rsidP="001A4839">
      <w:pPr>
        <w:spacing w:before="100" w:beforeAutospacing="1" w:after="100" w:afterAutospacing="1" w:line="360" w:lineRule="auto"/>
        <w:jc w:val="both"/>
        <w:outlineLvl w:val="0"/>
        <w:rPr>
          <w:rFonts w:eastAsia="Times New Roman" w:cstheme="minorHAnsi"/>
          <w:b/>
          <w:bCs/>
          <w:kern w:val="36"/>
          <w:sz w:val="24"/>
          <w:szCs w:val="24"/>
        </w:rPr>
      </w:pPr>
      <w:r w:rsidRPr="004C7164">
        <w:rPr>
          <w:rFonts w:eastAsia="Times New Roman" w:cstheme="minorHAnsi"/>
          <w:b/>
          <w:bCs/>
          <w:kern w:val="36"/>
          <w:sz w:val="24"/>
          <w:szCs w:val="24"/>
        </w:rPr>
        <w:lastRenderedPageBreak/>
        <w:t>4. DISCUSSION</w:t>
      </w:r>
    </w:p>
    <w:p w14:paraId="6D649191" w14:textId="77777777" w:rsidR="001A4839" w:rsidRPr="004C7164" w:rsidRDefault="001A4839" w:rsidP="001A4839">
      <w:pPr>
        <w:spacing w:before="100" w:beforeAutospacing="1" w:after="100" w:afterAutospacing="1" w:line="360" w:lineRule="auto"/>
        <w:jc w:val="both"/>
        <w:outlineLvl w:val="0"/>
        <w:rPr>
          <w:rFonts w:eastAsia="Times New Roman" w:cstheme="minorHAnsi"/>
          <w:b/>
          <w:bCs/>
          <w:kern w:val="36"/>
          <w:sz w:val="24"/>
          <w:szCs w:val="24"/>
        </w:rPr>
      </w:pPr>
      <w:r w:rsidRPr="004C7164">
        <w:rPr>
          <w:rFonts w:cstheme="minorHAnsi"/>
          <w:sz w:val="24"/>
          <w:szCs w:val="24"/>
        </w:rPr>
        <w:t xml:space="preserve">Data from this study indicates alteration in SBP, DBP, BMI and lipid profile with elevated markers of inflammation in hypertensive naval officers compared to controls. Thus, hypertensive naval officers demonstrated a pattern consistent with metabolic syndrome, characterized by higher BMI, dyslipidemia, and elevated inflammatory markers, all of which may contribute to increased cardiovascular risk compared with normotensive peers. </w:t>
      </w:r>
      <w:r w:rsidRPr="004C7164">
        <w:rPr>
          <w:rFonts w:eastAsia="Times New Roman" w:cstheme="minorHAnsi"/>
          <w:sz w:val="24"/>
          <w:szCs w:val="24"/>
        </w:rPr>
        <w:t>The pathophysiology of hypertension in naval personnel involves multiple systems. The renin-angiotensin-aldosterone system (RAAS) regulates blood volume and vascular tone, with angiotensin II promoting vasoconstriction and sodium retention, contributing to hypertension and cardiovascular damage (Hall &amp; Hall, 2018). Endothelial dysfunction, characterized by reduced nitric oxide (NO) bioavailability, increases vascular resistance, further exacerbating hypertension (</w:t>
      </w:r>
      <w:proofErr w:type="spellStart"/>
      <w:r w:rsidRPr="004C7164">
        <w:rPr>
          <w:rFonts w:eastAsia="Times New Roman" w:cstheme="minorHAnsi"/>
          <w:sz w:val="24"/>
          <w:szCs w:val="24"/>
        </w:rPr>
        <w:t>Sandoo</w:t>
      </w:r>
      <w:proofErr w:type="spellEnd"/>
      <w:r w:rsidRPr="004C7164">
        <w:rPr>
          <w:rFonts w:eastAsia="Times New Roman" w:cstheme="minorHAnsi"/>
          <w:sz w:val="24"/>
          <w:szCs w:val="24"/>
        </w:rPr>
        <w:t xml:space="preserve"> et al., 2015). The sympathetic nervous system (SNS) also plays a pivotal role, with heightened activity in hypertensive individuals leading to increased vascular stiffness and blood pressure elevation (Grassi et al., 2015). Inflammation, driven by cytokines like IL-6 and acute-phase proteins like CRP, amplifies vascular damage and is closely linked to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(Harrison &amp; Bernstein, 2018). These mechanisms are particularly relevant in naval personnel, whose occupational stressors, such as prolonged deployments and high-sodium diets from seafoods, may enhance sympathetic activation and inflammatory responses.</w:t>
      </w:r>
    </w:p>
    <w:p w14:paraId="032AEA39" w14:textId="5177992D" w:rsidR="00645567" w:rsidRPr="004C7164" w:rsidRDefault="001A4839" w:rsidP="00A85116">
      <w:pPr>
        <w:shd w:val="clear" w:color="auto" w:fill="FFFFFF"/>
        <w:spacing w:after="0" w:line="360" w:lineRule="auto"/>
        <w:rPr>
          <w:rFonts w:cstheme="minorHAnsi"/>
          <w:sz w:val="24"/>
          <w:szCs w:val="24"/>
        </w:rPr>
      </w:pPr>
      <w:r w:rsidRPr="004C7164">
        <w:rPr>
          <w:rFonts w:eastAsia="Times New Roman" w:cstheme="minorHAnsi"/>
          <w:sz w:val="24"/>
          <w:szCs w:val="24"/>
        </w:rPr>
        <w:t>The high-sodium diet common in naval settings, coupled with irregular sleep patterns and chronic stress, likely ex</w:t>
      </w:r>
      <w:r w:rsidR="00A85116" w:rsidRPr="004C7164">
        <w:rPr>
          <w:rFonts w:eastAsia="Times New Roman" w:cstheme="minorHAnsi"/>
          <w:sz w:val="24"/>
          <w:szCs w:val="24"/>
        </w:rPr>
        <w:t xml:space="preserve">acerbates </w:t>
      </w:r>
      <w:proofErr w:type="spellStart"/>
      <w:r w:rsidR="00A85116" w:rsidRPr="004C7164">
        <w:rPr>
          <w:rFonts w:eastAsia="Times New Roman" w:cstheme="minorHAnsi"/>
          <w:sz w:val="24"/>
          <w:szCs w:val="24"/>
        </w:rPr>
        <w:t>MetS</w:t>
      </w:r>
      <w:proofErr w:type="spellEnd"/>
      <w:r w:rsidR="00A85116" w:rsidRPr="004C7164">
        <w:rPr>
          <w:rFonts w:eastAsia="Times New Roman" w:cstheme="minorHAnsi"/>
          <w:sz w:val="24"/>
          <w:szCs w:val="24"/>
        </w:rPr>
        <w:t xml:space="preserve"> and inflammation (</w:t>
      </w:r>
      <w:r w:rsidR="004143A2" w:rsidRPr="004C7164">
        <w:t>Sha, et al., 2018</w:t>
      </w:r>
      <w:r w:rsidR="00A85116" w:rsidRPr="004C7164">
        <w:t xml:space="preserve">). </w:t>
      </w:r>
      <w:r w:rsidRPr="004C7164">
        <w:rPr>
          <w:sz w:val="24"/>
          <w:szCs w:val="24"/>
        </w:rPr>
        <w:t>High sodium diet is common in naval setting for several historical, practical and physiological reasons. Before modern refrigeration salt was one of the primary methods of preserving food at sea. Even today, pre-packaged or shelf-stable rations often use sodium as preservative and flavor enhancer. Also, most naval vessel still heavily depends on processed, canned and dehydrated foods, especially during long deployment or submarine mission.</w:t>
      </w:r>
      <w:r w:rsidR="00645567" w:rsidRPr="004C7164">
        <w:rPr>
          <w:sz w:val="24"/>
          <w:szCs w:val="24"/>
        </w:rPr>
        <w:t xml:space="preserve"> </w:t>
      </w:r>
      <w:r w:rsidR="00645567" w:rsidRPr="004C7164">
        <w:rPr>
          <w:rFonts w:cstheme="minorHAnsi"/>
          <w:sz w:val="24"/>
          <w:szCs w:val="24"/>
          <w:shd w:val="clear" w:color="auto" w:fill="FFFFFF"/>
        </w:rPr>
        <w:t>It has been previously reported that changes in lifestyle, poor dietary habits, and obesity contributes to the occurrence of non-communicable diseases such as hypertension, diabetes mellitus, and coronary artery disease</w:t>
      </w:r>
      <w:r w:rsidR="00C918B3" w:rsidRPr="004C7164">
        <w:rPr>
          <w:rFonts w:cstheme="minorHAnsi"/>
          <w:sz w:val="24"/>
          <w:szCs w:val="24"/>
          <w:shd w:val="clear" w:color="auto" w:fill="FFFFFF"/>
        </w:rPr>
        <w:t xml:space="preserve"> (Balaji, 2021)</w:t>
      </w:r>
      <w:r w:rsidR="00645567" w:rsidRPr="004C7164">
        <w:rPr>
          <w:rFonts w:cstheme="minorHAnsi"/>
          <w:sz w:val="24"/>
          <w:szCs w:val="24"/>
          <w:shd w:val="clear" w:color="auto" w:fill="FFFFFF"/>
        </w:rPr>
        <w:t xml:space="preserve">. </w:t>
      </w:r>
      <w:r w:rsidR="00645567" w:rsidRPr="004C7164">
        <w:rPr>
          <w:rFonts w:cstheme="minorHAnsi"/>
          <w:sz w:val="24"/>
          <w:szCs w:val="24"/>
          <w:shd w:val="clear" w:color="auto" w:fill="FFFFFF"/>
        </w:rPr>
        <w:lastRenderedPageBreak/>
        <w:t>Valuation of metabolic syndrome is a suitable technique for forecasting the risk of diabetes and cardiovascular disorders in the future</w:t>
      </w:r>
      <w:r w:rsidR="00C918B3" w:rsidRPr="004C7164">
        <w:rPr>
          <w:rFonts w:cstheme="minorHAnsi"/>
          <w:sz w:val="24"/>
          <w:szCs w:val="24"/>
          <w:shd w:val="clear" w:color="auto" w:fill="FFFFFF"/>
        </w:rPr>
        <w:t xml:space="preserve"> (Balaji, 2021)</w:t>
      </w:r>
      <w:r w:rsidR="00645567" w:rsidRPr="004C7164">
        <w:rPr>
          <w:rFonts w:cstheme="minorHAnsi"/>
          <w:sz w:val="24"/>
          <w:szCs w:val="24"/>
          <w:shd w:val="clear" w:color="auto" w:fill="FFFFFF"/>
        </w:rPr>
        <w:t>.</w:t>
      </w:r>
    </w:p>
    <w:p w14:paraId="46314975" w14:textId="35C5DFE3" w:rsidR="001A4839" w:rsidRPr="004C7164" w:rsidRDefault="001A4839" w:rsidP="009158AF">
      <w:pPr>
        <w:pStyle w:val="CommentText"/>
        <w:spacing w:line="360" w:lineRule="auto"/>
        <w:jc w:val="center"/>
        <w:rPr>
          <w:sz w:val="24"/>
          <w:szCs w:val="24"/>
        </w:rPr>
      </w:pPr>
    </w:p>
    <w:p w14:paraId="6BDBE8FD" w14:textId="5A35938E" w:rsidR="001A4839" w:rsidRPr="004C7164" w:rsidRDefault="00255D4B" w:rsidP="00146AB8">
      <w:pPr>
        <w:pStyle w:val="CommentText"/>
        <w:spacing w:line="360" w:lineRule="auto"/>
        <w:rPr>
          <w:rFonts w:eastAsia="Times New Roman" w:cstheme="minorHAnsi"/>
          <w:sz w:val="24"/>
          <w:szCs w:val="24"/>
        </w:rPr>
      </w:pPr>
      <w:r w:rsidRPr="004C7164">
        <w:rPr>
          <w:rFonts w:eastAsia="Times New Roman" w:cstheme="minorHAnsi"/>
          <w:sz w:val="24"/>
          <w:szCs w:val="24"/>
        </w:rPr>
        <w:t xml:space="preserve">It is </w:t>
      </w:r>
      <w:r w:rsidR="001A4839" w:rsidRPr="004C7164">
        <w:rPr>
          <w:rFonts w:eastAsia="Times New Roman" w:cstheme="minorHAnsi"/>
          <w:sz w:val="24"/>
          <w:szCs w:val="24"/>
        </w:rPr>
        <w:t xml:space="preserve">found that shift work, a hallmark of naval operations, significantly increases </w:t>
      </w:r>
      <w:proofErr w:type="spellStart"/>
      <w:r w:rsidR="001A4839" w:rsidRPr="004C7164">
        <w:rPr>
          <w:rFonts w:eastAsia="Times New Roman" w:cstheme="minorHAnsi"/>
          <w:sz w:val="24"/>
          <w:szCs w:val="24"/>
        </w:rPr>
        <w:t>MetS</w:t>
      </w:r>
      <w:proofErr w:type="spellEnd"/>
      <w:r w:rsidR="001A4839" w:rsidRPr="004C7164">
        <w:rPr>
          <w:rFonts w:eastAsia="Times New Roman" w:cstheme="minorHAnsi"/>
          <w:sz w:val="24"/>
          <w:szCs w:val="24"/>
        </w:rPr>
        <w:t xml:space="preserve"> risk by disrupting circadian rhythms and metabolic homeostasis. Similarly, chronic stress and salt exposure can upregulate inflammatory pathways, increasing CRP and IL-6 levels through mechanisms involving transforming growth factor-beta (TGF-β) and T-helper 17 (TH17) cells (Wilck et al., 2017). Limited access to preventive healthcare during deployments further compounds these risks, as timely screening and intervention are often unavailable. The regional context of Sapele, with its tropical climate, high humidity, and socioeconomic challenges, adds another layer of complexity, as environmental and occupational factors may uniquely shape health outcomes in this cohort.</w:t>
      </w:r>
    </w:p>
    <w:p w14:paraId="6E8629CB" w14:textId="77777777" w:rsidR="001A4839" w:rsidRPr="004C7164" w:rsidRDefault="001A4839" w:rsidP="001A4839">
      <w:pPr>
        <w:spacing w:before="100" w:beforeAutospacing="1" w:after="100" w:afterAutospacing="1" w:line="360" w:lineRule="auto"/>
        <w:jc w:val="both"/>
        <w:outlineLvl w:val="0"/>
        <w:rPr>
          <w:rFonts w:eastAsia="Times New Roman" w:cstheme="minorHAnsi"/>
          <w:sz w:val="24"/>
          <w:szCs w:val="24"/>
        </w:rPr>
      </w:pPr>
      <w:r w:rsidRPr="004C7164">
        <w:rPr>
          <w:rFonts w:eastAsia="Times New Roman" w:cstheme="minorHAnsi"/>
          <w:sz w:val="24"/>
          <w:szCs w:val="24"/>
        </w:rPr>
        <w:t xml:space="preserve">The interplay of hypertension,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and inflammation has significant implications for naval personnel’s health and operational readiness. Chronic hypertension and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increase the risk of acute cardiovascular events, which can impair mission performance and long-term health (Swarup et al., 2025). Systemic inflammation, driven by elevated CRP and IL-6, further accelerates atherosclerosis and vascular damage, compounding these risks (Morgado et al., 2018). </w:t>
      </w:r>
    </w:p>
    <w:p w14:paraId="2BFE4290" w14:textId="77777777" w:rsidR="001A4839" w:rsidRPr="004C7164" w:rsidRDefault="001A4839" w:rsidP="001A4839">
      <w:pPr>
        <w:spacing w:before="100" w:beforeAutospacing="1" w:after="100" w:afterAutospacing="1" w:line="360" w:lineRule="auto"/>
        <w:jc w:val="both"/>
        <w:outlineLvl w:val="0"/>
        <w:rPr>
          <w:rFonts w:eastAsia="Times New Roman" w:cstheme="minorHAnsi"/>
          <w:sz w:val="24"/>
          <w:szCs w:val="24"/>
        </w:rPr>
      </w:pPr>
      <w:r w:rsidRPr="004C7164">
        <w:rPr>
          <w:rFonts w:eastAsia="Times New Roman" w:cstheme="minorHAnsi"/>
          <w:sz w:val="24"/>
          <w:szCs w:val="24"/>
        </w:rPr>
        <w:t xml:space="preserve">The occupational environment of naval personnel presents unique challenges that amplify the risk of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and inflammation. For instance, prolonged deployments often limit access to fresh, nutrient-rich foods, leading to reliance on processed, high-sodium meals that exacerbate hypertension and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(Hatch-McChesney et al., 2023). Chronic stress from high-stakes operations and irregular sleep patterns further activates the SNS, increasing catecholamine release and blood pressure (Grassi et al., 2015). These factors, combined with limited healthcare access during deployments, create a perfect storm for the development and progression of hypertension-related comorbidities. The regional context of Sapele, with its coastal environment and socioeconomic constraints, may further exacerbate these risks, as high humidity and salt exposure can influence dietary habits and physiological responses.</w:t>
      </w:r>
    </w:p>
    <w:p w14:paraId="544C64DB" w14:textId="77777777" w:rsidR="001A4839" w:rsidRPr="004C7164" w:rsidRDefault="001A4839" w:rsidP="001A4839">
      <w:pPr>
        <w:spacing w:before="100" w:beforeAutospacing="1" w:after="100" w:afterAutospacing="1" w:line="360" w:lineRule="auto"/>
        <w:jc w:val="both"/>
        <w:outlineLvl w:val="0"/>
        <w:rPr>
          <w:rFonts w:eastAsia="Times New Roman" w:cstheme="minorHAnsi"/>
          <w:sz w:val="24"/>
          <w:szCs w:val="24"/>
        </w:rPr>
      </w:pPr>
      <w:r w:rsidRPr="004C7164">
        <w:rPr>
          <w:rFonts w:eastAsia="Times New Roman" w:cstheme="minorHAnsi"/>
          <w:sz w:val="24"/>
          <w:szCs w:val="24"/>
        </w:rPr>
        <w:lastRenderedPageBreak/>
        <w:t xml:space="preserve">The findings of this study could have far-reaching implications for military health policy. Targeted interventions, such as low-sodium dietary programs, stress reduction initiatives, and regular screening for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and inflammatory markers, could significantly reduce the burden of hypertension and its complications. Gerstel et al. (2013) demonstrated that workplace health interventions can reduce </w:t>
      </w:r>
      <w:proofErr w:type="spellStart"/>
      <w:r w:rsidRPr="004C7164">
        <w:rPr>
          <w:rFonts w:eastAsia="Times New Roman" w:cstheme="minorHAnsi"/>
          <w:sz w:val="24"/>
          <w:szCs w:val="24"/>
        </w:rPr>
        <w:t>MetS</w:t>
      </w:r>
      <w:proofErr w:type="spellEnd"/>
      <w:r w:rsidRPr="004C7164">
        <w:rPr>
          <w:rFonts w:eastAsia="Times New Roman" w:cstheme="minorHAnsi"/>
          <w:sz w:val="24"/>
          <w:szCs w:val="24"/>
        </w:rPr>
        <w:t xml:space="preserve"> prevalence by up to 50%, suggesting that similar strategies could be effective in naval settings. By addressing these risk factors, the Nigerian Navy could improve personnel health, enhance operational readiness, and reduce healthcare costs associated with chronic diseases.</w:t>
      </w:r>
    </w:p>
    <w:p w14:paraId="11C5F789" w14:textId="77777777" w:rsidR="001A4839" w:rsidRPr="004C7164" w:rsidRDefault="001A4839" w:rsidP="001A4839">
      <w:pPr>
        <w:spacing w:before="100" w:beforeAutospacing="1" w:after="100" w:afterAutospacing="1" w:line="360" w:lineRule="auto"/>
        <w:jc w:val="both"/>
        <w:outlineLvl w:val="0"/>
        <w:rPr>
          <w:rFonts w:cstheme="minorHAnsi"/>
          <w:sz w:val="24"/>
          <w:szCs w:val="24"/>
        </w:rPr>
      </w:pPr>
      <w:r w:rsidRPr="004C7164">
        <w:rPr>
          <w:rFonts w:cstheme="minorHAnsi"/>
          <w:sz w:val="24"/>
          <w:szCs w:val="24"/>
        </w:rPr>
        <w:t xml:space="preserve">This study underscores the significant health challenges faced by hypertensive male naval officers in Nigeria, including elevated risks of metabolic syndrome and inflammation. The findings align with broader research on hypertension’s impact in Nigeria and military populations, highlighting the role of occupational stressors like prolonged deployments and high humidity in Sapele. </w:t>
      </w:r>
    </w:p>
    <w:p w14:paraId="72B5EB4E" w14:textId="77777777" w:rsidR="001A4839" w:rsidRPr="004C7164" w:rsidRDefault="001A4839" w:rsidP="001A4839">
      <w:pPr>
        <w:spacing w:before="100" w:beforeAutospacing="1" w:after="100" w:afterAutospacing="1" w:line="360" w:lineRule="auto"/>
        <w:jc w:val="both"/>
        <w:outlineLvl w:val="0"/>
        <w:rPr>
          <w:rFonts w:cstheme="minorHAnsi"/>
          <w:sz w:val="24"/>
          <w:szCs w:val="24"/>
        </w:rPr>
      </w:pPr>
      <w:r w:rsidRPr="004C7164">
        <w:rPr>
          <w:rFonts w:cstheme="minorHAnsi"/>
          <w:sz w:val="24"/>
          <w:szCs w:val="24"/>
        </w:rPr>
        <w:t>The triglyceride-HDL correlation and lack of inflammation-lipid links suggest unique health patterns that require further exploration to understand their implications for cardiovascular risk. Comprehensive health management strategies, including regular screenings, lifestyle modifications, and targeted pharmacological treatments, are essential to mitigate these risks and enhance operational readiness. By addressing both physiological and occupational factors, these interventions can improve the well-being of naval personnel.</w:t>
      </w:r>
    </w:p>
    <w:p w14:paraId="4810F371" w14:textId="77777777" w:rsidR="001A4839" w:rsidRPr="004C7164" w:rsidRDefault="001A4839" w:rsidP="001A4839">
      <w:pPr>
        <w:spacing w:before="100" w:beforeAutospacing="1" w:after="100" w:afterAutospacing="1" w:line="360" w:lineRule="auto"/>
        <w:jc w:val="both"/>
        <w:outlineLvl w:val="0"/>
        <w:rPr>
          <w:rFonts w:eastAsia="Times New Roman" w:cstheme="minorHAnsi"/>
          <w:b/>
          <w:bCs/>
          <w:sz w:val="24"/>
          <w:szCs w:val="24"/>
        </w:rPr>
      </w:pPr>
      <w:r w:rsidRPr="004C7164">
        <w:rPr>
          <w:rFonts w:eastAsia="Times New Roman" w:cstheme="minorHAnsi"/>
          <w:b/>
          <w:bCs/>
          <w:sz w:val="24"/>
          <w:szCs w:val="24"/>
        </w:rPr>
        <w:t xml:space="preserve">CONCLUSION </w:t>
      </w:r>
    </w:p>
    <w:p w14:paraId="4D58034D" w14:textId="77777777" w:rsidR="001A4839" w:rsidRPr="004C7164" w:rsidRDefault="001A4839" w:rsidP="001A4839">
      <w:pPr>
        <w:spacing w:line="360" w:lineRule="auto"/>
        <w:rPr>
          <w:sz w:val="24"/>
          <w:szCs w:val="24"/>
        </w:rPr>
      </w:pPr>
      <w:bookmarkStart w:id="3" w:name="_Hlk211292707"/>
      <w:r w:rsidRPr="004C7164">
        <w:rPr>
          <w:sz w:val="24"/>
          <w:szCs w:val="24"/>
        </w:rPr>
        <w:t xml:space="preserve">This study underscores the significant health challenges face by hypertensive male naval personnel with elevated level of markers of metabolic syndrome; BP, BMI, TC, TG, LDL, low level of HDL and parallel elevated level of inflammatory markers; CRP and IL-6. The finding aligns with broader research on hypertension impact in Nigeria and military populations, highlighting the role of occupational stressors like prolong deployment in sea or land deployment which required further exploration to understand their implication for cardiovascular risk. Regular screening, life </w:t>
      </w:r>
      <w:r w:rsidRPr="004C7164">
        <w:rPr>
          <w:sz w:val="24"/>
          <w:szCs w:val="24"/>
        </w:rPr>
        <w:lastRenderedPageBreak/>
        <w:t>style modification and targeted pharmacological treatments are essential to mitigate this risk and enhance operational readiness.</w:t>
      </w:r>
    </w:p>
    <w:bookmarkEnd w:id="3"/>
    <w:p w14:paraId="5AC45E56" w14:textId="77777777" w:rsidR="002A0B7A" w:rsidRPr="002A0B7A" w:rsidRDefault="002A0B7A" w:rsidP="002A0B7A">
      <w:pPr>
        <w:spacing w:before="100" w:beforeAutospacing="1" w:after="100" w:afterAutospacing="1" w:line="360" w:lineRule="auto"/>
        <w:jc w:val="both"/>
        <w:outlineLvl w:val="0"/>
        <w:rPr>
          <w:rFonts w:cstheme="minorHAnsi"/>
          <w:b/>
          <w:bCs/>
          <w:sz w:val="24"/>
          <w:szCs w:val="24"/>
        </w:rPr>
      </w:pPr>
      <w:r w:rsidRPr="002A0B7A">
        <w:rPr>
          <w:rFonts w:cstheme="minorHAnsi"/>
          <w:b/>
          <w:bCs/>
          <w:sz w:val="24"/>
          <w:szCs w:val="24"/>
        </w:rPr>
        <w:t>Ethical Consideration</w:t>
      </w:r>
    </w:p>
    <w:p w14:paraId="733E1D3E" w14:textId="7791F7BC" w:rsidR="002A0B7A" w:rsidRDefault="002A0B7A" w:rsidP="002A0B7A">
      <w:pPr>
        <w:spacing w:before="100" w:beforeAutospacing="1" w:after="100" w:afterAutospacing="1" w:line="360" w:lineRule="auto"/>
        <w:jc w:val="both"/>
        <w:outlineLvl w:val="0"/>
        <w:rPr>
          <w:rFonts w:cstheme="minorHAnsi"/>
          <w:bCs/>
          <w:sz w:val="24"/>
          <w:szCs w:val="24"/>
        </w:rPr>
      </w:pPr>
      <w:r w:rsidRPr="002A0B7A">
        <w:rPr>
          <w:rFonts w:cstheme="minorHAnsi"/>
          <w:bCs/>
          <w:sz w:val="24"/>
          <w:szCs w:val="24"/>
        </w:rPr>
        <w:t xml:space="preserve">Ethical approval (Reference Number: </w:t>
      </w:r>
      <w:proofErr w:type="gramStart"/>
      <w:r w:rsidRPr="002A0B7A">
        <w:rPr>
          <w:rFonts w:cstheme="minorHAnsi"/>
          <w:bCs/>
          <w:sz w:val="24"/>
          <w:szCs w:val="24"/>
        </w:rPr>
        <w:t>NMCSAP:015/09/15/VOL.III</w:t>
      </w:r>
      <w:proofErr w:type="gramEnd"/>
      <w:r w:rsidRPr="002A0B7A">
        <w:rPr>
          <w:rFonts w:cstheme="minorHAnsi"/>
          <w:bCs/>
          <w:sz w:val="24"/>
          <w:szCs w:val="24"/>
        </w:rPr>
        <w:t>/90) for this study protocol was issued by the institutional Research Ethics Committee of Naval Medical Center, Sapele. Only subjects who gave informed consent, approval and signed a consent form after the procedure and implications were explained to them participated in the study. Voluntary participation was ensured as each participant could withdraw from the study at any time.</w:t>
      </w:r>
    </w:p>
    <w:p w14:paraId="75242ACC" w14:textId="77777777" w:rsidR="002A0B7A" w:rsidRPr="002A0B7A" w:rsidRDefault="002A0B7A" w:rsidP="002A0B7A">
      <w:pPr>
        <w:spacing w:before="100" w:beforeAutospacing="1" w:after="100" w:afterAutospacing="1" w:line="360" w:lineRule="auto"/>
        <w:jc w:val="both"/>
        <w:outlineLvl w:val="0"/>
        <w:rPr>
          <w:rFonts w:cstheme="minorHAnsi"/>
          <w:b/>
          <w:bCs/>
          <w:sz w:val="24"/>
          <w:szCs w:val="24"/>
        </w:rPr>
      </w:pPr>
      <w:r w:rsidRPr="002A0B7A">
        <w:rPr>
          <w:rFonts w:cstheme="minorHAnsi"/>
          <w:b/>
          <w:bCs/>
          <w:sz w:val="24"/>
          <w:szCs w:val="24"/>
        </w:rPr>
        <w:t>CONSENT</w:t>
      </w:r>
    </w:p>
    <w:p w14:paraId="395D4FE9" w14:textId="078AC93A" w:rsidR="002A0B7A" w:rsidRPr="002A0B7A" w:rsidRDefault="002A0B7A" w:rsidP="002A0B7A">
      <w:pPr>
        <w:spacing w:before="100" w:beforeAutospacing="1" w:after="100" w:afterAutospacing="1" w:line="360" w:lineRule="auto"/>
        <w:jc w:val="both"/>
        <w:outlineLvl w:val="0"/>
        <w:rPr>
          <w:rFonts w:cstheme="minorHAnsi"/>
          <w:bCs/>
          <w:sz w:val="24"/>
          <w:szCs w:val="24"/>
        </w:rPr>
      </w:pPr>
      <w:r w:rsidRPr="002A0B7A">
        <w:rPr>
          <w:rFonts w:cstheme="minorHAnsi"/>
          <w:bCs/>
          <w:sz w:val="24"/>
          <w:szCs w:val="24"/>
        </w:rPr>
        <w:t>Only subject who gave informed consent, approval and signed consent form after the procedures, potential risks, and benefits were briefed to them. Participant confidentiality was strictly maintained, and biological samples were used solely for research purposes. Voluntary participation was ensured, as each participant could withdraw from the study at any time in compliance with the "1964 Helsinki Declaration" and its subsequent amendments in 2000.</w:t>
      </w:r>
    </w:p>
    <w:p w14:paraId="516A32CD" w14:textId="77777777" w:rsidR="001A4839" w:rsidRPr="004C7164" w:rsidRDefault="001A4839" w:rsidP="001A4839">
      <w:pPr>
        <w:spacing w:before="100" w:beforeAutospacing="1" w:after="100" w:afterAutospacing="1" w:line="360" w:lineRule="auto"/>
        <w:jc w:val="both"/>
        <w:outlineLvl w:val="0"/>
        <w:rPr>
          <w:rFonts w:cstheme="minorHAnsi"/>
          <w:b/>
          <w:bCs/>
          <w:sz w:val="24"/>
          <w:szCs w:val="24"/>
        </w:rPr>
      </w:pPr>
      <w:r w:rsidRPr="004C7164">
        <w:rPr>
          <w:rFonts w:cstheme="minorHAnsi"/>
          <w:b/>
          <w:bCs/>
          <w:sz w:val="24"/>
          <w:szCs w:val="24"/>
        </w:rPr>
        <w:t>DISCLAIMER (ARTIFICIAL INTELLIGENCE)</w:t>
      </w:r>
    </w:p>
    <w:p w14:paraId="722BBB8F" w14:textId="77777777" w:rsidR="001A4839" w:rsidRPr="004C7164" w:rsidRDefault="001A4839" w:rsidP="001A4839">
      <w:pPr>
        <w:spacing w:before="100" w:beforeAutospacing="1" w:after="100" w:afterAutospacing="1" w:line="360" w:lineRule="auto"/>
        <w:jc w:val="both"/>
        <w:outlineLvl w:val="0"/>
        <w:rPr>
          <w:rFonts w:cstheme="minorHAnsi"/>
          <w:sz w:val="24"/>
          <w:szCs w:val="24"/>
        </w:rPr>
      </w:pPr>
      <w:r w:rsidRPr="004C7164">
        <w:rPr>
          <w:rFonts w:cstheme="minorHAnsi"/>
          <w:sz w:val="24"/>
          <w:szCs w:val="24"/>
        </w:rPr>
        <w:t>Author(s) hereby declares that NO generated AI technology such as large language models (</w:t>
      </w:r>
      <w:proofErr w:type="spellStart"/>
      <w:r w:rsidRPr="004C7164">
        <w:rPr>
          <w:rFonts w:cstheme="minorHAnsi"/>
          <w:sz w:val="24"/>
          <w:szCs w:val="24"/>
        </w:rPr>
        <w:t>ChatGPT</w:t>
      </w:r>
      <w:proofErr w:type="spellEnd"/>
      <w:r w:rsidRPr="004C7164">
        <w:rPr>
          <w:rFonts w:cstheme="minorHAnsi"/>
          <w:sz w:val="24"/>
          <w:szCs w:val="24"/>
        </w:rPr>
        <w:t xml:space="preserve">, COPILOT, </w:t>
      </w:r>
      <w:proofErr w:type="spellStart"/>
      <w:r w:rsidRPr="004C7164">
        <w:rPr>
          <w:rFonts w:cstheme="minorHAnsi"/>
          <w:sz w:val="24"/>
          <w:szCs w:val="24"/>
        </w:rPr>
        <w:t>etc</w:t>
      </w:r>
      <w:proofErr w:type="spellEnd"/>
      <w:r w:rsidRPr="004C7164">
        <w:rPr>
          <w:rFonts w:cstheme="minorHAnsi"/>
          <w:sz w:val="24"/>
          <w:szCs w:val="24"/>
        </w:rPr>
        <w:t>) and text-to-image generators have been used during the writing or editing of this manuscript.</w:t>
      </w:r>
    </w:p>
    <w:p w14:paraId="12C75C08" w14:textId="77777777" w:rsidR="001A4839" w:rsidRPr="004C7164" w:rsidRDefault="001A4839" w:rsidP="001A4839">
      <w:pPr>
        <w:spacing w:before="100" w:beforeAutospacing="1" w:after="100" w:afterAutospacing="1" w:line="360" w:lineRule="auto"/>
        <w:jc w:val="both"/>
        <w:outlineLvl w:val="0"/>
        <w:rPr>
          <w:rFonts w:cstheme="minorHAnsi"/>
          <w:sz w:val="24"/>
          <w:szCs w:val="24"/>
        </w:rPr>
      </w:pPr>
      <w:r w:rsidRPr="004C7164">
        <w:rPr>
          <w:rFonts w:eastAsia="Times New Roman" w:cstheme="minorHAnsi"/>
          <w:b/>
          <w:bCs/>
          <w:sz w:val="24"/>
          <w:szCs w:val="24"/>
        </w:rPr>
        <w:t>REFERENCES</w:t>
      </w:r>
    </w:p>
    <w:p w14:paraId="052254C9" w14:textId="77777777" w:rsidR="001A4839" w:rsidRPr="004C7164" w:rsidRDefault="001A4839" w:rsidP="001A4839">
      <w:pPr>
        <w:spacing w:before="100" w:beforeAutospacing="1" w:after="100" w:afterAutospacing="1" w:line="240" w:lineRule="auto"/>
        <w:ind w:left="900" w:hanging="900"/>
        <w:jc w:val="both"/>
        <w:rPr>
          <w:rFonts w:eastAsia="Times New Roman" w:cstheme="minorHAnsi"/>
          <w:sz w:val="24"/>
          <w:szCs w:val="24"/>
        </w:rPr>
      </w:pPr>
      <w:proofErr w:type="spellStart"/>
      <w:r w:rsidRPr="004C7164">
        <w:rPr>
          <w:rFonts w:eastAsia="Times New Roman" w:cstheme="minorHAnsi"/>
          <w:sz w:val="24"/>
          <w:szCs w:val="24"/>
        </w:rPr>
        <w:t>Adeloye</w:t>
      </w:r>
      <w:proofErr w:type="spellEnd"/>
      <w:r w:rsidRPr="004C7164">
        <w:rPr>
          <w:rFonts w:eastAsia="Times New Roman" w:cstheme="minorHAnsi"/>
          <w:sz w:val="24"/>
          <w:szCs w:val="24"/>
        </w:rPr>
        <w:t xml:space="preserve">, D., Basquill, C., Aderemi, A. V., Thompson, J. Y., &amp; Obi, F. A. (2015). An estimate of the prevalence of hypertension in Nigeria: a systematic review and meta-analysis. Journal of Hypertension, </w:t>
      </w:r>
      <w:r w:rsidRPr="004C7164">
        <w:rPr>
          <w:rFonts w:eastAsia="Times New Roman" w:cstheme="minorHAnsi"/>
          <w:b/>
          <w:bCs/>
          <w:sz w:val="24"/>
          <w:szCs w:val="24"/>
        </w:rPr>
        <w:t>33</w:t>
      </w:r>
      <w:r w:rsidRPr="004C7164">
        <w:rPr>
          <w:rFonts w:eastAsia="Times New Roman" w:cstheme="minorHAnsi"/>
          <w:sz w:val="24"/>
          <w:szCs w:val="24"/>
        </w:rPr>
        <w:t>(2), 230-242. https://doi.org/10.1097/HJH.0000000000000413</w:t>
      </w:r>
    </w:p>
    <w:p w14:paraId="104289BB" w14:textId="72B8BDAD" w:rsidR="001720D1" w:rsidRPr="004C7164" w:rsidRDefault="001720D1" w:rsidP="001720D1">
      <w:pPr>
        <w:shd w:val="clear" w:color="auto" w:fill="FFFFFF"/>
        <w:spacing w:after="0" w:line="240" w:lineRule="auto"/>
        <w:rPr>
          <w:rFonts w:eastAsia="Times New Roman" w:cstheme="minorHAnsi"/>
          <w:i/>
          <w:iCs/>
          <w:sz w:val="24"/>
          <w:szCs w:val="24"/>
        </w:rPr>
      </w:pPr>
      <w:r w:rsidRPr="004C7164">
        <w:rPr>
          <w:rFonts w:eastAsia="Times New Roman" w:cstheme="minorHAnsi"/>
          <w:sz w:val="24"/>
          <w:szCs w:val="24"/>
        </w:rPr>
        <w:t>Balaji, C.</w:t>
      </w:r>
      <w:r w:rsidR="00F10063" w:rsidRPr="004C7164">
        <w:rPr>
          <w:rFonts w:eastAsia="Times New Roman" w:cstheme="minorHAnsi"/>
          <w:sz w:val="24"/>
          <w:szCs w:val="24"/>
        </w:rPr>
        <w:t xml:space="preserve"> (2021) </w:t>
      </w:r>
      <w:r w:rsidRPr="004C7164">
        <w:rPr>
          <w:rFonts w:eastAsia="Times New Roman" w:cstheme="minorHAnsi"/>
          <w:sz w:val="24"/>
          <w:szCs w:val="24"/>
        </w:rPr>
        <w:t>Prevalence of Metabolic Syndrome i</w:t>
      </w:r>
      <w:r w:rsidR="00F10063" w:rsidRPr="004C7164">
        <w:rPr>
          <w:rFonts w:eastAsia="Times New Roman" w:cstheme="minorHAnsi"/>
          <w:sz w:val="24"/>
          <w:szCs w:val="24"/>
        </w:rPr>
        <w:t>n Urban South Indian Population.</w:t>
      </w:r>
      <w:r w:rsidRPr="004C7164">
        <w:rPr>
          <w:rFonts w:eastAsia="Times New Roman" w:cstheme="minorHAnsi"/>
          <w:sz w:val="24"/>
          <w:szCs w:val="24"/>
        </w:rPr>
        <w:t> </w:t>
      </w:r>
      <w:r w:rsidRPr="004C7164">
        <w:rPr>
          <w:rFonts w:eastAsia="Times New Roman" w:cstheme="minorHAnsi"/>
          <w:i/>
          <w:iCs/>
          <w:sz w:val="24"/>
          <w:szCs w:val="24"/>
        </w:rPr>
        <w:t xml:space="preserve">Journal   </w:t>
      </w:r>
    </w:p>
    <w:p w14:paraId="60CBABDE" w14:textId="77777777" w:rsidR="001720D1" w:rsidRPr="004C7164" w:rsidRDefault="001720D1" w:rsidP="001720D1">
      <w:pPr>
        <w:shd w:val="clear" w:color="auto" w:fill="FFFFFF"/>
        <w:spacing w:after="0" w:line="240" w:lineRule="auto"/>
        <w:rPr>
          <w:rFonts w:eastAsia="Times New Roman" w:cstheme="minorHAnsi"/>
          <w:sz w:val="24"/>
          <w:szCs w:val="24"/>
        </w:rPr>
      </w:pPr>
      <w:r w:rsidRPr="004C7164">
        <w:rPr>
          <w:rFonts w:eastAsia="Times New Roman" w:cstheme="minorHAnsi"/>
          <w:i/>
          <w:iCs/>
          <w:sz w:val="24"/>
          <w:szCs w:val="24"/>
        </w:rPr>
        <w:t xml:space="preserve">                 of Pharmaceutical Research International</w:t>
      </w:r>
      <w:r w:rsidRPr="004C7164">
        <w:rPr>
          <w:rFonts w:eastAsia="Times New Roman" w:cstheme="minorHAnsi"/>
          <w:sz w:val="24"/>
          <w:szCs w:val="24"/>
        </w:rPr>
        <w:t>, 33(42A), pp. 104–110.</w:t>
      </w:r>
    </w:p>
    <w:p w14:paraId="5D39DF90" w14:textId="487F136C" w:rsidR="001720D1" w:rsidRPr="004C7164" w:rsidRDefault="001720D1" w:rsidP="001720D1">
      <w:pPr>
        <w:shd w:val="clear" w:color="auto" w:fill="FFFFFF"/>
        <w:spacing w:after="0" w:line="240" w:lineRule="auto"/>
        <w:rPr>
          <w:rFonts w:eastAsia="Times New Roman" w:cstheme="minorHAnsi"/>
          <w:sz w:val="24"/>
          <w:szCs w:val="24"/>
        </w:rPr>
      </w:pPr>
      <w:r w:rsidRPr="004C7164">
        <w:rPr>
          <w:rFonts w:eastAsia="Times New Roman" w:cstheme="minorHAnsi"/>
          <w:sz w:val="24"/>
          <w:szCs w:val="24"/>
        </w:rPr>
        <w:t xml:space="preserve">                 </w:t>
      </w:r>
      <w:proofErr w:type="spellStart"/>
      <w:r w:rsidRPr="004C7164">
        <w:rPr>
          <w:rFonts w:eastAsia="Times New Roman" w:cstheme="minorHAnsi"/>
          <w:sz w:val="24"/>
          <w:szCs w:val="24"/>
        </w:rPr>
        <w:t>doi</w:t>
      </w:r>
      <w:proofErr w:type="spellEnd"/>
      <w:r w:rsidRPr="004C7164">
        <w:rPr>
          <w:rFonts w:eastAsia="Times New Roman" w:cstheme="minorHAnsi"/>
          <w:sz w:val="24"/>
          <w:szCs w:val="24"/>
        </w:rPr>
        <w:t>: 10.9734/</w:t>
      </w:r>
      <w:proofErr w:type="spellStart"/>
      <w:r w:rsidRPr="004C7164">
        <w:rPr>
          <w:rFonts w:eastAsia="Times New Roman" w:cstheme="minorHAnsi"/>
          <w:sz w:val="24"/>
          <w:szCs w:val="24"/>
        </w:rPr>
        <w:t>jpri</w:t>
      </w:r>
      <w:proofErr w:type="spellEnd"/>
      <w:r w:rsidRPr="004C7164">
        <w:rPr>
          <w:rFonts w:eastAsia="Times New Roman" w:cstheme="minorHAnsi"/>
          <w:sz w:val="24"/>
          <w:szCs w:val="24"/>
        </w:rPr>
        <w:t>/2021/v33i42A32390.</w:t>
      </w:r>
    </w:p>
    <w:p w14:paraId="111B4723" w14:textId="77777777" w:rsidR="001A4839" w:rsidRPr="004C7164" w:rsidRDefault="001A4839" w:rsidP="001A4839">
      <w:pPr>
        <w:spacing w:before="100" w:beforeAutospacing="1" w:after="100" w:afterAutospacing="1" w:line="240" w:lineRule="auto"/>
        <w:ind w:left="900" w:hanging="900"/>
        <w:jc w:val="both"/>
        <w:rPr>
          <w:rFonts w:eastAsiaTheme="minorEastAsia" w:cstheme="minorHAnsi"/>
          <w:sz w:val="24"/>
          <w:szCs w:val="24"/>
        </w:rPr>
      </w:pPr>
      <w:r w:rsidRPr="004C7164">
        <w:rPr>
          <w:rFonts w:eastAsiaTheme="minorEastAsia" w:cstheme="minorHAnsi"/>
          <w:sz w:val="24"/>
          <w:szCs w:val="24"/>
        </w:rPr>
        <w:lastRenderedPageBreak/>
        <w:t xml:space="preserve">Gerstel, E., Pataky, Z., </w:t>
      </w:r>
      <w:proofErr w:type="spellStart"/>
      <w:r w:rsidRPr="004C7164">
        <w:rPr>
          <w:rFonts w:eastAsiaTheme="minorEastAsia" w:cstheme="minorHAnsi"/>
          <w:sz w:val="24"/>
          <w:szCs w:val="24"/>
        </w:rPr>
        <w:t>Busnel</w:t>
      </w:r>
      <w:proofErr w:type="spellEnd"/>
      <w:r w:rsidRPr="004C7164">
        <w:rPr>
          <w:rFonts w:eastAsiaTheme="minorEastAsia" w:cstheme="minorHAnsi"/>
          <w:sz w:val="24"/>
          <w:szCs w:val="24"/>
        </w:rPr>
        <w:t xml:space="preserve">, C., Rutschmann, O., Guessous, I., </w:t>
      </w:r>
      <w:proofErr w:type="spellStart"/>
      <w:r w:rsidRPr="004C7164">
        <w:rPr>
          <w:rFonts w:eastAsiaTheme="minorEastAsia" w:cstheme="minorHAnsi"/>
          <w:sz w:val="24"/>
          <w:szCs w:val="24"/>
        </w:rPr>
        <w:t>Zumwald</w:t>
      </w:r>
      <w:proofErr w:type="spellEnd"/>
      <w:r w:rsidRPr="004C7164">
        <w:rPr>
          <w:rFonts w:eastAsiaTheme="minorEastAsia" w:cstheme="minorHAnsi"/>
          <w:sz w:val="24"/>
          <w:szCs w:val="24"/>
        </w:rPr>
        <w:t xml:space="preserve">, C., and Golay, A. (2015).Impact of lifestyle intervention on body weight and the metabolic syndrome in home-care </w:t>
      </w:r>
      <w:proofErr w:type="spellStart"/>
      <w:r w:rsidRPr="004C7164">
        <w:rPr>
          <w:rFonts w:eastAsiaTheme="minorEastAsia" w:cstheme="minorHAnsi"/>
          <w:sz w:val="24"/>
          <w:szCs w:val="24"/>
        </w:rPr>
        <w:t>providers.</w:t>
      </w:r>
      <w:r w:rsidRPr="004C7164">
        <w:rPr>
          <w:rFonts w:eastAsiaTheme="minorEastAsia" w:cstheme="minorHAnsi"/>
          <w:i/>
          <w:iCs/>
          <w:sz w:val="24"/>
          <w:szCs w:val="24"/>
        </w:rPr>
        <w:t>Diabetes</w:t>
      </w:r>
      <w:proofErr w:type="spellEnd"/>
      <w:r w:rsidRPr="004C7164">
        <w:rPr>
          <w:rFonts w:eastAsiaTheme="minorEastAsia" w:cstheme="minorHAnsi"/>
          <w:i/>
          <w:iCs/>
          <w:sz w:val="24"/>
          <w:szCs w:val="24"/>
        </w:rPr>
        <w:t xml:space="preserve"> &amp; Metabolism</w:t>
      </w:r>
      <w:r w:rsidRPr="004C7164">
        <w:rPr>
          <w:rFonts w:eastAsiaTheme="minorEastAsia" w:cstheme="minorHAnsi"/>
          <w:sz w:val="24"/>
          <w:szCs w:val="24"/>
        </w:rPr>
        <w:t xml:space="preserve">, </w:t>
      </w:r>
      <w:r w:rsidRPr="004C7164">
        <w:rPr>
          <w:rFonts w:eastAsiaTheme="minorEastAsia" w:cstheme="minorHAnsi"/>
          <w:b/>
          <w:sz w:val="24"/>
          <w:szCs w:val="24"/>
        </w:rPr>
        <w:t>39</w:t>
      </w:r>
      <w:r w:rsidRPr="004C7164">
        <w:rPr>
          <w:rFonts w:eastAsiaTheme="minorEastAsia" w:cstheme="minorHAnsi"/>
          <w:sz w:val="24"/>
          <w:szCs w:val="24"/>
        </w:rPr>
        <w:t>(1):78-84.</w:t>
      </w:r>
    </w:p>
    <w:p w14:paraId="28856E01" w14:textId="77777777" w:rsidR="001A4839" w:rsidRPr="004C7164" w:rsidRDefault="001A4839" w:rsidP="001A4839">
      <w:pPr>
        <w:spacing w:before="100" w:beforeAutospacing="1" w:after="100" w:afterAutospacing="1" w:line="240" w:lineRule="auto"/>
        <w:ind w:left="900" w:hanging="900"/>
        <w:jc w:val="both"/>
        <w:rPr>
          <w:rFonts w:eastAsiaTheme="minorEastAsia" w:cstheme="minorHAnsi"/>
          <w:sz w:val="24"/>
          <w:szCs w:val="24"/>
        </w:rPr>
      </w:pPr>
      <w:r w:rsidRPr="004C7164">
        <w:rPr>
          <w:rFonts w:eastAsiaTheme="minorEastAsia" w:cstheme="minorHAnsi"/>
          <w:sz w:val="24"/>
          <w:szCs w:val="24"/>
        </w:rPr>
        <w:t xml:space="preserve">Grassi, G., Mark, A., and Esler, M. (2015).The sympathetic nervous system alterations in human </w:t>
      </w:r>
      <w:proofErr w:type="spellStart"/>
      <w:r w:rsidRPr="004C7164">
        <w:rPr>
          <w:rFonts w:eastAsiaTheme="minorEastAsia" w:cstheme="minorHAnsi"/>
          <w:sz w:val="24"/>
          <w:szCs w:val="24"/>
        </w:rPr>
        <w:t>hypertension.</w:t>
      </w:r>
      <w:r w:rsidRPr="004C7164">
        <w:rPr>
          <w:rFonts w:eastAsiaTheme="minorEastAsia" w:cstheme="minorHAnsi"/>
          <w:i/>
          <w:iCs/>
          <w:sz w:val="24"/>
          <w:szCs w:val="24"/>
        </w:rPr>
        <w:t>Circulation</w:t>
      </w:r>
      <w:proofErr w:type="spellEnd"/>
      <w:r w:rsidRPr="004C7164">
        <w:rPr>
          <w:rFonts w:eastAsiaTheme="minorEastAsia" w:cstheme="minorHAnsi"/>
          <w:i/>
          <w:iCs/>
          <w:sz w:val="24"/>
          <w:szCs w:val="24"/>
        </w:rPr>
        <w:t xml:space="preserve"> Research</w:t>
      </w:r>
      <w:r w:rsidRPr="004C7164">
        <w:rPr>
          <w:rFonts w:eastAsiaTheme="minorEastAsia" w:cstheme="minorHAnsi"/>
          <w:sz w:val="24"/>
          <w:szCs w:val="24"/>
        </w:rPr>
        <w:t xml:space="preserve">, </w:t>
      </w:r>
      <w:r w:rsidRPr="004C7164">
        <w:rPr>
          <w:rFonts w:eastAsiaTheme="minorEastAsia" w:cstheme="minorHAnsi"/>
          <w:b/>
          <w:sz w:val="24"/>
          <w:szCs w:val="24"/>
        </w:rPr>
        <w:t>116</w:t>
      </w:r>
      <w:r w:rsidRPr="004C7164">
        <w:rPr>
          <w:rFonts w:eastAsiaTheme="minorEastAsia" w:cstheme="minorHAnsi"/>
          <w:sz w:val="24"/>
          <w:szCs w:val="24"/>
        </w:rPr>
        <w:t>, .976-990.</w:t>
      </w:r>
    </w:p>
    <w:p w14:paraId="21D9EA84" w14:textId="77777777" w:rsidR="001A4839" w:rsidRPr="004C7164" w:rsidRDefault="001A4839" w:rsidP="001A4839">
      <w:pPr>
        <w:spacing w:before="100" w:beforeAutospacing="1" w:after="100" w:afterAutospacing="1" w:line="240" w:lineRule="auto"/>
        <w:ind w:left="900" w:hanging="900"/>
        <w:jc w:val="both"/>
        <w:rPr>
          <w:rFonts w:eastAsiaTheme="minorEastAsia" w:cstheme="minorHAnsi"/>
          <w:sz w:val="24"/>
          <w:szCs w:val="24"/>
        </w:rPr>
      </w:pPr>
      <w:r w:rsidRPr="004C7164">
        <w:rPr>
          <w:rFonts w:eastAsiaTheme="minorEastAsia" w:cstheme="minorHAnsi"/>
          <w:sz w:val="24"/>
          <w:szCs w:val="24"/>
        </w:rPr>
        <w:t>Hall, M.E. and Hall, J.E. (2018</w:t>
      </w:r>
      <w:proofErr w:type="gramStart"/>
      <w:r w:rsidRPr="004C7164">
        <w:rPr>
          <w:rFonts w:eastAsiaTheme="minorEastAsia" w:cstheme="minorHAnsi"/>
          <w:sz w:val="24"/>
          <w:szCs w:val="24"/>
        </w:rPr>
        <w:t>).Pathogenesis</w:t>
      </w:r>
      <w:proofErr w:type="gramEnd"/>
      <w:r w:rsidRPr="004C7164">
        <w:rPr>
          <w:rFonts w:eastAsiaTheme="minorEastAsia" w:cstheme="minorHAnsi"/>
          <w:sz w:val="24"/>
          <w:szCs w:val="24"/>
        </w:rPr>
        <w:t xml:space="preserve"> of hypertension. In: </w:t>
      </w:r>
      <w:r w:rsidRPr="004C7164">
        <w:rPr>
          <w:rFonts w:eastAsiaTheme="minorEastAsia" w:cstheme="minorHAnsi"/>
          <w:i/>
          <w:iCs/>
          <w:sz w:val="24"/>
          <w:szCs w:val="24"/>
        </w:rPr>
        <w:t>Hypertension: A Companion to Braunwald’s Heart Disease</w:t>
      </w:r>
      <w:r w:rsidRPr="004C7164">
        <w:rPr>
          <w:rFonts w:eastAsiaTheme="minorEastAsia" w:cstheme="minorHAnsi"/>
          <w:sz w:val="24"/>
          <w:szCs w:val="24"/>
        </w:rPr>
        <w:t>. Elsevier, pp.33-51.</w:t>
      </w:r>
    </w:p>
    <w:p w14:paraId="40068EBD" w14:textId="77777777" w:rsidR="001A4839" w:rsidRPr="004C7164" w:rsidRDefault="001A4839" w:rsidP="001A4839">
      <w:pPr>
        <w:spacing w:before="100" w:beforeAutospacing="1" w:after="100" w:afterAutospacing="1" w:line="240" w:lineRule="auto"/>
        <w:ind w:left="900" w:hanging="900"/>
        <w:jc w:val="both"/>
        <w:rPr>
          <w:rFonts w:eastAsia="Times New Roman" w:cstheme="minorHAnsi"/>
          <w:sz w:val="24"/>
          <w:szCs w:val="24"/>
        </w:rPr>
      </w:pPr>
      <w:r w:rsidRPr="004C7164">
        <w:rPr>
          <w:rFonts w:eastAsia="Times New Roman" w:cstheme="minorHAnsi"/>
          <w:sz w:val="24"/>
          <w:szCs w:val="24"/>
        </w:rPr>
        <w:t xml:space="preserve">Harrison, D. G., &amp; Bernstein, K. E. (2018). Immune mechanisms in </w:t>
      </w:r>
      <w:proofErr w:type="spellStart"/>
      <w:proofErr w:type="gramStart"/>
      <w:r w:rsidRPr="004C7164">
        <w:rPr>
          <w:rFonts w:eastAsia="Times New Roman" w:cstheme="minorHAnsi"/>
          <w:sz w:val="24"/>
          <w:szCs w:val="24"/>
        </w:rPr>
        <w:t>hypertension.</w:t>
      </w:r>
      <w:r w:rsidRPr="004C7164">
        <w:rPr>
          <w:rFonts w:eastAsia="Times New Roman" w:cstheme="minorHAnsi"/>
          <w:i/>
          <w:iCs/>
          <w:sz w:val="24"/>
          <w:szCs w:val="24"/>
        </w:rPr>
        <w:t>Hypertension</w:t>
      </w:r>
      <w:proofErr w:type="spellEnd"/>
      <w:proofErr w:type="gramEnd"/>
      <w:r w:rsidRPr="004C7164">
        <w:rPr>
          <w:rFonts w:eastAsia="Times New Roman" w:cstheme="minorHAnsi"/>
          <w:sz w:val="24"/>
          <w:szCs w:val="24"/>
        </w:rPr>
        <w:t xml:space="preserve">, </w:t>
      </w:r>
      <w:r w:rsidRPr="004C7164">
        <w:rPr>
          <w:rFonts w:eastAsia="Times New Roman" w:cstheme="minorHAnsi"/>
          <w:b/>
          <w:bCs/>
          <w:sz w:val="24"/>
          <w:szCs w:val="24"/>
        </w:rPr>
        <w:t>71</w:t>
      </w:r>
      <w:r w:rsidRPr="004C7164">
        <w:rPr>
          <w:rFonts w:eastAsia="Times New Roman" w:cstheme="minorHAnsi"/>
          <w:sz w:val="24"/>
          <w:szCs w:val="24"/>
        </w:rPr>
        <w:t xml:space="preserve">(5), 719–725. </w:t>
      </w:r>
    </w:p>
    <w:p w14:paraId="569EB8C2" w14:textId="77777777" w:rsidR="001A4839" w:rsidRPr="004C7164" w:rsidRDefault="001A4839" w:rsidP="001A4839">
      <w:pPr>
        <w:spacing w:before="100" w:beforeAutospacing="1" w:after="100" w:afterAutospacing="1" w:line="240" w:lineRule="auto"/>
        <w:ind w:left="900" w:hanging="900"/>
        <w:jc w:val="both"/>
        <w:rPr>
          <w:rFonts w:eastAsia="Times New Roman" w:cstheme="minorHAnsi"/>
          <w:sz w:val="24"/>
          <w:szCs w:val="24"/>
        </w:rPr>
      </w:pPr>
      <w:r w:rsidRPr="004C7164">
        <w:rPr>
          <w:rFonts w:eastAsia="Times New Roman" w:cstheme="minorHAnsi"/>
          <w:sz w:val="24"/>
          <w:szCs w:val="24"/>
        </w:rPr>
        <w:t>Hatch-McChesney, A, Smith TJ. (2023). Nutrition, immune function and infectious disease in military personnel: A narrative review. Nutrients</w:t>
      </w:r>
      <w:r w:rsidRPr="004C7164">
        <w:rPr>
          <w:rFonts w:eastAsia="Times New Roman" w:cstheme="minorHAnsi"/>
          <w:b/>
          <w:bCs/>
          <w:sz w:val="24"/>
          <w:szCs w:val="24"/>
        </w:rPr>
        <w:t xml:space="preserve"> 15</w:t>
      </w:r>
      <w:r w:rsidRPr="004C7164">
        <w:rPr>
          <w:rFonts w:eastAsia="Times New Roman" w:cstheme="minorHAnsi"/>
          <w:sz w:val="24"/>
          <w:szCs w:val="24"/>
        </w:rPr>
        <w:t>(23):4999.</w:t>
      </w:r>
    </w:p>
    <w:p w14:paraId="4A532F5D" w14:textId="2FD9C6E4" w:rsidR="00B52F92" w:rsidRPr="004C7164" w:rsidRDefault="00B52F92" w:rsidP="001A4839">
      <w:pPr>
        <w:spacing w:before="100" w:beforeAutospacing="1" w:after="100" w:afterAutospacing="1" w:line="240" w:lineRule="auto"/>
        <w:ind w:left="900" w:hanging="900"/>
        <w:jc w:val="both"/>
        <w:rPr>
          <w:rFonts w:eastAsia="Times New Roman" w:cstheme="minorHAnsi"/>
          <w:sz w:val="24"/>
          <w:szCs w:val="24"/>
        </w:rPr>
      </w:pPr>
      <w:r w:rsidRPr="004C7164">
        <w:t xml:space="preserve">Hatch-McChesney A, Smith TJ. (2023). Nutrition, Immune Function, and Infectious Disease in Military Personnel: A Narrative Review. Nutrients. 2023 Dec 2;15(23):4999. </w:t>
      </w:r>
      <w:proofErr w:type="spellStart"/>
      <w:r w:rsidRPr="004C7164">
        <w:t>doi</w:t>
      </w:r>
      <w:proofErr w:type="spellEnd"/>
      <w:r w:rsidRPr="004C7164">
        <w:t xml:space="preserve">: 10.3390/nu15234999. </w:t>
      </w:r>
    </w:p>
    <w:p w14:paraId="2222CAFD" w14:textId="77777777" w:rsidR="001A4839" w:rsidRPr="004C7164" w:rsidRDefault="001A4839" w:rsidP="001A4839">
      <w:pPr>
        <w:spacing w:before="100" w:beforeAutospacing="1" w:after="100" w:afterAutospacing="1" w:line="240" w:lineRule="auto"/>
        <w:ind w:left="900" w:hanging="900"/>
        <w:jc w:val="both"/>
        <w:rPr>
          <w:rFonts w:eastAsia="Times New Roman" w:cstheme="minorHAnsi"/>
          <w:sz w:val="24"/>
          <w:szCs w:val="24"/>
        </w:rPr>
      </w:pPr>
      <w:r w:rsidRPr="004C7164">
        <w:rPr>
          <w:rFonts w:eastAsia="Times New Roman" w:cstheme="minorHAnsi"/>
          <w:sz w:val="24"/>
          <w:szCs w:val="24"/>
        </w:rPr>
        <w:t xml:space="preserve">Huang, P. L. (2009). A comprehensive definition for metabolic </w:t>
      </w:r>
      <w:proofErr w:type="spellStart"/>
      <w:proofErr w:type="gramStart"/>
      <w:r w:rsidRPr="004C7164">
        <w:rPr>
          <w:rFonts w:eastAsia="Times New Roman" w:cstheme="minorHAnsi"/>
          <w:sz w:val="24"/>
          <w:szCs w:val="24"/>
        </w:rPr>
        <w:t>syndrome.</w:t>
      </w:r>
      <w:r w:rsidRPr="004C7164">
        <w:rPr>
          <w:rFonts w:eastAsia="Times New Roman" w:cstheme="minorHAnsi"/>
          <w:i/>
          <w:iCs/>
          <w:sz w:val="24"/>
          <w:szCs w:val="24"/>
        </w:rPr>
        <w:t>Disease</w:t>
      </w:r>
      <w:proofErr w:type="spellEnd"/>
      <w:proofErr w:type="gramEnd"/>
      <w:r w:rsidRPr="004C7164">
        <w:rPr>
          <w:rFonts w:eastAsia="Times New Roman" w:cstheme="minorHAnsi"/>
          <w:i/>
          <w:iCs/>
          <w:sz w:val="24"/>
          <w:szCs w:val="24"/>
        </w:rPr>
        <w:t xml:space="preserve"> Models &amp; Mechanisms</w:t>
      </w:r>
      <w:r w:rsidRPr="004C7164">
        <w:rPr>
          <w:rFonts w:eastAsia="Times New Roman" w:cstheme="minorHAnsi"/>
          <w:sz w:val="24"/>
          <w:szCs w:val="24"/>
        </w:rPr>
        <w:t xml:space="preserve">, </w:t>
      </w:r>
      <w:r w:rsidRPr="004C7164">
        <w:rPr>
          <w:rFonts w:eastAsia="Times New Roman" w:cstheme="minorHAnsi"/>
          <w:b/>
          <w:bCs/>
          <w:sz w:val="24"/>
          <w:szCs w:val="24"/>
        </w:rPr>
        <w:t>2</w:t>
      </w:r>
      <w:r w:rsidRPr="004C7164">
        <w:rPr>
          <w:rFonts w:eastAsia="Times New Roman" w:cstheme="minorHAnsi"/>
          <w:sz w:val="24"/>
          <w:szCs w:val="24"/>
        </w:rPr>
        <w:t xml:space="preserve">(5-6), 231–237. </w:t>
      </w:r>
    </w:p>
    <w:p w14:paraId="2BD1FD97" w14:textId="77777777" w:rsidR="001A4839" w:rsidRPr="004C7164" w:rsidRDefault="001A4839" w:rsidP="001A4839">
      <w:pPr>
        <w:spacing w:before="100" w:beforeAutospacing="1" w:after="100" w:afterAutospacing="1" w:line="240" w:lineRule="auto"/>
        <w:ind w:left="900" w:hanging="900"/>
        <w:jc w:val="both"/>
        <w:rPr>
          <w:rFonts w:eastAsiaTheme="minorEastAsia" w:cstheme="minorHAnsi"/>
          <w:sz w:val="24"/>
          <w:szCs w:val="24"/>
        </w:rPr>
      </w:pPr>
      <w:proofErr w:type="spellStart"/>
      <w:r w:rsidRPr="004C7164">
        <w:rPr>
          <w:rFonts w:eastAsiaTheme="minorEastAsia" w:cstheme="minorHAnsi"/>
          <w:sz w:val="24"/>
          <w:szCs w:val="24"/>
        </w:rPr>
        <w:t>Ibirongbe</w:t>
      </w:r>
      <w:proofErr w:type="spellEnd"/>
      <w:r w:rsidRPr="004C7164">
        <w:rPr>
          <w:rFonts w:eastAsiaTheme="minorEastAsia" w:cstheme="minorHAnsi"/>
          <w:sz w:val="24"/>
          <w:szCs w:val="24"/>
        </w:rPr>
        <w:t xml:space="preserve">, D.O., </w:t>
      </w:r>
      <w:proofErr w:type="spellStart"/>
      <w:r w:rsidRPr="004C7164">
        <w:rPr>
          <w:rFonts w:eastAsiaTheme="minorEastAsia" w:cstheme="minorHAnsi"/>
          <w:sz w:val="24"/>
          <w:szCs w:val="24"/>
        </w:rPr>
        <w:t>Abioye</w:t>
      </w:r>
      <w:proofErr w:type="spellEnd"/>
      <w:r w:rsidRPr="004C7164">
        <w:rPr>
          <w:rFonts w:eastAsiaTheme="minorEastAsia" w:cstheme="minorHAnsi"/>
          <w:sz w:val="24"/>
          <w:szCs w:val="24"/>
        </w:rPr>
        <w:t xml:space="preserve">, O.O., </w:t>
      </w:r>
      <w:proofErr w:type="spellStart"/>
      <w:r w:rsidRPr="004C7164">
        <w:rPr>
          <w:rFonts w:eastAsiaTheme="minorEastAsia" w:cstheme="minorHAnsi"/>
          <w:sz w:val="24"/>
          <w:szCs w:val="24"/>
        </w:rPr>
        <w:t>Adebimpe</w:t>
      </w:r>
      <w:proofErr w:type="spellEnd"/>
      <w:r w:rsidRPr="004C7164">
        <w:rPr>
          <w:rFonts w:eastAsiaTheme="minorEastAsia" w:cstheme="minorHAnsi"/>
          <w:sz w:val="24"/>
          <w:szCs w:val="24"/>
        </w:rPr>
        <w:t xml:space="preserve">, W.O., and </w:t>
      </w:r>
      <w:proofErr w:type="spellStart"/>
      <w:r w:rsidRPr="004C7164">
        <w:rPr>
          <w:rFonts w:eastAsiaTheme="minorEastAsia" w:cstheme="minorHAnsi"/>
          <w:sz w:val="24"/>
          <w:szCs w:val="24"/>
        </w:rPr>
        <w:t>Asuzu</w:t>
      </w:r>
      <w:proofErr w:type="spellEnd"/>
      <w:r w:rsidRPr="004C7164">
        <w:rPr>
          <w:rFonts w:eastAsiaTheme="minorEastAsia" w:cstheme="minorHAnsi"/>
          <w:sz w:val="24"/>
          <w:szCs w:val="24"/>
        </w:rPr>
        <w:t xml:space="preserve">, M.C. (2023).Prevalence and predictors of hypertension among army personnel in </w:t>
      </w:r>
      <w:proofErr w:type="spellStart"/>
      <w:r w:rsidRPr="004C7164">
        <w:rPr>
          <w:rFonts w:eastAsiaTheme="minorEastAsia" w:cstheme="minorHAnsi"/>
          <w:sz w:val="24"/>
          <w:szCs w:val="24"/>
        </w:rPr>
        <w:t>AdekunleFajuyi</w:t>
      </w:r>
      <w:proofErr w:type="spellEnd"/>
      <w:r w:rsidRPr="004C7164">
        <w:rPr>
          <w:rFonts w:eastAsiaTheme="minorEastAsia" w:cstheme="minorHAnsi"/>
          <w:sz w:val="24"/>
          <w:szCs w:val="24"/>
        </w:rPr>
        <w:t xml:space="preserve"> Military Cantonment, Ibadan, </w:t>
      </w:r>
      <w:proofErr w:type="spellStart"/>
      <w:r w:rsidRPr="004C7164">
        <w:rPr>
          <w:rFonts w:eastAsiaTheme="minorEastAsia" w:cstheme="minorHAnsi"/>
          <w:sz w:val="24"/>
          <w:szCs w:val="24"/>
        </w:rPr>
        <w:t>Nigeria.</w:t>
      </w:r>
      <w:r w:rsidRPr="004C7164">
        <w:rPr>
          <w:rFonts w:eastAsiaTheme="minorEastAsia" w:cstheme="minorHAnsi"/>
          <w:i/>
          <w:iCs/>
          <w:sz w:val="24"/>
          <w:szCs w:val="24"/>
        </w:rPr>
        <w:t>Epidemiology</w:t>
      </w:r>
      <w:proofErr w:type="spellEnd"/>
      <w:r w:rsidRPr="004C7164">
        <w:rPr>
          <w:rFonts w:eastAsiaTheme="minorEastAsia" w:cstheme="minorHAnsi"/>
          <w:i/>
          <w:iCs/>
          <w:sz w:val="24"/>
          <w:szCs w:val="24"/>
        </w:rPr>
        <w:t xml:space="preserve"> and Public Health</w:t>
      </w:r>
      <w:r w:rsidRPr="004C7164">
        <w:rPr>
          <w:rFonts w:eastAsiaTheme="minorEastAsia" w:cstheme="minorHAnsi"/>
          <w:sz w:val="24"/>
          <w:szCs w:val="24"/>
        </w:rPr>
        <w:t xml:space="preserve">, </w:t>
      </w:r>
      <w:r w:rsidRPr="004C7164">
        <w:rPr>
          <w:rFonts w:eastAsiaTheme="minorEastAsia" w:cstheme="minorHAnsi"/>
          <w:b/>
          <w:sz w:val="24"/>
          <w:szCs w:val="24"/>
        </w:rPr>
        <w:t>1</w:t>
      </w:r>
      <w:r w:rsidRPr="004C7164">
        <w:rPr>
          <w:rFonts w:eastAsiaTheme="minorEastAsia" w:cstheme="minorHAnsi"/>
          <w:sz w:val="24"/>
          <w:szCs w:val="24"/>
        </w:rPr>
        <w:t>(2),1014.</w:t>
      </w:r>
    </w:p>
    <w:p w14:paraId="31FA4DBE" w14:textId="77777777" w:rsidR="001A4839" w:rsidRPr="004C7164" w:rsidRDefault="001A4839" w:rsidP="001A4839">
      <w:pPr>
        <w:spacing w:before="100" w:beforeAutospacing="1" w:after="100" w:afterAutospacing="1" w:line="240" w:lineRule="auto"/>
        <w:ind w:left="900" w:hanging="900"/>
        <w:jc w:val="both"/>
        <w:rPr>
          <w:rFonts w:cstheme="minorHAnsi"/>
          <w:sz w:val="24"/>
          <w:szCs w:val="24"/>
        </w:rPr>
      </w:pPr>
      <w:r w:rsidRPr="004C7164">
        <w:rPr>
          <w:rFonts w:cstheme="minorHAnsi"/>
          <w:sz w:val="24"/>
          <w:szCs w:val="24"/>
        </w:rPr>
        <w:t xml:space="preserve">Jacobson, I.G., Harbertson, J., Sharifian, N., Rull, R.P., Steele, C.T., and Russell, D.W. (2024). Sleep health among US Navy afloat versus ashore personnel in the Millennium Cohort Study. </w:t>
      </w:r>
      <w:r w:rsidRPr="004C7164">
        <w:rPr>
          <w:rStyle w:val="Emphasis"/>
          <w:rFonts w:cstheme="minorHAnsi"/>
          <w:sz w:val="24"/>
          <w:szCs w:val="24"/>
        </w:rPr>
        <w:t>Journal of Sleep Research</w:t>
      </w:r>
      <w:r w:rsidRPr="004C7164">
        <w:rPr>
          <w:rFonts w:cstheme="minorHAnsi"/>
          <w:sz w:val="24"/>
          <w:szCs w:val="24"/>
        </w:rPr>
        <w:t xml:space="preserve">, </w:t>
      </w:r>
      <w:r w:rsidRPr="004C7164">
        <w:rPr>
          <w:rFonts w:cstheme="minorHAnsi"/>
          <w:b/>
          <w:sz w:val="24"/>
          <w:szCs w:val="24"/>
        </w:rPr>
        <w:t>33</w:t>
      </w:r>
      <w:r w:rsidRPr="004C7164">
        <w:rPr>
          <w:rFonts w:cstheme="minorHAnsi"/>
          <w:sz w:val="24"/>
          <w:szCs w:val="24"/>
        </w:rPr>
        <w:t>(6), p.e14207</w:t>
      </w:r>
    </w:p>
    <w:p w14:paraId="6A853B3A" w14:textId="77777777" w:rsidR="001A4839" w:rsidRPr="004C7164" w:rsidRDefault="001A4839" w:rsidP="001A4839">
      <w:pPr>
        <w:spacing w:before="100" w:beforeAutospacing="1" w:after="100" w:afterAutospacing="1" w:line="240" w:lineRule="auto"/>
        <w:ind w:left="900" w:hanging="900"/>
        <w:jc w:val="both"/>
      </w:pPr>
      <w:r w:rsidRPr="004C7164">
        <w:rPr>
          <w:rFonts w:eastAsiaTheme="minorEastAsia" w:cstheme="minorHAnsi"/>
          <w:sz w:val="24"/>
          <w:szCs w:val="24"/>
        </w:rPr>
        <w:t xml:space="preserve">Morgado, F., Valado, A., </w:t>
      </w:r>
      <w:proofErr w:type="spellStart"/>
      <w:r w:rsidRPr="004C7164">
        <w:rPr>
          <w:rFonts w:eastAsiaTheme="minorEastAsia" w:cstheme="minorHAnsi"/>
          <w:sz w:val="24"/>
          <w:szCs w:val="24"/>
        </w:rPr>
        <w:t>Metello</w:t>
      </w:r>
      <w:proofErr w:type="spellEnd"/>
      <w:r w:rsidRPr="004C7164">
        <w:rPr>
          <w:rFonts w:eastAsiaTheme="minorEastAsia" w:cstheme="minorHAnsi"/>
          <w:sz w:val="24"/>
          <w:szCs w:val="24"/>
        </w:rPr>
        <w:t xml:space="preserve">, J., and Pereira, L. (2024). Laboratory markers of metabolic </w:t>
      </w:r>
      <w:proofErr w:type="spellStart"/>
      <w:proofErr w:type="gramStart"/>
      <w:r w:rsidRPr="004C7164">
        <w:rPr>
          <w:rFonts w:eastAsiaTheme="minorEastAsia" w:cstheme="minorHAnsi"/>
          <w:sz w:val="24"/>
          <w:szCs w:val="24"/>
        </w:rPr>
        <w:t>syndrome.</w:t>
      </w:r>
      <w:r w:rsidRPr="004C7164">
        <w:rPr>
          <w:rFonts w:eastAsiaTheme="minorEastAsia" w:cstheme="minorHAnsi"/>
          <w:i/>
          <w:iCs/>
          <w:sz w:val="24"/>
          <w:szCs w:val="24"/>
        </w:rPr>
        <w:t>Exploration</w:t>
      </w:r>
      <w:proofErr w:type="spellEnd"/>
      <w:proofErr w:type="gramEnd"/>
      <w:r w:rsidRPr="004C7164">
        <w:rPr>
          <w:rFonts w:eastAsiaTheme="minorEastAsia" w:cstheme="minorHAnsi"/>
          <w:i/>
          <w:iCs/>
          <w:sz w:val="24"/>
          <w:szCs w:val="24"/>
        </w:rPr>
        <w:t xml:space="preserve"> of Cardiology</w:t>
      </w:r>
      <w:r w:rsidRPr="004C7164">
        <w:rPr>
          <w:rFonts w:eastAsiaTheme="minorEastAsia" w:cstheme="minorHAnsi"/>
          <w:sz w:val="24"/>
          <w:szCs w:val="24"/>
        </w:rPr>
        <w:t xml:space="preserve">, </w:t>
      </w:r>
      <w:r w:rsidRPr="004C7164">
        <w:rPr>
          <w:rFonts w:eastAsiaTheme="minorEastAsia" w:cstheme="minorHAnsi"/>
          <w:b/>
          <w:sz w:val="24"/>
          <w:szCs w:val="24"/>
        </w:rPr>
        <w:t>2</w:t>
      </w:r>
      <w:r w:rsidRPr="004C7164">
        <w:rPr>
          <w:rFonts w:eastAsiaTheme="minorEastAsia" w:cstheme="minorHAnsi"/>
          <w:sz w:val="24"/>
          <w:szCs w:val="24"/>
        </w:rPr>
        <w:t>,.114-133.</w:t>
      </w:r>
      <w:r w:rsidRPr="004C7164">
        <w:t xml:space="preserve"> </w:t>
      </w:r>
    </w:p>
    <w:p w14:paraId="143E0BAC" w14:textId="35BD4051" w:rsidR="001A4839" w:rsidRPr="004C7164" w:rsidRDefault="001A4839" w:rsidP="001A4839">
      <w:pPr>
        <w:spacing w:before="100" w:beforeAutospacing="1" w:after="100" w:afterAutospacing="1" w:line="240" w:lineRule="auto"/>
        <w:ind w:left="900" w:hanging="900"/>
        <w:jc w:val="both"/>
        <w:rPr>
          <w:rFonts w:eastAsiaTheme="minorEastAsia" w:cstheme="minorHAnsi"/>
          <w:sz w:val="24"/>
          <w:szCs w:val="24"/>
        </w:rPr>
      </w:pPr>
      <w:r w:rsidRPr="004C7164">
        <w:rPr>
          <w:rFonts w:eastAsiaTheme="minorEastAsia" w:cstheme="minorHAnsi"/>
          <w:sz w:val="24"/>
          <w:szCs w:val="24"/>
        </w:rPr>
        <w:t>Pietrzak, E., Pullman, S.</w:t>
      </w:r>
      <w:proofErr w:type="gramStart"/>
      <w:r w:rsidRPr="004C7164">
        <w:rPr>
          <w:rFonts w:eastAsiaTheme="minorEastAsia" w:cstheme="minorHAnsi"/>
          <w:sz w:val="24"/>
          <w:szCs w:val="24"/>
        </w:rPr>
        <w:t xml:space="preserve">,  </w:t>
      </w:r>
      <w:proofErr w:type="spellStart"/>
      <w:r w:rsidRPr="004C7164">
        <w:rPr>
          <w:rFonts w:eastAsiaTheme="minorEastAsia" w:cstheme="minorHAnsi"/>
          <w:sz w:val="24"/>
          <w:szCs w:val="24"/>
        </w:rPr>
        <w:t>Cotea</w:t>
      </w:r>
      <w:proofErr w:type="spellEnd"/>
      <w:proofErr w:type="gramEnd"/>
      <w:r w:rsidRPr="004C7164">
        <w:rPr>
          <w:rFonts w:eastAsiaTheme="minorEastAsia" w:cstheme="minorHAnsi"/>
          <w:sz w:val="24"/>
          <w:szCs w:val="24"/>
        </w:rPr>
        <w:t xml:space="preserve">, C.  and </w:t>
      </w:r>
      <w:proofErr w:type="spellStart"/>
      <w:r w:rsidRPr="004C7164">
        <w:rPr>
          <w:rFonts w:eastAsiaTheme="minorEastAsia" w:cstheme="minorHAnsi"/>
          <w:sz w:val="24"/>
          <w:szCs w:val="24"/>
        </w:rPr>
        <w:t>Nasveld</w:t>
      </w:r>
      <w:proofErr w:type="spellEnd"/>
      <w:r w:rsidRPr="004C7164">
        <w:rPr>
          <w:rFonts w:eastAsiaTheme="minorEastAsia" w:cstheme="minorHAnsi"/>
          <w:sz w:val="24"/>
          <w:szCs w:val="24"/>
        </w:rPr>
        <w:t xml:space="preserve">, </w:t>
      </w:r>
      <w:proofErr w:type="gramStart"/>
      <w:r w:rsidRPr="004C7164">
        <w:rPr>
          <w:rFonts w:eastAsiaTheme="minorEastAsia" w:cstheme="minorHAnsi"/>
          <w:sz w:val="24"/>
          <w:szCs w:val="24"/>
        </w:rPr>
        <w:t>P .</w:t>
      </w:r>
      <w:proofErr w:type="gramEnd"/>
      <w:r w:rsidRPr="004C7164">
        <w:rPr>
          <w:rFonts w:eastAsiaTheme="minorEastAsia" w:cstheme="minorHAnsi"/>
          <w:sz w:val="24"/>
          <w:szCs w:val="24"/>
        </w:rPr>
        <w:t xml:space="preserve">(2021). Journal of Military and Veterans' Health. Issue Volume 21 No. 1 Doi No </w:t>
      </w:r>
      <w:hyperlink r:id="rId7" w:history="1">
        <w:r w:rsidR="001F0D7B" w:rsidRPr="004C7164">
          <w:rPr>
            <w:rStyle w:val="Hyperlink"/>
            <w:rFonts w:eastAsiaTheme="minorEastAsia" w:cstheme="minorHAnsi"/>
            <w:color w:val="auto"/>
            <w:sz w:val="24"/>
            <w:szCs w:val="24"/>
          </w:rPr>
          <w:t>https://doi-ds.org/doilink/11.2021-37894298/JMVH Vol 21 No 1</w:t>
        </w:r>
      </w:hyperlink>
    </w:p>
    <w:p w14:paraId="1505D1E8" w14:textId="77777777" w:rsidR="001A4839" w:rsidRPr="004C7164" w:rsidRDefault="001A4839" w:rsidP="001A4839">
      <w:pPr>
        <w:pStyle w:val="NormalWeb"/>
        <w:ind w:left="900" w:hanging="900"/>
        <w:jc w:val="both"/>
        <w:rPr>
          <w:rFonts w:asciiTheme="minorHAnsi" w:hAnsiTheme="minorHAnsi" w:cstheme="minorHAnsi"/>
        </w:rPr>
      </w:pPr>
      <w:proofErr w:type="spellStart"/>
      <w:r w:rsidRPr="004C7164">
        <w:rPr>
          <w:rFonts w:asciiTheme="minorHAnsi" w:hAnsiTheme="minorHAnsi" w:cstheme="minorHAnsi"/>
        </w:rPr>
        <w:t>Sandoo</w:t>
      </w:r>
      <w:proofErr w:type="spellEnd"/>
      <w:r w:rsidRPr="004C7164">
        <w:rPr>
          <w:rFonts w:asciiTheme="minorHAnsi" w:hAnsiTheme="minorHAnsi" w:cstheme="minorHAnsi"/>
        </w:rPr>
        <w:t xml:space="preserve">, A., van </w:t>
      </w:r>
      <w:proofErr w:type="spellStart"/>
      <w:r w:rsidRPr="004C7164">
        <w:rPr>
          <w:rFonts w:asciiTheme="minorHAnsi" w:hAnsiTheme="minorHAnsi" w:cstheme="minorHAnsi"/>
        </w:rPr>
        <w:t>Zanten</w:t>
      </w:r>
      <w:proofErr w:type="spellEnd"/>
      <w:r w:rsidRPr="004C7164">
        <w:rPr>
          <w:rFonts w:asciiTheme="minorHAnsi" w:hAnsiTheme="minorHAnsi" w:cstheme="minorHAnsi"/>
        </w:rPr>
        <w:t xml:space="preserve">, J.J.C.S.V., </w:t>
      </w:r>
      <w:proofErr w:type="spellStart"/>
      <w:r w:rsidRPr="004C7164">
        <w:rPr>
          <w:rFonts w:asciiTheme="minorHAnsi" w:hAnsiTheme="minorHAnsi" w:cstheme="minorHAnsi"/>
        </w:rPr>
        <w:t>Metsios</w:t>
      </w:r>
      <w:proofErr w:type="spellEnd"/>
      <w:r w:rsidRPr="004C7164">
        <w:rPr>
          <w:rFonts w:asciiTheme="minorHAnsi" w:hAnsiTheme="minorHAnsi" w:cstheme="minorHAnsi"/>
        </w:rPr>
        <w:t xml:space="preserve">, G.S., Carroll, D. and Kitas, G.D. (2015). The endothelium and its role in regulating vascular </w:t>
      </w:r>
      <w:proofErr w:type="spellStart"/>
      <w:proofErr w:type="gramStart"/>
      <w:r w:rsidRPr="004C7164">
        <w:rPr>
          <w:rFonts w:asciiTheme="minorHAnsi" w:hAnsiTheme="minorHAnsi" w:cstheme="minorHAnsi"/>
        </w:rPr>
        <w:t>tone.</w:t>
      </w:r>
      <w:r w:rsidRPr="004C7164">
        <w:rPr>
          <w:rStyle w:val="Emphasis"/>
          <w:rFonts w:asciiTheme="minorHAnsi" w:eastAsiaTheme="majorEastAsia" w:hAnsiTheme="minorHAnsi" w:cstheme="minorHAnsi"/>
        </w:rPr>
        <w:t>The</w:t>
      </w:r>
      <w:proofErr w:type="spellEnd"/>
      <w:proofErr w:type="gramEnd"/>
      <w:r w:rsidRPr="004C7164">
        <w:rPr>
          <w:rStyle w:val="Emphasis"/>
          <w:rFonts w:asciiTheme="minorHAnsi" w:eastAsiaTheme="majorEastAsia" w:hAnsiTheme="minorHAnsi" w:cstheme="minorHAnsi"/>
        </w:rPr>
        <w:t xml:space="preserve"> Open Cardiovascular Medicine Journal</w:t>
      </w:r>
      <w:r w:rsidRPr="004C7164">
        <w:rPr>
          <w:rFonts w:asciiTheme="minorHAnsi" w:hAnsiTheme="minorHAnsi" w:cstheme="minorHAnsi"/>
        </w:rPr>
        <w:t xml:space="preserve">, </w:t>
      </w:r>
      <w:r w:rsidRPr="004C7164">
        <w:rPr>
          <w:rFonts w:asciiTheme="minorHAnsi" w:hAnsiTheme="minorHAnsi" w:cstheme="minorHAnsi"/>
          <w:b/>
        </w:rPr>
        <w:t>4</w:t>
      </w:r>
      <w:r w:rsidRPr="004C7164">
        <w:rPr>
          <w:rFonts w:asciiTheme="minorHAnsi" w:hAnsiTheme="minorHAnsi" w:cstheme="minorHAnsi"/>
        </w:rPr>
        <w:t>(1), 302–312.</w:t>
      </w:r>
    </w:p>
    <w:p w14:paraId="53997171" w14:textId="77777777" w:rsidR="00923487" w:rsidRPr="004C7164" w:rsidRDefault="00923487" w:rsidP="00923487">
      <w:pPr>
        <w:spacing w:after="0" w:line="240" w:lineRule="auto"/>
        <w:rPr>
          <w:rFonts w:eastAsia="Times New Roman" w:cstheme="minorHAnsi"/>
          <w:sz w:val="24"/>
          <w:szCs w:val="24"/>
        </w:rPr>
      </w:pPr>
      <w:r w:rsidRPr="004C7164">
        <w:rPr>
          <w:rFonts w:eastAsia="Times New Roman" w:cstheme="minorHAnsi"/>
          <w:sz w:val="24"/>
          <w:szCs w:val="24"/>
        </w:rPr>
        <w:t xml:space="preserve">Swarup S, Ahmed I, Grigorova Y, </w:t>
      </w:r>
      <w:proofErr w:type="spellStart"/>
      <w:r w:rsidRPr="004C7164">
        <w:t>Zeltser</w:t>
      </w:r>
      <w:proofErr w:type="spellEnd"/>
      <w:r w:rsidRPr="004C7164">
        <w:t xml:space="preserve"> R</w:t>
      </w:r>
      <w:r w:rsidRPr="004C7164">
        <w:rPr>
          <w:rFonts w:eastAsia="Times New Roman" w:cstheme="minorHAnsi"/>
          <w:sz w:val="24"/>
          <w:szCs w:val="24"/>
        </w:rPr>
        <w:t xml:space="preserve">. (2024). Metabolic Syndrome. [Updated 2024 Mar 7].  </w:t>
      </w:r>
    </w:p>
    <w:p w14:paraId="69E2E291" w14:textId="77777777" w:rsidR="00923487" w:rsidRPr="004C7164" w:rsidRDefault="00923487" w:rsidP="00923487">
      <w:pPr>
        <w:spacing w:after="0" w:line="240" w:lineRule="auto"/>
        <w:rPr>
          <w:rFonts w:eastAsia="Times New Roman" w:cstheme="minorHAnsi"/>
          <w:sz w:val="24"/>
          <w:szCs w:val="24"/>
        </w:rPr>
      </w:pPr>
      <w:r w:rsidRPr="004C7164">
        <w:rPr>
          <w:rFonts w:eastAsia="Times New Roman" w:cstheme="minorHAnsi"/>
          <w:sz w:val="24"/>
          <w:szCs w:val="24"/>
        </w:rPr>
        <w:t xml:space="preserve">               In: </w:t>
      </w:r>
      <w:proofErr w:type="spellStart"/>
      <w:r w:rsidRPr="004C7164">
        <w:rPr>
          <w:rFonts w:eastAsia="Times New Roman" w:cstheme="minorHAnsi"/>
          <w:sz w:val="24"/>
          <w:szCs w:val="24"/>
        </w:rPr>
        <w:t>StatPearls</w:t>
      </w:r>
      <w:proofErr w:type="spellEnd"/>
      <w:r w:rsidRPr="004C7164">
        <w:rPr>
          <w:rFonts w:eastAsia="Times New Roman" w:cstheme="minorHAnsi"/>
          <w:sz w:val="24"/>
          <w:szCs w:val="24"/>
        </w:rPr>
        <w:t xml:space="preserve"> [Internet]. Treasure Island (FL): </w:t>
      </w:r>
      <w:proofErr w:type="spellStart"/>
      <w:r w:rsidRPr="004C7164">
        <w:rPr>
          <w:rFonts w:eastAsia="Times New Roman" w:cstheme="minorHAnsi"/>
          <w:sz w:val="24"/>
          <w:szCs w:val="24"/>
        </w:rPr>
        <w:t>StatPearls</w:t>
      </w:r>
      <w:proofErr w:type="spellEnd"/>
      <w:r w:rsidRPr="004C7164">
        <w:rPr>
          <w:rFonts w:eastAsia="Times New Roman" w:cstheme="minorHAnsi"/>
          <w:sz w:val="24"/>
          <w:szCs w:val="24"/>
        </w:rPr>
        <w:t xml:space="preserve"> Publishing. </w:t>
      </w:r>
    </w:p>
    <w:p w14:paraId="1F8F32B8" w14:textId="7B206682" w:rsidR="00923487" w:rsidRPr="004C7164" w:rsidRDefault="00923487" w:rsidP="00923487">
      <w:pPr>
        <w:spacing w:after="0" w:line="240" w:lineRule="auto"/>
        <w:rPr>
          <w:rFonts w:eastAsia="Times New Roman" w:cstheme="minorHAnsi"/>
          <w:sz w:val="24"/>
          <w:szCs w:val="24"/>
        </w:rPr>
      </w:pPr>
      <w:r w:rsidRPr="004C7164">
        <w:rPr>
          <w:rFonts w:eastAsia="Times New Roman" w:cstheme="minorHAnsi"/>
          <w:sz w:val="24"/>
          <w:szCs w:val="24"/>
        </w:rPr>
        <w:t> </w:t>
      </w:r>
      <w:r w:rsidR="00251854" w:rsidRPr="004C7164">
        <w:rPr>
          <w:rFonts w:eastAsia="Times New Roman" w:cstheme="minorHAnsi"/>
          <w:sz w:val="24"/>
          <w:szCs w:val="24"/>
        </w:rPr>
        <w:t xml:space="preserve">              </w:t>
      </w:r>
      <w:r w:rsidRPr="004C7164">
        <w:rPr>
          <w:rFonts w:eastAsia="Times New Roman" w:cstheme="minorHAnsi"/>
          <w:sz w:val="24"/>
          <w:szCs w:val="24"/>
        </w:rPr>
        <w:t>Available from:  https://www.ncbi.nlm.nih.gov/books/NBK459248/</w:t>
      </w:r>
    </w:p>
    <w:p w14:paraId="1CA92222" w14:textId="77777777" w:rsidR="00923487" w:rsidRPr="004C7164" w:rsidRDefault="00923487" w:rsidP="001A4839">
      <w:pPr>
        <w:pStyle w:val="NormalWeb"/>
        <w:ind w:left="900" w:hanging="900"/>
        <w:jc w:val="both"/>
        <w:rPr>
          <w:rFonts w:asciiTheme="minorHAnsi" w:hAnsiTheme="minorHAnsi" w:cstheme="minorHAnsi"/>
        </w:rPr>
      </w:pPr>
    </w:p>
    <w:p w14:paraId="4301775F" w14:textId="1C2B0769" w:rsidR="001A4839" w:rsidRPr="004C7164" w:rsidRDefault="001A4839" w:rsidP="001A4839">
      <w:pPr>
        <w:pStyle w:val="NormalWeb"/>
        <w:ind w:left="900" w:hanging="900"/>
        <w:jc w:val="both"/>
        <w:rPr>
          <w:rFonts w:asciiTheme="minorHAnsi" w:hAnsiTheme="minorHAnsi" w:cstheme="minorHAnsi"/>
        </w:rPr>
      </w:pPr>
      <w:r w:rsidRPr="004C7164">
        <w:rPr>
          <w:rFonts w:asciiTheme="minorHAnsi" w:hAnsiTheme="minorHAnsi" w:cstheme="minorHAnsi"/>
        </w:rPr>
        <w:t xml:space="preserve">Sha, S, Bu XP, Wang AW, </w:t>
      </w:r>
      <w:proofErr w:type="spellStart"/>
      <w:proofErr w:type="gramStart"/>
      <w:r w:rsidRPr="004C7164">
        <w:rPr>
          <w:rFonts w:asciiTheme="minorHAnsi" w:hAnsiTheme="minorHAnsi" w:cstheme="minorHAnsi"/>
        </w:rPr>
        <w:t>Chen,HZ</w:t>
      </w:r>
      <w:proofErr w:type="spellEnd"/>
      <w:proofErr w:type="gramEnd"/>
      <w:r w:rsidRPr="004C7164">
        <w:rPr>
          <w:rFonts w:asciiTheme="minorHAnsi" w:hAnsiTheme="minorHAnsi" w:cstheme="minorHAnsi"/>
        </w:rPr>
        <w:t xml:space="preserve">, (2024) Association between inflammatory biomarkers and hypertension among sedentary adults in US: NHANES 2009-2018 J Clin </w:t>
      </w:r>
      <w:proofErr w:type="spellStart"/>
      <w:r w:rsidRPr="004C7164">
        <w:rPr>
          <w:rFonts w:asciiTheme="minorHAnsi" w:hAnsiTheme="minorHAnsi" w:cstheme="minorHAnsi"/>
        </w:rPr>
        <w:t>hypertens</w:t>
      </w:r>
      <w:proofErr w:type="spellEnd"/>
      <w:r w:rsidRPr="004C7164">
        <w:rPr>
          <w:rFonts w:asciiTheme="minorHAnsi" w:hAnsiTheme="minorHAnsi" w:cstheme="minorHAnsi"/>
        </w:rPr>
        <w:t xml:space="preserve"> (Greenwich) 26(8): 945-954. doi:10.1111/jch.14851.</w:t>
      </w:r>
    </w:p>
    <w:p w14:paraId="2A4D5E8A" w14:textId="77777777" w:rsidR="001A4839" w:rsidRPr="004C7164" w:rsidRDefault="001A4839" w:rsidP="001A4839">
      <w:pPr>
        <w:spacing w:before="100" w:beforeAutospacing="1" w:after="100" w:afterAutospacing="1" w:line="240" w:lineRule="auto"/>
        <w:ind w:left="900" w:hanging="900"/>
        <w:jc w:val="both"/>
        <w:rPr>
          <w:rFonts w:eastAsia="Times New Roman" w:cstheme="minorHAnsi"/>
          <w:sz w:val="24"/>
          <w:szCs w:val="24"/>
        </w:rPr>
      </w:pPr>
      <w:r w:rsidRPr="004C7164">
        <w:rPr>
          <w:rFonts w:eastAsia="Times New Roman" w:cstheme="minorHAnsi"/>
          <w:sz w:val="24"/>
          <w:szCs w:val="24"/>
        </w:rPr>
        <w:t xml:space="preserve">Witkowska, A.M. (2015). Soluble ICAM-1: a marker of vascular inflammation and lifestyle. </w:t>
      </w:r>
      <w:r w:rsidRPr="004C7164">
        <w:rPr>
          <w:rFonts w:eastAsia="Times New Roman" w:cstheme="minorHAnsi"/>
          <w:i/>
          <w:iCs/>
          <w:sz w:val="24"/>
          <w:szCs w:val="24"/>
        </w:rPr>
        <w:t>Cytokine</w:t>
      </w:r>
      <w:r w:rsidRPr="004C7164">
        <w:rPr>
          <w:rFonts w:eastAsia="Times New Roman" w:cstheme="minorHAnsi"/>
          <w:sz w:val="24"/>
          <w:szCs w:val="24"/>
        </w:rPr>
        <w:t xml:space="preserve">, </w:t>
      </w:r>
      <w:r w:rsidRPr="004C7164">
        <w:rPr>
          <w:rFonts w:eastAsia="Times New Roman" w:cstheme="minorHAnsi"/>
          <w:b/>
          <w:sz w:val="24"/>
          <w:szCs w:val="24"/>
        </w:rPr>
        <w:t>31</w:t>
      </w:r>
      <w:r w:rsidRPr="004C7164">
        <w:rPr>
          <w:rFonts w:eastAsia="Times New Roman" w:cstheme="minorHAnsi"/>
          <w:sz w:val="24"/>
          <w:szCs w:val="24"/>
        </w:rPr>
        <w:t>(1-2), 1–10.</w:t>
      </w:r>
    </w:p>
    <w:p w14:paraId="7530A49A" w14:textId="77777777" w:rsidR="001A4839" w:rsidRPr="004C7164" w:rsidRDefault="001A4839" w:rsidP="001A4839">
      <w:pPr>
        <w:spacing w:before="100" w:beforeAutospacing="1" w:after="100" w:afterAutospacing="1" w:line="240" w:lineRule="auto"/>
        <w:ind w:left="900" w:hanging="900"/>
        <w:jc w:val="both"/>
        <w:rPr>
          <w:rFonts w:eastAsia="Times New Roman" w:cstheme="minorHAnsi"/>
          <w:sz w:val="24"/>
          <w:szCs w:val="24"/>
        </w:rPr>
      </w:pPr>
      <w:r w:rsidRPr="004C7164">
        <w:rPr>
          <w:rFonts w:eastAsia="Times New Roman" w:cstheme="minorHAnsi"/>
          <w:sz w:val="24"/>
          <w:szCs w:val="24"/>
        </w:rPr>
        <w:t xml:space="preserve">World Health </w:t>
      </w:r>
      <w:proofErr w:type="gramStart"/>
      <w:r w:rsidRPr="004C7164">
        <w:rPr>
          <w:rFonts w:eastAsia="Times New Roman" w:cstheme="minorHAnsi"/>
          <w:sz w:val="24"/>
          <w:szCs w:val="24"/>
        </w:rPr>
        <w:t>Organization.(</w:t>
      </w:r>
      <w:proofErr w:type="gramEnd"/>
      <w:r w:rsidRPr="004C7164">
        <w:rPr>
          <w:rFonts w:eastAsia="Times New Roman" w:cstheme="minorHAnsi"/>
          <w:sz w:val="24"/>
          <w:szCs w:val="24"/>
        </w:rPr>
        <w:t xml:space="preserve">2023). </w:t>
      </w:r>
      <w:proofErr w:type="spellStart"/>
      <w:r w:rsidRPr="004C7164">
        <w:rPr>
          <w:rFonts w:eastAsia="Times New Roman" w:cstheme="minorHAnsi"/>
          <w:sz w:val="24"/>
          <w:szCs w:val="24"/>
        </w:rPr>
        <w:t>Hypertension.</w:t>
      </w:r>
      <w:r w:rsidRPr="004C7164">
        <w:rPr>
          <w:rFonts w:eastAsia="Times New Roman" w:cstheme="minorHAnsi"/>
          <w:i/>
          <w:iCs/>
          <w:sz w:val="24"/>
          <w:szCs w:val="24"/>
        </w:rPr>
        <w:t>WHO</w:t>
      </w:r>
      <w:proofErr w:type="spellEnd"/>
      <w:r w:rsidRPr="004C7164">
        <w:rPr>
          <w:rFonts w:eastAsia="Times New Roman" w:cstheme="minorHAnsi"/>
          <w:i/>
          <w:iCs/>
          <w:sz w:val="24"/>
          <w:szCs w:val="24"/>
        </w:rPr>
        <w:t xml:space="preserve"> Fact Sheet</w:t>
      </w:r>
      <w:r w:rsidRPr="004C7164">
        <w:rPr>
          <w:rFonts w:eastAsia="Times New Roman" w:cstheme="minorHAnsi"/>
          <w:sz w:val="24"/>
          <w:szCs w:val="24"/>
        </w:rPr>
        <w:t>. Retrieved from https://www.who.int/news-room/fact-sheets/detail/hypertension</w:t>
      </w:r>
    </w:p>
    <w:p w14:paraId="6627AB4B" w14:textId="77777777" w:rsidR="001A4839" w:rsidRPr="004C7164" w:rsidRDefault="001A4839" w:rsidP="001A4839">
      <w:pPr>
        <w:spacing w:before="100" w:beforeAutospacing="1" w:after="100" w:afterAutospacing="1" w:line="240" w:lineRule="auto"/>
        <w:ind w:left="900" w:hanging="900"/>
        <w:jc w:val="both"/>
        <w:rPr>
          <w:rFonts w:eastAsia="Times New Roman" w:cstheme="minorHAnsi"/>
          <w:sz w:val="24"/>
          <w:szCs w:val="24"/>
        </w:rPr>
      </w:pPr>
      <w:r w:rsidRPr="004C7164">
        <w:rPr>
          <w:rFonts w:eastAsia="Times New Roman" w:cstheme="minorHAnsi"/>
          <w:sz w:val="24"/>
          <w:szCs w:val="24"/>
        </w:rPr>
        <w:t xml:space="preserve">World Health </w:t>
      </w:r>
      <w:proofErr w:type="gramStart"/>
      <w:r w:rsidRPr="004C7164">
        <w:rPr>
          <w:rFonts w:eastAsia="Times New Roman" w:cstheme="minorHAnsi"/>
          <w:sz w:val="24"/>
          <w:szCs w:val="24"/>
        </w:rPr>
        <w:t>Organization.(</w:t>
      </w:r>
      <w:proofErr w:type="gramEnd"/>
      <w:r w:rsidRPr="004C7164">
        <w:rPr>
          <w:rFonts w:eastAsia="Times New Roman" w:cstheme="minorHAnsi"/>
          <w:sz w:val="24"/>
          <w:szCs w:val="24"/>
        </w:rPr>
        <w:t>2024). Global report on hypertension. Retrieved from https://www.who.int/publications/i/item/9789240081062</w:t>
      </w:r>
    </w:p>
    <w:p w14:paraId="1AE3461F" w14:textId="38A9CCED" w:rsidR="001A4839" w:rsidRPr="004C7164" w:rsidRDefault="001A4839" w:rsidP="001A4839">
      <w:pPr>
        <w:spacing w:before="100" w:beforeAutospacing="1" w:after="100" w:afterAutospacing="1" w:line="240" w:lineRule="auto"/>
        <w:jc w:val="both"/>
        <w:rPr>
          <w:rFonts w:eastAsia="Times New Roman" w:cstheme="minorHAnsi"/>
          <w:sz w:val="24"/>
          <w:szCs w:val="24"/>
        </w:rPr>
      </w:pPr>
      <w:proofErr w:type="spellStart"/>
      <w:r w:rsidRPr="004C7164">
        <w:rPr>
          <w:rFonts w:eastAsia="Times New Roman" w:cstheme="minorHAnsi"/>
          <w:sz w:val="24"/>
          <w:szCs w:val="24"/>
        </w:rPr>
        <w:t>Yudkin</w:t>
      </w:r>
      <w:proofErr w:type="spellEnd"/>
      <w:r w:rsidRPr="004C7164">
        <w:rPr>
          <w:rFonts w:eastAsia="Times New Roman" w:cstheme="minorHAnsi"/>
          <w:sz w:val="24"/>
          <w:szCs w:val="24"/>
        </w:rPr>
        <w:t xml:space="preserve">, J.S., </w:t>
      </w:r>
      <w:proofErr w:type="spellStart"/>
      <w:r w:rsidRPr="004C7164">
        <w:rPr>
          <w:rFonts w:eastAsia="Times New Roman" w:cstheme="minorHAnsi"/>
          <w:sz w:val="24"/>
          <w:szCs w:val="24"/>
        </w:rPr>
        <w:t>Stehouwer</w:t>
      </w:r>
      <w:proofErr w:type="spellEnd"/>
      <w:r w:rsidRPr="004C7164">
        <w:rPr>
          <w:rFonts w:eastAsia="Times New Roman" w:cstheme="minorHAnsi"/>
          <w:sz w:val="24"/>
          <w:szCs w:val="24"/>
        </w:rPr>
        <w:t xml:space="preserve">, C.D., </w:t>
      </w:r>
      <w:proofErr w:type="spellStart"/>
      <w:r w:rsidRPr="004C7164">
        <w:rPr>
          <w:rFonts w:eastAsia="Times New Roman" w:cstheme="minorHAnsi"/>
          <w:sz w:val="24"/>
          <w:szCs w:val="24"/>
        </w:rPr>
        <w:t>Emeis</w:t>
      </w:r>
      <w:proofErr w:type="spellEnd"/>
      <w:r w:rsidRPr="004C7164">
        <w:rPr>
          <w:rFonts w:eastAsia="Times New Roman" w:cstheme="minorHAnsi"/>
          <w:sz w:val="24"/>
          <w:szCs w:val="24"/>
        </w:rPr>
        <w:t xml:space="preserve">, J.J., and </w:t>
      </w:r>
      <w:proofErr w:type="spellStart"/>
      <w:r w:rsidRPr="004C7164">
        <w:rPr>
          <w:rFonts w:eastAsia="Times New Roman" w:cstheme="minorHAnsi"/>
          <w:sz w:val="24"/>
          <w:szCs w:val="24"/>
        </w:rPr>
        <w:t>Coppack</w:t>
      </w:r>
      <w:proofErr w:type="spellEnd"/>
      <w:r w:rsidRPr="004C7164">
        <w:rPr>
          <w:rFonts w:eastAsia="Times New Roman" w:cstheme="minorHAnsi"/>
          <w:sz w:val="24"/>
          <w:szCs w:val="24"/>
        </w:rPr>
        <w:t xml:space="preserve">, S.W. (2015). C-reactive protein in </w:t>
      </w:r>
      <w:proofErr w:type="gramStart"/>
      <w:r w:rsidRPr="004C7164">
        <w:rPr>
          <w:rFonts w:eastAsia="Times New Roman" w:cstheme="minorHAnsi"/>
          <w:sz w:val="24"/>
          <w:szCs w:val="24"/>
        </w:rPr>
        <w:t xml:space="preserve">healthy </w:t>
      </w:r>
      <w:r w:rsidR="00E44BF3" w:rsidRPr="004C7164">
        <w:rPr>
          <w:rFonts w:eastAsia="Times New Roman" w:cstheme="minorHAnsi"/>
          <w:sz w:val="24"/>
          <w:szCs w:val="24"/>
        </w:rPr>
        <w:t xml:space="preserve"> </w:t>
      </w:r>
      <w:r w:rsidRPr="004C7164">
        <w:rPr>
          <w:rFonts w:eastAsia="Times New Roman" w:cstheme="minorHAnsi"/>
          <w:sz w:val="24"/>
          <w:szCs w:val="24"/>
        </w:rPr>
        <w:t>subjects</w:t>
      </w:r>
      <w:proofErr w:type="gramEnd"/>
      <w:r w:rsidRPr="004C7164">
        <w:rPr>
          <w:rFonts w:eastAsia="Times New Roman" w:cstheme="minorHAnsi"/>
          <w:sz w:val="24"/>
          <w:szCs w:val="24"/>
        </w:rPr>
        <w:t xml:space="preserve">: associations with obesity, insulin resistance, and endothelial dysfunction: a potential role for cytokines originating from adipose tissue? </w:t>
      </w:r>
      <w:r w:rsidRPr="004C7164">
        <w:rPr>
          <w:rFonts w:eastAsia="Times New Roman" w:cstheme="minorHAnsi"/>
          <w:i/>
          <w:iCs/>
          <w:sz w:val="24"/>
          <w:szCs w:val="24"/>
        </w:rPr>
        <w:t>Arteriosclerosis, Thrombosis, and Vascular Biology</w:t>
      </w:r>
      <w:r w:rsidRPr="004C7164">
        <w:rPr>
          <w:rFonts w:eastAsia="Times New Roman" w:cstheme="minorHAnsi"/>
          <w:sz w:val="24"/>
          <w:szCs w:val="24"/>
        </w:rPr>
        <w:t>,</w:t>
      </w:r>
      <w:r w:rsidRPr="004C7164">
        <w:rPr>
          <w:rFonts w:eastAsia="Times New Roman" w:cstheme="minorHAnsi"/>
          <w:b/>
          <w:sz w:val="24"/>
          <w:szCs w:val="24"/>
        </w:rPr>
        <w:t xml:space="preserve"> 19</w:t>
      </w:r>
      <w:r w:rsidRPr="004C7164">
        <w:rPr>
          <w:rFonts w:eastAsia="Times New Roman" w:cstheme="minorHAnsi"/>
          <w:sz w:val="24"/>
          <w:szCs w:val="24"/>
        </w:rPr>
        <w:t>(4), .972–978</w:t>
      </w:r>
    </w:p>
    <w:p w14:paraId="1C05DFFE" w14:textId="77777777" w:rsidR="001A4839" w:rsidRPr="004C7164" w:rsidRDefault="001A4839" w:rsidP="001A4839">
      <w:pPr>
        <w:pStyle w:val="Heading2"/>
        <w:ind w:left="900" w:hanging="900"/>
        <w:rPr>
          <w:rFonts w:asciiTheme="minorHAnsi" w:hAnsiTheme="minorHAnsi" w:cstheme="minorHAnsi"/>
          <w:color w:val="auto"/>
          <w:sz w:val="24"/>
          <w:szCs w:val="24"/>
        </w:rPr>
      </w:pPr>
    </w:p>
    <w:p w14:paraId="286EC6C0" w14:textId="77777777" w:rsidR="001A4839" w:rsidRPr="004C7164" w:rsidRDefault="001A4839" w:rsidP="001A4839">
      <w:pPr>
        <w:pStyle w:val="Heading2"/>
        <w:ind w:left="900" w:hanging="900"/>
        <w:rPr>
          <w:rFonts w:asciiTheme="minorHAnsi" w:hAnsiTheme="minorHAnsi" w:cstheme="minorHAnsi"/>
          <w:color w:val="auto"/>
          <w:sz w:val="24"/>
          <w:szCs w:val="24"/>
        </w:rPr>
      </w:pPr>
    </w:p>
    <w:p w14:paraId="3CCB856C" w14:textId="77777777" w:rsidR="001A4839" w:rsidRPr="004C7164" w:rsidRDefault="001A4839" w:rsidP="001A4839">
      <w:pPr>
        <w:pStyle w:val="Heading2"/>
        <w:ind w:left="900" w:hanging="900"/>
        <w:rPr>
          <w:rFonts w:asciiTheme="minorHAnsi" w:hAnsiTheme="minorHAnsi" w:cstheme="minorHAnsi"/>
          <w:color w:val="auto"/>
          <w:sz w:val="24"/>
          <w:szCs w:val="24"/>
        </w:rPr>
      </w:pPr>
    </w:p>
    <w:p w14:paraId="66CA599F" w14:textId="77777777" w:rsidR="001A4839" w:rsidRPr="004C7164" w:rsidRDefault="001A4839" w:rsidP="001A4839">
      <w:pPr>
        <w:pStyle w:val="Heading2"/>
        <w:ind w:left="900" w:hanging="900"/>
        <w:rPr>
          <w:rFonts w:asciiTheme="minorHAnsi" w:hAnsiTheme="minorHAnsi" w:cstheme="minorHAnsi"/>
          <w:color w:val="auto"/>
          <w:sz w:val="24"/>
          <w:szCs w:val="24"/>
        </w:rPr>
      </w:pPr>
    </w:p>
    <w:p w14:paraId="7BDD1D59" w14:textId="77777777" w:rsidR="001A4839" w:rsidRPr="004C7164" w:rsidRDefault="001A4839" w:rsidP="001A4839">
      <w:pPr>
        <w:pStyle w:val="Heading2"/>
        <w:ind w:left="900" w:hanging="900"/>
        <w:rPr>
          <w:rFonts w:asciiTheme="minorHAnsi" w:hAnsiTheme="minorHAnsi" w:cstheme="minorHAnsi"/>
          <w:color w:val="auto"/>
          <w:sz w:val="24"/>
          <w:szCs w:val="24"/>
        </w:rPr>
      </w:pPr>
    </w:p>
    <w:p w14:paraId="6CBBD172" w14:textId="77777777" w:rsidR="001A4839" w:rsidRPr="004C7164" w:rsidRDefault="001A4839" w:rsidP="001A4839">
      <w:pPr>
        <w:pStyle w:val="Heading2"/>
        <w:rPr>
          <w:rFonts w:asciiTheme="minorHAnsi" w:hAnsiTheme="minorHAnsi" w:cstheme="minorHAnsi"/>
          <w:color w:val="auto"/>
          <w:sz w:val="24"/>
          <w:szCs w:val="24"/>
        </w:rPr>
      </w:pPr>
    </w:p>
    <w:p w14:paraId="7C5EF4D4" w14:textId="77777777" w:rsidR="001A4839" w:rsidRPr="004C7164" w:rsidRDefault="001A4839"/>
    <w:sectPr w:rsidR="001A4839" w:rsidRPr="004C7164" w:rsidSect="001A4839">
      <w:headerReference w:type="even" r:id="rId8"/>
      <w:headerReference w:type="default" r:id="rId9"/>
      <w:footerReference w:type="default" r:id="rId10"/>
      <w:headerReference w:type="first" r:id="rId11"/>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3FC18" w14:textId="77777777" w:rsidR="008D6BC6" w:rsidRDefault="008D6BC6">
      <w:pPr>
        <w:spacing w:after="0" w:line="240" w:lineRule="auto"/>
      </w:pPr>
      <w:r>
        <w:separator/>
      </w:r>
    </w:p>
  </w:endnote>
  <w:endnote w:type="continuationSeparator" w:id="0">
    <w:p w14:paraId="40D0FDDD" w14:textId="77777777" w:rsidR="008D6BC6" w:rsidRDefault="008D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560731"/>
      <w:docPartObj>
        <w:docPartGallery w:val="Page Numbers (Bottom of Page)"/>
        <w:docPartUnique/>
      </w:docPartObj>
    </w:sdtPr>
    <w:sdtEndPr>
      <w:rPr>
        <w:noProof/>
      </w:rPr>
    </w:sdtEndPr>
    <w:sdtContent>
      <w:p w14:paraId="01EB010B" w14:textId="77777777" w:rsidR="00923487" w:rsidRDefault="00923487">
        <w:pPr>
          <w:pStyle w:val="Footer"/>
          <w:jc w:val="center"/>
        </w:pPr>
        <w:r>
          <w:fldChar w:fldCharType="begin"/>
        </w:r>
        <w:r>
          <w:instrText xml:space="preserve"> PAGE   \* MERGEFORMAT </w:instrText>
        </w:r>
        <w:r>
          <w:fldChar w:fldCharType="separate"/>
        </w:r>
        <w:r w:rsidR="00713F3D">
          <w:rPr>
            <w:noProof/>
          </w:rPr>
          <w:t>13</w:t>
        </w:r>
        <w:r>
          <w:rPr>
            <w:noProof/>
          </w:rPr>
          <w:fldChar w:fldCharType="end"/>
        </w:r>
      </w:p>
    </w:sdtContent>
  </w:sdt>
  <w:p w14:paraId="2F93B20D" w14:textId="77777777" w:rsidR="00923487" w:rsidRDefault="00923487" w:rsidP="00DE3D61">
    <w:pPr>
      <w:pStyle w:val="Footer"/>
      <w:tabs>
        <w:tab w:val="clear" w:pos="4680"/>
        <w:tab w:val="clear" w:pos="9360"/>
        <w:tab w:val="left" w:pos="24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83BAE" w14:textId="77777777" w:rsidR="008D6BC6" w:rsidRDefault="008D6BC6">
      <w:pPr>
        <w:spacing w:after="0" w:line="240" w:lineRule="auto"/>
      </w:pPr>
      <w:r>
        <w:separator/>
      </w:r>
    </w:p>
  </w:footnote>
  <w:footnote w:type="continuationSeparator" w:id="0">
    <w:p w14:paraId="1E2EFFC5" w14:textId="77777777" w:rsidR="008D6BC6" w:rsidRDefault="008D6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37CC" w14:textId="77777777" w:rsidR="00923487" w:rsidRDefault="008D6BC6">
    <w:pPr>
      <w:pStyle w:val="Header"/>
    </w:pPr>
    <w:r>
      <w:rPr>
        <w:noProof/>
      </w:rPr>
      <w:pict w14:anchorId="68295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985001" o:spid="_x0000_s2049" type="#_x0000_t136" style="position:absolute;margin-left:0;margin-top:0;width:561pt;height:105.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A7AA2" w14:textId="77777777" w:rsidR="00923487" w:rsidRDefault="008D6BC6">
    <w:pPr>
      <w:pStyle w:val="Header"/>
    </w:pPr>
    <w:r>
      <w:rPr>
        <w:noProof/>
      </w:rPr>
      <w:pict w14:anchorId="14753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985002" o:spid="_x0000_s2050" type="#_x0000_t136" style="position:absolute;margin-left:0;margin-top:0;width:561pt;height:105.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D655" w14:textId="77777777" w:rsidR="00923487" w:rsidRDefault="008D6BC6">
    <w:pPr>
      <w:pStyle w:val="Header"/>
    </w:pPr>
    <w:r>
      <w:rPr>
        <w:noProof/>
      </w:rPr>
      <w:pict w14:anchorId="6F63A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985000" o:spid="_x0000_s2051" type="#_x0000_t136" style="position:absolute;margin-left:0;margin-top:0;width:561pt;height:105.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EC6"/>
    <w:multiLevelType w:val="multilevel"/>
    <w:tmpl w:val="4354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1B13"/>
    <w:multiLevelType w:val="hybridMultilevel"/>
    <w:tmpl w:val="5EC89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5F82"/>
    <w:multiLevelType w:val="multilevel"/>
    <w:tmpl w:val="D00E240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9512C"/>
    <w:multiLevelType w:val="hybridMultilevel"/>
    <w:tmpl w:val="5720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A0775"/>
    <w:multiLevelType w:val="hybridMultilevel"/>
    <w:tmpl w:val="97D8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43FFB"/>
    <w:multiLevelType w:val="multilevel"/>
    <w:tmpl w:val="96D2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141A6"/>
    <w:multiLevelType w:val="hybridMultilevel"/>
    <w:tmpl w:val="E802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42AF7"/>
    <w:multiLevelType w:val="multilevel"/>
    <w:tmpl w:val="F158400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7220A8"/>
    <w:multiLevelType w:val="multilevel"/>
    <w:tmpl w:val="14CAF4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744F77"/>
    <w:multiLevelType w:val="multilevel"/>
    <w:tmpl w:val="95821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23635A"/>
    <w:multiLevelType w:val="multilevel"/>
    <w:tmpl w:val="8EF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C71E1"/>
    <w:multiLevelType w:val="multilevel"/>
    <w:tmpl w:val="2CBEC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90C4D"/>
    <w:multiLevelType w:val="multilevel"/>
    <w:tmpl w:val="1662197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099522F"/>
    <w:multiLevelType w:val="multilevel"/>
    <w:tmpl w:val="220C6BEC"/>
    <w:lvl w:ilvl="0">
      <w:start w:val="1"/>
      <w:numFmt w:val="decimal"/>
      <w:lvlText w:val="%1."/>
      <w:lvlJc w:val="left"/>
      <w:pPr>
        <w:ind w:left="720" w:hanging="360"/>
      </w:pPr>
      <w:rPr>
        <w:rFonts w:hint="default"/>
        <w:b/>
        <w:bCs/>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7C31E8F"/>
    <w:multiLevelType w:val="multilevel"/>
    <w:tmpl w:val="F794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B5A9B"/>
    <w:multiLevelType w:val="multilevel"/>
    <w:tmpl w:val="8C3C43B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C57924"/>
    <w:multiLevelType w:val="multilevel"/>
    <w:tmpl w:val="4EEE59A6"/>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11B0AF1"/>
    <w:multiLevelType w:val="hybridMultilevel"/>
    <w:tmpl w:val="FBE0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44A33"/>
    <w:multiLevelType w:val="hybridMultilevel"/>
    <w:tmpl w:val="C8BE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415E3"/>
    <w:multiLevelType w:val="multilevel"/>
    <w:tmpl w:val="8F42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19"/>
  </w:num>
  <w:num w:numId="4">
    <w:abstractNumId w:val="0"/>
  </w:num>
  <w:num w:numId="5">
    <w:abstractNumId w:val="2"/>
  </w:num>
  <w:num w:numId="6">
    <w:abstractNumId w:val="9"/>
  </w:num>
  <w:num w:numId="7">
    <w:abstractNumId w:val="11"/>
  </w:num>
  <w:num w:numId="8">
    <w:abstractNumId w:val="10"/>
  </w:num>
  <w:num w:numId="9">
    <w:abstractNumId w:val="4"/>
  </w:num>
  <w:num w:numId="10">
    <w:abstractNumId w:val="13"/>
  </w:num>
  <w:num w:numId="11">
    <w:abstractNumId w:val="18"/>
  </w:num>
  <w:num w:numId="12">
    <w:abstractNumId w:val="12"/>
  </w:num>
  <w:num w:numId="13">
    <w:abstractNumId w:val="7"/>
  </w:num>
  <w:num w:numId="14">
    <w:abstractNumId w:val="1"/>
  </w:num>
  <w:num w:numId="15">
    <w:abstractNumId w:val="6"/>
  </w:num>
  <w:num w:numId="16">
    <w:abstractNumId w:val="17"/>
  </w:num>
  <w:num w:numId="17">
    <w:abstractNumId w:val="3"/>
  </w:num>
  <w:num w:numId="18">
    <w:abstractNumId w:val="8"/>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839"/>
    <w:rsid w:val="00001D13"/>
    <w:rsid w:val="00146AB8"/>
    <w:rsid w:val="00157365"/>
    <w:rsid w:val="001720D1"/>
    <w:rsid w:val="00173FB1"/>
    <w:rsid w:val="00191A93"/>
    <w:rsid w:val="001A4839"/>
    <w:rsid w:val="001F0D7B"/>
    <w:rsid w:val="00234177"/>
    <w:rsid w:val="00251854"/>
    <w:rsid w:val="00255D4B"/>
    <w:rsid w:val="002615E4"/>
    <w:rsid w:val="002A0B7A"/>
    <w:rsid w:val="002D48AE"/>
    <w:rsid w:val="00372081"/>
    <w:rsid w:val="00381466"/>
    <w:rsid w:val="003E21FD"/>
    <w:rsid w:val="004009FE"/>
    <w:rsid w:val="004143A2"/>
    <w:rsid w:val="00465F36"/>
    <w:rsid w:val="004A3551"/>
    <w:rsid w:val="004B1B18"/>
    <w:rsid w:val="004C7164"/>
    <w:rsid w:val="00550A01"/>
    <w:rsid w:val="005D7586"/>
    <w:rsid w:val="005F2C3F"/>
    <w:rsid w:val="005F6E0A"/>
    <w:rsid w:val="00645567"/>
    <w:rsid w:val="006E3030"/>
    <w:rsid w:val="00713F3D"/>
    <w:rsid w:val="0075317B"/>
    <w:rsid w:val="007538D8"/>
    <w:rsid w:val="00854F4E"/>
    <w:rsid w:val="008A5388"/>
    <w:rsid w:val="008B460C"/>
    <w:rsid w:val="008D6BC6"/>
    <w:rsid w:val="009156DB"/>
    <w:rsid w:val="009158AF"/>
    <w:rsid w:val="00923487"/>
    <w:rsid w:val="00A4189B"/>
    <w:rsid w:val="00A41BF5"/>
    <w:rsid w:val="00A46EB1"/>
    <w:rsid w:val="00A85116"/>
    <w:rsid w:val="00B52F92"/>
    <w:rsid w:val="00BB58F8"/>
    <w:rsid w:val="00BD6E93"/>
    <w:rsid w:val="00C84FE9"/>
    <w:rsid w:val="00C918B3"/>
    <w:rsid w:val="00D1041E"/>
    <w:rsid w:val="00D45685"/>
    <w:rsid w:val="00D82675"/>
    <w:rsid w:val="00DB3473"/>
    <w:rsid w:val="00DE3D61"/>
    <w:rsid w:val="00E44BF3"/>
    <w:rsid w:val="00ED1CE2"/>
    <w:rsid w:val="00F10063"/>
    <w:rsid w:val="00FB57A9"/>
    <w:rsid w:val="00FC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E47A4A"/>
  <w15:docId w15:val="{4B31E8F5-8586-4D4D-A799-957842A2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83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A4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4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8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8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8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4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8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8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8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839"/>
    <w:rPr>
      <w:rFonts w:eastAsiaTheme="majorEastAsia" w:cstheme="majorBidi"/>
      <w:color w:val="272727" w:themeColor="text1" w:themeTint="D8"/>
    </w:rPr>
  </w:style>
  <w:style w:type="paragraph" w:styleId="Title">
    <w:name w:val="Title"/>
    <w:basedOn w:val="Normal"/>
    <w:next w:val="Normal"/>
    <w:link w:val="TitleChar"/>
    <w:uiPriority w:val="10"/>
    <w:qFormat/>
    <w:rsid w:val="001A4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839"/>
    <w:pPr>
      <w:spacing w:before="160"/>
      <w:jc w:val="center"/>
    </w:pPr>
    <w:rPr>
      <w:i/>
      <w:iCs/>
      <w:color w:val="404040" w:themeColor="text1" w:themeTint="BF"/>
    </w:rPr>
  </w:style>
  <w:style w:type="character" w:customStyle="1" w:styleId="QuoteChar">
    <w:name w:val="Quote Char"/>
    <w:basedOn w:val="DefaultParagraphFont"/>
    <w:link w:val="Quote"/>
    <w:uiPriority w:val="29"/>
    <w:rsid w:val="001A4839"/>
    <w:rPr>
      <w:i/>
      <w:iCs/>
      <w:color w:val="404040" w:themeColor="text1" w:themeTint="BF"/>
    </w:rPr>
  </w:style>
  <w:style w:type="paragraph" w:styleId="ListParagraph">
    <w:name w:val="List Paragraph"/>
    <w:basedOn w:val="Normal"/>
    <w:uiPriority w:val="34"/>
    <w:qFormat/>
    <w:rsid w:val="001A4839"/>
    <w:pPr>
      <w:ind w:left="720"/>
      <w:contextualSpacing/>
    </w:pPr>
  </w:style>
  <w:style w:type="character" w:styleId="IntenseEmphasis">
    <w:name w:val="Intense Emphasis"/>
    <w:basedOn w:val="DefaultParagraphFont"/>
    <w:uiPriority w:val="21"/>
    <w:qFormat/>
    <w:rsid w:val="001A4839"/>
    <w:rPr>
      <w:i/>
      <w:iCs/>
      <w:color w:val="2F5496" w:themeColor="accent1" w:themeShade="BF"/>
    </w:rPr>
  </w:style>
  <w:style w:type="paragraph" w:styleId="IntenseQuote">
    <w:name w:val="Intense Quote"/>
    <w:basedOn w:val="Normal"/>
    <w:next w:val="Normal"/>
    <w:link w:val="IntenseQuoteChar"/>
    <w:uiPriority w:val="30"/>
    <w:qFormat/>
    <w:rsid w:val="001A4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839"/>
    <w:rPr>
      <w:i/>
      <w:iCs/>
      <w:color w:val="2F5496" w:themeColor="accent1" w:themeShade="BF"/>
    </w:rPr>
  </w:style>
  <w:style w:type="character" w:styleId="IntenseReference">
    <w:name w:val="Intense Reference"/>
    <w:basedOn w:val="DefaultParagraphFont"/>
    <w:uiPriority w:val="32"/>
    <w:qFormat/>
    <w:rsid w:val="001A4839"/>
    <w:rPr>
      <w:b/>
      <w:bCs/>
      <w:smallCaps/>
      <w:color w:val="2F5496" w:themeColor="accent1" w:themeShade="BF"/>
      <w:spacing w:val="5"/>
    </w:rPr>
  </w:style>
  <w:style w:type="paragraph" w:styleId="NormalWeb">
    <w:name w:val="Normal (Web)"/>
    <w:basedOn w:val="Normal"/>
    <w:uiPriority w:val="99"/>
    <w:unhideWhenUsed/>
    <w:rsid w:val="001A48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4839"/>
    <w:rPr>
      <w:i/>
      <w:iCs/>
    </w:rPr>
  </w:style>
  <w:style w:type="table" w:styleId="TableGrid">
    <w:name w:val="Table Grid"/>
    <w:basedOn w:val="TableNormal"/>
    <w:uiPriority w:val="59"/>
    <w:rsid w:val="001A4839"/>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A4839"/>
    <w:rPr>
      <w:b/>
      <w:bCs/>
    </w:rPr>
  </w:style>
  <w:style w:type="table" w:customStyle="1" w:styleId="LightShading1">
    <w:name w:val="Light Shading1"/>
    <w:basedOn w:val="TableNormal"/>
    <w:uiPriority w:val="60"/>
    <w:rsid w:val="001A4839"/>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A4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839"/>
    <w:rPr>
      <w:kern w:val="0"/>
      <w:sz w:val="22"/>
      <w:szCs w:val="22"/>
      <w14:ligatures w14:val="none"/>
    </w:rPr>
  </w:style>
  <w:style w:type="paragraph" w:styleId="Footer">
    <w:name w:val="footer"/>
    <w:basedOn w:val="Normal"/>
    <w:link w:val="FooterChar"/>
    <w:uiPriority w:val="99"/>
    <w:unhideWhenUsed/>
    <w:rsid w:val="001A4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839"/>
    <w:rPr>
      <w:kern w:val="0"/>
      <w:sz w:val="22"/>
      <w:szCs w:val="22"/>
      <w14:ligatures w14:val="none"/>
    </w:rPr>
  </w:style>
  <w:style w:type="character" w:styleId="Hyperlink">
    <w:name w:val="Hyperlink"/>
    <w:basedOn w:val="DefaultParagraphFont"/>
    <w:uiPriority w:val="99"/>
    <w:unhideWhenUsed/>
    <w:rsid w:val="001A4839"/>
    <w:rPr>
      <w:color w:val="0563C1" w:themeColor="hyperlink"/>
      <w:u w:val="single"/>
    </w:rPr>
  </w:style>
  <w:style w:type="character" w:customStyle="1" w:styleId="UnresolvedMention1">
    <w:name w:val="Unresolved Mention1"/>
    <w:basedOn w:val="DefaultParagraphFont"/>
    <w:uiPriority w:val="99"/>
    <w:semiHidden/>
    <w:unhideWhenUsed/>
    <w:rsid w:val="001A4839"/>
    <w:rPr>
      <w:color w:val="605E5C"/>
      <w:shd w:val="clear" w:color="auto" w:fill="E1DFDD"/>
    </w:rPr>
  </w:style>
  <w:style w:type="character" w:styleId="CommentReference">
    <w:name w:val="annotation reference"/>
    <w:basedOn w:val="DefaultParagraphFont"/>
    <w:uiPriority w:val="99"/>
    <w:semiHidden/>
    <w:unhideWhenUsed/>
    <w:rsid w:val="001A4839"/>
    <w:rPr>
      <w:sz w:val="16"/>
      <w:szCs w:val="16"/>
    </w:rPr>
  </w:style>
  <w:style w:type="paragraph" w:styleId="CommentText">
    <w:name w:val="annotation text"/>
    <w:basedOn w:val="Normal"/>
    <w:link w:val="CommentTextChar"/>
    <w:uiPriority w:val="99"/>
    <w:unhideWhenUsed/>
    <w:rsid w:val="001A4839"/>
    <w:pPr>
      <w:spacing w:line="240" w:lineRule="auto"/>
    </w:pPr>
    <w:rPr>
      <w:sz w:val="20"/>
      <w:szCs w:val="20"/>
    </w:rPr>
  </w:style>
  <w:style w:type="character" w:customStyle="1" w:styleId="CommentTextChar">
    <w:name w:val="Comment Text Char"/>
    <w:basedOn w:val="DefaultParagraphFont"/>
    <w:link w:val="CommentText"/>
    <w:uiPriority w:val="99"/>
    <w:rsid w:val="001A483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4839"/>
    <w:rPr>
      <w:b/>
      <w:bCs/>
    </w:rPr>
  </w:style>
  <w:style w:type="character" w:customStyle="1" w:styleId="CommentSubjectChar">
    <w:name w:val="Comment Subject Char"/>
    <w:basedOn w:val="CommentTextChar"/>
    <w:link w:val="CommentSubject"/>
    <w:uiPriority w:val="99"/>
    <w:semiHidden/>
    <w:rsid w:val="001A483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ds.org/doilink/11.2021-37894298/JMVH%20Vol%2021%20No%2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17</Pages>
  <Words>4601</Words>
  <Characters>26230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94</cp:revision>
  <dcterms:created xsi:type="dcterms:W3CDTF">2025-10-14T23:19:00Z</dcterms:created>
  <dcterms:modified xsi:type="dcterms:W3CDTF">2025-10-18T10:43:00Z</dcterms:modified>
</cp:coreProperties>
</file>