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16D0" w14:textId="77777777" w:rsidR="00F62FD0" w:rsidRDefault="00000000">
      <w:pPr>
        <w:spacing w:line="240" w:lineRule="auto"/>
        <w:jc w:val="right"/>
        <w:rPr>
          <w:rFonts w:ascii="Arial" w:hAnsi="Arial" w:cs="Arial"/>
          <w:b/>
          <w:bCs/>
          <w:sz w:val="24"/>
          <w:szCs w:val="24"/>
        </w:rPr>
      </w:pPr>
      <w:r>
        <w:rPr>
          <w:rFonts w:ascii="Arial" w:hAnsi="Arial" w:cs="Arial"/>
          <w:b/>
          <w:bCs/>
          <w:sz w:val="24"/>
          <w:szCs w:val="24"/>
        </w:rPr>
        <w:t xml:space="preserve">COMPARATIVE SUB-ACUTE TOXICITY STUDY OF </w:t>
      </w:r>
      <w:r>
        <w:rPr>
          <w:rFonts w:ascii="Arial" w:hAnsi="Arial" w:cs="Arial"/>
          <w:b/>
          <w:bCs/>
          <w:sz w:val="24"/>
          <w:szCs w:val="24"/>
          <w:lang w:val="en-GB"/>
        </w:rPr>
        <w:t xml:space="preserve">BENIGN </w:t>
      </w:r>
      <w:r>
        <w:rPr>
          <w:rFonts w:ascii="Arial" w:hAnsi="Arial" w:cs="Arial"/>
          <w:b/>
          <w:bCs/>
          <w:sz w:val="24"/>
          <w:szCs w:val="24"/>
        </w:rPr>
        <w:t xml:space="preserve">PROSTATIC HYPERPLASIA-INDUCED </w:t>
      </w:r>
      <w:proofErr w:type="gramStart"/>
      <w:r>
        <w:rPr>
          <w:rFonts w:ascii="Arial" w:hAnsi="Arial" w:cs="Arial"/>
          <w:b/>
          <w:bCs/>
          <w:sz w:val="24"/>
          <w:szCs w:val="24"/>
        </w:rPr>
        <w:t>WISTAR  RATS</w:t>
      </w:r>
      <w:proofErr w:type="gramEnd"/>
      <w:r>
        <w:rPr>
          <w:rFonts w:ascii="Arial" w:hAnsi="Arial" w:cs="Arial"/>
          <w:b/>
          <w:bCs/>
          <w:sz w:val="24"/>
          <w:szCs w:val="24"/>
        </w:rPr>
        <w:t xml:space="preserve"> TREATED WITH ETHANOL EXTRACTS OF </w:t>
      </w:r>
      <w:r>
        <w:rPr>
          <w:rFonts w:ascii="Arial" w:hAnsi="Arial" w:cs="Arial"/>
          <w:b/>
          <w:bCs/>
          <w:i/>
          <w:iCs/>
          <w:sz w:val="24"/>
          <w:szCs w:val="24"/>
        </w:rPr>
        <w:t>Artocarpus heterophyllus</w:t>
      </w:r>
      <w:r>
        <w:rPr>
          <w:rFonts w:ascii="Arial" w:hAnsi="Arial" w:cs="Arial"/>
          <w:b/>
          <w:bCs/>
          <w:sz w:val="24"/>
          <w:szCs w:val="24"/>
        </w:rPr>
        <w:t xml:space="preserve"> STEMBARK, LEAF, AND PULP</w:t>
      </w:r>
    </w:p>
    <w:p w14:paraId="33F35EBA" w14:textId="77777777" w:rsidR="00F62FD0" w:rsidRDefault="00F62FD0">
      <w:pPr>
        <w:spacing w:after="0" w:line="240" w:lineRule="auto"/>
        <w:jc w:val="both"/>
        <w:rPr>
          <w:rFonts w:ascii="Times New Roman" w:hAnsi="Times New Roman" w:cs="Times New Roman"/>
          <w:sz w:val="24"/>
          <w:szCs w:val="24"/>
        </w:rPr>
      </w:pPr>
    </w:p>
    <w:p w14:paraId="1A85C304" w14:textId="77777777" w:rsidR="00F62FD0" w:rsidRDefault="00000000">
      <w:pPr>
        <w:jc w:val="both"/>
        <w:rPr>
          <w:rFonts w:ascii="Arial" w:hAnsi="Arial" w:cs="Arial"/>
          <w:b/>
          <w:bCs/>
        </w:rPr>
      </w:pPr>
      <w:r>
        <w:rPr>
          <w:rFonts w:ascii="Arial" w:hAnsi="Arial" w:cs="Arial"/>
          <w:b/>
          <w:bCs/>
        </w:rPr>
        <w:t>ABSTRACT</w:t>
      </w:r>
    </w:p>
    <w:p w14:paraId="189721D5" w14:textId="77777777" w:rsidR="00F62FD0" w:rsidRDefault="00000000">
      <w:pPr>
        <w:spacing w:line="240" w:lineRule="auto"/>
        <w:jc w:val="both"/>
        <w:rPr>
          <w:rFonts w:ascii="Arial" w:hAnsi="Arial" w:cs="Arial"/>
          <w:sz w:val="20"/>
          <w:szCs w:val="20"/>
        </w:rPr>
      </w:pPr>
      <w:proofErr w:type="spellStart"/>
      <w:proofErr w:type="gramStart"/>
      <w:r>
        <w:rPr>
          <w:rFonts w:ascii="Arial" w:hAnsi="Arial" w:cs="Arial"/>
          <w:b/>
          <w:bCs/>
          <w:sz w:val="20"/>
          <w:szCs w:val="20"/>
        </w:rPr>
        <w:t>Aims:</w:t>
      </w:r>
      <w:r>
        <w:rPr>
          <w:rFonts w:ascii="Arial" w:hAnsi="Arial" w:cs="Arial"/>
          <w:sz w:val="20"/>
          <w:szCs w:val="20"/>
        </w:rPr>
        <w:t>This</w:t>
      </w:r>
      <w:proofErr w:type="spellEnd"/>
      <w:proofErr w:type="gramEnd"/>
      <w:r>
        <w:rPr>
          <w:rFonts w:ascii="Arial" w:hAnsi="Arial" w:cs="Arial"/>
          <w:sz w:val="20"/>
          <w:szCs w:val="20"/>
        </w:rPr>
        <w:t xml:space="preserve"> study investigated the comparative in vivo sub-acute toxicity and biochemical effects of ethanol extracts of </w:t>
      </w:r>
      <w:r>
        <w:rPr>
          <w:rFonts w:ascii="Arial" w:hAnsi="Arial" w:cs="Arial"/>
          <w:i/>
          <w:iCs/>
          <w:sz w:val="20"/>
          <w:szCs w:val="20"/>
        </w:rPr>
        <w:t>A. heterophyllus</w:t>
      </w:r>
      <w:r>
        <w:rPr>
          <w:rFonts w:ascii="Arial" w:hAnsi="Arial" w:cs="Arial"/>
          <w:sz w:val="20"/>
          <w:szCs w:val="20"/>
        </w:rPr>
        <w:t xml:space="preserve"> (stembark, leaf, and pulp) in benign prostatic hyperplasia (BPH)-induced Wistar albino rats.</w:t>
      </w:r>
    </w:p>
    <w:p w14:paraId="78F9B6C0" w14:textId="77777777" w:rsidR="00F62FD0" w:rsidRDefault="00000000">
      <w:pPr>
        <w:spacing w:line="240" w:lineRule="auto"/>
        <w:jc w:val="both"/>
        <w:rPr>
          <w:rFonts w:ascii="Arial" w:hAnsi="Arial" w:cs="Arial"/>
          <w:sz w:val="20"/>
          <w:szCs w:val="20"/>
        </w:rPr>
      </w:pPr>
      <w:r>
        <w:rPr>
          <w:rFonts w:ascii="Arial" w:hAnsi="Arial" w:cs="Arial"/>
          <w:b/>
          <w:bCs/>
          <w:sz w:val="20"/>
          <w:szCs w:val="20"/>
        </w:rPr>
        <w:t>Methodology:</w:t>
      </w:r>
      <w:r>
        <w:rPr>
          <w:rFonts w:ascii="Arial" w:hAnsi="Arial" w:cs="Arial"/>
          <w:sz w:val="20"/>
          <w:szCs w:val="20"/>
        </w:rPr>
        <w:t xml:space="preserve"> A total of fifty-five male rats were randomly assigned to eleven groups (n = 5), comprising normal control, negative control (BPH-induced with 5.0 mg/kg testosterone propionate), standard control (finasteride 0.5 mg/kg), and eight treatment groups administered 250 or 500 mg/kg of the plant extracts orally for 21 days. Biochemical assessments were conducted to evaluate hepatic and renal function indices. </w:t>
      </w:r>
    </w:p>
    <w:p w14:paraId="1EE4E3CE" w14:textId="77777777" w:rsidR="00F62FD0" w:rsidRDefault="00000000">
      <w:pPr>
        <w:spacing w:line="240" w:lineRule="auto"/>
        <w:jc w:val="both"/>
        <w:rPr>
          <w:rFonts w:ascii="Arial" w:hAnsi="Arial" w:cs="Arial"/>
          <w:sz w:val="20"/>
          <w:szCs w:val="20"/>
        </w:rPr>
      </w:pPr>
      <w:proofErr w:type="spellStart"/>
      <w:proofErr w:type="gramStart"/>
      <w:r>
        <w:rPr>
          <w:rFonts w:ascii="Arial" w:hAnsi="Arial" w:cs="Arial"/>
          <w:b/>
          <w:bCs/>
          <w:sz w:val="20"/>
          <w:szCs w:val="20"/>
        </w:rPr>
        <w:t>Results</w:t>
      </w:r>
      <w:r>
        <w:rPr>
          <w:rFonts w:ascii="Arial" w:hAnsi="Arial" w:cs="Arial"/>
          <w:sz w:val="20"/>
          <w:szCs w:val="20"/>
        </w:rPr>
        <w:t>:The</w:t>
      </w:r>
      <w:proofErr w:type="spellEnd"/>
      <w:proofErr w:type="gramEnd"/>
      <w:r>
        <w:rPr>
          <w:rFonts w:ascii="Arial" w:hAnsi="Arial" w:cs="Arial"/>
          <w:sz w:val="20"/>
          <w:szCs w:val="20"/>
        </w:rPr>
        <w:t xml:space="preserve"> BPH-induced rats exhibited significant increases (p &lt; 0.05) in serum ALT (22.67 ± 0.62 U/L), AST (23.97 ± 2.28 U/L), ALP (179.50 ± 6.96 U/L), total bilirubin (24.40 ± 0.93 µmol/L), urea (30.43 ± 1.98 mg/dL), and creatinine (7.27 ± 1.01 mg/dL) compared with the normal control group, indicating hepatic and renal dysfunction. Treatment with </w:t>
      </w:r>
      <w:r>
        <w:rPr>
          <w:rFonts w:ascii="Arial" w:hAnsi="Arial" w:cs="Arial"/>
          <w:i/>
          <w:iCs/>
          <w:sz w:val="20"/>
          <w:szCs w:val="20"/>
        </w:rPr>
        <w:t>A. heterophyllus</w:t>
      </w:r>
      <w:r>
        <w:rPr>
          <w:rFonts w:ascii="Arial" w:hAnsi="Arial" w:cs="Arial"/>
          <w:sz w:val="20"/>
          <w:szCs w:val="20"/>
        </w:rPr>
        <w:t xml:space="preserve"> extracts, particularly the stembark at 500 mg/kg, significantly reversed these biochemical alterations, restoring ALT (15.16 ± 0.22 U/L), AST (12.88 ± 0.15 U/L), ALP (129.30 ± 0.94 U/L), bilirubin (15.31 ± 9.32 µmol/L), and urea (23.77 ± 0.26 mg/dL) values toward normal levels. Electrolyte concentrations (Na⁺: 171.90 ± 2.85 mmol/L; K⁺: 5.60 ± 0.35 mmol/L; Cl⁻: 59.25 ± 2.95 mmol/L) remained within physiological ranges across all treatment groups. </w:t>
      </w:r>
    </w:p>
    <w:p w14:paraId="4E0419A5" w14:textId="77777777" w:rsidR="00F62FD0" w:rsidRDefault="00000000">
      <w:pPr>
        <w:spacing w:line="240" w:lineRule="auto"/>
        <w:jc w:val="both"/>
        <w:rPr>
          <w:rFonts w:ascii="Arial" w:hAnsi="Arial" w:cs="Arial"/>
          <w:sz w:val="20"/>
          <w:szCs w:val="20"/>
        </w:rPr>
      </w:pPr>
      <w:proofErr w:type="spellStart"/>
      <w:proofErr w:type="gramStart"/>
      <w:r>
        <w:rPr>
          <w:rFonts w:ascii="Arial" w:hAnsi="Arial" w:cs="Arial"/>
          <w:b/>
          <w:bCs/>
          <w:sz w:val="20"/>
          <w:szCs w:val="20"/>
        </w:rPr>
        <w:t>Conclusion</w:t>
      </w:r>
      <w:r>
        <w:rPr>
          <w:rFonts w:ascii="Arial" w:hAnsi="Arial" w:cs="Arial"/>
          <w:sz w:val="20"/>
          <w:szCs w:val="20"/>
        </w:rPr>
        <w:t>:The</w:t>
      </w:r>
      <w:proofErr w:type="spellEnd"/>
      <w:proofErr w:type="gramEnd"/>
      <w:r>
        <w:rPr>
          <w:rFonts w:ascii="Arial" w:hAnsi="Arial" w:cs="Arial"/>
          <w:sz w:val="20"/>
          <w:szCs w:val="20"/>
        </w:rPr>
        <w:t xml:space="preserve"> findings indicate that </w:t>
      </w:r>
      <w:r>
        <w:rPr>
          <w:rFonts w:ascii="Arial" w:hAnsi="Arial" w:cs="Arial"/>
          <w:i/>
          <w:iCs/>
          <w:sz w:val="20"/>
          <w:szCs w:val="20"/>
        </w:rPr>
        <w:t>A. heterophyllus</w:t>
      </w:r>
      <w:r>
        <w:rPr>
          <w:rFonts w:ascii="Arial" w:hAnsi="Arial" w:cs="Arial"/>
          <w:sz w:val="20"/>
          <w:szCs w:val="20"/>
        </w:rPr>
        <w:t xml:space="preserve"> extracts exhibit notable hepatoprotective and nephroprotective effects, thereby highlighting the therapeutic promise and safety of </w:t>
      </w:r>
      <w:r>
        <w:rPr>
          <w:rFonts w:ascii="Arial" w:hAnsi="Arial" w:cs="Arial"/>
          <w:i/>
          <w:iCs/>
          <w:sz w:val="20"/>
          <w:szCs w:val="20"/>
        </w:rPr>
        <w:t>A. heterophyllus</w:t>
      </w:r>
      <w:r>
        <w:rPr>
          <w:rFonts w:ascii="Arial" w:hAnsi="Arial" w:cs="Arial"/>
          <w:sz w:val="20"/>
          <w:szCs w:val="20"/>
        </w:rPr>
        <w:t>, particularly its stembark extract, as a natural agent for mitigating BPH-associated hepatic and renal dysfunctions.</w:t>
      </w:r>
    </w:p>
    <w:p w14:paraId="0E58B78B" w14:textId="77777777" w:rsidR="00F62FD0" w:rsidRDefault="00000000">
      <w:pPr>
        <w:spacing w:line="240" w:lineRule="auto"/>
        <w:jc w:val="both"/>
        <w:rPr>
          <w:rFonts w:ascii="Arial" w:hAnsi="Arial" w:cs="Arial"/>
          <w:sz w:val="20"/>
          <w:szCs w:val="20"/>
        </w:rPr>
      </w:pPr>
      <w:r>
        <w:rPr>
          <w:rFonts w:ascii="Arial" w:hAnsi="Arial" w:cs="Arial"/>
          <w:b/>
          <w:bCs/>
          <w:sz w:val="20"/>
          <w:szCs w:val="20"/>
        </w:rPr>
        <w:t xml:space="preserve">Keywords: </w:t>
      </w:r>
      <w:r>
        <w:rPr>
          <w:rFonts w:ascii="Arial" w:hAnsi="Arial" w:cs="Arial"/>
          <w:i/>
          <w:iCs/>
          <w:sz w:val="20"/>
          <w:szCs w:val="20"/>
        </w:rPr>
        <w:t>Artocarpus heterophyllus</w:t>
      </w:r>
      <w:r>
        <w:rPr>
          <w:rFonts w:ascii="Arial" w:hAnsi="Arial" w:cs="Arial"/>
          <w:sz w:val="20"/>
          <w:szCs w:val="20"/>
        </w:rPr>
        <w:t>, BPH, Liver, Kidney</w:t>
      </w:r>
    </w:p>
    <w:p w14:paraId="7C8618D9" w14:textId="77777777" w:rsidR="00F62FD0" w:rsidRDefault="00F62FD0">
      <w:pPr>
        <w:spacing w:line="240" w:lineRule="auto"/>
        <w:jc w:val="both"/>
        <w:rPr>
          <w:rFonts w:ascii="Times New Roman" w:hAnsi="Times New Roman" w:cs="Times New Roman"/>
          <w:sz w:val="24"/>
          <w:szCs w:val="24"/>
        </w:rPr>
      </w:pPr>
    </w:p>
    <w:p w14:paraId="3F74365E" w14:textId="77777777" w:rsidR="00F62FD0" w:rsidRDefault="00000000">
      <w:pPr>
        <w:jc w:val="both"/>
        <w:rPr>
          <w:rFonts w:ascii="Arial" w:hAnsi="Arial" w:cs="Arial"/>
          <w:b/>
          <w:bCs/>
        </w:rPr>
      </w:pPr>
      <w:r>
        <w:rPr>
          <w:rFonts w:ascii="Times New Roman" w:hAnsi="Times New Roman" w:cs="Times New Roman"/>
          <w:b/>
          <w:bCs/>
          <w:sz w:val="24"/>
          <w:szCs w:val="24"/>
        </w:rPr>
        <w:t xml:space="preserve">1.0 </w:t>
      </w:r>
      <w:r>
        <w:rPr>
          <w:rFonts w:ascii="Arial" w:hAnsi="Arial" w:cs="Arial"/>
          <w:b/>
          <w:bCs/>
        </w:rPr>
        <w:t>INTRODUCTION</w:t>
      </w:r>
    </w:p>
    <w:p w14:paraId="68567F99"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Benign prostatic hyperplasia (BPH) refers to a non-cancerous enlargement of the prostate gland and represents the most prevalent urological disorder among ageing men. It affects approximately 50% of males aged 60 years and above, and its incidence is projected to rise in parallel with the growing elderly population. The </w:t>
      </w:r>
      <w:proofErr w:type="spellStart"/>
      <w:r>
        <w:rPr>
          <w:rFonts w:ascii="Arial" w:hAnsi="Arial" w:cs="Arial"/>
          <w:sz w:val="20"/>
          <w:szCs w:val="20"/>
        </w:rPr>
        <w:t>aetiology</w:t>
      </w:r>
      <w:proofErr w:type="spellEnd"/>
      <w:r>
        <w:rPr>
          <w:rFonts w:ascii="Arial" w:hAnsi="Arial" w:cs="Arial"/>
          <w:sz w:val="20"/>
          <w:szCs w:val="20"/>
        </w:rPr>
        <w:t xml:space="preserve"> of BPH is multifactorial, involving several interrelated factors such as inflammatory mediators, growth factors, sex hormones, dietary influences, neurotransmitters, environmental exposures, and oxidative stress (Achi et al., 2024). The precise causes of benign prostatic hyperplasia (BPH) remain unclear (Ajiboye et al., 2025; Nirujan et al., 2025; </w:t>
      </w:r>
      <w:proofErr w:type="spellStart"/>
      <w:r>
        <w:rPr>
          <w:rFonts w:ascii="Arial" w:hAnsi="Arial" w:cs="Arial"/>
          <w:sz w:val="20"/>
          <w:szCs w:val="20"/>
        </w:rPr>
        <w:t>Hoseinpour</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2025); however, several risk factors have been identified. These include genetic predisposition, obesity, diabetes mellitus, sedentary lifestyle, and erectile dysfunction. Additionally, the use of certain medications—such as anticholinergics, calcium channel blockers, and pseudoephedrine—may exacerbate BPH symptoms. This occurs as the enlarged prostate exerts pressure on the urethra and adjacent urinary structures, leading to obstruction and difficulty in urination (Ajiboye et al</w:t>
      </w:r>
      <w:r>
        <w:rPr>
          <w:rFonts w:ascii="Arial" w:hAnsi="Arial" w:cs="Arial"/>
          <w:i/>
          <w:iCs/>
          <w:sz w:val="20"/>
          <w:szCs w:val="20"/>
        </w:rPr>
        <w:t>.</w:t>
      </w:r>
      <w:r>
        <w:rPr>
          <w:rFonts w:ascii="Arial" w:hAnsi="Arial" w:cs="Arial"/>
          <w:sz w:val="20"/>
          <w:szCs w:val="20"/>
        </w:rPr>
        <w:t>, 2025).</w:t>
      </w:r>
    </w:p>
    <w:p w14:paraId="596A0D69"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Voiding symptoms indicative of benign prostatic hyperplasia (BPH) may present as diminished or intermittent urinary flow, difficulty in initiating urination, splitting or spraying of the urinary stream, and terminal dribbling. In more advanced stages, these symptoms can progress to incomplete bladder </w:t>
      </w:r>
      <w:r>
        <w:rPr>
          <w:rFonts w:ascii="Arial" w:hAnsi="Arial" w:cs="Arial"/>
          <w:sz w:val="20"/>
          <w:szCs w:val="20"/>
        </w:rPr>
        <w:lastRenderedPageBreak/>
        <w:t>emptying and accumulation of residual urine following micturition (Kale et al</w:t>
      </w:r>
      <w:r>
        <w:rPr>
          <w:rFonts w:ascii="Arial" w:hAnsi="Arial" w:cs="Arial"/>
          <w:i/>
          <w:iCs/>
          <w:sz w:val="20"/>
          <w:szCs w:val="20"/>
        </w:rPr>
        <w:t>.</w:t>
      </w:r>
      <w:r>
        <w:rPr>
          <w:rFonts w:ascii="Arial" w:hAnsi="Arial" w:cs="Arial"/>
          <w:sz w:val="20"/>
          <w:szCs w:val="20"/>
        </w:rPr>
        <w:t>, 2025). Although the global prevalence of benign prostatic hyperplasia (BPH) is on the rise, developing countries continue to experience challenges in accurate diagnosis (Launer et al., 2021). The comparatively lower reported cases in these regions may be attributed to limited access to healthcare services, variations in the prevalence and epidemiological patterns of BPH across populations, differences in lifestyle factors, and the widespread use of traditional herbal remedies. According to current clinical guidelines, pharmacological management of BPH involves the use of α₁-adrenergic antagonists and the phosphodiesterase-5 (PDE5) inhibitor tadalafil for rapid symptomatic relief, as well as 5α-reductase inhibitors (5-ARIs) to reduce prostate enlargement and disease progression (</w:t>
      </w:r>
      <w:proofErr w:type="spellStart"/>
      <w:r>
        <w:rPr>
          <w:rFonts w:ascii="Arial" w:hAnsi="Arial" w:cs="Arial"/>
          <w:sz w:val="20"/>
          <w:szCs w:val="20"/>
        </w:rPr>
        <w:t>Gravas</w:t>
      </w:r>
      <w:proofErr w:type="spellEnd"/>
      <w:r>
        <w:rPr>
          <w:rFonts w:ascii="Arial" w:hAnsi="Arial" w:cs="Arial"/>
          <w:sz w:val="20"/>
          <w:szCs w:val="20"/>
        </w:rPr>
        <w:t xml:space="preserve"> et al., 2023).</w:t>
      </w:r>
    </w:p>
    <w:p w14:paraId="54916683" w14:textId="77777777" w:rsidR="00F62FD0" w:rsidRDefault="00000000">
      <w:pPr>
        <w:spacing w:line="360" w:lineRule="auto"/>
        <w:jc w:val="both"/>
        <w:rPr>
          <w:rFonts w:ascii="Arial" w:hAnsi="Arial" w:cs="Arial"/>
          <w:sz w:val="20"/>
          <w:szCs w:val="20"/>
        </w:rPr>
      </w:pPr>
      <w:r>
        <w:rPr>
          <w:rFonts w:ascii="Arial" w:hAnsi="Arial" w:cs="Arial"/>
          <w:sz w:val="20"/>
          <w:szCs w:val="20"/>
        </w:rPr>
        <w:t>Bioactive compounds derived from plants have historically served as fundamental sources for the discovery and development of new drugs used in managing various diseases and health disorders (Bassey et al</w:t>
      </w:r>
      <w:r>
        <w:rPr>
          <w:rFonts w:ascii="Arial" w:hAnsi="Arial" w:cs="Arial"/>
          <w:i/>
          <w:iCs/>
          <w:sz w:val="20"/>
          <w:szCs w:val="20"/>
        </w:rPr>
        <w:t>.</w:t>
      </w:r>
      <w:r>
        <w:rPr>
          <w:rFonts w:ascii="Arial" w:hAnsi="Arial" w:cs="Arial"/>
          <w:sz w:val="20"/>
          <w:szCs w:val="20"/>
        </w:rPr>
        <w:t>, 2023). Plants represent invaluable natural resources endowed to humanity, serving as vital sources of bioactive compounds that contribute to the discovery of novel molecules with significant therapeutic potential. Among these, triterpenes and steroids are notable phytochemicals utilized in phytotherapy for the management and treatment of various diseases (Belem-</w:t>
      </w:r>
      <w:proofErr w:type="spellStart"/>
      <w:r>
        <w:rPr>
          <w:rFonts w:ascii="Arial" w:hAnsi="Arial" w:cs="Arial"/>
          <w:sz w:val="20"/>
          <w:szCs w:val="20"/>
        </w:rPr>
        <w:t>Kabré</w:t>
      </w:r>
      <w:proofErr w:type="spellEnd"/>
      <w:r>
        <w:rPr>
          <w:rFonts w:ascii="Arial" w:hAnsi="Arial" w:cs="Arial"/>
          <w:sz w:val="20"/>
          <w:szCs w:val="20"/>
        </w:rPr>
        <w:t xml:space="preserve"> et al., 2024). Traditional medicinal plants are extensively utilized across different regions of the world and are often promoted as effective remedies for a broad spectrum of health conditions, ranging from functional disorders like irritable bowel syndrome to more severe diseases. However, in many instances, the preparation of these herbal formulations lacks adequate standardization, and the absence of rigorous pharmacovigilance systems hinders effective monitoring of potential adverse effects and toxicities associated with their use (Selles et al., 2024). In recent years, there has been growing awareness within the medical community regarding the potential of natural medicines to exert toxic effects on various organs, including the kidneys. While many plants possess therapeutic properties, certain herbal preparations may also produce adverse side effects. Some of these products have been implicated in cellular damage, leading to complications that range from overt tissue injury to subtle cellular alterations such as mutations, diminished or impaired enzyme function, and other forms of cytotoxicity (Ogar &amp; </w:t>
      </w:r>
      <w:proofErr w:type="spellStart"/>
      <w:r>
        <w:rPr>
          <w:rFonts w:ascii="Arial" w:hAnsi="Arial" w:cs="Arial"/>
          <w:sz w:val="20"/>
          <w:szCs w:val="20"/>
        </w:rPr>
        <w:t>Itam</w:t>
      </w:r>
      <w:proofErr w:type="spellEnd"/>
      <w:r>
        <w:rPr>
          <w:rFonts w:ascii="Arial" w:hAnsi="Arial" w:cs="Arial"/>
          <w:sz w:val="20"/>
          <w:szCs w:val="20"/>
        </w:rPr>
        <w:t>, 2024).</w:t>
      </w:r>
    </w:p>
    <w:p w14:paraId="6916829C" w14:textId="77777777" w:rsidR="00F62FD0" w:rsidRDefault="00000000">
      <w:pPr>
        <w:spacing w:line="360" w:lineRule="auto"/>
        <w:jc w:val="both"/>
        <w:rPr>
          <w:rFonts w:ascii="Arial" w:hAnsi="Arial" w:cs="Arial"/>
          <w:sz w:val="20"/>
          <w:szCs w:val="20"/>
        </w:rPr>
      </w:pPr>
      <w:r>
        <w:rPr>
          <w:rFonts w:ascii="Arial" w:hAnsi="Arial" w:cs="Arial"/>
          <w:i/>
          <w:iCs/>
          <w:sz w:val="20"/>
          <w:szCs w:val="20"/>
        </w:rPr>
        <w:t>A. heterophyllus</w:t>
      </w:r>
      <w:r>
        <w:rPr>
          <w:rFonts w:ascii="Arial" w:hAnsi="Arial" w:cs="Arial"/>
          <w:sz w:val="20"/>
          <w:szCs w:val="20"/>
        </w:rPr>
        <w:t>, commonly referred to as jackfruit, is a tropical species traditionally valued for its nutritional and medicinal applications. Different parts of the plant, especially the leaves, have been employed in the management of skin ailments, inflammatory conditions, and disorders associated with oxidative stress. The leaves are particularly rich in bioactive constituents such as flavonoids and terpenoids, which possess a wide range of therapeutic properties. Scientific studies have demonstrated that these phytochemicals exhibit significant antioxidant and anti-inflammatory effects, thereby providing pharmacological validation for the plant’s traditional use in mitigating oxidative stress-related conditions (</w:t>
      </w:r>
      <w:proofErr w:type="spellStart"/>
      <w:r>
        <w:rPr>
          <w:rFonts w:ascii="Arial" w:hAnsi="Arial" w:cs="Arial"/>
          <w:sz w:val="20"/>
          <w:szCs w:val="20"/>
        </w:rPr>
        <w:t>Yuniarti</w:t>
      </w:r>
      <w:proofErr w:type="spellEnd"/>
      <w:r>
        <w:rPr>
          <w:rFonts w:ascii="Arial" w:hAnsi="Arial" w:cs="Arial"/>
          <w:sz w:val="20"/>
          <w:szCs w:val="20"/>
        </w:rPr>
        <w:t xml:space="preserve"> et al</w:t>
      </w:r>
      <w:r>
        <w:rPr>
          <w:rFonts w:ascii="Arial" w:hAnsi="Arial" w:cs="Arial"/>
          <w:i/>
          <w:iCs/>
          <w:sz w:val="20"/>
          <w:szCs w:val="20"/>
        </w:rPr>
        <w:t>.</w:t>
      </w:r>
      <w:r>
        <w:rPr>
          <w:rFonts w:ascii="Arial" w:hAnsi="Arial" w:cs="Arial"/>
          <w:sz w:val="20"/>
          <w:szCs w:val="20"/>
        </w:rPr>
        <w:t xml:space="preserve">, 2025). Comprehensive phytochemical and pharmacological studies on both the edible and non-edible parts of </w:t>
      </w:r>
      <w:r>
        <w:rPr>
          <w:rFonts w:ascii="Arial" w:hAnsi="Arial" w:cs="Arial"/>
          <w:i/>
          <w:iCs/>
          <w:sz w:val="20"/>
          <w:szCs w:val="20"/>
        </w:rPr>
        <w:t>A. heterophyllus</w:t>
      </w:r>
      <w:r>
        <w:rPr>
          <w:rFonts w:ascii="Arial" w:hAnsi="Arial" w:cs="Arial"/>
          <w:sz w:val="20"/>
          <w:szCs w:val="20"/>
        </w:rPr>
        <w:t xml:space="preserve">—including the pulp, leaves, roots, peels, and seeds—have revealed that nearly all components of the plant possess notable medicinal potential. The pulp, in particular, contains </w:t>
      </w:r>
      <w:proofErr w:type="spellStart"/>
      <w:r>
        <w:rPr>
          <w:rFonts w:ascii="Arial" w:hAnsi="Arial" w:cs="Arial"/>
          <w:sz w:val="20"/>
          <w:szCs w:val="20"/>
        </w:rPr>
        <w:t>isoprenylated</w:t>
      </w:r>
      <w:proofErr w:type="spellEnd"/>
      <w:r>
        <w:rPr>
          <w:rFonts w:ascii="Arial" w:hAnsi="Arial" w:cs="Arial"/>
          <w:sz w:val="20"/>
          <w:szCs w:val="20"/>
        </w:rPr>
        <w:t xml:space="preserve"> coumarins and </w:t>
      </w:r>
      <w:proofErr w:type="spellStart"/>
      <w:r>
        <w:rPr>
          <w:rFonts w:ascii="Arial" w:hAnsi="Arial" w:cs="Arial"/>
          <w:sz w:val="20"/>
          <w:szCs w:val="20"/>
        </w:rPr>
        <w:t>isoprenyl</w:t>
      </w:r>
      <w:proofErr w:type="spellEnd"/>
      <w:r>
        <w:rPr>
          <w:rFonts w:ascii="Arial" w:hAnsi="Arial" w:cs="Arial"/>
          <w:sz w:val="20"/>
          <w:szCs w:val="20"/>
        </w:rPr>
        <w:t xml:space="preserve"> ketones, compounds associated with anti-HIV activity. Furthermore, consumption of the pulp has been reported to exert beneficial effects </w:t>
      </w:r>
      <w:r>
        <w:rPr>
          <w:rFonts w:ascii="Arial" w:hAnsi="Arial" w:cs="Arial"/>
          <w:sz w:val="20"/>
          <w:szCs w:val="20"/>
        </w:rPr>
        <w:lastRenderedPageBreak/>
        <w:t>such as reducing inflammation, edema, and cerebral thrombosis, while also enhancing blood circulation (Wang et al</w:t>
      </w:r>
      <w:r>
        <w:rPr>
          <w:rFonts w:ascii="Arial" w:hAnsi="Arial" w:cs="Arial"/>
          <w:i/>
          <w:iCs/>
          <w:sz w:val="20"/>
          <w:szCs w:val="20"/>
        </w:rPr>
        <w:t>.</w:t>
      </w:r>
      <w:r>
        <w:rPr>
          <w:rFonts w:ascii="Arial" w:hAnsi="Arial" w:cs="Arial"/>
          <w:sz w:val="20"/>
          <w:szCs w:val="20"/>
        </w:rPr>
        <w:t>, 2024).</w:t>
      </w:r>
    </w:p>
    <w:p w14:paraId="1F9D7E67" w14:textId="77777777" w:rsidR="00F62FD0" w:rsidRDefault="00000000">
      <w:pPr>
        <w:spacing w:line="360" w:lineRule="auto"/>
        <w:jc w:val="both"/>
        <w:rPr>
          <w:rFonts w:ascii="Arial" w:hAnsi="Arial" w:cs="Arial"/>
          <w:sz w:val="20"/>
          <w:szCs w:val="20"/>
        </w:rPr>
      </w:pPr>
      <w:r>
        <w:rPr>
          <w:rFonts w:ascii="Arial" w:hAnsi="Arial" w:cs="Arial"/>
          <w:sz w:val="20"/>
          <w:szCs w:val="20"/>
        </w:rPr>
        <w:t>The liver is one of the most essential organs in the human body, serving as a central hub for various metabolic processes vital for immune function, energy production, and nutrient storage. It plays a key role in the metabolism of glucose, amino acids, and fatty acids—the primary products of carbohydrate, protein, and lipid digestion. Additionally, the liver stores important substances such as iron, minerals, vitamins, hormones, and glycogen. It also serves as the primary site for the detoxification of toxins and xenobiotics absorbed from the gastrointestinal tract, facilitating their elimination through bile and urine (Shawon et al., 2024). The kidneys play a crucial role in sustaining the body’s internal homeostasis by regulating various physiological processes, including the metabolism and excretion of xenobiotics (Hall et al., 2022). Despite their essential functions, the kidneys are particularly susceptible to xenobiotic-induced damage, largely due to their high exposure to circulating toxicants. This vulnerability stems from the fact that the kidneys receive approximately 20–25% of the total cardiac output through an extensive and highly perfused microvascular network (Claure-Del Granado &amp; Espinosa-Cuevas, 2021).</w:t>
      </w:r>
    </w:p>
    <w:p w14:paraId="78070630"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In many countries, regulatory frameworks for botanical products do not mandate preclinical toxicity evaluations, instead depending largely on historical evidence of safe use. Consequently, regulatory interventions are often initiated only after reports of adverse effects emerge post-marketing. However, the use of botanical preparations may result in unforeseen toxicological consequences, highlighting the importance of ensuring the safety and quality of botanical products as a vital aspect of public health protection (Pearson et al., 2022). This study was therefore carried out to evaluate the </w:t>
      </w:r>
      <w:r>
        <w:rPr>
          <w:rFonts w:ascii="Arial" w:hAnsi="Arial" w:cs="Arial"/>
          <w:sz w:val="20"/>
          <w:szCs w:val="20"/>
          <w:lang w:val="en-GB"/>
        </w:rPr>
        <w:t xml:space="preserve">hepatoprotective and nephroprotective effects of different parts of </w:t>
      </w:r>
      <w:r>
        <w:rPr>
          <w:rFonts w:ascii="Arial" w:hAnsi="Arial" w:cs="Arial"/>
          <w:i/>
          <w:iCs/>
          <w:sz w:val="20"/>
          <w:szCs w:val="20"/>
          <w:lang w:val="en-GB"/>
        </w:rPr>
        <w:t>A</w:t>
      </w:r>
      <w:r>
        <w:rPr>
          <w:rFonts w:ascii="Arial" w:hAnsi="Arial" w:cs="Arial"/>
          <w:i/>
          <w:iCs/>
          <w:sz w:val="20"/>
          <w:szCs w:val="20"/>
        </w:rPr>
        <w:t>.</w:t>
      </w:r>
      <w:r>
        <w:rPr>
          <w:rFonts w:ascii="Arial" w:hAnsi="Arial" w:cs="Arial"/>
          <w:sz w:val="20"/>
          <w:szCs w:val="20"/>
          <w:lang w:val="en-GB"/>
        </w:rPr>
        <w:t xml:space="preserve"> </w:t>
      </w:r>
      <w:r>
        <w:rPr>
          <w:rFonts w:ascii="Arial" w:hAnsi="Arial" w:cs="Arial"/>
          <w:i/>
          <w:iCs/>
          <w:sz w:val="20"/>
          <w:szCs w:val="20"/>
          <w:lang w:val="en-GB"/>
        </w:rPr>
        <w:t>heterophyllus</w:t>
      </w:r>
      <w:r>
        <w:rPr>
          <w:rFonts w:ascii="Arial" w:hAnsi="Arial" w:cs="Arial"/>
          <w:sz w:val="20"/>
          <w:szCs w:val="20"/>
          <w:lang w:val="en-GB"/>
        </w:rPr>
        <w:t xml:space="preserve"> extracts on Benign Prostatic Hyperplasia -induced hepatic and renal dysfunctions in animal models.</w:t>
      </w:r>
      <w:r>
        <w:rPr>
          <w:rFonts w:ascii="Arial" w:hAnsi="Arial" w:cs="Arial"/>
          <w:sz w:val="20"/>
          <w:szCs w:val="20"/>
        </w:rPr>
        <w:t xml:space="preserve"> </w:t>
      </w:r>
    </w:p>
    <w:p w14:paraId="4085584C" w14:textId="77777777" w:rsidR="00F62FD0" w:rsidRDefault="00000000">
      <w:pPr>
        <w:spacing w:line="360" w:lineRule="auto"/>
        <w:jc w:val="both"/>
        <w:rPr>
          <w:rFonts w:ascii="Arial" w:eastAsia="Times New Roman" w:hAnsi="Arial" w:cs="Arial"/>
          <w:kern w:val="0"/>
          <w:sz w:val="20"/>
          <w:szCs w:val="20"/>
          <w14:ligatures w14:val="none"/>
        </w:rPr>
      </w:pPr>
      <w:r>
        <w:rPr>
          <w:rFonts w:ascii="Arial" w:eastAsia="Times New Roman" w:hAnsi="Arial" w:cs="Arial"/>
          <w:noProof/>
          <w:kern w:val="0"/>
          <w:sz w:val="20"/>
          <w:szCs w:val="20"/>
          <w14:ligatures w14:val="none"/>
        </w:rPr>
        <w:lastRenderedPageBreak/>
        <w:drawing>
          <wp:inline distT="0" distB="0" distL="0" distR="0" wp14:anchorId="6E0DE610" wp14:editId="263FE016">
            <wp:extent cx="3086100" cy="3858260"/>
            <wp:effectExtent l="0" t="0" r="0" b="8890"/>
            <wp:docPr id="1987842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42219"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93620" cy="3868241"/>
                    </a:xfrm>
                    <a:prstGeom prst="rect">
                      <a:avLst/>
                    </a:prstGeom>
                    <a:noFill/>
                    <a:ln>
                      <a:noFill/>
                    </a:ln>
                  </pic:spPr>
                </pic:pic>
              </a:graphicData>
            </a:graphic>
          </wp:inline>
        </w:drawing>
      </w:r>
    </w:p>
    <w:p w14:paraId="569934FF" w14:textId="319D85F0" w:rsidR="00F62FD0" w:rsidRDefault="00000000">
      <w:pPr>
        <w:spacing w:line="480" w:lineRule="auto"/>
        <w:jc w:val="both"/>
        <w:rPr>
          <w:rFonts w:ascii="Arial" w:eastAsia="Calibri" w:hAnsi="Arial" w:cs="Arial"/>
          <w:b/>
          <w:sz w:val="20"/>
          <w:szCs w:val="20"/>
        </w:rPr>
      </w:pPr>
      <w:r>
        <w:rPr>
          <w:rFonts w:ascii="Arial" w:eastAsia="MS Mincho" w:hAnsi="Arial" w:cs="Arial"/>
          <w:b/>
          <w:bCs/>
          <w:kern w:val="0"/>
          <w:sz w:val="20"/>
          <w:szCs w:val="20"/>
          <w14:ligatures w14:val="none"/>
        </w:rPr>
        <w:t>Figure</w:t>
      </w:r>
      <w:r>
        <w:rPr>
          <w:rFonts w:ascii="Arial" w:eastAsia="Calibri" w:hAnsi="Arial" w:cs="Arial"/>
          <w:b/>
          <w:sz w:val="20"/>
          <w:szCs w:val="20"/>
        </w:rPr>
        <w:t xml:space="preserve"> 1: A Jack Fruit Tree</w:t>
      </w:r>
    </w:p>
    <w:p w14:paraId="4E930F39" w14:textId="77777777" w:rsidR="00F62FD0" w:rsidRDefault="00F62FD0">
      <w:pPr>
        <w:spacing w:line="360" w:lineRule="auto"/>
        <w:jc w:val="both"/>
        <w:rPr>
          <w:rFonts w:ascii="Times New Roman" w:eastAsia="Times New Roman" w:hAnsi="Times New Roman" w:cs="Times New Roman"/>
          <w:kern w:val="0"/>
          <w:sz w:val="24"/>
          <w:szCs w:val="24"/>
          <w14:ligatures w14:val="none"/>
        </w:rPr>
      </w:pPr>
    </w:p>
    <w:p w14:paraId="7ABBEFD2" w14:textId="77777777" w:rsidR="00F62FD0" w:rsidRDefault="00000000">
      <w:pPr>
        <w:jc w:val="both"/>
        <w:rPr>
          <w:rFonts w:ascii="Arial" w:hAnsi="Arial" w:cs="Arial"/>
          <w:b/>
          <w:bCs/>
          <w:lang w:val="en-GB"/>
        </w:rPr>
      </w:pPr>
      <w:r>
        <w:rPr>
          <w:rFonts w:ascii="Arial" w:hAnsi="Arial" w:cs="Arial"/>
          <w:b/>
          <w:bCs/>
        </w:rPr>
        <w:t>2.0 Materials and Methods</w:t>
      </w:r>
    </w:p>
    <w:p w14:paraId="16EC3DA2" w14:textId="77777777" w:rsidR="00F62FD0" w:rsidRDefault="00000000">
      <w:pPr>
        <w:jc w:val="both"/>
        <w:rPr>
          <w:rFonts w:ascii="Arial" w:hAnsi="Arial" w:cs="Arial"/>
          <w:b/>
          <w:bCs/>
          <w:lang w:val="en-GB"/>
        </w:rPr>
      </w:pPr>
      <w:r>
        <w:rPr>
          <w:rFonts w:ascii="Arial" w:hAnsi="Arial" w:cs="Arial"/>
          <w:b/>
          <w:bCs/>
        </w:rPr>
        <w:t xml:space="preserve">2.1 </w:t>
      </w:r>
      <w:r>
        <w:rPr>
          <w:rFonts w:ascii="Arial" w:hAnsi="Arial" w:cs="Arial"/>
          <w:b/>
          <w:bCs/>
          <w:lang w:val="en-GB"/>
        </w:rPr>
        <w:t xml:space="preserve">Sample </w:t>
      </w:r>
      <w:r>
        <w:rPr>
          <w:rFonts w:ascii="Arial" w:hAnsi="Arial" w:cs="Arial"/>
          <w:b/>
          <w:bCs/>
        </w:rPr>
        <w:t>Collection and Preparation</w:t>
      </w:r>
    </w:p>
    <w:p w14:paraId="00052A86" w14:textId="77777777" w:rsidR="00F62FD0" w:rsidRDefault="00000000">
      <w:pPr>
        <w:spacing w:line="360" w:lineRule="auto"/>
        <w:jc w:val="both"/>
        <w:rPr>
          <w:rFonts w:ascii="Arial" w:hAnsi="Arial" w:cs="Arial"/>
          <w:sz w:val="20"/>
          <w:szCs w:val="20"/>
        </w:rPr>
      </w:pPr>
      <w:r>
        <w:rPr>
          <w:rFonts w:ascii="Arial" w:hAnsi="Arial" w:cs="Arial"/>
          <w:sz w:val="20"/>
          <w:szCs w:val="20"/>
          <w:lang w:val="en-GB"/>
        </w:rPr>
        <w:t xml:space="preserve">A healthy </w:t>
      </w:r>
      <w:r>
        <w:rPr>
          <w:rFonts w:ascii="Arial" w:hAnsi="Arial" w:cs="Arial"/>
          <w:i/>
          <w:iCs/>
          <w:sz w:val="20"/>
          <w:szCs w:val="20"/>
        </w:rPr>
        <w:t>A. heterophyllus</w:t>
      </w:r>
      <w:r>
        <w:rPr>
          <w:rFonts w:ascii="Arial" w:hAnsi="Arial" w:cs="Arial"/>
          <w:sz w:val="20"/>
          <w:szCs w:val="20"/>
          <w:lang w:val="en-GB"/>
        </w:rPr>
        <w:t xml:space="preserve"> tree was identified. Fresh samples of leaves, fruit (from which the pulp was collected</w:t>
      </w:r>
      <w:r>
        <w:rPr>
          <w:rFonts w:ascii="Arial" w:hAnsi="Arial" w:cs="Arial"/>
          <w:sz w:val="20"/>
          <w:szCs w:val="20"/>
        </w:rPr>
        <w:t>),</w:t>
      </w:r>
      <w:r>
        <w:rPr>
          <w:rFonts w:ascii="Arial" w:hAnsi="Arial" w:cs="Arial"/>
          <w:sz w:val="20"/>
          <w:szCs w:val="20"/>
          <w:lang w:val="en-GB"/>
        </w:rPr>
        <w:t xml:space="preserve"> and stem bark were collected from the healthy tree</w:t>
      </w:r>
      <w:r>
        <w:rPr>
          <w:rFonts w:ascii="Arial" w:hAnsi="Arial" w:cs="Arial"/>
          <w:sz w:val="20"/>
          <w:szCs w:val="20"/>
        </w:rPr>
        <w:t xml:space="preserve">. </w:t>
      </w:r>
      <w:r>
        <w:rPr>
          <w:rFonts w:ascii="Times New Roman" w:hAnsi="Times New Roman" w:cs="Times New Roman"/>
          <w:sz w:val="24"/>
          <w:szCs w:val="24"/>
        </w:rPr>
        <w:t xml:space="preserve"> </w:t>
      </w:r>
      <w:r>
        <w:rPr>
          <w:rFonts w:ascii="Arial" w:hAnsi="Arial" w:cs="Arial"/>
          <w:sz w:val="20"/>
          <w:szCs w:val="20"/>
        </w:rPr>
        <w:t xml:space="preserve">They were identified by a plant taxonomist, in the Department </w:t>
      </w:r>
      <w:proofErr w:type="gramStart"/>
      <w:r>
        <w:rPr>
          <w:rFonts w:ascii="Arial" w:hAnsi="Arial" w:cs="Arial"/>
          <w:sz w:val="20"/>
          <w:szCs w:val="20"/>
        </w:rPr>
        <w:t>Of</w:t>
      </w:r>
      <w:proofErr w:type="gramEnd"/>
      <w:r>
        <w:rPr>
          <w:rFonts w:ascii="Arial" w:hAnsi="Arial" w:cs="Arial"/>
          <w:sz w:val="20"/>
          <w:szCs w:val="20"/>
        </w:rPr>
        <w:t xml:space="preserve"> Forestry </w:t>
      </w:r>
      <w:proofErr w:type="gramStart"/>
      <w:r>
        <w:rPr>
          <w:rFonts w:ascii="Arial" w:hAnsi="Arial" w:cs="Arial"/>
          <w:sz w:val="20"/>
          <w:szCs w:val="20"/>
        </w:rPr>
        <w:t>And</w:t>
      </w:r>
      <w:proofErr w:type="gramEnd"/>
      <w:r>
        <w:rPr>
          <w:rFonts w:ascii="Arial" w:hAnsi="Arial" w:cs="Arial"/>
          <w:sz w:val="20"/>
          <w:szCs w:val="20"/>
        </w:rPr>
        <w:t xml:space="preserve"> Wildlife </w:t>
      </w:r>
      <w:proofErr w:type="gramStart"/>
      <w:r>
        <w:rPr>
          <w:rFonts w:ascii="Arial" w:hAnsi="Arial" w:cs="Arial"/>
          <w:sz w:val="20"/>
          <w:szCs w:val="20"/>
        </w:rPr>
        <w:t>Technology ,</w:t>
      </w:r>
      <w:proofErr w:type="gramEnd"/>
      <w:r>
        <w:rPr>
          <w:rFonts w:ascii="Arial" w:hAnsi="Arial" w:cs="Arial"/>
          <w:sz w:val="20"/>
          <w:szCs w:val="20"/>
        </w:rPr>
        <w:t xml:space="preserve"> School </w:t>
      </w:r>
      <w:proofErr w:type="gramStart"/>
      <w:r>
        <w:rPr>
          <w:rFonts w:ascii="Arial" w:hAnsi="Arial" w:cs="Arial"/>
          <w:sz w:val="20"/>
          <w:szCs w:val="20"/>
        </w:rPr>
        <w:t>Of</w:t>
      </w:r>
      <w:proofErr w:type="gramEnd"/>
      <w:r>
        <w:rPr>
          <w:rFonts w:ascii="Arial" w:hAnsi="Arial" w:cs="Arial"/>
          <w:sz w:val="20"/>
          <w:szCs w:val="20"/>
        </w:rPr>
        <w:t xml:space="preserve"> </w:t>
      </w:r>
      <w:proofErr w:type="spellStart"/>
      <w:r>
        <w:rPr>
          <w:rFonts w:ascii="Arial" w:hAnsi="Arial" w:cs="Arial"/>
          <w:sz w:val="20"/>
          <w:szCs w:val="20"/>
        </w:rPr>
        <w:t>Agriclture</w:t>
      </w:r>
      <w:proofErr w:type="spellEnd"/>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Agricultural Technology Federal University </w:t>
      </w:r>
      <w:proofErr w:type="gramStart"/>
      <w:r>
        <w:rPr>
          <w:rFonts w:ascii="Arial" w:hAnsi="Arial" w:cs="Arial"/>
          <w:sz w:val="20"/>
          <w:szCs w:val="20"/>
        </w:rPr>
        <w:t>Of</w:t>
      </w:r>
      <w:proofErr w:type="gramEnd"/>
      <w:r>
        <w:rPr>
          <w:rFonts w:ascii="Arial" w:hAnsi="Arial" w:cs="Arial"/>
          <w:sz w:val="20"/>
          <w:szCs w:val="20"/>
        </w:rPr>
        <w:t xml:space="preserve"> Technology Owerri with voucher </w:t>
      </w:r>
      <w:proofErr w:type="gramStart"/>
      <w:r>
        <w:rPr>
          <w:rFonts w:ascii="Arial" w:hAnsi="Arial" w:cs="Arial"/>
          <w:sz w:val="20"/>
          <w:szCs w:val="20"/>
        </w:rPr>
        <w:t>number :FUTO</w:t>
      </w:r>
      <w:proofErr w:type="gramEnd"/>
      <w:r>
        <w:rPr>
          <w:rFonts w:ascii="Arial" w:hAnsi="Arial" w:cs="Arial"/>
          <w:sz w:val="20"/>
          <w:szCs w:val="20"/>
        </w:rPr>
        <w:t>/FWT/ERB/2025/143</w:t>
      </w:r>
    </w:p>
    <w:p w14:paraId="613D12C5" w14:textId="77777777" w:rsidR="00F62FD0" w:rsidRDefault="00000000">
      <w:pPr>
        <w:spacing w:line="360" w:lineRule="auto"/>
        <w:jc w:val="both"/>
        <w:rPr>
          <w:rFonts w:ascii="Arial" w:hAnsi="Arial" w:cs="Arial"/>
          <w:sz w:val="20"/>
          <w:szCs w:val="20"/>
        </w:rPr>
      </w:pPr>
      <w:r>
        <w:rPr>
          <w:rFonts w:ascii="Arial" w:hAnsi="Arial" w:cs="Arial"/>
          <w:sz w:val="20"/>
          <w:szCs w:val="20"/>
          <w:lang w:val="en-GB"/>
        </w:rPr>
        <w:t xml:space="preserve">  The evaluated samples were prepared separately according to standard operating protocol. Individual samples were washed, air-dried and pulverised via blending, and </w:t>
      </w:r>
      <w:r>
        <w:rPr>
          <w:rFonts w:ascii="Arial" w:hAnsi="Arial" w:cs="Arial"/>
          <w:sz w:val="20"/>
          <w:szCs w:val="20"/>
        </w:rPr>
        <w:t>stored in an airtight inert container till use.</w:t>
      </w:r>
    </w:p>
    <w:p w14:paraId="7F060354" w14:textId="77777777" w:rsidR="00F62FD0" w:rsidRDefault="00000000">
      <w:pPr>
        <w:jc w:val="both"/>
        <w:rPr>
          <w:rFonts w:ascii="Arial" w:hAnsi="Arial" w:cs="Arial"/>
          <w:b/>
          <w:bCs/>
          <w:sz w:val="20"/>
          <w:szCs w:val="20"/>
        </w:rPr>
      </w:pPr>
      <w:r>
        <w:rPr>
          <w:rFonts w:ascii="Arial" w:hAnsi="Arial" w:cs="Arial"/>
          <w:b/>
          <w:bCs/>
          <w:sz w:val="20"/>
          <w:szCs w:val="20"/>
        </w:rPr>
        <w:t>2.1.2 Extraction of plant material</w:t>
      </w:r>
    </w:p>
    <w:p w14:paraId="24BAAD92"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Extraction was done by the maceration method. 1 kg of each plant powder was soaked separately in 3 L of ethanol for 3 days, and was then filtered. The excess solvent was removed under vacuum using a rotary evaporator at 40 </w:t>
      </w:r>
      <w:proofErr w:type="spellStart"/>
      <w:r>
        <w:rPr>
          <w:rFonts w:ascii="Arial" w:hAnsi="Arial" w:cs="Arial"/>
          <w:sz w:val="20"/>
          <w:szCs w:val="20"/>
          <w:vertAlign w:val="superscript"/>
        </w:rPr>
        <w:t>o</w:t>
      </w:r>
      <w:r>
        <w:rPr>
          <w:rFonts w:ascii="Arial" w:hAnsi="Arial" w:cs="Arial"/>
          <w:sz w:val="20"/>
          <w:szCs w:val="20"/>
        </w:rPr>
        <w:t>C.</w:t>
      </w:r>
      <w:proofErr w:type="spellEnd"/>
      <w:r>
        <w:rPr>
          <w:rFonts w:ascii="Arial" w:hAnsi="Arial" w:cs="Arial"/>
          <w:sz w:val="20"/>
          <w:szCs w:val="20"/>
        </w:rPr>
        <w:t xml:space="preserve"> Evaporation was continued to near dryness using a water bath at 40 </w:t>
      </w:r>
      <w:proofErr w:type="spellStart"/>
      <w:r>
        <w:rPr>
          <w:rFonts w:ascii="Arial" w:hAnsi="Arial" w:cs="Arial"/>
          <w:sz w:val="20"/>
          <w:szCs w:val="20"/>
          <w:vertAlign w:val="superscript"/>
        </w:rPr>
        <w:t>o</w:t>
      </w:r>
      <w:r>
        <w:rPr>
          <w:rFonts w:ascii="Arial" w:hAnsi="Arial" w:cs="Arial"/>
          <w:sz w:val="20"/>
          <w:szCs w:val="20"/>
        </w:rPr>
        <w:t>C.</w:t>
      </w:r>
      <w:proofErr w:type="spellEnd"/>
      <w:r>
        <w:rPr>
          <w:rFonts w:ascii="Arial" w:hAnsi="Arial" w:cs="Arial"/>
          <w:sz w:val="20"/>
          <w:szCs w:val="20"/>
        </w:rPr>
        <w:t xml:space="preserve"> The crude was left to completely evaporate to dryness at room temperature in a beaker covered with clean, thinly perforated foil, and the crude extract was kept in an airtight inert container until use.</w:t>
      </w:r>
    </w:p>
    <w:p w14:paraId="28A17DDA" w14:textId="77777777" w:rsidR="00F62FD0" w:rsidRDefault="00000000">
      <w:pPr>
        <w:jc w:val="both"/>
        <w:rPr>
          <w:rFonts w:ascii="Arial" w:hAnsi="Arial" w:cs="Arial"/>
          <w:b/>
          <w:bCs/>
          <w:sz w:val="20"/>
          <w:szCs w:val="20"/>
        </w:rPr>
      </w:pPr>
      <w:r>
        <w:rPr>
          <w:rFonts w:ascii="Arial" w:hAnsi="Arial" w:cs="Arial"/>
          <w:b/>
          <w:bCs/>
        </w:rPr>
        <w:lastRenderedPageBreak/>
        <w:t>2.2 Procurement of Animals</w:t>
      </w:r>
    </w:p>
    <w:p w14:paraId="5665D66E"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For this study, adult male Wistar rats weighing 90-150 g were used. </w:t>
      </w:r>
      <w:r>
        <w:rPr>
          <w:rFonts w:ascii="Arial" w:eastAsia="Calibri" w:hAnsi="Arial" w:cs="Arial"/>
          <w:sz w:val="20"/>
          <w:szCs w:val="20"/>
        </w:rPr>
        <w:t xml:space="preserve">The animals were procured from the Animal Breeding </w:t>
      </w:r>
      <w:proofErr w:type="gramStart"/>
      <w:r>
        <w:rPr>
          <w:rFonts w:ascii="Arial" w:eastAsia="Calibri" w:hAnsi="Arial" w:cs="Arial"/>
          <w:sz w:val="20"/>
          <w:szCs w:val="20"/>
        </w:rPr>
        <w:t>Unit ,</w:t>
      </w:r>
      <w:proofErr w:type="gramEnd"/>
      <w:r>
        <w:rPr>
          <w:rFonts w:ascii="Arial" w:eastAsia="Calibri" w:hAnsi="Arial" w:cs="Arial"/>
          <w:sz w:val="20"/>
          <w:szCs w:val="20"/>
        </w:rPr>
        <w:t xml:space="preserve"> Zoology </w:t>
      </w:r>
      <w:proofErr w:type="gramStart"/>
      <w:r>
        <w:rPr>
          <w:rFonts w:ascii="Arial" w:eastAsia="Calibri" w:hAnsi="Arial" w:cs="Arial"/>
          <w:sz w:val="20"/>
          <w:szCs w:val="20"/>
        </w:rPr>
        <w:t>Department ,</w:t>
      </w:r>
      <w:proofErr w:type="gramEnd"/>
      <w:r>
        <w:rPr>
          <w:rFonts w:ascii="Arial" w:eastAsia="Calibri" w:hAnsi="Arial" w:cs="Arial"/>
          <w:sz w:val="20"/>
          <w:szCs w:val="20"/>
        </w:rPr>
        <w:t xml:space="preserve"> University of Nigeria, </w:t>
      </w:r>
      <w:proofErr w:type="gramStart"/>
      <w:r>
        <w:rPr>
          <w:rFonts w:ascii="Arial" w:eastAsia="Calibri" w:hAnsi="Arial" w:cs="Arial"/>
          <w:sz w:val="20"/>
          <w:szCs w:val="20"/>
        </w:rPr>
        <w:t>Nsukka ,</w:t>
      </w:r>
      <w:proofErr w:type="gramEnd"/>
      <w:r>
        <w:rPr>
          <w:rFonts w:ascii="Arial" w:eastAsia="Calibri" w:hAnsi="Arial" w:cs="Arial"/>
          <w:sz w:val="20"/>
          <w:szCs w:val="20"/>
        </w:rPr>
        <w:t xml:space="preserve"> Enugu State, Nigeria </w:t>
      </w:r>
      <w:r>
        <w:rPr>
          <w:rFonts w:ascii="Arial" w:hAnsi="Arial" w:cs="Arial"/>
          <w:sz w:val="20"/>
          <w:szCs w:val="20"/>
        </w:rPr>
        <w:t xml:space="preserve">and were </w:t>
      </w:r>
      <w:proofErr w:type="spellStart"/>
      <w:r>
        <w:rPr>
          <w:rFonts w:ascii="Arial" w:hAnsi="Arial" w:cs="Arial"/>
          <w:sz w:val="20"/>
          <w:szCs w:val="20"/>
        </w:rPr>
        <w:t>acclimatised</w:t>
      </w:r>
      <w:proofErr w:type="spellEnd"/>
      <w:r>
        <w:rPr>
          <w:rFonts w:ascii="Arial" w:hAnsi="Arial" w:cs="Arial"/>
          <w:sz w:val="20"/>
          <w:szCs w:val="20"/>
        </w:rPr>
        <w:t xml:space="preserve"> in an airy pen at room temperature, fed with standard rat feed, and given water </w:t>
      </w:r>
      <w:r>
        <w:rPr>
          <w:rFonts w:ascii="Arial" w:hAnsi="Arial" w:cs="Arial"/>
          <w:i/>
          <w:iCs/>
          <w:sz w:val="20"/>
          <w:szCs w:val="20"/>
        </w:rPr>
        <w:t>ad libitum</w:t>
      </w:r>
      <w:r>
        <w:rPr>
          <w:rFonts w:ascii="Arial" w:hAnsi="Arial" w:cs="Arial"/>
          <w:sz w:val="20"/>
          <w:szCs w:val="20"/>
        </w:rPr>
        <w:t xml:space="preserve"> for two weeks. The NIH recommendations for the care and use of laboratory animals were followed in the experimental procedures.</w:t>
      </w:r>
    </w:p>
    <w:p w14:paraId="1BE029AE" w14:textId="77777777" w:rsidR="00F62FD0" w:rsidRDefault="00F62FD0">
      <w:pPr>
        <w:spacing w:line="360" w:lineRule="auto"/>
        <w:jc w:val="both"/>
        <w:rPr>
          <w:rFonts w:ascii="Arial" w:hAnsi="Arial" w:cs="Arial"/>
          <w:sz w:val="20"/>
          <w:szCs w:val="20"/>
        </w:rPr>
      </w:pPr>
    </w:p>
    <w:p w14:paraId="01ABCB63" w14:textId="77777777" w:rsidR="00F62FD0" w:rsidRDefault="00000000">
      <w:pPr>
        <w:jc w:val="both"/>
        <w:rPr>
          <w:rFonts w:ascii="Arial" w:hAnsi="Arial" w:cs="Arial"/>
          <w:b/>
          <w:bCs/>
        </w:rPr>
      </w:pPr>
      <w:r>
        <w:rPr>
          <w:rFonts w:ascii="Arial" w:hAnsi="Arial" w:cs="Arial"/>
          <w:b/>
          <w:bCs/>
        </w:rPr>
        <w:t>2.3 Toxicity Study</w:t>
      </w:r>
    </w:p>
    <w:p w14:paraId="36A639E8"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After the 14-day </w:t>
      </w:r>
      <w:proofErr w:type="spellStart"/>
      <w:r>
        <w:rPr>
          <w:rFonts w:ascii="Arial" w:hAnsi="Arial" w:cs="Arial"/>
          <w:sz w:val="20"/>
          <w:szCs w:val="20"/>
        </w:rPr>
        <w:t>acclimatisation</w:t>
      </w:r>
      <w:proofErr w:type="spellEnd"/>
      <w:r>
        <w:rPr>
          <w:rFonts w:ascii="Arial" w:hAnsi="Arial" w:cs="Arial"/>
          <w:sz w:val="20"/>
          <w:szCs w:val="20"/>
        </w:rPr>
        <w:t xml:space="preserve"> period, the animals were randomly divided into 11 groups of 5 rats each and were treated as follows;</w:t>
      </w:r>
    </w:p>
    <w:p w14:paraId="220841D1" w14:textId="50255A05" w:rsidR="00F62FD0" w:rsidRDefault="00000000">
      <w:pPr>
        <w:pStyle w:val="Heading1"/>
        <w:rPr>
          <w:rFonts w:ascii="Arial" w:hAnsi="Arial" w:cs="Arial"/>
          <w:bCs/>
          <w:sz w:val="20"/>
          <w:szCs w:val="20"/>
        </w:rPr>
      </w:pPr>
      <w:r>
        <w:rPr>
          <w:rFonts w:eastAsia="Times New Roman" w:cs="Times New Roman"/>
          <w:bCs/>
          <w:color w:val="000000"/>
          <w:kern w:val="24"/>
          <w:szCs w:val="24"/>
          <w14:ligatures w14:val="none"/>
        </w:rPr>
        <w:t xml:space="preserve">Table 1 Benign Prostatic Hyperplasia (BPH) Study Design </w:t>
      </w:r>
      <w:r>
        <w:rPr>
          <w:rFonts w:ascii="Arial" w:hAnsi="Arial" w:cs="Arial"/>
          <w:bCs/>
          <w:sz w:val="20"/>
          <w:szCs w:val="20"/>
        </w:rPr>
        <w:t>Experimental Design</w:t>
      </w:r>
    </w:p>
    <w:tbl>
      <w:tblPr>
        <w:tblStyle w:val="ListTable6Colorful1"/>
        <w:tblW w:w="0" w:type="auto"/>
        <w:tblLook w:val="04A0" w:firstRow="1" w:lastRow="0" w:firstColumn="1" w:lastColumn="0" w:noHBand="0" w:noVBand="1"/>
      </w:tblPr>
      <w:tblGrid>
        <w:gridCol w:w="985"/>
        <w:gridCol w:w="1483"/>
        <w:gridCol w:w="1062"/>
        <w:gridCol w:w="4000"/>
        <w:gridCol w:w="1496"/>
      </w:tblGrid>
      <w:tr w:rsidR="00F62FD0" w14:paraId="68302EDE" w14:textId="77777777" w:rsidTr="00F62F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auto"/>
              <w:bottom w:val="single" w:sz="12" w:space="0" w:color="auto"/>
            </w:tcBorders>
          </w:tcPr>
          <w:p w14:paraId="31D1B2D0" w14:textId="77777777" w:rsidR="00F62FD0" w:rsidRDefault="00000000">
            <w:pPr>
              <w:jc w:val="both"/>
              <w:rPr>
                <w:rFonts w:ascii="Arial" w:hAnsi="Arial" w:cs="Arial"/>
                <w:b w:val="0"/>
                <w:bCs w:val="0"/>
                <w:sz w:val="20"/>
                <w:szCs w:val="20"/>
              </w:rPr>
            </w:pPr>
            <w:r>
              <w:rPr>
                <w:rFonts w:ascii="Arial" w:hAnsi="Arial" w:cs="Arial"/>
                <w:sz w:val="20"/>
                <w:szCs w:val="20"/>
              </w:rPr>
              <w:t>Groups</w:t>
            </w:r>
          </w:p>
        </w:tc>
        <w:tc>
          <w:tcPr>
            <w:tcW w:w="1525" w:type="dxa"/>
            <w:tcBorders>
              <w:top w:val="single" w:sz="12" w:space="0" w:color="auto"/>
              <w:bottom w:val="single" w:sz="12" w:space="0" w:color="auto"/>
            </w:tcBorders>
          </w:tcPr>
          <w:p w14:paraId="54C59EC4" w14:textId="77777777" w:rsidR="00F62FD0"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Group label</w:t>
            </w:r>
          </w:p>
        </w:tc>
        <w:tc>
          <w:tcPr>
            <w:tcW w:w="1070" w:type="dxa"/>
            <w:tcBorders>
              <w:top w:val="single" w:sz="12" w:space="0" w:color="auto"/>
              <w:bottom w:val="single" w:sz="12" w:space="0" w:color="auto"/>
            </w:tcBorders>
          </w:tcPr>
          <w:p w14:paraId="3C68B0CD" w14:textId="77777777" w:rsidR="00F62FD0"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Number of Rats</w:t>
            </w:r>
          </w:p>
        </w:tc>
        <w:tc>
          <w:tcPr>
            <w:tcW w:w="4245" w:type="dxa"/>
            <w:tcBorders>
              <w:top w:val="single" w:sz="12" w:space="0" w:color="auto"/>
              <w:bottom w:val="single" w:sz="12" w:space="0" w:color="auto"/>
            </w:tcBorders>
          </w:tcPr>
          <w:p w14:paraId="17537C05" w14:textId="77777777" w:rsidR="00F62FD0"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Treatment</w:t>
            </w:r>
          </w:p>
        </w:tc>
        <w:tc>
          <w:tcPr>
            <w:tcW w:w="1530" w:type="dxa"/>
            <w:tcBorders>
              <w:top w:val="single" w:sz="12" w:space="0" w:color="auto"/>
              <w:bottom w:val="single" w:sz="12" w:space="0" w:color="auto"/>
            </w:tcBorders>
          </w:tcPr>
          <w:p w14:paraId="78C99398" w14:textId="77777777" w:rsidR="00F62FD0" w:rsidRDefault="0000000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Duration of treatment</w:t>
            </w:r>
          </w:p>
        </w:tc>
      </w:tr>
      <w:tr w:rsidR="00F62FD0" w14:paraId="573E14A0" w14:textId="77777777" w:rsidTr="00F62FD0">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auto"/>
            </w:tcBorders>
          </w:tcPr>
          <w:p w14:paraId="1B82F635" w14:textId="77777777" w:rsidR="00F62FD0" w:rsidRDefault="00000000">
            <w:pPr>
              <w:jc w:val="both"/>
              <w:rPr>
                <w:rFonts w:ascii="Arial" w:hAnsi="Arial" w:cs="Arial"/>
                <w:sz w:val="20"/>
                <w:szCs w:val="20"/>
              </w:rPr>
            </w:pPr>
            <w:r>
              <w:rPr>
                <w:rFonts w:ascii="Arial" w:hAnsi="Arial" w:cs="Arial"/>
                <w:b w:val="0"/>
                <w:bCs w:val="0"/>
                <w:sz w:val="20"/>
                <w:szCs w:val="20"/>
              </w:rPr>
              <w:t>1</w:t>
            </w:r>
          </w:p>
        </w:tc>
        <w:tc>
          <w:tcPr>
            <w:tcW w:w="1525" w:type="dxa"/>
            <w:tcBorders>
              <w:top w:val="single" w:sz="12" w:space="0" w:color="auto"/>
            </w:tcBorders>
          </w:tcPr>
          <w:p w14:paraId="0A2C16E4"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Normal control</w:t>
            </w:r>
          </w:p>
        </w:tc>
        <w:tc>
          <w:tcPr>
            <w:tcW w:w="1070" w:type="dxa"/>
            <w:tcBorders>
              <w:top w:val="single" w:sz="12" w:space="0" w:color="auto"/>
            </w:tcBorders>
          </w:tcPr>
          <w:p w14:paraId="5876CED1"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Borders>
              <w:top w:val="single" w:sz="12" w:space="0" w:color="auto"/>
            </w:tcBorders>
          </w:tcPr>
          <w:p w14:paraId="60E90549"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Feed and water</w:t>
            </w:r>
          </w:p>
        </w:tc>
        <w:tc>
          <w:tcPr>
            <w:tcW w:w="1530" w:type="dxa"/>
            <w:tcBorders>
              <w:top w:val="single" w:sz="12" w:space="0" w:color="auto"/>
            </w:tcBorders>
          </w:tcPr>
          <w:p w14:paraId="667CA7CB"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4C447130"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03AA1DF6" w14:textId="77777777" w:rsidR="00F62FD0" w:rsidRDefault="00000000">
            <w:pPr>
              <w:jc w:val="both"/>
              <w:rPr>
                <w:rFonts w:ascii="Arial" w:hAnsi="Arial" w:cs="Arial"/>
                <w:sz w:val="20"/>
                <w:szCs w:val="20"/>
              </w:rPr>
            </w:pPr>
            <w:r>
              <w:rPr>
                <w:rFonts w:ascii="Arial" w:hAnsi="Arial" w:cs="Arial"/>
                <w:b w:val="0"/>
                <w:bCs w:val="0"/>
                <w:sz w:val="20"/>
                <w:szCs w:val="20"/>
              </w:rPr>
              <w:t>2</w:t>
            </w:r>
          </w:p>
        </w:tc>
        <w:tc>
          <w:tcPr>
            <w:tcW w:w="1525" w:type="dxa"/>
          </w:tcPr>
          <w:p w14:paraId="304C260F"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Negative control</w:t>
            </w:r>
          </w:p>
        </w:tc>
        <w:tc>
          <w:tcPr>
            <w:tcW w:w="1070" w:type="dxa"/>
          </w:tcPr>
          <w:p w14:paraId="745CD00F"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27A6BBA6"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Induced with BPH (5.0 mg/kg per </w:t>
            </w:r>
            <w:proofErr w:type="spellStart"/>
            <w:r>
              <w:rPr>
                <w:rFonts w:ascii="Arial" w:hAnsi="Arial" w:cs="Arial"/>
                <w:sz w:val="20"/>
                <w:szCs w:val="20"/>
              </w:rPr>
              <w:t>b.w</w:t>
            </w:r>
            <w:proofErr w:type="spellEnd"/>
            <w:r>
              <w:rPr>
                <w:rFonts w:ascii="Arial" w:hAnsi="Arial" w:cs="Arial"/>
                <w:sz w:val="20"/>
                <w:szCs w:val="20"/>
              </w:rPr>
              <w:t xml:space="preserve"> testosterone propionate)</w:t>
            </w:r>
          </w:p>
        </w:tc>
        <w:tc>
          <w:tcPr>
            <w:tcW w:w="1530" w:type="dxa"/>
          </w:tcPr>
          <w:p w14:paraId="42798DDF"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1E53986F"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78B71BB8" w14:textId="77777777" w:rsidR="00F62FD0" w:rsidRDefault="00000000">
            <w:pPr>
              <w:jc w:val="both"/>
              <w:rPr>
                <w:rFonts w:ascii="Arial" w:hAnsi="Arial" w:cs="Arial"/>
                <w:sz w:val="20"/>
                <w:szCs w:val="20"/>
              </w:rPr>
            </w:pPr>
            <w:r>
              <w:rPr>
                <w:rFonts w:ascii="Arial" w:hAnsi="Arial" w:cs="Arial"/>
                <w:b w:val="0"/>
                <w:bCs w:val="0"/>
                <w:sz w:val="20"/>
                <w:szCs w:val="20"/>
              </w:rPr>
              <w:t>3</w:t>
            </w:r>
          </w:p>
        </w:tc>
        <w:tc>
          <w:tcPr>
            <w:tcW w:w="1525" w:type="dxa"/>
          </w:tcPr>
          <w:p w14:paraId="23AF6785"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Standard control</w:t>
            </w:r>
          </w:p>
        </w:tc>
        <w:tc>
          <w:tcPr>
            <w:tcW w:w="1070" w:type="dxa"/>
          </w:tcPr>
          <w:p w14:paraId="1B230E98"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2AF39651"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BPH-induced and treated with a standard drug (0.5mg/kg </w:t>
            </w:r>
            <w:proofErr w:type="spellStart"/>
            <w:r>
              <w:rPr>
                <w:rFonts w:ascii="Arial" w:hAnsi="Arial" w:cs="Arial"/>
                <w:sz w:val="20"/>
                <w:szCs w:val="20"/>
              </w:rPr>
              <w:t>b.w.</w:t>
            </w:r>
            <w:proofErr w:type="spellEnd"/>
            <w:r>
              <w:rPr>
                <w:rFonts w:ascii="Arial" w:hAnsi="Arial" w:cs="Arial"/>
                <w:sz w:val="20"/>
                <w:szCs w:val="20"/>
              </w:rPr>
              <w:t xml:space="preserve"> finasteride)</w:t>
            </w:r>
          </w:p>
        </w:tc>
        <w:tc>
          <w:tcPr>
            <w:tcW w:w="1530" w:type="dxa"/>
          </w:tcPr>
          <w:p w14:paraId="5DDA64A3"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72684734"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080B9E4A" w14:textId="77777777" w:rsidR="00F62FD0" w:rsidRDefault="00000000">
            <w:pPr>
              <w:jc w:val="both"/>
              <w:rPr>
                <w:rFonts w:ascii="Arial" w:hAnsi="Arial" w:cs="Arial"/>
                <w:sz w:val="20"/>
                <w:szCs w:val="20"/>
              </w:rPr>
            </w:pPr>
            <w:r>
              <w:rPr>
                <w:rFonts w:ascii="Arial" w:hAnsi="Arial" w:cs="Arial"/>
                <w:b w:val="0"/>
                <w:bCs w:val="0"/>
                <w:sz w:val="20"/>
                <w:szCs w:val="20"/>
              </w:rPr>
              <w:t>4</w:t>
            </w:r>
          </w:p>
        </w:tc>
        <w:tc>
          <w:tcPr>
            <w:tcW w:w="1525" w:type="dxa"/>
          </w:tcPr>
          <w:p w14:paraId="40C426B1"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Pr>
          <w:p w14:paraId="400D3BC7"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56BB1536"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Induced and treated with </w:t>
            </w:r>
            <w:bookmarkStart w:id="0" w:name="_Hlk204170112"/>
            <w:r>
              <w:rPr>
                <w:rFonts w:ascii="Arial" w:hAnsi="Arial" w:cs="Arial"/>
                <w:sz w:val="20"/>
                <w:szCs w:val="20"/>
              </w:rPr>
              <w:t>250mg/kg body weight</w:t>
            </w:r>
            <w:bookmarkEnd w:id="0"/>
            <w:r>
              <w:rPr>
                <w:rFonts w:ascii="Arial" w:hAnsi="Arial" w:cs="Arial"/>
                <w:sz w:val="20"/>
                <w:szCs w:val="20"/>
              </w:rPr>
              <w:t xml:space="preserve"> of plant leaf extract</w:t>
            </w:r>
          </w:p>
        </w:tc>
        <w:tc>
          <w:tcPr>
            <w:tcW w:w="1530" w:type="dxa"/>
          </w:tcPr>
          <w:p w14:paraId="6229A33D"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67637225"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2580933F" w14:textId="77777777" w:rsidR="00F62FD0" w:rsidRDefault="00000000">
            <w:pPr>
              <w:jc w:val="both"/>
              <w:rPr>
                <w:rFonts w:ascii="Arial" w:hAnsi="Arial" w:cs="Arial"/>
                <w:sz w:val="20"/>
                <w:szCs w:val="20"/>
              </w:rPr>
            </w:pPr>
            <w:r>
              <w:rPr>
                <w:rFonts w:ascii="Arial" w:hAnsi="Arial" w:cs="Arial"/>
                <w:b w:val="0"/>
                <w:bCs w:val="0"/>
                <w:sz w:val="20"/>
                <w:szCs w:val="20"/>
              </w:rPr>
              <w:t>5</w:t>
            </w:r>
          </w:p>
        </w:tc>
        <w:tc>
          <w:tcPr>
            <w:tcW w:w="1525" w:type="dxa"/>
          </w:tcPr>
          <w:p w14:paraId="509DAD61"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Pr>
          <w:p w14:paraId="4C1145BE"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4DAD6C41"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Induced and treated with 500mg/kg body weight of plant leaf extract</w:t>
            </w:r>
          </w:p>
        </w:tc>
        <w:tc>
          <w:tcPr>
            <w:tcW w:w="1530" w:type="dxa"/>
          </w:tcPr>
          <w:p w14:paraId="111ED87A"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3B1EE40C"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6D1EEDA0" w14:textId="77777777" w:rsidR="00F62FD0" w:rsidRDefault="00000000">
            <w:pPr>
              <w:jc w:val="both"/>
              <w:rPr>
                <w:rFonts w:ascii="Arial" w:hAnsi="Arial" w:cs="Arial"/>
                <w:sz w:val="20"/>
                <w:szCs w:val="20"/>
              </w:rPr>
            </w:pPr>
            <w:r>
              <w:rPr>
                <w:rFonts w:ascii="Arial" w:hAnsi="Arial" w:cs="Arial"/>
                <w:b w:val="0"/>
                <w:bCs w:val="0"/>
                <w:sz w:val="20"/>
                <w:szCs w:val="20"/>
              </w:rPr>
              <w:t>6</w:t>
            </w:r>
          </w:p>
        </w:tc>
        <w:tc>
          <w:tcPr>
            <w:tcW w:w="1525" w:type="dxa"/>
          </w:tcPr>
          <w:p w14:paraId="568EFA73"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Pr>
          <w:p w14:paraId="462AFA33"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79CD49FF"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Induced and treated with 250mg/kg body weight of plant stem bark extract</w:t>
            </w:r>
          </w:p>
        </w:tc>
        <w:tc>
          <w:tcPr>
            <w:tcW w:w="1530" w:type="dxa"/>
          </w:tcPr>
          <w:p w14:paraId="539CA2D0"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5770E6A9"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2B1F7C13" w14:textId="77777777" w:rsidR="00F62FD0" w:rsidRDefault="00000000">
            <w:pPr>
              <w:jc w:val="both"/>
              <w:rPr>
                <w:rFonts w:ascii="Arial" w:hAnsi="Arial" w:cs="Arial"/>
                <w:sz w:val="20"/>
                <w:szCs w:val="20"/>
              </w:rPr>
            </w:pPr>
            <w:r>
              <w:rPr>
                <w:rFonts w:ascii="Arial" w:hAnsi="Arial" w:cs="Arial"/>
                <w:b w:val="0"/>
                <w:bCs w:val="0"/>
                <w:sz w:val="20"/>
                <w:szCs w:val="20"/>
              </w:rPr>
              <w:t>7</w:t>
            </w:r>
          </w:p>
        </w:tc>
        <w:tc>
          <w:tcPr>
            <w:tcW w:w="1525" w:type="dxa"/>
          </w:tcPr>
          <w:p w14:paraId="71E7A4F7"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Pr>
          <w:p w14:paraId="5EB07D2F"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33BF4BD1"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Induced and treated with 500mg/kg body weight of plant stem bark extract.</w:t>
            </w:r>
          </w:p>
        </w:tc>
        <w:tc>
          <w:tcPr>
            <w:tcW w:w="1530" w:type="dxa"/>
          </w:tcPr>
          <w:p w14:paraId="4CCC5F4D"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25491240"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214DCB7F" w14:textId="77777777" w:rsidR="00F62FD0" w:rsidRDefault="00000000">
            <w:pPr>
              <w:jc w:val="both"/>
              <w:rPr>
                <w:rFonts w:ascii="Arial" w:hAnsi="Arial" w:cs="Arial"/>
                <w:sz w:val="20"/>
                <w:szCs w:val="20"/>
              </w:rPr>
            </w:pPr>
            <w:r>
              <w:rPr>
                <w:rFonts w:ascii="Arial" w:hAnsi="Arial" w:cs="Arial"/>
                <w:b w:val="0"/>
                <w:bCs w:val="0"/>
                <w:sz w:val="20"/>
                <w:szCs w:val="20"/>
              </w:rPr>
              <w:t>8</w:t>
            </w:r>
          </w:p>
        </w:tc>
        <w:tc>
          <w:tcPr>
            <w:tcW w:w="1525" w:type="dxa"/>
          </w:tcPr>
          <w:p w14:paraId="40848268"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Pr>
          <w:p w14:paraId="368B9D42"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251CBFC6"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Induced and treated with 250mg/kg body weight of plant pulp extract</w:t>
            </w:r>
          </w:p>
        </w:tc>
        <w:tc>
          <w:tcPr>
            <w:tcW w:w="1530" w:type="dxa"/>
          </w:tcPr>
          <w:p w14:paraId="5AF5DDC1"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7A065ED5"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7F4DF29E" w14:textId="77777777" w:rsidR="00F62FD0" w:rsidRDefault="00000000">
            <w:pPr>
              <w:jc w:val="both"/>
              <w:rPr>
                <w:rFonts w:ascii="Arial" w:hAnsi="Arial" w:cs="Arial"/>
                <w:sz w:val="20"/>
                <w:szCs w:val="20"/>
              </w:rPr>
            </w:pPr>
            <w:r>
              <w:rPr>
                <w:rFonts w:ascii="Arial" w:hAnsi="Arial" w:cs="Arial"/>
                <w:b w:val="0"/>
                <w:bCs w:val="0"/>
                <w:sz w:val="20"/>
                <w:szCs w:val="20"/>
              </w:rPr>
              <w:t>9</w:t>
            </w:r>
          </w:p>
        </w:tc>
        <w:tc>
          <w:tcPr>
            <w:tcW w:w="1525" w:type="dxa"/>
          </w:tcPr>
          <w:p w14:paraId="6C61A1A4"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Pr>
          <w:p w14:paraId="7882EF5C"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52259415"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Induced and treated with 500mg/kg body weight of plant pulp extract</w:t>
            </w:r>
          </w:p>
        </w:tc>
        <w:tc>
          <w:tcPr>
            <w:tcW w:w="1530" w:type="dxa"/>
          </w:tcPr>
          <w:p w14:paraId="06AEC69E"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1FCB7464" w14:textId="77777777" w:rsidTr="00F62FD0">
        <w:tc>
          <w:tcPr>
            <w:cnfStyle w:val="001000000000" w:firstRow="0" w:lastRow="0" w:firstColumn="1" w:lastColumn="0" w:oddVBand="0" w:evenVBand="0" w:oddHBand="0" w:evenHBand="0" w:firstRowFirstColumn="0" w:firstRowLastColumn="0" w:lastRowFirstColumn="0" w:lastRowLastColumn="0"/>
            <w:tcW w:w="990" w:type="dxa"/>
          </w:tcPr>
          <w:p w14:paraId="6170FD80" w14:textId="77777777" w:rsidR="00F62FD0" w:rsidRDefault="00000000">
            <w:pPr>
              <w:jc w:val="both"/>
              <w:rPr>
                <w:rFonts w:ascii="Arial" w:hAnsi="Arial" w:cs="Arial"/>
                <w:sz w:val="20"/>
                <w:szCs w:val="20"/>
              </w:rPr>
            </w:pPr>
            <w:r>
              <w:rPr>
                <w:rFonts w:ascii="Arial" w:hAnsi="Arial" w:cs="Arial"/>
                <w:b w:val="0"/>
                <w:bCs w:val="0"/>
                <w:sz w:val="20"/>
                <w:szCs w:val="20"/>
              </w:rPr>
              <w:t>10</w:t>
            </w:r>
          </w:p>
        </w:tc>
        <w:tc>
          <w:tcPr>
            <w:tcW w:w="1525" w:type="dxa"/>
          </w:tcPr>
          <w:p w14:paraId="46B9F589"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Pr>
          <w:p w14:paraId="670D6108"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Pr>
          <w:p w14:paraId="07506F10"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Induced and treated with 250mg/kg body weight of plant leaves, pulp and stem bark extracts</w:t>
            </w:r>
          </w:p>
        </w:tc>
        <w:tc>
          <w:tcPr>
            <w:tcW w:w="1530" w:type="dxa"/>
          </w:tcPr>
          <w:p w14:paraId="33C175A8"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r w:rsidR="00F62FD0" w14:paraId="6EE054DD" w14:textId="77777777" w:rsidTr="00F62FD0">
        <w:tc>
          <w:tcPr>
            <w:cnfStyle w:val="001000000000" w:firstRow="0" w:lastRow="0" w:firstColumn="1" w:lastColumn="0" w:oddVBand="0" w:evenVBand="0" w:oddHBand="0" w:evenHBand="0" w:firstRowFirstColumn="0" w:firstRowLastColumn="0" w:lastRowFirstColumn="0" w:lastRowLastColumn="0"/>
            <w:tcW w:w="990" w:type="dxa"/>
            <w:tcBorders>
              <w:bottom w:val="single" w:sz="12" w:space="0" w:color="auto"/>
            </w:tcBorders>
          </w:tcPr>
          <w:p w14:paraId="5B3CE94F" w14:textId="77777777" w:rsidR="00F62FD0" w:rsidRDefault="00000000">
            <w:pPr>
              <w:jc w:val="both"/>
              <w:rPr>
                <w:rFonts w:ascii="Arial" w:hAnsi="Arial" w:cs="Arial"/>
                <w:sz w:val="20"/>
                <w:szCs w:val="20"/>
              </w:rPr>
            </w:pPr>
            <w:r>
              <w:rPr>
                <w:rFonts w:ascii="Arial" w:hAnsi="Arial" w:cs="Arial"/>
                <w:b w:val="0"/>
                <w:bCs w:val="0"/>
                <w:sz w:val="20"/>
                <w:szCs w:val="20"/>
              </w:rPr>
              <w:t>11</w:t>
            </w:r>
          </w:p>
        </w:tc>
        <w:tc>
          <w:tcPr>
            <w:tcW w:w="1525" w:type="dxa"/>
            <w:tcBorders>
              <w:bottom w:val="single" w:sz="12" w:space="0" w:color="auto"/>
            </w:tcBorders>
          </w:tcPr>
          <w:p w14:paraId="4ACF5264"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 group</w:t>
            </w:r>
          </w:p>
        </w:tc>
        <w:tc>
          <w:tcPr>
            <w:tcW w:w="1070" w:type="dxa"/>
            <w:tcBorders>
              <w:bottom w:val="single" w:sz="12" w:space="0" w:color="auto"/>
            </w:tcBorders>
          </w:tcPr>
          <w:p w14:paraId="0E98A63D"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4245" w:type="dxa"/>
            <w:tcBorders>
              <w:bottom w:val="single" w:sz="12" w:space="0" w:color="auto"/>
            </w:tcBorders>
          </w:tcPr>
          <w:p w14:paraId="112E38D2"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Induced and treated with 500mg/kg body weight of plant leaves, pulp and stem bark extracts</w:t>
            </w:r>
          </w:p>
        </w:tc>
        <w:tc>
          <w:tcPr>
            <w:tcW w:w="1530" w:type="dxa"/>
            <w:tcBorders>
              <w:bottom w:val="single" w:sz="12" w:space="0" w:color="auto"/>
            </w:tcBorders>
          </w:tcPr>
          <w:p w14:paraId="35468EC8" w14:textId="77777777" w:rsidR="00F62FD0" w:rsidRDefault="0000000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 days</w:t>
            </w:r>
          </w:p>
        </w:tc>
      </w:tr>
    </w:tbl>
    <w:p w14:paraId="2F2483B1" w14:textId="77777777" w:rsidR="00F62FD0" w:rsidRDefault="00F62FD0">
      <w:pPr>
        <w:jc w:val="both"/>
        <w:rPr>
          <w:rFonts w:ascii="Arial" w:hAnsi="Arial" w:cs="Arial"/>
          <w:sz w:val="20"/>
          <w:szCs w:val="20"/>
        </w:rPr>
      </w:pPr>
    </w:p>
    <w:p w14:paraId="26DCFC3D" w14:textId="77777777" w:rsidR="00F62FD0" w:rsidRDefault="00F62FD0">
      <w:pPr>
        <w:jc w:val="both"/>
        <w:rPr>
          <w:rFonts w:ascii="Arial" w:hAnsi="Arial" w:cs="Arial"/>
          <w:b/>
          <w:bCs/>
          <w:sz w:val="20"/>
          <w:szCs w:val="20"/>
        </w:rPr>
      </w:pPr>
    </w:p>
    <w:p w14:paraId="06C568F6" w14:textId="77777777" w:rsidR="00F62FD0" w:rsidRDefault="00000000">
      <w:pPr>
        <w:jc w:val="both"/>
        <w:rPr>
          <w:rFonts w:ascii="Arial" w:hAnsi="Arial" w:cs="Arial"/>
          <w:sz w:val="20"/>
          <w:szCs w:val="20"/>
        </w:rPr>
      </w:pPr>
      <w:r>
        <w:rPr>
          <w:rFonts w:ascii="Arial" w:hAnsi="Arial" w:cs="Arial"/>
          <w:b/>
          <w:bCs/>
        </w:rPr>
        <w:lastRenderedPageBreak/>
        <w:t>2.3.1 BPH Induction and Treatments</w:t>
      </w:r>
    </w:p>
    <w:p w14:paraId="5E584CB4"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Benign prostatic hyperplasia was induced in albino rats by intraperitoneal injection using testosterone propionate (5.0 mg/kg per </w:t>
      </w:r>
      <w:proofErr w:type="spellStart"/>
      <w:r>
        <w:rPr>
          <w:rFonts w:ascii="Arial" w:hAnsi="Arial" w:cs="Arial"/>
          <w:sz w:val="20"/>
          <w:szCs w:val="20"/>
        </w:rPr>
        <w:t>b.w</w:t>
      </w:r>
      <w:proofErr w:type="spellEnd"/>
      <w:r>
        <w:rPr>
          <w:rFonts w:ascii="Arial" w:hAnsi="Arial" w:cs="Arial"/>
          <w:sz w:val="20"/>
          <w:szCs w:val="20"/>
        </w:rPr>
        <w:t xml:space="preserve">) for 21 days as carried out by </w:t>
      </w:r>
      <w:proofErr w:type="spellStart"/>
      <w:r>
        <w:rPr>
          <w:rFonts w:ascii="Arial" w:hAnsi="Arial" w:cs="Arial"/>
          <w:sz w:val="20"/>
          <w:szCs w:val="20"/>
        </w:rPr>
        <w:t>Enyindah</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(2023) with modifications, followed by oral treatment with 0.5mg/kg </w:t>
      </w:r>
      <w:proofErr w:type="spellStart"/>
      <w:r>
        <w:rPr>
          <w:rFonts w:ascii="Arial" w:hAnsi="Arial" w:cs="Arial"/>
          <w:sz w:val="20"/>
          <w:szCs w:val="20"/>
        </w:rPr>
        <w:t>b.w</w:t>
      </w:r>
      <w:proofErr w:type="spellEnd"/>
      <w:r>
        <w:rPr>
          <w:rFonts w:ascii="Arial" w:hAnsi="Arial" w:cs="Arial"/>
          <w:sz w:val="20"/>
          <w:szCs w:val="20"/>
        </w:rPr>
        <w:t xml:space="preserve"> of Finasteride (group 3), and plant extracts at different doses for another 21 days, and monitored for changes. At the end of the treatment period, all rats were fasted overnight, sacrificed under </w:t>
      </w:r>
      <w:proofErr w:type="spellStart"/>
      <w:r>
        <w:rPr>
          <w:rFonts w:ascii="Arial" w:hAnsi="Arial" w:cs="Arial"/>
          <w:sz w:val="20"/>
          <w:szCs w:val="20"/>
        </w:rPr>
        <w:t>anaesthesia</w:t>
      </w:r>
      <w:proofErr w:type="spellEnd"/>
      <w:r>
        <w:rPr>
          <w:rFonts w:ascii="Arial" w:hAnsi="Arial" w:cs="Arial"/>
          <w:sz w:val="20"/>
          <w:szCs w:val="20"/>
        </w:rPr>
        <w:t xml:space="preserve"> using chloroform, and blood samples were collected through cardiac puncture into heparin and non-heparin bottles for biochemical analysis.</w:t>
      </w:r>
    </w:p>
    <w:p w14:paraId="7C837D17" w14:textId="77777777" w:rsidR="00F62FD0" w:rsidRDefault="00000000">
      <w:pPr>
        <w:jc w:val="both"/>
        <w:rPr>
          <w:rFonts w:ascii="Arial" w:hAnsi="Arial" w:cs="Arial"/>
          <w:b/>
          <w:sz w:val="20"/>
          <w:szCs w:val="20"/>
        </w:rPr>
      </w:pPr>
      <w:bookmarkStart w:id="1" w:name="_Toc125472513"/>
      <w:bookmarkStart w:id="2" w:name="_Toc125370267"/>
      <w:r>
        <w:rPr>
          <w:rFonts w:ascii="Arial" w:hAnsi="Arial" w:cs="Arial"/>
          <w:b/>
        </w:rPr>
        <w:t>2.3.2 Sacrifice of animals</w:t>
      </w:r>
      <w:bookmarkEnd w:id="1"/>
      <w:bookmarkEnd w:id="2"/>
    </w:p>
    <w:p w14:paraId="5B62C42E"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At the end of the treatment period, all rats were fasted overnight, sacrificed under mild </w:t>
      </w:r>
      <w:proofErr w:type="spellStart"/>
      <w:r>
        <w:rPr>
          <w:rFonts w:ascii="Arial" w:hAnsi="Arial" w:cs="Arial"/>
          <w:sz w:val="20"/>
          <w:szCs w:val="20"/>
        </w:rPr>
        <w:t>anaesthesia</w:t>
      </w:r>
      <w:proofErr w:type="spellEnd"/>
      <w:r>
        <w:rPr>
          <w:rFonts w:ascii="Arial" w:hAnsi="Arial" w:cs="Arial"/>
          <w:sz w:val="20"/>
          <w:szCs w:val="20"/>
        </w:rPr>
        <w:t xml:space="preserve"> using chloroform and blood samples were collected through cardiac puncture into heparin and non-heparin bottles for biochemical analysis.</w:t>
      </w:r>
    </w:p>
    <w:p w14:paraId="770CF70B" w14:textId="77777777" w:rsidR="00F62FD0" w:rsidRDefault="00000000">
      <w:pPr>
        <w:jc w:val="both"/>
        <w:rPr>
          <w:rFonts w:ascii="Arial" w:hAnsi="Arial" w:cs="Arial"/>
          <w:b/>
          <w:bCs/>
        </w:rPr>
      </w:pPr>
      <w:r>
        <w:rPr>
          <w:rFonts w:ascii="Arial" w:hAnsi="Arial" w:cs="Arial"/>
          <w:b/>
          <w:bCs/>
        </w:rPr>
        <w:t>2.4 Biochemical Assay</w:t>
      </w:r>
    </w:p>
    <w:p w14:paraId="476E5523" w14:textId="77777777" w:rsidR="00F62FD0" w:rsidRDefault="00000000">
      <w:pPr>
        <w:spacing w:line="360" w:lineRule="auto"/>
        <w:jc w:val="both"/>
        <w:rPr>
          <w:rFonts w:ascii="Arial" w:hAnsi="Arial" w:cs="Arial"/>
          <w:sz w:val="20"/>
          <w:szCs w:val="20"/>
        </w:rPr>
      </w:pPr>
      <w:r>
        <w:rPr>
          <w:rFonts w:ascii="Arial" w:hAnsi="Arial" w:cs="Arial"/>
          <w:sz w:val="20"/>
          <w:szCs w:val="20"/>
        </w:rPr>
        <w:t>The biochemical analyses conducted included liver function tests (LFTs), which comprised the determination of serum levels of Aspartate Aminotransferase (AST), Alanine Aminotransferase (ALT), Alkaline Phosphatase (ALP), total protein, albumin, and total bilirubin. The total globulin was determined by subtracting the albumin fraction from the total protein fraction (</w:t>
      </w:r>
      <w:proofErr w:type="spellStart"/>
      <w:r>
        <w:rPr>
          <w:rFonts w:ascii="Arial" w:hAnsi="Arial" w:cs="Arial"/>
          <w:sz w:val="20"/>
          <w:szCs w:val="20"/>
        </w:rPr>
        <w:t>Chukwudoruo</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2021). Similarly, kidney function parameters, such as urea, creatinine, and electrolytes, were assessed using commercially available diagnostic kits, as reported by Gabi </w:t>
      </w:r>
      <w:r>
        <w:rPr>
          <w:rFonts w:ascii="Arial" w:hAnsi="Arial" w:cs="Arial"/>
          <w:i/>
          <w:iCs/>
          <w:sz w:val="20"/>
          <w:szCs w:val="20"/>
        </w:rPr>
        <w:t>et al</w:t>
      </w:r>
      <w:r>
        <w:rPr>
          <w:rFonts w:ascii="Arial" w:hAnsi="Arial" w:cs="Arial"/>
          <w:sz w:val="20"/>
          <w:szCs w:val="20"/>
        </w:rPr>
        <w:t>. (2022).</w:t>
      </w:r>
    </w:p>
    <w:p w14:paraId="6EC4E82B" w14:textId="77777777" w:rsidR="00F62FD0" w:rsidRDefault="00000000">
      <w:pPr>
        <w:jc w:val="both"/>
        <w:rPr>
          <w:rFonts w:ascii="Arial" w:hAnsi="Arial" w:cs="Arial"/>
          <w:b/>
          <w:bCs/>
        </w:rPr>
      </w:pPr>
      <w:r>
        <w:rPr>
          <w:rFonts w:ascii="Arial" w:hAnsi="Arial" w:cs="Arial"/>
          <w:b/>
          <w:bCs/>
        </w:rPr>
        <w:t>2.5 Statistical Analysis</w:t>
      </w:r>
    </w:p>
    <w:p w14:paraId="130BAC44" w14:textId="77777777" w:rsidR="00F62FD0" w:rsidRDefault="00000000">
      <w:pPr>
        <w:spacing w:line="360" w:lineRule="auto"/>
        <w:jc w:val="both"/>
        <w:rPr>
          <w:rFonts w:ascii="Arial" w:hAnsi="Arial" w:cs="Arial"/>
          <w:sz w:val="20"/>
          <w:szCs w:val="20"/>
        </w:rPr>
      </w:pPr>
      <w:r>
        <w:rPr>
          <w:rFonts w:ascii="Arial" w:hAnsi="Arial" w:cs="Arial"/>
          <w:sz w:val="20"/>
          <w:szCs w:val="20"/>
          <w:lang w:val="en-GB"/>
        </w:rPr>
        <w:t>The results were expressed as mean ± standard deviation. The statistical evaluation of data was performed using SPSS 7.5 for Windows. Student t-test and ANOVA were carried out on the data, with a value of P&lt;0.05 accepted as significant.</w:t>
      </w:r>
    </w:p>
    <w:p w14:paraId="41DC5CE2" w14:textId="77777777" w:rsidR="00F62FD0" w:rsidRDefault="00F62FD0">
      <w:pPr>
        <w:jc w:val="both"/>
        <w:rPr>
          <w:rFonts w:ascii="Arial" w:hAnsi="Arial" w:cs="Arial"/>
          <w:sz w:val="20"/>
          <w:szCs w:val="20"/>
        </w:rPr>
      </w:pPr>
    </w:p>
    <w:p w14:paraId="3DE41C13" w14:textId="77777777" w:rsidR="00F62FD0" w:rsidRDefault="00F62FD0">
      <w:pPr>
        <w:jc w:val="both"/>
        <w:rPr>
          <w:rFonts w:ascii="Arial" w:hAnsi="Arial" w:cs="Arial"/>
          <w:sz w:val="20"/>
          <w:szCs w:val="20"/>
        </w:rPr>
      </w:pPr>
    </w:p>
    <w:p w14:paraId="7315D3CD" w14:textId="77777777" w:rsidR="00F62FD0" w:rsidRDefault="00F62FD0">
      <w:pPr>
        <w:jc w:val="both"/>
        <w:rPr>
          <w:rFonts w:ascii="Arial" w:hAnsi="Arial" w:cs="Arial"/>
          <w:sz w:val="20"/>
          <w:szCs w:val="20"/>
        </w:rPr>
      </w:pPr>
    </w:p>
    <w:p w14:paraId="276B4394" w14:textId="77777777" w:rsidR="00F62FD0" w:rsidRDefault="00F62FD0">
      <w:pPr>
        <w:jc w:val="both"/>
        <w:rPr>
          <w:rFonts w:ascii="Arial" w:hAnsi="Arial" w:cs="Arial"/>
          <w:sz w:val="20"/>
          <w:szCs w:val="20"/>
        </w:rPr>
      </w:pPr>
    </w:p>
    <w:p w14:paraId="590C5204" w14:textId="77777777" w:rsidR="00F62FD0" w:rsidRDefault="00F62FD0">
      <w:pPr>
        <w:jc w:val="both"/>
        <w:rPr>
          <w:rFonts w:ascii="Arial" w:hAnsi="Arial" w:cs="Arial"/>
          <w:sz w:val="20"/>
          <w:szCs w:val="20"/>
        </w:rPr>
      </w:pPr>
    </w:p>
    <w:p w14:paraId="48B347B5" w14:textId="77777777" w:rsidR="00F62FD0" w:rsidRDefault="00F62FD0">
      <w:pPr>
        <w:jc w:val="both"/>
        <w:rPr>
          <w:rFonts w:ascii="Arial" w:hAnsi="Arial" w:cs="Arial"/>
          <w:sz w:val="20"/>
          <w:szCs w:val="20"/>
        </w:rPr>
      </w:pPr>
    </w:p>
    <w:p w14:paraId="20D2C5F2" w14:textId="77777777" w:rsidR="00F62FD0" w:rsidRDefault="00F62FD0">
      <w:pPr>
        <w:jc w:val="both"/>
        <w:rPr>
          <w:rFonts w:ascii="Arial" w:hAnsi="Arial" w:cs="Arial"/>
          <w:sz w:val="20"/>
          <w:szCs w:val="20"/>
        </w:rPr>
      </w:pPr>
    </w:p>
    <w:p w14:paraId="51008A90" w14:textId="77777777" w:rsidR="00F62FD0" w:rsidRDefault="00F62FD0">
      <w:pPr>
        <w:jc w:val="both"/>
        <w:rPr>
          <w:rFonts w:ascii="Arial" w:hAnsi="Arial" w:cs="Arial"/>
          <w:sz w:val="20"/>
          <w:szCs w:val="20"/>
        </w:rPr>
      </w:pPr>
    </w:p>
    <w:p w14:paraId="1CD09241" w14:textId="77777777" w:rsidR="00F62FD0" w:rsidRDefault="00F62FD0">
      <w:pPr>
        <w:jc w:val="both"/>
        <w:rPr>
          <w:rFonts w:ascii="Arial" w:hAnsi="Arial" w:cs="Arial"/>
          <w:sz w:val="20"/>
          <w:szCs w:val="20"/>
        </w:rPr>
      </w:pPr>
    </w:p>
    <w:p w14:paraId="08877639" w14:textId="77777777" w:rsidR="00F62FD0" w:rsidRDefault="00F62FD0">
      <w:pPr>
        <w:jc w:val="both"/>
        <w:rPr>
          <w:rFonts w:ascii="Arial" w:hAnsi="Arial" w:cs="Arial"/>
          <w:sz w:val="20"/>
          <w:szCs w:val="20"/>
        </w:rPr>
      </w:pPr>
    </w:p>
    <w:p w14:paraId="4FCF1B6F" w14:textId="77777777" w:rsidR="00F62FD0" w:rsidRDefault="00F62FD0">
      <w:pPr>
        <w:spacing w:line="240" w:lineRule="auto"/>
        <w:jc w:val="both"/>
        <w:rPr>
          <w:rFonts w:ascii="Arial" w:hAnsi="Arial" w:cs="Arial"/>
          <w:b/>
          <w:bCs/>
          <w:sz w:val="20"/>
          <w:szCs w:val="20"/>
        </w:rPr>
      </w:pPr>
    </w:p>
    <w:p w14:paraId="575C4A0A" w14:textId="77777777" w:rsidR="00F62FD0" w:rsidRDefault="00F62FD0">
      <w:pPr>
        <w:spacing w:line="240" w:lineRule="auto"/>
        <w:jc w:val="both"/>
        <w:rPr>
          <w:rFonts w:ascii="Arial" w:hAnsi="Arial" w:cs="Arial"/>
          <w:b/>
          <w:bCs/>
          <w:sz w:val="20"/>
          <w:szCs w:val="20"/>
        </w:rPr>
      </w:pPr>
    </w:p>
    <w:p w14:paraId="0A913DE0" w14:textId="77777777" w:rsidR="00F62FD0" w:rsidRDefault="00F62FD0">
      <w:pPr>
        <w:spacing w:line="240" w:lineRule="auto"/>
        <w:jc w:val="both"/>
        <w:rPr>
          <w:rFonts w:ascii="Arial" w:hAnsi="Arial" w:cs="Arial"/>
          <w:b/>
          <w:bCs/>
          <w:sz w:val="20"/>
          <w:szCs w:val="20"/>
        </w:rPr>
      </w:pPr>
    </w:p>
    <w:p w14:paraId="00FF5E7F" w14:textId="77777777" w:rsidR="00F62FD0" w:rsidRDefault="00000000">
      <w:pPr>
        <w:spacing w:line="240" w:lineRule="auto"/>
        <w:jc w:val="both"/>
        <w:rPr>
          <w:rFonts w:ascii="Arial" w:hAnsi="Arial" w:cs="Arial"/>
          <w:b/>
          <w:bCs/>
        </w:rPr>
      </w:pPr>
      <w:r>
        <w:rPr>
          <w:rFonts w:ascii="Arial" w:hAnsi="Arial" w:cs="Arial"/>
          <w:b/>
          <w:bCs/>
        </w:rPr>
        <w:lastRenderedPageBreak/>
        <w:t>3.0 RESULTS</w:t>
      </w:r>
    </w:p>
    <w:p w14:paraId="5FD8D061" w14:textId="77777777" w:rsidR="00F62FD0" w:rsidRDefault="00000000">
      <w:pPr>
        <w:pStyle w:val="Heading1"/>
        <w:rPr>
          <w:rFonts w:ascii="Arial" w:hAnsi="Arial" w:cs="Arial"/>
          <w:bCs/>
          <w:sz w:val="22"/>
          <w:szCs w:val="22"/>
        </w:rPr>
      </w:pPr>
      <w:r>
        <w:rPr>
          <w:rFonts w:ascii="Arial" w:hAnsi="Arial" w:cs="Arial"/>
          <w:bCs/>
          <w:sz w:val="22"/>
          <w:szCs w:val="22"/>
        </w:rPr>
        <w:t xml:space="preserve">3.1 Effect of Plant Parts Extract of </w:t>
      </w:r>
      <w:r>
        <w:rPr>
          <w:rFonts w:ascii="Arial" w:hAnsi="Arial" w:cs="Arial"/>
          <w:bCs/>
          <w:i/>
          <w:iCs/>
          <w:sz w:val="22"/>
          <w:szCs w:val="22"/>
        </w:rPr>
        <w:t>A. heterophyllus</w:t>
      </w:r>
      <w:r>
        <w:rPr>
          <w:rFonts w:ascii="Arial" w:hAnsi="Arial" w:cs="Arial"/>
          <w:bCs/>
          <w:sz w:val="22"/>
          <w:szCs w:val="22"/>
        </w:rPr>
        <w:t xml:space="preserve"> on Hepatic Parameters</w:t>
      </w:r>
    </w:p>
    <w:p w14:paraId="1BBEF375" w14:textId="74D20A19" w:rsidR="00F62FD0" w:rsidRDefault="00000000">
      <w:pPr>
        <w:spacing w:line="360" w:lineRule="auto"/>
        <w:jc w:val="both"/>
        <w:rPr>
          <w:rFonts w:ascii="Arial" w:hAnsi="Arial" w:cs="Arial"/>
          <w:sz w:val="20"/>
          <w:szCs w:val="20"/>
        </w:rPr>
      </w:pPr>
      <w:r>
        <w:rPr>
          <w:rFonts w:ascii="Arial" w:hAnsi="Arial" w:cs="Arial"/>
          <w:sz w:val="20"/>
          <w:szCs w:val="20"/>
        </w:rPr>
        <w:t xml:space="preserve">The results in </w:t>
      </w:r>
      <w:r>
        <w:rPr>
          <w:rFonts w:ascii="Arial" w:hAnsi="Arial" w:cs="Arial"/>
          <w:b/>
          <w:bCs/>
          <w:sz w:val="20"/>
          <w:szCs w:val="20"/>
        </w:rPr>
        <w:t xml:space="preserve">Table </w:t>
      </w:r>
      <w:r w:rsidR="00E95EF2">
        <w:rPr>
          <w:rFonts w:ascii="Arial" w:hAnsi="Arial" w:cs="Arial"/>
          <w:b/>
          <w:bCs/>
          <w:sz w:val="20"/>
          <w:szCs w:val="20"/>
        </w:rPr>
        <w:t>2</w:t>
      </w:r>
      <w:r>
        <w:rPr>
          <w:rFonts w:ascii="Arial" w:hAnsi="Arial" w:cs="Arial"/>
          <w:sz w:val="20"/>
          <w:szCs w:val="20"/>
        </w:rPr>
        <w:t xml:space="preserve"> show that the negative control group exhibited the highest levels of liver enzymes (ALT, AST, and ALP) compared to the control, indicating hepatic stress or damage due to BPH induction. Treatment with Finasteride and the different extracts of </w:t>
      </w:r>
      <w:r>
        <w:rPr>
          <w:rFonts w:ascii="Arial" w:hAnsi="Arial" w:cs="Arial"/>
          <w:i/>
          <w:iCs/>
          <w:sz w:val="20"/>
          <w:szCs w:val="20"/>
        </w:rPr>
        <w:t>A. heterophyllus</w:t>
      </w:r>
      <w:r>
        <w:rPr>
          <w:rFonts w:ascii="Arial" w:hAnsi="Arial" w:cs="Arial"/>
          <w:sz w:val="20"/>
          <w:szCs w:val="20"/>
        </w:rPr>
        <w:t xml:space="preserve"> (leaf, stem bark, and pulp) resulted in a general reduction in enzyme levels, suggesting recovery of liver function. Among the treated groups, the stem bark extract at 500 mg/kg showed enzyme values (ALT: 15.16 ± 0.22, AST: 12.88 ± 0.15, ALP: 129.30 ± 0.94) closest to the control group, indicating strong hepatoprotective potential. The leaf and pulp </w:t>
      </w:r>
      <w:proofErr w:type="gramStart"/>
      <w:r>
        <w:rPr>
          <w:rFonts w:ascii="Arial" w:hAnsi="Arial" w:cs="Arial"/>
          <w:sz w:val="20"/>
          <w:szCs w:val="20"/>
        </w:rPr>
        <w:t>extracts</w:t>
      </w:r>
      <w:proofErr w:type="gramEnd"/>
      <w:r>
        <w:rPr>
          <w:rFonts w:ascii="Arial" w:hAnsi="Arial" w:cs="Arial"/>
          <w:sz w:val="20"/>
          <w:szCs w:val="20"/>
        </w:rPr>
        <w:t xml:space="preserve"> also showed moderate reductions in enzyme levels compared to the negative control, demonstrating dose-dependent improvements. LDH levels fluctuated across treatments, with higher values in the 500 mg/kg leaf and stem bark groups, possibly indicating increased metabolic activity.</w:t>
      </w:r>
    </w:p>
    <w:p w14:paraId="078E82C2" w14:textId="77777777" w:rsidR="00F62FD0" w:rsidRDefault="00F62FD0">
      <w:pPr>
        <w:spacing w:line="360" w:lineRule="auto"/>
        <w:jc w:val="both"/>
        <w:rPr>
          <w:rFonts w:ascii="Arial" w:hAnsi="Arial" w:cs="Arial"/>
          <w:b/>
          <w:bCs/>
          <w:sz w:val="20"/>
          <w:szCs w:val="20"/>
        </w:rPr>
      </w:pPr>
    </w:p>
    <w:p w14:paraId="013B093F" w14:textId="7C1569D0" w:rsidR="00F62FD0" w:rsidRDefault="00000000">
      <w:pPr>
        <w:spacing w:line="240" w:lineRule="auto"/>
        <w:jc w:val="both"/>
        <w:rPr>
          <w:rFonts w:ascii="Arial" w:hAnsi="Arial" w:cs="Arial"/>
          <w:b/>
          <w:bCs/>
          <w:sz w:val="20"/>
          <w:szCs w:val="20"/>
        </w:rPr>
      </w:pPr>
      <w:r>
        <w:rPr>
          <w:rFonts w:ascii="Arial" w:hAnsi="Arial" w:cs="Arial"/>
          <w:b/>
          <w:bCs/>
          <w:sz w:val="20"/>
          <w:szCs w:val="20"/>
        </w:rPr>
        <w:t xml:space="preserve">Table </w:t>
      </w:r>
      <w:r w:rsidR="00E95EF2">
        <w:rPr>
          <w:rFonts w:ascii="Arial" w:hAnsi="Arial" w:cs="Arial"/>
          <w:b/>
          <w:bCs/>
          <w:sz w:val="20"/>
          <w:szCs w:val="20"/>
        </w:rPr>
        <w:t>2</w:t>
      </w:r>
      <w:r>
        <w:rPr>
          <w:rFonts w:ascii="Arial" w:hAnsi="Arial" w:cs="Arial"/>
          <w:b/>
          <w:bCs/>
          <w:sz w:val="20"/>
          <w:szCs w:val="20"/>
        </w:rPr>
        <w:t>. Results showing the effect of oral treatments on the liver enzymes in the experimental rats.</w:t>
      </w:r>
    </w:p>
    <w:tbl>
      <w:tblPr>
        <w:tblStyle w:val="ListTable21"/>
        <w:tblW w:w="0" w:type="auto"/>
        <w:tblLook w:val="04A0" w:firstRow="1" w:lastRow="0" w:firstColumn="1" w:lastColumn="0" w:noHBand="0" w:noVBand="1"/>
      </w:tblPr>
      <w:tblGrid>
        <w:gridCol w:w="1949"/>
        <w:gridCol w:w="1745"/>
        <w:gridCol w:w="1742"/>
        <w:gridCol w:w="1748"/>
        <w:gridCol w:w="1842"/>
      </w:tblGrid>
      <w:tr w:rsidR="00F62FD0" w14:paraId="735DBFF8" w14:textId="77777777" w:rsidTr="00F62F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18" w:space="0" w:color="auto"/>
            </w:tcBorders>
          </w:tcPr>
          <w:p w14:paraId="50DE7546" w14:textId="77777777" w:rsidR="00F62FD0" w:rsidRDefault="00000000">
            <w:pPr>
              <w:spacing w:line="240" w:lineRule="auto"/>
              <w:jc w:val="both"/>
              <w:rPr>
                <w:rFonts w:ascii="Arial" w:hAnsi="Arial" w:cs="Arial"/>
                <w:b w:val="0"/>
                <w:sz w:val="20"/>
                <w:szCs w:val="20"/>
              </w:rPr>
            </w:pPr>
            <w:r>
              <w:rPr>
                <w:rFonts w:ascii="Arial" w:hAnsi="Arial" w:cs="Arial"/>
                <w:sz w:val="20"/>
                <w:szCs w:val="20"/>
              </w:rPr>
              <w:t>Treatment</w:t>
            </w:r>
          </w:p>
        </w:tc>
        <w:tc>
          <w:tcPr>
            <w:tcW w:w="7290" w:type="dxa"/>
            <w:gridSpan w:val="4"/>
            <w:tcBorders>
              <w:top w:val="single" w:sz="18" w:space="0" w:color="auto"/>
              <w:bottom w:val="single" w:sz="18" w:space="0" w:color="auto"/>
            </w:tcBorders>
          </w:tcPr>
          <w:p w14:paraId="0145F1E6" w14:textId="77777777" w:rsidR="00F62FD0"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Liver Enzymes</w:t>
            </w:r>
          </w:p>
        </w:tc>
      </w:tr>
      <w:tr w:rsidR="00F62FD0" w14:paraId="084DF06E" w14:textId="77777777" w:rsidTr="00F62FD0">
        <w:tc>
          <w:tcPr>
            <w:cnfStyle w:val="001000000000" w:firstRow="0" w:lastRow="0" w:firstColumn="1" w:lastColumn="0" w:oddVBand="0" w:evenVBand="0" w:oddHBand="0" w:evenHBand="0" w:firstRowFirstColumn="0" w:firstRowLastColumn="0" w:lastRowFirstColumn="0" w:lastRowLastColumn="0"/>
            <w:tcW w:w="1975" w:type="dxa"/>
            <w:vMerge/>
            <w:tcBorders>
              <w:bottom w:val="single" w:sz="18" w:space="0" w:color="auto"/>
            </w:tcBorders>
          </w:tcPr>
          <w:p w14:paraId="6E9A8EDE" w14:textId="77777777" w:rsidR="00F62FD0" w:rsidRDefault="00F62FD0">
            <w:pPr>
              <w:spacing w:line="240" w:lineRule="auto"/>
              <w:jc w:val="both"/>
              <w:rPr>
                <w:rFonts w:ascii="Arial" w:hAnsi="Arial" w:cs="Arial"/>
                <w:b w:val="0"/>
                <w:sz w:val="20"/>
                <w:szCs w:val="20"/>
              </w:rPr>
            </w:pPr>
          </w:p>
        </w:tc>
        <w:tc>
          <w:tcPr>
            <w:tcW w:w="1799" w:type="dxa"/>
            <w:tcBorders>
              <w:top w:val="single" w:sz="18" w:space="0" w:color="auto"/>
              <w:bottom w:val="single" w:sz="18" w:space="0" w:color="auto"/>
            </w:tcBorders>
          </w:tcPr>
          <w:p w14:paraId="3A67D71B"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ALT</w:t>
            </w:r>
          </w:p>
        </w:tc>
        <w:tc>
          <w:tcPr>
            <w:tcW w:w="1796" w:type="dxa"/>
            <w:tcBorders>
              <w:top w:val="single" w:sz="18" w:space="0" w:color="auto"/>
              <w:bottom w:val="single" w:sz="18" w:space="0" w:color="auto"/>
            </w:tcBorders>
          </w:tcPr>
          <w:p w14:paraId="3CB3F569"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AST</w:t>
            </w:r>
          </w:p>
        </w:tc>
        <w:tc>
          <w:tcPr>
            <w:tcW w:w="1798" w:type="dxa"/>
            <w:tcBorders>
              <w:top w:val="single" w:sz="18" w:space="0" w:color="auto"/>
              <w:bottom w:val="single" w:sz="18" w:space="0" w:color="auto"/>
            </w:tcBorders>
          </w:tcPr>
          <w:p w14:paraId="5EDA8560"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ALP</w:t>
            </w:r>
          </w:p>
        </w:tc>
        <w:tc>
          <w:tcPr>
            <w:tcW w:w="1897" w:type="dxa"/>
            <w:tcBorders>
              <w:top w:val="single" w:sz="18" w:space="0" w:color="auto"/>
              <w:bottom w:val="single" w:sz="18" w:space="0" w:color="auto"/>
            </w:tcBorders>
          </w:tcPr>
          <w:p w14:paraId="003B919D"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LDH</w:t>
            </w:r>
          </w:p>
        </w:tc>
      </w:tr>
      <w:tr w:rsidR="00F62FD0" w14:paraId="48979151" w14:textId="77777777" w:rsidTr="00F62FD0">
        <w:tc>
          <w:tcPr>
            <w:cnfStyle w:val="001000000000" w:firstRow="0" w:lastRow="0" w:firstColumn="1" w:lastColumn="0" w:oddVBand="0" w:evenVBand="0" w:oddHBand="0" w:evenHBand="0" w:firstRowFirstColumn="0" w:firstRowLastColumn="0" w:lastRowFirstColumn="0" w:lastRowLastColumn="0"/>
            <w:tcW w:w="1975" w:type="dxa"/>
            <w:tcBorders>
              <w:top w:val="single" w:sz="18" w:space="0" w:color="auto"/>
            </w:tcBorders>
          </w:tcPr>
          <w:p w14:paraId="310D6EE0" w14:textId="77777777" w:rsidR="00F62FD0" w:rsidRDefault="00000000">
            <w:pPr>
              <w:spacing w:line="360" w:lineRule="auto"/>
              <w:jc w:val="center"/>
              <w:rPr>
                <w:rFonts w:ascii="Arial" w:hAnsi="Arial" w:cs="Arial"/>
                <w:sz w:val="20"/>
                <w:szCs w:val="20"/>
              </w:rPr>
            </w:pPr>
            <w:r>
              <w:rPr>
                <w:rFonts w:ascii="Arial" w:hAnsi="Arial" w:cs="Arial"/>
                <w:sz w:val="20"/>
                <w:szCs w:val="20"/>
              </w:rPr>
              <w:t>Control</w:t>
            </w:r>
          </w:p>
        </w:tc>
        <w:tc>
          <w:tcPr>
            <w:tcW w:w="1799" w:type="dxa"/>
            <w:tcBorders>
              <w:top w:val="single" w:sz="18" w:space="0" w:color="auto"/>
            </w:tcBorders>
          </w:tcPr>
          <w:p w14:paraId="6B635118"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15.14 ± 0.30</w:t>
            </w:r>
            <w:r>
              <w:rPr>
                <w:rFonts w:ascii="Arial" w:hAnsi="Arial" w:cs="Arial"/>
                <w:sz w:val="20"/>
                <w:szCs w:val="20"/>
                <w:vertAlign w:val="superscript"/>
              </w:rPr>
              <w:t>a</w:t>
            </w:r>
          </w:p>
        </w:tc>
        <w:tc>
          <w:tcPr>
            <w:tcW w:w="1796" w:type="dxa"/>
            <w:tcBorders>
              <w:top w:val="single" w:sz="18" w:space="0" w:color="auto"/>
            </w:tcBorders>
          </w:tcPr>
          <w:p w14:paraId="5C2AEC7B"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13.15 ± 1.05</w:t>
            </w:r>
            <w:r>
              <w:rPr>
                <w:rFonts w:ascii="Arial" w:hAnsi="Arial" w:cs="Arial"/>
                <w:sz w:val="20"/>
                <w:szCs w:val="20"/>
                <w:vertAlign w:val="superscript"/>
              </w:rPr>
              <w:t>a</w:t>
            </w:r>
          </w:p>
        </w:tc>
        <w:tc>
          <w:tcPr>
            <w:tcW w:w="1798" w:type="dxa"/>
            <w:tcBorders>
              <w:top w:val="single" w:sz="18" w:space="0" w:color="auto"/>
            </w:tcBorders>
          </w:tcPr>
          <w:p w14:paraId="75BF1C59"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138.60 ± 6.97</w:t>
            </w:r>
            <w:r>
              <w:rPr>
                <w:rFonts w:ascii="Arial" w:hAnsi="Arial" w:cs="Arial"/>
                <w:sz w:val="20"/>
                <w:szCs w:val="20"/>
                <w:vertAlign w:val="superscript"/>
              </w:rPr>
              <w:t>a</w:t>
            </w:r>
          </w:p>
        </w:tc>
        <w:tc>
          <w:tcPr>
            <w:tcW w:w="1897" w:type="dxa"/>
            <w:tcBorders>
              <w:top w:val="single" w:sz="18" w:space="0" w:color="auto"/>
            </w:tcBorders>
          </w:tcPr>
          <w:p w14:paraId="3FAF713A"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136.40 ± 4.35</w:t>
            </w:r>
            <w:r>
              <w:rPr>
                <w:rFonts w:ascii="Arial" w:hAnsi="Arial" w:cs="Arial"/>
                <w:sz w:val="20"/>
                <w:szCs w:val="20"/>
                <w:vertAlign w:val="superscript"/>
              </w:rPr>
              <w:t>a</w:t>
            </w:r>
          </w:p>
        </w:tc>
      </w:tr>
      <w:tr w:rsidR="00F62FD0" w14:paraId="3A45709C"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79AEA2B2" w14:textId="77777777" w:rsidR="00F62FD0" w:rsidRDefault="00000000">
            <w:pPr>
              <w:spacing w:line="360" w:lineRule="auto"/>
              <w:jc w:val="center"/>
              <w:rPr>
                <w:rFonts w:ascii="Arial" w:hAnsi="Arial" w:cs="Arial"/>
                <w:sz w:val="20"/>
                <w:szCs w:val="20"/>
              </w:rPr>
            </w:pPr>
            <w:r>
              <w:rPr>
                <w:rFonts w:ascii="Arial" w:hAnsi="Arial" w:cs="Arial"/>
                <w:sz w:val="20"/>
                <w:szCs w:val="20"/>
              </w:rPr>
              <w:t>Negative control</w:t>
            </w:r>
          </w:p>
        </w:tc>
        <w:tc>
          <w:tcPr>
            <w:tcW w:w="1799" w:type="dxa"/>
          </w:tcPr>
          <w:p w14:paraId="3BA47170"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22.67 ± 0.62</w:t>
            </w:r>
            <w:r>
              <w:rPr>
                <w:rFonts w:ascii="Arial" w:hAnsi="Arial" w:cs="Arial"/>
                <w:sz w:val="20"/>
                <w:szCs w:val="20"/>
                <w:vertAlign w:val="superscript"/>
              </w:rPr>
              <w:t>b</w:t>
            </w:r>
          </w:p>
        </w:tc>
        <w:tc>
          <w:tcPr>
            <w:tcW w:w="1796" w:type="dxa"/>
          </w:tcPr>
          <w:p w14:paraId="2EA0A962"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23.97 ± 2.28</w:t>
            </w:r>
            <w:r>
              <w:rPr>
                <w:rFonts w:ascii="Arial" w:hAnsi="Arial" w:cs="Arial"/>
                <w:sz w:val="20"/>
                <w:szCs w:val="20"/>
                <w:vertAlign w:val="superscript"/>
              </w:rPr>
              <w:t>b</w:t>
            </w:r>
          </w:p>
        </w:tc>
        <w:tc>
          <w:tcPr>
            <w:tcW w:w="1798" w:type="dxa"/>
          </w:tcPr>
          <w:p w14:paraId="648EEA51"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179.50 ± 6.96</w:t>
            </w:r>
            <w:r>
              <w:rPr>
                <w:rFonts w:ascii="Arial" w:hAnsi="Arial" w:cs="Arial"/>
                <w:sz w:val="20"/>
                <w:szCs w:val="20"/>
                <w:vertAlign w:val="superscript"/>
              </w:rPr>
              <w:t>b</w:t>
            </w:r>
          </w:p>
        </w:tc>
        <w:tc>
          <w:tcPr>
            <w:tcW w:w="1897" w:type="dxa"/>
          </w:tcPr>
          <w:p w14:paraId="59C01DD6"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132.80 ± 3.06</w:t>
            </w:r>
            <w:r>
              <w:rPr>
                <w:rFonts w:ascii="Arial" w:hAnsi="Arial" w:cs="Arial"/>
                <w:sz w:val="20"/>
                <w:szCs w:val="20"/>
                <w:vertAlign w:val="superscript"/>
              </w:rPr>
              <w:t>ab</w:t>
            </w:r>
          </w:p>
        </w:tc>
      </w:tr>
      <w:tr w:rsidR="00F62FD0" w14:paraId="0BB81C81"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14FDF0A8" w14:textId="77777777" w:rsidR="00F62FD0" w:rsidRDefault="00000000">
            <w:pPr>
              <w:spacing w:line="360" w:lineRule="auto"/>
              <w:jc w:val="center"/>
              <w:rPr>
                <w:rFonts w:ascii="Arial" w:hAnsi="Arial" w:cs="Arial"/>
                <w:sz w:val="20"/>
                <w:szCs w:val="20"/>
              </w:rPr>
            </w:pPr>
            <w:proofErr w:type="spellStart"/>
            <w:r>
              <w:rPr>
                <w:rFonts w:ascii="Arial" w:hAnsi="Arial" w:cs="Arial"/>
                <w:sz w:val="20"/>
                <w:szCs w:val="20"/>
              </w:rPr>
              <w:t>Fansteride</w:t>
            </w:r>
            <w:proofErr w:type="spellEnd"/>
            <w:r>
              <w:rPr>
                <w:rFonts w:ascii="Arial" w:hAnsi="Arial" w:cs="Arial"/>
                <w:sz w:val="20"/>
                <w:szCs w:val="20"/>
              </w:rPr>
              <w:t xml:space="preserve"> (5 mg)</w:t>
            </w:r>
          </w:p>
        </w:tc>
        <w:tc>
          <w:tcPr>
            <w:tcW w:w="1799" w:type="dxa"/>
          </w:tcPr>
          <w:p w14:paraId="6D062AA8"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18.60 ± 1.05</w:t>
            </w:r>
            <w:r>
              <w:rPr>
                <w:rFonts w:ascii="Arial" w:hAnsi="Arial" w:cs="Arial"/>
                <w:sz w:val="20"/>
                <w:szCs w:val="20"/>
                <w:vertAlign w:val="superscript"/>
              </w:rPr>
              <w:t>c</w:t>
            </w:r>
          </w:p>
        </w:tc>
        <w:tc>
          <w:tcPr>
            <w:tcW w:w="1796" w:type="dxa"/>
          </w:tcPr>
          <w:p w14:paraId="209F4FC4"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16.90 ± 1.43</w:t>
            </w:r>
            <w:r>
              <w:rPr>
                <w:rFonts w:ascii="Arial" w:hAnsi="Arial" w:cs="Arial"/>
                <w:sz w:val="20"/>
                <w:szCs w:val="20"/>
                <w:vertAlign w:val="superscript"/>
              </w:rPr>
              <w:t>c</w:t>
            </w:r>
          </w:p>
        </w:tc>
        <w:tc>
          <w:tcPr>
            <w:tcW w:w="1798" w:type="dxa"/>
          </w:tcPr>
          <w:p w14:paraId="1AC3D8DD"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152.70 ± 3.78</w:t>
            </w:r>
            <w:r>
              <w:rPr>
                <w:rFonts w:ascii="Arial" w:hAnsi="Arial" w:cs="Arial"/>
                <w:sz w:val="20"/>
                <w:szCs w:val="20"/>
                <w:vertAlign w:val="superscript"/>
              </w:rPr>
              <w:t>c</w:t>
            </w:r>
          </w:p>
        </w:tc>
        <w:tc>
          <w:tcPr>
            <w:tcW w:w="1897" w:type="dxa"/>
          </w:tcPr>
          <w:p w14:paraId="666354C6"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128.90 ± 1.27</w:t>
            </w:r>
            <w:r>
              <w:rPr>
                <w:rFonts w:ascii="Arial" w:hAnsi="Arial" w:cs="Arial"/>
                <w:sz w:val="20"/>
                <w:szCs w:val="20"/>
                <w:vertAlign w:val="superscript"/>
              </w:rPr>
              <w:t>ab</w:t>
            </w:r>
          </w:p>
        </w:tc>
      </w:tr>
      <w:tr w:rsidR="00F62FD0" w14:paraId="1A58B31A"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312A3BE8" w14:textId="77777777" w:rsidR="00F62FD0" w:rsidRDefault="00000000">
            <w:pPr>
              <w:spacing w:line="360" w:lineRule="auto"/>
              <w:jc w:val="center"/>
              <w:rPr>
                <w:rFonts w:ascii="Arial" w:hAnsi="Arial" w:cs="Arial"/>
                <w:sz w:val="20"/>
                <w:szCs w:val="20"/>
              </w:rPr>
            </w:pPr>
            <w:r>
              <w:rPr>
                <w:rFonts w:ascii="Arial" w:hAnsi="Arial" w:cs="Arial"/>
                <w:sz w:val="20"/>
                <w:szCs w:val="20"/>
              </w:rPr>
              <w:t>Leaves (250 mg)</w:t>
            </w:r>
          </w:p>
        </w:tc>
        <w:tc>
          <w:tcPr>
            <w:tcW w:w="1799" w:type="dxa"/>
          </w:tcPr>
          <w:p w14:paraId="3C491237"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18.43 ± 0.92</w:t>
            </w:r>
            <w:r>
              <w:rPr>
                <w:rFonts w:ascii="Arial" w:hAnsi="Arial" w:cs="Arial"/>
                <w:sz w:val="20"/>
                <w:szCs w:val="20"/>
                <w:vertAlign w:val="superscript"/>
              </w:rPr>
              <w:t>cd</w:t>
            </w:r>
          </w:p>
        </w:tc>
        <w:tc>
          <w:tcPr>
            <w:tcW w:w="1796" w:type="dxa"/>
          </w:tcPr>
          <w:p w14:paraId="5A4CA723"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17.08 ± 0.76</w:t>
            </w:r>
            <w:r>
              <w:rPr>
                <w:rFonts w:ascii="Arial" w:hAnsi="Arial" w:cs="Arial"/>
                <w:sz w:val="20"/>
                <w:szCs w:val="20"/>
                <w:vertAlign w:val="superscript"/>
              </w:rPr>
              <w:t>c</w:t>
            </w:r>
          </w:p>
        </w:tc>
        <w:tc>
          <w:tcPr>
            <w:tcW w:w="1798" w:type="dxa"/>
          </w:tcPr>
          <w:p w14:paraId="49B4DDC7"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158.40 ± 2.86</w:t>
            </w:r>
            <w:r>
              <w:rPr>
                <w:rFonts w:ascii="Arial" w:hAnsi="Arial" w:cs="Arial"/>
                <w:sz w:val="20"/>
                <w:szCs w:val="20"/>
                <w:vertAlign w:val="superscript"/>
              </w:rPr>
              <w:t>c</w:t>
            </w:r>
          </w:p>
        </w:tc>
        <w:tc>
          <w:tcPr>
            <w:tcW w:w="1897" w:type="dxa"/>
          </w:tcPr>
          <w:p w14:paraId="3AAD02FF"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124.60 ± 4.93</w:t>
            </w:r>
            <w:r>
              <w:rPr>
                <w:rFonts w:ascii="Arial" w:hAnsi="Arial" w:cs="Arial"/>
                <w:sz w:val="20"/>
                <w:szCs w:val="20"/>
                <w:vertAlign w:val="superscript"/>
              </w:rPr>
              <w:t>b</w:t>
            </w:r>
          </w:p>
        </w:tc>
      </w:tr>
      <w:tr w:rsidR="00F62FD0" w14:paraId="4B19BDF8"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57DBA457" w14:textId="77777777" w:rsidR="00F62FD0" w:rsidRDefault="00000000">
            <w:pPr>
              <w:spacing w:line="360" w:lineRule="auto"/>
              <w:jc w:val="center"/>
              <w:rPr>
                <w:rFonts w:ascii="Arial" w:hAnsi="Arial" w:cs="Arial"/>
                <w:sz w:val="20"/>
                <w:szCs w:val="20"/>
              </w:rPr>
            </w:pPr>
            <w:r>
              <w:rPr>
                <w:rFonts w:ascii="Arial" w:hAnsi="Arial" w:cs="Arial"/>
                <w:sz w:val="20"/>
                <w:szCs w:val="20"/>
              </w:rPr>
              <w:t>Leaves (500 mg)</w:t>
            </w:r>
          </w:p>
        </w:tc>
        <w:tc>
          <w:tcPr>
            <w:tcW w:w="1799" w:type="dxa"/>
          </w:tcPr>
          <w:p w14:paraId="203C8AC7"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17.85 ± 0.84</w:t>
            </w:r>
            <w:r>
              <w:rPr>
                <w:rFonts w:ascii="Arial" w:hAnsi="Arial" w:cs="Arial"/>
                <w:sz w:val="20"/>
                <w:szCs w:val="20"/>
                <w:vertAlign w:val="superscript"/>
              </w:rPr>
              <w:t>cd</w:t>
            </w:r>
          </w:p>
        </w:tc>
        <w:tc>
          <w:tcPr>
            <w:tcW w:w="1796" w:type="dxa"/>
          </w:tcPr>
          <w:p w14:paraId="4DA4C0B8"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17.20 ± 0.48</w:t>
            </w:r>
            <w:r>
              <w:rPr>
                <w:rFonts w:ascii="Arial" w:hAnsi="Arial" w:cs="Arial"/>
                <w:sz w:val="20"/>
                <w:szCs w:val="20"/>
                <w:vertAlign w:val="superscript"/>
              </w:rPr>
              <w:t>c</w:t>
            </w:r>
          </w:p>
        </w:tc>
        <w:tc>
          <w:tcPr>
            <w:tcW w:w="1798" w:type="dxa"/>
          </w:tcPr>
          <w:p w14:paraId="4482372C"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147.10 ± 4.19</w:t>
            </w:r>
            <w:r>
              <w:rPr>
                <w:rFonts w:ascii="Arial" w:hAnsi="Arial" w:cs="Arial"/>
                <w:sz w:val="20"/>
                <w:szCs w:val="20"/>
                <w:vertAlign w:val="superscript"/>
              </w:rPr>
              <w:t>ac</w:t>
            </w:r>
          </w:p>
        </w:tc>
        <w:tc>
          <w:tcPr>
            <w:tcW w:w="1897" w:type="dxa"/>
          </w:tcPr>
          <w:p w14:paraId="528B7524"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163.20 ± 7.16</w:t>
            </w:r>
            <w:r>
              <w:rPr>
                <w:rFonts w:ascii="Arial" w:hAnsi="Arial" w:cs="Arial"/>
                <w:sz w:val="20"/>
                <w:szCs w:val="20"/>
                <w:vertAlign w:val="superscript"/>
              </w:rPr>
              <w:t>c</w:t>
            </w:r>
          </w:p>
        </w:tc>
      </w:tr>
      <w:tr w:rsidR="00F62FD0" w14:paraId="6641322D"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3599AF68" w14:textId="77777777" w:rsidR="00F62FD0" w:rsidRDefault="00000000">
            <w:pPr>
              <w:spacing w:line="360" w:lineRule="auto"/>
              <w:jc w:val="center"/>
              <w:rPr>
                <w:rFonts w:ascii="Arial" w:hAnsi="Arial" w:cs="Arial"/>
                <w:sz w:val="20"/>
                <w:szCs w:val="20"/>
              </w:rPr>
            </w:pPr>
            <w:r>
              <w:rPr>
                <w:rFonts w:ascii="Arial" w:hAnsi="Arial" w:cs="Arial"/>
                <w:sz w:val="20"/>
                <w:szCs w:val="20"/>
              </w:rPr>
              <w:t>Stem (250 mg)</w:t>
            </w:r>
          </w:p>
        </w:tc>
        <w:tc>
          <w:tcPr>
            <w:tcW w:w="1799" w:type="dxa"/>
          </w:tcPr>
          <w:p w14:paraId="63EAFA3A"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16.51 ± 0.47</w:t>
            </w:r>
            <w:r>
              <w:rPr>
                <w:rFonts w:ascii="Arial" w:hAnsi="Arial" w:cs="Arial"/>
                <w:sz w:val="20"/>
                <w:szCs w:val="20"/>
                <w:vertAlign w:val="superscript"/>
              </w:rPr>
              <w:t>ad</w:t>
            </w:r>
          </w:p>
        </w:tc>
        <w:tc>
          <w:tcPr>
            <w:tcW w:w="1796" w:type="dxa"/>
          </w:tcPr>
          <w:p w14:paraId="488E6DEB"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14.83 ± 0.80</w:t>
            </w:r>
            <w:r>
              <w:rPr>
                <w:rFonts w:ascii="Arial" w:hAnsi="Arial" w:cs="Arial"/>
                <w:sz w:val="20"/>
                <w:szCs w:val="20"/>
                <w:vertAlign w:val="superscript"/>
              </w:rPr>
              <w:t>ac</w:t>
            </w:r>
          </w:p>
        </w:tc>
        <w:tc>
          <w:tcPr>
            <w:tcW w:w="1798" w:type="dxa"/>
          </w:tcPr>
          <w:p w14:paraId="1B1BAAF6"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134.30 ± 3.43</w:t>
            </w:r>
            <w:r>
              <w:rPr>
                <w:rFonts w:ascii="Arial" w:hAnsi="Arial" w:cs="Arial"/>
                <w:sz w:val="20"/>
                <w:szCs w:val="20"/>
                <w:vertAlign w:val="superscript"/>
              </w:rPr>
              <w:t>a</w:t>
            </w:r>
          </w:p>
        </w:tc>
        <w:tc>
          <w:tcPr>
            <w:tcW w:w="1897" w:type="dxa"/>
          </w:tcPr>
          <w:p w14:paraId="0F7A6A00"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133.30 ± 3.91</w:t>
            </w:r>
            <w:r>
              <w:rPr>
                <w:rFonts w:ascii="Arial" w:hAnsi="Arial" w:cs="Arial"/>
                <w:sz w:val="20"/>
                <w:szCs w:val="20"/>
                <w:vertAlign w:val="superscript"/>
              </w:rPr>
              <w:t>ab</w:t>
            </w:r>
          </w:p>
        </w:tc>
      </w:tr>
      <w:tr w:rsidR="00F62FD0" w14:paraId="7FC1C191"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6E2EE0AE" w14:textId="77777777" w:rsidR="00F62FD0" w:rsidRDefault="00000000">
            <w:pPr>
              <w:spacing w:line="360" w:lineRule="auto"/>
              <w:jc w:val="center"/>
              <w:rPr>
                <w:rFonts w:ascii="Arial" w:hAnsi="Arial" w:cs="Arial"/>
                <w:sz w:val="20"/>
                <w:szCs w:val="20"/>
              </w:rPr>
            </w:pPr>
            <w:r>
              <w:rPr>
                <w:rFonts w:ascii="Arial" w:hAnsi="Arial" w:cs="Arial"/>
                <w:sz w:val="20"/>
                <w:szCs w:val="20"/>
              </w:rPr>
              <w:t>Stem (500 mg)</w:t>
            </w:r>
          </w:p>
        </w:tc>
        <w:tc>
          <w:tcPr>
            <w:tcW w:w="1799" w:type="dxa"/>
          </w:tcPr>
          <w:p w14:paraId="176E687A"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15.16 ± 0.22</w:t>
            </w:r>
            <w:r>
              <w:rPr>
                <w:rFonts w:ascii="Arial" w:hAnsi="Arial" w:cs="Arial"/>
                <w:sz w:val="20"/>
                <w:szCs w:val="20"/>
                <w:vertAlign w:val="superscript"/>
              </w:rPr>
              <w:t>a</w:t>
            </w:r>
          </w:p>
        </w:tc>
        <w:tc>
          <w:tcPr>
            <w:tcW w:w="1796" w:type="dxa"/>
          </w:tcPr>
          <w:p w14:paraId="01AACE24"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12.88 ± 0.15</w:t>
            </w:r>
            <w:r>
              <w:rPr>
                <w:rFonts w:ascii="Arial" w:hAnsi="Arial" w:cs="Arial"/>
                <w:sz w:val="20"/>
                <w:szCs w:val="20"/>
                <w:vertAlign w:val="superscript"/>
              </w:rPr>
              <w:t>a</w:t>
            </w:r>
          </w:p>
        </w:tc>
        <w:tc>
          <w:tcPr>
            <w:tcW w:w="1798" w:type="dxa"/>
          </w:tcPr>
          <w:p w14:paraId="10B2E8F0"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129.30 ± 0.94</w:t>
            </w:r>
            <w:r>
              <w:rPr>
                <w:rFonts w:ascii="Arial" w:hAnsi="Arial" w:cs="Arial"/>
                <w:sz w:val="20"/>
                <w:szCs w:val="20"/>
                <w:vertAlign w:val="superscript"/>
              </w:rPr>
              <w:t>a</w:t>
            </w:r>
          </w:p>
        </w:tc>
        <w:tc>
          <w:tcPr>
            <w:tcW w:w="1897" w:type="dxa"/>
          </w:tcPr>
          <w:p w14:paraId="3A9EF8F6"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159.40 ± 0.76</w:t>
            </w:r>
            <w:r>
              <w:rPr>
                <w:rFonts w:ascii="Arial" w:hAnsi="Arial" w:cs="Arial"/>
                <w:sz w:val="20"/>
                <w:szCs w:val="20"/>
                <w:vertAlign w:val="superscript"/>
              </w:rPr>
              <w:t>c</w:t>
            </w:r>
          </w:p>
        </w:tc>
      </w:tr>
      <w:tr w:rsidR="00F62FD0" w14:paraId="5C708C17"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472BCD77" w14:textId="77777777" w:rsidR="00F62FD0" w:rsidRDefault="00000000">
            <w:pPr>
              <w:spacing w:line="360" w:lineRule="auto"/>
              <w:jc w:val="center"/>
              <w:rPr>
                <w:rFonts w:ascii="Arial" w:hAnsi="Arial" w:cs="Arial"/>
                <w:sz w:val="20"/>
                <w:szCs w:val="20"/>
              </w:rPr>
            </w:pPr>
            <w:r>
              <w:rPr>
                <w:rFonts w:ascii="Arial" w:hAnsi="Arial" w:cs="Arial"/>
                <w:sz w:val="20"/>
                <w:szCs w:val="20"/>
              </w:rPr>
              <w:t>Pulp (250 mg)</w:t>
            </w:r>
          </w:p>
        </w:tc>
        <w:tc>
          <w:tcPr>
            <w:tcW w:w="1799" w:type="dxa"/>
          </w:tcPr>
          <w:p w14:paraId="76761662"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Pr>
                <w:rFonts w:ascii="Arial" w:hAnsi="Arial" w:cs="Arial"/>
                <w:sz w:val="20"/>
                <w:szCs w:val="20"/>
              </w:rPr>
              <w:t>18.17 ± 0.53</w:t>
            </w:r>
            <w:r>
              <w:rPr>
                <w:rFonts w:ascii="Arial" w:hAnsi="Arial" w:cs="Arial"/>
                <w:sz w:val="20"/>
                <w:szCs w:val="20"/>
                <w:vertAlign w:val="superscript"/>
              </w:rPr>
              <w:t>cd</w:t>
            </w:r>
          </w:p>
        </w:tc>
        <w:tc>
          <w:tcPr>
            <w:tcW w:w="1796" w:type="dxa"/>
          </w:tcPr>
          <w:p w14:paraId="2B45AABC"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17.77 ± 0.89</w:t>
            </w:r>
            <w:r>
              <w:rPr>
                <w:rFonts w:ascii="Arial" w:hAnsi="Arial" w:cs="Arial"/>
                <w:sz w:val="20"/>
                <w:szCs w:val="20"/>
                <w:vertAlign w:val="superscript"/>
              </w:rPr>
              <w:t>c</w:t>
            </w:r>
          </w:p>
        </w:tc>
        <w:tc>
          <w:tcPr>
            <w:tcW w:w="1798" w:type="dxa"/>
          </w:tcPr>
          <w:p w14:paraId="2AB3AEF6"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143.10 ± 2.61</w:t>
            </w:r>
            <w:r>
              <w:rPr>
                <w:rFonts w:ascii="Arial" w:hAnsi="Arial" w:cs="Arial"/>
                <w:sz w:val="20"/>
                <w:szCs w:val="20"/>
                <w:vertAlign w:val="superscript"/>
              </w:rPr>
              <w:t>ac</w:t>
            </w:r>
          </w:p>
        </w:tc>
        <w:tc>
          <w:tcPr>
            <w:tcW w:w="1897" w:type="dxa"/>
          </w:tcPr>
          <w:p w14:paraId="4A4BE3D7"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136.60 ± 4.64</w:t>
            </w:r>
            <w:r>
              <w:rPr>
                <w:rFonts w:ascii="Arial" w:hAnsi="Arial" w:cs="Arial"/>
                <w:sz w:val="20"/>
                <w:szCs w:val="20"/>
                <w:vertAlign w:val="superscript"/>
              </w:rPr>
              <w:t>ab</w:t>
            </w:r>
          </w:p>
        </w:tc>
      </w:tr>
      <w:tr w:rsidR="00F62FD0" w14:paraId="2DC36226"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64BB3827" w14:textId="77777777" w:rsidR="00F62FD0" w:rsidRDefault="00000000">
            <w:pPr>
              <w:spacing w:line="360" w:lineRule="auto"/>
              <w:jc w:val="center"/>
              <w:rPr>
                <w:rFonts w:ascii="Arial" w:hAnsi="Arial" w:cs="Arial"/>
                <w:sz w:val="20"/>
                <w:szCs w:val="20"/>
              </w:rPr>
            </w:pPr>
            <w:r>
              <w:rPr>
                <w:rFonts w:ascii="Arial" w:hAnsi="Arial" w:cs="Arial"/>
                <w:sz w:val="20"/>
                <w:szCs w:val="20"/>
              </w:rPr>
              <w:t>Pulp (500 mg)</w:t>
            </w:r>
          </w:p>
        </w:tc>
        <w:tc>
          <w:tcPr>
            <w:tcW w:w="1799" w:type="dxa"/>
          </w:tcPr>
          <w:p w14:paraId="7D661C49"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17.81 ± 0.26</w:t>
            </w:r>
            <w:r>
              <w:rPr>
                <w:rFonts w:ascii="Arial" w:hAnsi="Arial" w:cs="Arial"/>
                <w:sz w:val="20"/>
                <w:szCs w:val="20"/>
                <w:vertAlign w:val="superscript"/>
              </w:rPr>
              <w:t>cd</w:t>
            </w:r>
          </w:p>
        </w:tc>
        <w:tc>
          <w:tcPr>
            <w:tcW w:w="1796" w:type="dxa"/>
          </w:tcPr>
          <w:p w14:paraId="515820D8"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17.68 ± 0.32</w:t>
            </w:r>
            <w:r>
              <w:rPr>
                <w:rFonts w:ascii="Arial" w:hAnsi="Arial" w:cs="Arial"/>
                <w:sz w:val="20"/>
                <w:szCs w:val="20"/>
                <w:vertAlign w:val="superscript"/>
              </w:rPr>
              <w:t>c</w:t>
            </w:r>
          </w:p>
        </w:tc>
        <w:tc>
          <w:tcPr>
            <w:tcW w:w="1798" w:type="dxa"/>
          </w:tcPr>
          <w:p w14:paraId="3CF0CFEB"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140.50 ± 0.76</w:t>
            </w:r>
            <w:r>
              <w:rPr>
                <w:rFonts w:ascii="Arial" w:hAnsi="Arial" w:cs="Arial"/>
                <w:sz w:val="20"/>
                <w:szCs w:val="20"/>
                <w:vertAlign w:val="superscript"/>
              </w:rPr>
              <w:t>a</w:t>
            </w:r>
          </w:p>
        </w:tc>
        <w:tc>
          <w:tcPr>
            <w:tcW w:w="1897" w:type="dxa"/>
          </w:tcPr>
          <w:p w14:paraId="7D652EDA"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136.50 ± 1.78</w:t>
            </w:r>
            <w:r>
              <w:rPr>
                <w:rFonts w:ascii="Arial" w:hAnsi="Arial" w:cs="Arial"/>
                <w:sz w:val="20"/>
                <w:szCs w:val="20"/>
                <w:vertAlign w:val="superscript"/>
              </w:rPr>
              <w:t>ab</w:t>
            </w:r>
          </w:p>
        </w:tc>
      </w:tr>
      <w:tr w:rsidR="00F62FD0" w14:paraId="4A87796B" w14:textId="77777777" w:rsidTr="00F62FD0">
        <w:tc>
          <w:tcPr>
            <w:cnfStyle w:val="001000000000" w:firstRow="0" w:lastRow="0" w:firstColumn="1" w:lastColumn="0" w:oddVBand="0" w:evenVBand="0" w:oddHBand="0" w:evenHBand="0" w:firstRowFirstColumn="0" w:firstRowLastColumn="0" w:lastRowFirstColumn="0" w:lastRowLastColumn="0"/>
            <w:tcW w:w="1975" w:type="dxa"/>
          </w:tcPr>
          <w:p w14:paraId="3B991682" w14:textId="77777777" w:rsidR="00F62FD0" w:rsidRDefault="00000000">
            <w:pPr>
              <w:spacing w:line="360" w:lineRule="auto"/>
              <w:jc w:val="center"/>
              <w:rPr>
                <w:rFonts w:ascii="Arial" w:hAnsi="Arial" w:cs="Arial"/>
                <w:sz w:val="20"/>
                <w:szCs w:val="20"/>
              </w:rPr>
            </w:pPr>
            <w:r>
              <w:rPr>
                <w:rFonts w:ascii="Arial" w:hAnsi="Arial" w:cs="Arial"/>
                <w:sz w:val="20"/>
                <w:szCs w:val="20"/>
              </w:rPr>
              <w:t>Ext. Combination (250 mg)</w:t>
            </w:r>
          </w:p>
        </w:tc>
        <w:tc>
          <w:tcPr>
            <w:tcW w:w="1799" w:type="dxa"/>
          </w:tcPr>
          <w:p w14:paraId="7B0156BC"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16.34 ± 0.63</w:t>
            </w:r>
            <w:r>
              <w:rPr>
                <w:rFonts w:ascii="Arial" w:hAnsi="Arial" w:cs="Arial"/>
                <w:sz w:val="20"/>
                <w:szCs w:val="20"/>
                <w:vertAlign w:val="superscript"/>
              </w:rPr>
              <w:t>ad</w:t>
            </w:r>
          </w:p>
        </w:tc>
        <w:tc>
          <w:tcPr>
            <w:tcW w:w="1796" w:type="dxa"/>
          </w:tcPr>
          <w:p w14:paraId="7D695E82"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16.02 ± 0.25</w:t>
            </w:r>
            <w:r>
              <w:rPr>
                <w:rFonts w:ascii="Arial" w:hAnsi="Arial" w:cs="Arial"/>
                <w:sz w:val="20"/>
                <w:szCs w:val="20"/>
                <w:vertAlign w:val="superscript"/>
              </w:rPr>
              <w:t>ac</w:t>
            </w:r>
          </w:p>
        </w:tc>
        <w:tc>
          <w:tcPr>
            <w:tcW w:w="1798" w:type="dxa"/>
          </w:tcPr>
          <w:p w14:paraId="4E5B96F0"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140.70 ± 2.63</w:t>
            </w:r>
            <w:r>
              <w:rPr>
                <w:rFonts w:ascii="Arial" w:hAnsi="Arial" w:cs="Arial"/>
                <w:sz w:val="20"/>
                <w:szCs w:val="20"/>
                <w:vertAlign w:val="superscript"/>
              </w:rPr>
              <w:t>a</w:t>
            </w:r>
          </w:p>
        </w:tc>
        <w:tc>
          <w:tcPr>
            <w:tcW w:w="1897" w:type="dxa"/>
          </w:tcPr>
          <w:p w14:paraId="2ABA5CD1"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137.10 ± 2.48</w:t>
            </w:r>
            <w:r>
              <w:rPr>
                <w:rFonts w:ascii="Arial" w:hAnsi="Arial" w:cs="Arial"/>
                <w:sz w:val="20"/>
                <w:szCs w:val="20"/>
                <w:vertAlign w:val="superscript"/>
              </w:rPr>
              <w:t>ab</w:t>
            </w:r>
          </w:p>
        </w:tc>
      </w:tr>
      <w:tr w:rsidR="00F62FD0" w14:paraId="6F601BD4" w14:textId="77777777" w:rsidTr="00F62FD0">
        <w:tc>
          <w:tcPr>
            <w:cnfStyle w:val="001000000000" w:firstRow="0" w:lastRow="0" w:firstColumn="1" w:lastColumn="0" w:oddVBand="0" w:evenVBand="0" w:oddHBand="0" w:evenHBand="0" w:firstRowFirstColumn="0" w:firstRowLastColumn="0" w:lastRowFirstColumn="0" w:lastRowLastColumn="0"/>
            <w:tcW w:w="1975" w:type="dxa"/>
            <w:tcBorders>
              <w:bottom w:val="single" w:sz="18" w:space="0" w:color="auto"/>
            </w:tcBorders>
          </w:tcPr>
          <w:p w14:paraId="4A49E040" w14:textId="77777777" w:rsidR="00F62FD0" w:rsidRDefault="00000000">
            <w:pPr>
              <w:spacing w:line="360" w:lineRule="auto"/>
              <w:jc w:val="center"/>
              <w:rPr>
                <w:rFonts w:ascii="Arial" w:hAnsi="Arial" w:cs="Arial"/>
                <w:sz w:val="20"/>
                <w:szCs w:val="20"/>
              </w:rPr>
            </w:pPr>
            <w:r>
              <w:rPr>
                <w:rFonts w:ascii="Arial" w:hAnsi="Arial" w:cs="Arial"/>
                <w:sz w:val="20"/>
                <w:szCs w:val="20"/>
              </w:rPr>
              <w:t>Ext. Combination (500 mg)</w:t>
            </w:r>
          </w:p>
        </w:tc>
        <w:tc>
          <w:tcPr>
            <w:tcW w:w="1799" w:type="dxa"/>
            <w:tcBorders>
              <w:bottom w:val="single" w:sz="18" w:space="0" w:color="auto"/>
            </w:tcBorders>
          </w:tcPr>
          <w:p w14:paraId="0F2CE40D"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14.50 ± 0.37</w:t>
            </w:r>
            <w:r>
              <w:rPr>
                <w:rFonts w:ascii="Arial" w:hAnsi="Arial" w:cs="Arial"/>
                <w:sz w:val="20"/>
                <w:szCs w:val="20"/>
                <w:vertAlign w:val="superscript"/>
              </w:rPr>
              <w:t>a</w:t>
            </w:r>
          </w:p>
        </w:tc>
        <w:tc>
          <w:tcPr>
            <w:tcW w:w="1796" w:type="dxa"/>
            <w:tcBorders>
              <w:bottom w:val="single" w:sz="18" w:space="0" w:color="auto"/>
            </w:tcBorders>
          </w:tcPr>
          <w:p w14:paraId="4835704F"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13.90 ± 0.54</w:t>
            </w:r>
            <w:r>
              <w:rPr>
                <w:rFonts w:ascii="Arial" w:hAnsi="Arial" w:cs="Arial"/>
                <w:sz w:val="20"/>
                <w:szCs w:val="20"/>
                <w:vertAlign w:val="superscript"/>
              </w:rPr>
              <w:t>a</w:t>
            </w:r>
          </w:p>
        </w:tc>
        <w:tc>
          <w:tcPr>
            <w:tcW w:w="1798" w:type="dxa"/>
            <w:tcBorders>
              <w:bottom w:val="single" w:sz="18" w:space="0" w:color="auto"/>
            </w:tcBorders>
          </w:tcPr>
          <w:p w14:paraId="45225945"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135.90 ± 1.28</w:t>
            </w:r>
            <w:r>
              <w:rPr>
                <w:rFonts w:ascii="Arial" w:hAnsi="Arial" w:cs="Arial"/>
                <w:sz w:val="20"/>
                <w:szCs w:val="20"/>
                <w:vertAlign w:val="superscript"/>
              </w:rPr>
              <w:t>a</w:t>
            </w:r>
          </w:p>
        </w:tc>
        <w:tc>
          <w:tcPr>
            <w:tcW w:w="1897" w:type="dxa"/>
            <w:tcBorders>
              <w:bottom w:val="single" w:sz="18" w:space="0" w:color="auto"/>
            </w:tcBorders>
          </w:tcPr>
          <w:p w14:paraId="51C78C59" w14:textId="77777777" w:rsidR="00F62FD0"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138.10 ± 2.63</w:t>
            </w:r>
            <w:r>
              <w:rPr>
                <w:rFonts w:ascii="Arial" w:hAnsi="Arial" w:cs="Arial"/>
                <w:sz w:val="20"/>
                <w:szCs w:val="20"/>
                <w:vertAlign w:val="superscript"/>
              </w:rPr>
              <w:t>ab</w:t>
            </w:r>
          </w:p>
        </w:tc>
      </w:tr>
    </w:tbl>
    <w:p w14:paraId="55188AA0" w14:textId="77777777" w:rsidR="00F62FD0" w:rsidRDefault="00000000">
      <w:pPr>
        <w:jc w:val="both"/>
        <w:rPr>
          <w:rFonts w:ascii="Arial" w:hAnsi="Arial" w:cs="Arial"/>
          <w:sz w:val="20"/>
          <w:szCs w:val="20"/>
        </w:rPr>
      </w:pPr>
      <w:r>
        <w:rPr>
          <w:rFonts w:ascii="Arial" w:hAnsi="Arial" w:cs="Arial"/>
          <w:bCs/>
          <w:sz w:val="20"/>
          <w:szCs w:val="20"/>
        </w:rPr>
        <w:t xml:space="preserve">Values are mean </w:t>
      </w:r>
      <w:r>
        <w:rPr>
          <w:rFonts w:ascii="Arial" w:hAnsi="Arial" w:cs="Arial"/>
          <w:sz w:val="20"/>
          <w:szCs w:val="20"/>
        </w:rPr>
        <w:t>± standard deviation (n = 3). Values with different superscript letters per column are statistically significant (p&lt;0.05).</w:t>
      </w:r>
    </w:p>
    <w:p w14:paraId="298B0AA5" w14:textId="77777777" w:rsidR="00F62FD0" w:rsidRDefault="00F62FD0">
      <w:pPr>
        <w:spacing w:line="240" w:lineRule="auto"/>
        <w:jc w:val="both"/>
        <w:rPr>
          <w:rFonts w:ascii="Arial" w:hAnsi="Arial" w:cs="Arial"/>
          <w:sz w:val="20"/>
          <w:szCs w:val="20"/>
        </w:rPr>
      </w:pPr>
    </w:p>
    <w:p w14:paraId="562432B5" w14:textId="77777777" w:rsidR="00F62FD0" w:rsidRDefault="00F62FD0">
      <w:pPr>
        <w:spacing w:line="240" w:lineRule="auto"/>
        <w:jc w:val="both"/>
        <w:rPr>
          <w:rFonts w:ascii="Arial" w:hAnsi="Arial" w:cs="Arial"/>
          <w:sz w:val="20"/>
          <w:szCs w:val="20"/>
        </w:rPr>
      </w:pPr>
    </w:p>
    <w:p w14:paraId="45BA30A1" w14:textId="77777777" w:rsidR="00F62FD0" w:rsidRDefault="00F62FD0">
      <w:pPr>
        <w:spacing w:line="240" w:lineRule="auto"/>
        <w:jc w:val="both"/>
        <w:rPr>
          <w:rFonts w:ascii="Arial" w:hAnsi="Arial" w:cs="Arial"/>
          <w:sz w:val="20"/>
          <w:szCs w:val="20"/>
        </w:rPr>
      </w:pPr>
    </w:p>
    <w:p w14:paraId="12E87964" w14:textId="195CB2DB" w:rsidR="00F62FD0" w:rsidRDefault="00000000">
      <w:pPr>
        <w:spacing w:line="360" w:lineRule="auto"/>
        <w:jc w:val="both"/>
        <w:rPr>
          <w:rFonts w:ascii="Arial" w:hAnsi="Arial" w:cs="Arial"/>
          <w:sz w:val="20"/>
          <w:szCs w:val="20"/>
        </w:rPr>
      </w:pPr>
      <w:r>
        <w:rPr>
          <w:rFonts w:ascii="Arial" w:hAnsi="Arial" w:cs="Arial"/>
          <w:b/>
          <w:bCs/>
          <w:sz w:val="20"/>
          <w:szCs w:val="20"/>
        </w:rPr>
        <w:t xml:space="preserve">Table </w:t>
      </w:r>
      <w:proofErr w:type="gramStart"/>
      <w:r>
        <w:rPr>
          <w:rFonts w:ascii="Arial" w:hAnsi="Arial" w:cs="Arial"/>
          <w:b/>
          <w:bCs/>
          <w:sz w:val="20"/>
          <w:szCs w:val="20"/>
        </w:rPr>
        <w:t>3</w:t>
      </w:r>
      <w:r>
        <w:rPr>
          <w:rFonts w:ascii="Arial" w:hAnsi="Arial" w:cs="Arial"/>
          <w:sz w:val="20"/>
          <w:szCs w:val="20"/>
        </w:rPr>
        <w:t xml:space="preserve">  shows</w:t>
      </w:r>
      <w:proofErr w:type="gramEnd"/>
      <w:r>
        <w:rPr>
          <w:rFonts w:ascii="Arial" w:hAnsi="Arial" w:cs="Arial"/>
          <w:sz w:val="20"/>
          <w:szCs w:val="20"/>
        </w:rPr>
        <w:t xml:space="preserve"> that the negative control group had significantly higher total and direct bilirubin concentrations (24.40 ± 0.93 and 17.21 ± 0.60 mg/dL, respectively) compared to the normal control, indicating hepatic dysfunction and possible cholestatic damage induced by BPH. Treatment with the ethanol extracts of </w:t>
      </w:r>
      <w:r>
        <w:rPr>
          <w:rFonts w:ascii="Arial" w:hAnsi="Arial" w:cs="Arial"/>
          <w:i/>
          <w:iCs/>
          <w:sz w:val="20"/>
          <w:szCs w:val="20"/>
        </w:rPr>
        <w:t>A. heterophyllus</w:t>
      </w:r>
      <w:r>
        <w:rPr>
          <w:rFonts w:ascii="Arial" w:hAnsi="Arial" w:cs="Arial"/>
          <w:sz w:val="20"/>
          <w:szCs w:val="20"/>
        </w:rPr>
        <w:t xml:space="preserve"> (stem, leaf, and pulp) led to a marked reduction in bilirubin levels, approaching the normal control values, suggesting hepatoprotective potential of the extracts. Similarly, total protein, globulin, and albumin levels were significantly reduced in the negative control group, reflecting impaired hepatic synthetic function. Administration of the extracts, particularly the stem bark at 500 mg/kg, improved these protein parameters, showing total protein (9.39 ± 0.16 mg/dL), globulin (4.20 ± 0.17 mg/dL), and albumin (5.19 ± 0.05 mg/dL), values comparable to the normal control. These improvements were dose-dependent and comparable to the standard drug (Finasteride).</w:t>
      </w:r>
    </w:p>
    <w:p w14:paraId="7B85B031" w14:textId="77777777" w:rsidR="00F62FD0" w:rsidRDefault="00F62FD0">
      <w:pPr>
        <w:spacing w:line="240" w:lineRule="auto"/>
        <w:jc w:val="both"/>
        <w:rPr>
          <w:rFonts w:ascii="Arial" w:hAnsi="Arial" w:cs="Arial"/>
          <w:sz w:val="20"/>
          <w:szCs w:val="20"/>
        </w:rPr>
      </w:pPr>
    </w:p>
    <w:p w14:paraId="52C530D9" w14:textId="77777777" w:rsidR="00F62FD0" w:rsidRDefault="00F62FD0">
      <w:pPr>
        <w:spacing w:line="240" w:lineRule="auto"/>
        <w:jc w:val="both"/>
        <w:rPr>
          <w:rFonts w:ascii="Arial" w:hAnsi="Arial" w:cs="Arial"/>
          <w:sz w:val="20"/>
          <w:szCs w:val="20"/>
        </w:rPr>
      </w:pPr>
    </w:p>
    <w:p w14:paraId="71EFE825" w14:textId="77777777" w:rsidR="00F62FD0" w:rsidRDefault="00F62FD0">
      <w:pPr>
        <w:spacing w:line="240" w:lineRule="auto"/>
        <w:jc w:val="both"/>
        <w:rPr>
          <w:rFonts w:ascii="Arial" w:hAnsi="Arial" w:cs="Arial"/>
          <w:sz w:val="20"/>
          <w:szCs w:val="20"/>
        </w:rPr>
      </w:pPr>
    </w:p>
    <w:p w14:paraId="1BA9C230" w14:textId="6311633E" w:rsidR="00F62FD0" w:rsidRDefault="00000000">
      <w:pPr>
        <w:spacing w:line="240" w:lineRule="auto"/>
        <w:jc w:val="both"/>
        <w:rPr>
          <w:rFonts w:ascii="Arial" w:hAnsi="Arial" w:cs="Arial"/>
          <w:b/>
          <w:bCs/>
          <w:sz w:val="20"/>
          <w:szCs w:val="20"/>
        </w:rPr>
      </w:pPr>
      <w:r>
        <w:rPr>
          <w:rFonts w:ascii="Arial" w:hAnsi="Arial" w:cs="Arial"/>
          <w:b/>
          <w:bCs/>
          <w:sz w:val="20"/>
          <w:szCs w:val="20"/>
        </w:rPr>
        <w:t>Table 3: Results showing the effect of oral treatments on the liver protein and bilirubin concentrations in the experimental rats.</w:t>
      </w:r>
    </w:p>
    <w:tbl>
      <w:tblPr>
        <w:tblStyle w:val="ListTable6Colorful1"/>
        <w:tblW w:w="10075" w:type="dxa"/>
        <w:tblLayout w:type="fixed"/>
        <w:tblLook w:val="04A0" w:firstRow="1" w:lastRow="0" w:firstColumn="1" w:lastColumn="0" w:noHBand="0" w:noVBand="1"/>
      </w:tblPr>
      <w:tblGrid>
        <w:gridCol w:w="1646"/>
        <w:gridCol w:w="1602"/>
        <w:gridCol w:w="1601"/>
        <w:gridCol w:w="1716"/>
        <w:gridCol w:w="1710"/>
        <w:gridCol w:w="1800"/>
      </w:tblGrid>
      <w:tr w:rsidR="00F62FD0" w14:paraId="6B93922A" w14:textId="77777777" w:rsidTr="00F62F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bottom w:val="single" w:sz="18" w:space="0" w:color="auto"/>
            </w:tcBorders>
          </w:tcPr>
          <w:p w14:paraId="5A8B70E5" w14:textId="77777777" w:rsidR="00F62FD0" w:rsidRDefault="00000000">
            <w:pPr>
              <w:spacing w:line="240" w:lineRule="auto"/>
              <w:jc w:val="center"/>
              <w:rPr>
                <w:rFonts w:ascii="Arial" w:hAnsi="Arial" w:cs="Arial"/>
                <w:b w:val="0"/>
                <w:sz w:val="20"/>
                <w:szCs w:val="20"/>
              </w:rPr>
            </w:pPr>
            <w:r>
              <w:rPr>
                <w:rFonts w:ascii="Arial" w:hAnsi="Arial" w:cs="Arial"/>
                <w:sz w:val="20"/>
                <w:szCs w:val="20"/>
              </w:rPr>
              <w:t>Treatment</w:t>
            </w:r>
          </w:p>
        </w:tc>
        <w:tc>
          <w:tcPr>
            <w:tcW w:w="1602" w:type="dxa"/>
            <w:tcBorders>
              <w:top w:val="single" w:sz="18" w:space="0" w:color="auto"/>
              <w:bottom w:val="single" w:sz="18" w:space="0" w:color="auto"/>
            </w:tcBorders>
          </w:tcPr>
          <w:p w14:paraId="3276E9A5" w14:textId="77777777" w:rsidR="00F62FD0" w:rsidRDefault="0000000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TOTAL BILIRUBIN</w:t>
            </w:r>
          </w:p>
        </w:tc>
        <w:tc>
          <w:tcPr>
            <w:tcW w:w="1601" w:type="dxa"/>
            <w:tcBorders>
              <w:top w:val="single" w:sz="18" w:space="0" w:color="auto"/>
              <w:bottom w:val="single" w:sz="18" w:space="0" w:color="auto"/>
            </w:tcBorders>
          </w:tcPr>
          <w:p w14:paraId="16EE1A5D" w14:textId="77777777" w:rsidR="00F62FD0" w:rsidRDefault="0000000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DIRECT BILIRUBIN</w:t>
            </w:r>
          </w:p>
        </w:tc>
        <w:tc>
          <w:tcPr>
            <w:tcW w:w="1716" w:type="dxa"/>
            <w:tcBorders>
              <w:top w:val="single" w:sz="18" w:space="0" w:color="auto"/>
              <w:bottom w:val="single" w:sz="18" w:space="0" w:color="auto"/>
            </w:tcBorders>
          </w:tcPr>
          <w:p w14:paraId="477616D6" w14:textId="77777777" w:rsidR="00F62FD0" w:rsidRDefault="0000000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TOTAL PROTEIN</w:t>
            </w:r>
          </w:p>
        </w:tc>
        <w:tc>
          <w:tcPr>
            <w:tcW w:w="1710" w:type="dxa"/>
            <w:tcBorders>
              <w:top w:val="single" w:sz="18" w:space="0" w:color="auto"/>
              <w:bottom w:val="single" w:sz="18" w:space="0" w:color="auto"/>
            </w:tcBorders>
          </w:tcPr>
          <w:p w14:paraId="1856DA4C" w14:textId="77777777" w:rsidR="00F62FD0" w:rsidRDefault="0000000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GLOBULIN</w:t>
            </w:r>
          </w:p>
        </w:tc>
        <w:tc>
          <w:tcPr>
            <w:tcW w:w="1800" w:type="dxa"/>
            <w:tcBorders>
              <w:top w:val="single" w:sz="18" w:space="0" w:color="auto"/>
              <w:bottom w:val="single" w:sz="18" w:space="0" w:color="auto"/>
            </w:tcBorders>
          </w:tcPr>
          <w:p w14:paraId="5701652F" w14:textId="77777777" w:rsidR="00F62FD0" w:rsidRDefault="0000000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ALBUMIN</w:t>
            </w:r>
          </w:p>
        </w:tc>
      </w:tr>
      <w:tr w:rsidR="00F62FD0" w14:paraId="7E3EE972" w14:textId="77777777" w:rsidTr="00F62FD0">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tcBorders>
          </w:tcPr>
          <w:p w14:paraId="175B4A26" w14:textId="77777777" w:rsidR="00F62FD0" w:rsidRDefault="00000000">
            <w:pPr>
              <w:spacing w:line="240" w:lineRule="auto"/>
              <w:jc w:val="center"/>
              <w:rPr>
                <w:rFonts w:ascii="Arial" w:hAnsi="Arial" w:cs="Arial"/>
                <w:sz w:val="20"/>
                <w:szCs w:val="20"/>
              </w:rPr>
            </w:pPr>
            <w:r>
              <w:rPr>
                <w:rFonts w:ascii="Arial" w:hAnsi="Arial" w:cs="Arial"/>
                <w:sz w:val="20"/>
                <w:szCs w:val="20"/>
              </w:rPr>
              <w:t>Control</w:t>
            </w:r>
          </w:p>
        </w:tc>
        <w:tc>
          <w:tcPr>
            <w:tcW w:w="1602" w:type="dxa"/>
            <w:tcBorders>
              <w:top w:val="single" w:sz="18" w:space="0" w:color="auto"/>
            </w:tcBorders>
          </w:tcPr>
          <w:p w14:paraId="24385512"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16.06 ± 0.54</w:t>
            </w:r>
            <w:r>
              <w:rPr>
                <w:rFonts w:ascii="Arial" w:hAnsi="Arial" w:cs="Arial"/>
                <w:sz w:val="20"/>
                <w:szCs w:val="20"/>
                <w:vertAlign w:val="superscript"/>
              </w:rPr>
              <w:t>a</w:t>
            </w:r>
          </w:p>
        </w:tc>
        <w:tc>
          <w:tcPr>
            <w:tcW w:w="1601" w:type="dxa"/>
            <w:tcBorders>
              <w:top w:val="single" w:sz="18" w:space="0" w:color="auto"/>
            </w:tcBorders>
          </w:tcPr>
          <w:p w14:paraId="20244F09"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11.76 ± 0.33</w:t>
            </w:r>
            <w:r>
              <w:rPr>
                <w:rFonts w:ascii="Arial" w:hAnsi="Arial" w:cs="Arial"/>
                <w:sz w:val="20"/>
                <w:szCs w:val="20"/>
                <w:vertAlign w:val="superscript"/>
              </w:rPr>
              <w:t>a</w:t>
            </w:r>
          </w:p>
        </w:tc>
        <w:tc>
          <w:tcPr>
            <w:tcW w:w="1716" w:type="dxa"/>
            <w:tcBorders>
              <w:top w:val="single" w:sz="18" w:space="0" w:color="auto"/>
            </w:tcBorders>
          </w:tcPr>
          <w:p w14:paraId="2BF8C84A"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10.00 ± 0.37</w:t>
            </w:r>
            <w:r>
              <w:rPr>
                <w:rFonts w:ascii="Arial" w:hAnsi="Arial" w:cs="Arial"/>
                <w:sz w:val="20"/>
                <w:szCs w:val="20"/>
                <w:vertAlign w:val="superscript"/>
              </w:rPr>
              <w:t>a</w:t>
            </w:r>
          </w:p>
        </w:tc>
        <w:tc>
          <w:tcPr>
            <w:tcW w:w="1710" w:type="dxa"/>
            <w:tcBorders>
              <w:top w:val="single" w:sz="18" w:space="0" w:color="auto"/>
            </w:tcBorders>
          </w:tcPr>
          <w:p w14:paraId="02288552"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4.19 ± 0.15</w:t>
            </w:r>
            <w:r>
              <w:rPr>
                <w:rFonts w:ascii="Arial" w:hAnsi="Arial" w:cs="Arial"/>
                <w:sz w:val="20"/>
                <w:szCs w:val="20"/>
                <w:vertAlign w:val="superscript"/>
              </w:rPr>
              <w:t>ae</w:t>
            </w:r>
          </w:p>
        </w:tc>
        <w:tc>
          <w:tcPr>
            <w:tcW w:w="1800" w:type="dxa"/>
            <w:tcBorders>
              <w:top w:val="single" w:sz="18" w:space="0" w:color="auto"/>
            </w:tcBorders>
          </w:tcPr>
          <w:p w14:paraId="678F445F"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5.81 ± 0.35</w:t>
            </w:r>
            <w:r>
              <w:rPr>
                <w:rFonts w:ascii="Arial" w:hAnsi="Arial" w:cs="Arial"/>
                <w:sz w:val="20"/>
                <w:szCs w:val="20"/>
                <w:vertAlign w:val="superscript"/>
              </w:rPr>
              <w:t>a</w:t>
            </w:r>
          </w:p>
        </w:tc>
      </w:tr>
      <w:tr w:rsidR="00F62FD0" w14:paraId="631AB92F"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4E8EB1B3" w14:textId="77777777" w:rsidR="00F62FD0" w:rsidRDefault="00000000">
            <w:pPr>
              <w:spacing w:line="240" w:lineRule="auto"/>
              <w:jc w:val="center"/>
              <w:rPr>
                <w:rFonts w:ascii="Arial" w:hAnsi="Arial" w:cs="Arial"/>
                <w:sz w:val="20"/>
                <w:szCs w:val="20"/>
              </w:rPr>
            </w:pPr>
            <w:r>
              <w:rPr>
                <w:rFonts w:ascii="Arial" w:hAnsi="Arial" w:cs="Arial"/>
                <w:sz w:val="20"/>
                <w:szCs w:val="20"/>
              </w:rPr>
              <w:t>Negative control</w:t>
            </w:r>
          </w:p>
        </w:tc>
        <w:tc>
          <w:tcPr>
            <w:tcW w:w="1602" w:type="dxa"/>
          </w:tcPr>
          <w:p w14:paraId="53440076"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24.40 ± 0.93</w:t>
            </w:r>
            <w:r>
              <w:rPr>
                <w:rFonts w:ascii="Arial" w:hAnsi="Arial" w:cs="Arial"/>
                <w:sz w:val="20"/>
                <w:szCs w:val="20"/>
                <w:vertAlign w:val="superscript"/>
              </w:rPr>
              <w:t>b</w:t>
            </w:r>
          </w:p>
        </w:tc>
        <w:tc>
          <w:tcPr>
            <w:tcW w:w="1601" w:type="dxa"/>
          </w:tcPr>
          <w:p w14:paraId="72D27FF0"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17.21 ± 0.60</w:t>
            </w:r>
            <w:r>
              <w:rPr>
                <w:rFonts w:ascii="Arial" w:hAnsi="Arial" w:cs="Arial"/>
                <w:sz w:val="20"/>
                <w:szCs w:val="20"/>
                <w:vertAlign w:val="superscript"/>
              </w:rPr>
              <w:t>b</w:t>
            </w:r>
          </w:p>
        </w:tc>
        <w:tc>
          <w:tcPr>
            <w:tcW w:w="1716" w:type="dxa"/>
          </w:tcPr>
          <w:p w14:paraId="1083088F"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5.29 ± 0.85</w:t>
            </w:r>
            <w:r>
              <w:rPr>
                <w:rFonts w:ascii="Arial" w:hAnsi="Arial" w:cs="Arial"/>
                <w:sz w:val="20"/>
                <w:szCs w:val="20"/>
                <w:vertAlign w:val="superscript"/>
              </w:rPr>
              <w:t>b</w:t>
            </w:r>
          </w:p>
        </w:tc>
        <w:tc>
          <w:tcPr>
            <w:tcW w:w="1710" w:type="dxa"/>
          </w:tcPr>
          <w:p w14:paraId="0DEC1EDC"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1.88 ± 0.19</w:t>
            </w:r>
            <w:r>
              <w:rPr>
                <w:rFonts w:ascii="Arial" w:hAnsi="Arial" w:cs="Arial"/>
                <w:sz w:val="20"/>
                <w:szCs w:val="20"/>
                <w:vertAlign w:val="superscript"/>
              </w:rPr>
              <w:t>b</w:t>
            </w:r>
          </w:p>
        </w:tc>
        <w:tc>
          <w:tcPr>
            <w:tcW w:w="1800" w:type="dxa"/>
          </w:tcPr>
          <w:p w14:paraId="36688749"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3.76 ± 0.54</w:t>
            </w:r>
            <w:r>
              <w:rPr>
                <w:rFonts w:ascii="Arial" w:hAnsi="Arial" w:cs="Arial"/>
                <w:sz w:val="20"/>
                <w:szCs w:val="20"/>
                <w:vertAlign w:val="superscript"/>
              </w:rPr>
              <w:t>b</w:t>
            </w:r>
          </w:p>
        </w:tc>
      </w:tr>
      <w:tr w:rsidR="00F62FD0" w14:paraId="6DF516DD"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133F2CB9" w14:textId="77777777" w:rsidR="00F62FD0" w:rsidRDefault="00000000">
            <w:pPr>
              <w:spacing w:line="240" w:lineRule="auto"/>
              <w:jc w:val="center"/>
              <w:rPr>
                <w:rFonts w:ascii="Arial" w:hAnsi="Arial" w:cs="Arial"/>
                <w:sz w:val="20"/>
                <w:szCs w:val="20"/>
              </w:rPr>
            </w:pPr>
            <w:proofErr w:type="spellStart"/>
            <w:r>
              <w:rPr>
                <w:rFonts w:ascii="Arial" w:hAnsi="Arial" w:cs="Arial"/>
                <w:sz w:val="20"/>
                <w:szCs w:val="20"/>
              </w:rPr>
              <w:t>Fansteride</w:t>
            </w:r>
            <w:proofErr w:type="spellEnd"/>
            <w:r>
              <w:rPr>
                <w:rFonts w:ascii="Arial" w:hAnsi="Arial" w:cs="Arial"/>
                <w:sz w:val="20"/>
                <w:szCs w:val="20"/>
              </w:rPr>
              <w:t xml:space="preserve"> (5 mg)</w:t>
            </w:r>
          </w:p>
        </w:tc>
        <w:tc>
          <w:tcPr>
            <w:tcW w:w="1602" w:type="dxa"/>
          </w:tcPr>
          <w:p w14:paraId="79A37737"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17.63 ± 1.42</w:t>
            </w:r>
            <w:r>
              <w:rPr>
                <w:rFonts w:ascii="Arial" w:hAnsi="Arial" w:cs="Arial"/>
                <w:sz w:val="20"/>
                <w:szCs w:val="20"/>
                <w:vertAlign w:val="superscript"/>
              </w:rPr>
              <w:t>ac</w:t>
            </w:r>
          </w:p>
        </w:tc>
        <w:tc>
          <w:tcPr>
            <w:tcW w:w="1601" w:type="dxa"/>
          </w:tcPr>
          <w:p w14:paraId="0F217A29"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13.28 ± 0.93</w:t>
            </w:r>
            <w:r>
              <w:rPr>
                <w:rFonts w:ascii="Arial" w:hAnsi="Arial" w:cs="Arial"/>
                <w:sz w:val="20"/>
                <w:szCs w:val="20"/>
                <w:vertAlign w:val="superscript"/>
              </w:rPr>
              <w:t>ac</w:t>
            </w:r>
          </w:p>
        </w:tc>
        <w:tc>
          <w:tcPr>
            <w:tcW w:w="1716" w:type="dxa"/>
          </w:tcPr>
          <w:p w14:paraId="12583011"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8.74 ± 0.21</w:t>
            </w:r>
            <w:r>
              <w:rPr>
                <w:rFonts w:ascii="Arial" w:hAnsi="Arial" w:cs="Arial"/>
                <w:sz w:val="20"/>
                <w:szCs w:val="20"/>
                <w:vertAlign w:val="superscript"/>
              </w:rPr>
              <w:t>c</w:t>
            </w:r>
          </w:p>
        </w:tc>
        <w:tc>
          <w:tcPr>
            <w:tcW w:w="1710" w:type="dxa"/>
          </w:tcPr>
          <w:p w14:paraId="5C38C65A"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4.42 ± 0.40</w:t>
            </w:r>
            <w:r>
              <w:rPr>
                <w:rFonts w:ascii="Arial" w:hAnsi="Arial" w:cs="Arial"/>
                <w:sz w:val="20"/>
                <w:szCs w:val="20"/>
                <w:vertAlign w:val="superscript"/>
              </w:rPr>
              <w:t>a</w:t>
            </w:r>
          </w:p>
        </w:tc>
        <w:tc>
          <w:tcPr>
            <w:tcW w:w="1800" w:type="dxa"/>
          </w:tcPr>
          <w:p w14:paraId="091E6428"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4.32 ± 0.20</w:t>
            </w:r>
            <w:r>
              <w:rPr>
                <w:rFonts w:ascii="Arial" w:hAnsi="Arial" w:cs="Arial"/>
                <w:sz w:val="20"/>
                <w:szCs w:val="20"/>
                <w:vertAlign w:val="superscript"/>
              </w:rPr>
              <w:t>b</w:t>
            </w:r>
          </w:p>
        </w:tc>
      </w:tr>
      <w:tr w:rsidR="00F62FD0" w14:paraId="55235BFA"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6E7B0F4C" w14:textId="77777777" w:rsidR="00F62FD0" w:rsidRDefault="00000000">
            <w:pPr>
              <w:spacing w:line="240" w:lineRule="auto"/>
              <w:jc w:val="center"/>
              <w:rPr>
                <w:rFonts w:ascii="Arial" w:hAnsi="Arial" w:cs="Arial"/>
                <w:sz w:val="20"/>
                <w:szCs w:val="20"/>
              </w:rPr>
            </w:pPr>
            <w:r>
              <w:rPr>
                <w:rFonts w:ascii="Arial" w:hAnsi="Arial" w:cs="Arial"/>
                <w:sz w:val="20"/>
                <w:szCs w:val="20"/>
              </w:rPr>
              <w:t>Leaves (250 mg)</w:t>
            </w:r>
          </w:p>
        </w:tc>
        <w:tc>
          <w:tcPr>
            <w:tcW w:w="1602" w:type="dxa"/>
          </w:tcPr>
          <w:p w14:paraId="0206CFEC"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18.53 ± 0.70</w:t>
            </w:r>
            <w:r>
              <w:rPr>
                <w:rFonts w:ascii="Arial" w:hAnsi="Arial" w:cs="Arial"/>
                <w:sz w:val="20"/>
                <w:szCs w:val="20"/>
                <w:vertAlign w:val="superscript"/>
              </w:rPr>
              <w:t>c</w:t>
            </w:r>
          </w:p>
        </w:tc>
        <w:tc>
          <w:tcPr>
            <w:tcW w:w="1601" w:type="dxa"/>
          </w:tcPr>
          <w:p w14:paraId="5A634735"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14.79 ± 0.52</w:t>
            </w:r>
            <w:r>
              <w:rPr>
                <w:rFonts w:ascii="Arial" w:hAnsi="Arial" w:cs="Arial"/>
                <w:sz w:val="20"/>
                <w:szCs w:val="20"/>
                <w:vertAlign w:val="superscript"/>
              </w:rPr>
              <w:t>c</w:t>
            </w:r>
          </w:p>
        </w:tc>
        <w:tc>
          <w:tcPr>
            <w:tcW w:w="1716" w:type="dxa"/>
          </w:tcPr>
          <w:p w14:paraId="2DAF981F"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7.57 ± 0.27</w:t>
            </w:r>
            <w:r>
              <w:rPr>
                <w:rFonts w:ascii="Arial" w:hAnsi="Arial" w:cs="Arial"/>
                <w:sz w:val="20"/>
                <w:szCs w:val="20"/>
                <w:vertAlign w:val="superscript"/>
              </w:rPr>
              <w:t>d</w:t>
            </w:r>
          </w:p>
        </w:tc>
        <w:tc>
          <w:tcPr>
            <w:tcW w:w="1710" w:type="dxa"/>
          </w:tcPr>
          <w:p w14:paraId="446B9BE7"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3.34 ± 0.20</w:t>
            </w:r>
            <w:r>
              <w:rPr>
                <w:rFonts w:ascii="Arial" w:hAnsi="Arial" w:cs="Arial"/>
                <w:sz w:val="20"/>
                <w:szCs w:val="20"/>
                <w:vertAlign w:val="superscript"/>
              </w:rPr>
              <w:t>c</w:t>
            </w:r>
          </w:p>
        </w:tc>
        <w:tc>
          <w:tcPr>
            <w:tcW w:w="1800" w:type="dxa"/>
          </w:tcPr>
          <w:p w14:paraId="6F48C10F"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szCs w:val="20"/>
              </w:rPr>
              <w:t>4.23 ± 0.07</w:t>
            </w:r>
            <w:r>
              <w:rPr>
                <w:rFonts w:ascii="Arial" w:hAnsi="Arial" w:cs="Arial"/>
                <w:sz w:val="20"/>
                <w:szCs w:val="20"/>
                <w:vertAlign w:val="superscript"/>
              </w:rPr>
              <w:t>b</w:t>
            </w:r>
          </w:p>
        </w:tc>
      </w:tr>
      <w:tr w:rsidR="00F62FD0" w14:paraId="248ABC1C"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488C65A7" w14:textId="77777777" w:rsidR="00F62FD0" w:rsidRDefault="00000000">
            <w:pPr>
              <w:spacing w:line="240" w:lineRule="auto"/>
              <w:jc w:val="center"/>
              <w:rPr>
                <w:rFonts w:ascii="Arial" w:hAnsi="Arial" w:cs="Arial"/>
                <w:sz w:val="20"/>
                <w:szCs w:val="20"/>
              </w:rPr>
            </w:pPr>
            <w:r>
              <w:rPr>
                <w:rFonts w:ascii="Arial" w:hAnsi="Arial" w:cs="Arial"/>
                <w:sz w:val="20"/>
                <w:szCs w:val="20"/>
              </w:rPr>
              <w:t>Leaves (500 mg)</w:t>
            </w:r>
          </w:p>
        </w:tc>
        <w:tc>
          <w:tcPr>
            <w:tcW w:w="1602" w:type="dxa"/>
          </w:tcPr>
          <w:p w14:paraId="4D249DB8"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17.22 ± 0.34</w:t>
            </w:r>
            <w:r>
              <w:rPr>
                <w:rFonts w:ascii="Arial" w:hAnsi="Arial" w:cs="Arial"/>
                <w:sz w:val="20"/>
                <w:szCs w:val="20"/>
                <w:vertAlign w:val="superscript"/>
              </w:rPr>
              <w:t>ac</w:t>
            </w:r>
          </w:p>
        </w:tc>
        <w:tc>
          <w:tcPr>
            <w:tcW w:w="1601" w:type="dxa"/>
          </w:tcPr>
          <w:p w14:paraId="10C384D2"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14.06 ± 0.60</w:t>
            </w:r>
            <w:r>
              <w:rPr>
                <w:rFonts w:ascii="Arial" w:hAnsi="Arial" w:cs="Arial"/>
                <w:sz w:val="20"/>
                <w:szCs w:val="20"/>
                <w:vertAlign w:val="superscript"/>
              </w:rPr>
              <w:t>c</w:t>
            </w:r>
          </w:p>
        </w:tc>
        <w:tc>
          <w:tcPr>
            <w:tcW w:w="1716" w:type="dxa"/>
          </w:tcPr>
          <w:p w14:paraId="37CB3220"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7.57 ± 0.39</w:t>
            </w:r>
            <w:r>
              <w:rPr>
                <w:rFonts w:ascii="Arial" w:hAnsi="Arial" w:cs="Arial"/>
                <w:sz w:val="20"/>
                <w:szCs w:val="20"/>
                <w:vertAlign w:val="superscript"/>
              </w:rPr>
              <w:t>d</w:t>
            </w:r>
          </w:p>
        </w:tc>
        <w:tc>
          <w:tcPr>
            <w:tcW w:w="1710" w:type="dxa"/>
          </w:tcPr>
          <w:p w14:paraId="094EB432"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2.59 ± 0.38</w:t>
            </w:r>
            <w:r>
              <w:rPr>
                <w:rFonts w:ascii="Arial" w:hAnsi="Arial" w:cs="Arial"/>
                <w:sz w:val="20"/>
                <w:szCs w:val="20"/>
                <w:vertAlign w:val="superscript"/>
              </w:rPr>
              <w:t>d</w:t>
            </w:r>
          </w:p>
        </w:tc>
        <w:tc>
          <w:tcPr>
            <w:tcW w:w="1800" w:type="dxa"/>
          </w:tcPr>
          <w:p w14:paraId="2B6388FA"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4.98 ± 0.65</w:t>
            </w:r>
            <w:r>
              <w:rPr>
                <w:rFonts w:ascii="Arial" w:hAnsi="Arial" w:cs="Arial"/>
                <w:sz w:val="20"/>
                <w:szCs w:val="20"/>
                <w:vertAlign w:val="superscript"/>
              </w:rPr>
              <w:t>ac</w:t>
            </w:r>
          </w:p>
        </w:tc>
      </w:tr>
      <w:tr w:rsidR="00F62FD0" w14:paraId="113F641B"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795F371D" w14:textId="77777777" w:rsidR="00F62FD0" w:rsidRDefault="00000000">
            <w:pPr>
              <w:spacing w:line="240" w:lineRule="auto"/>
              <w:jc w:val="center"/>
              <w:rPr>
                <w:rFonts w:ascii="Arial" w:hAnsi="Arial" w:cs="Arial"/>
                <w:sz w:val="20"/>
                <w:szCs w:val="20"/>
              </w:rPr>
            </w:pPr>
            <w:r>
              <w:rPr>
                <w:rFonts w:ascii="Arial" w:hAnsi="Arial" w:cs="Arial"/>
                <w:sz w:val="20"/>
                <w:szCs w:val="20"/>
              </w:rPr>
              <w:t>Stem (250 mg)</w:t>
            </w:r>
          </w:p>
        </w:tc>
        <w:tc>
          <w:tcPr>
            <w:tcW w:w="1602" w:type="dxa"/>
          </w:tcPr>
          <w:p w14:paraId="54D25589"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16.11 ± 0.24</w:t>
            </w:r>
            <w:r>
              <w:rPr>
                <w:rFonts w:ascii="Arial" w:hAnsi="Arial" w:cs="Arial"/>
                <w:sz w:val="20"/>
                <w:szCs w:val="20"/>
                <w:vertAlign w:val="superscript"/>
              </w:rPr>
              <w:t>a</w:t>
            </w:r>
          </w:p>
        </w:tc>
        <w:tc>
          <w:tcPr>
            <w:tcW w:w="1601" w:type="dxa"/>
          </w:tcPr>
          <w:p w14:paraId="2428484E"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13.57 ± 0.27</w:t>
            </w:r>
            <w:r>
              <w:rPr>
                <w:rFonts w:ascii="Arial" w:hAnsi="Arial" w:cs="Arial"/>
                <w:sz w:val="20"/>
                <w:szCs w:val="20"/>
                <w:vertAlign w:val="superscript"/>
              </w:rPr>
              <w:t>ac</w:t>
            </w:r>
          </w:p>
        </w:tc>
        <w:tc>
          <w:tcPr>
            <w:tcW w:w="1716" w:type="dxa"/>
          </w:tcPr>
          <w:p w14:paraId="386AA284"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8.30 ± 0.19</w:t>
            </w:r>
            <w:r>
              <w:rPr>
                <w:rFonts w:ascii="Arial" w:hAnsi="Arial" w:cs="Arial"/>
                <w:sz w:val="20"/>
                <w:szCs w:val="20"/>
                <w:vertAlign w:val="superscript"/>
              </w:rPr>
              <w:t>cd</w:t>
            </w:r>
          </w:p>
        </w:tc>
        <w:tc>
          <w:tcPr>
            <w:tcW w:w="1710" w:type="dxa"/>
          </w:tcPr>
          <w:p w14:paraId="6DE9750C"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3.01 ± 0.09</w:t>
            </w:r>
            <w:r>
              <w:rPr>
                <w:rFonts w:ascii="Arial" w:hAnsi="Arial" w:cs="Arial"/>
                <w:sz w:val="20"/>
                <w:szCs w:val="20"/>
                <w:vertAlign w:val="superscript"/>
              </w:rPr>
              <w:t>cd</w:t>
            </w:r>
          </w:p>
        </w:tc>
        <w:tc>
          <w:tcPr>
            <w:tcW w:w="1800" w:type="dxa"/>
          </w:tcPr>
          <w:p w14:paraId="303C380F"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5.29 ± 0.24</w:t>
            </w:r>
            <w:r>
              <w:rPr>
                <w:rFonts w:ascii="Arial" w:hAnsi="Arial" w:cs="Arial"/>
                <w:sz w:val="20"/>
                <w:szCs w:val="20"/>
                <w:vertAlign w:val="superscript"/>
              </w:rPr>
              <w:t>c</w:t>
            </w:r>
          </w:p>
        </w:tc>
      </w:tr>
      <w:tr w:rsidR="00F62FD0" w14:paraId="3C592BD4"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47F00C51" w14:textId="77777777" w:rsidR="00F62FD0" w:rsidRDefault="00000000">
            <w:pPr>
              <w:spacing w:line="240" w:lineRule="auto"/>
              <w:jc w:val="center"/>
              <w:rPr>
                <w:rFonts w:ascii="Arial" w:hAnsi="Arial" w:cs="Arial"/>
                <w:sz w:val="20"/>
                <w:szCs w:val="20"/>
              </w:rPr>
            </w:pPr>
            <w:r>
              <w:rPr>
                <w:rFonts w:ascii="Arial" w:hAnsi="Arial" w:cs="Arial"/>
                <w:sz w:val="20"/>
                <w:szCs w:val="20"/>
              </w:rPr>
              <w:t>Stem (500 mg)</w:t>
            </w:r>
          </w:p>
        </w:tc>
        <w:tc>
          <w:tcPr>
            <w:tcW w:w="1602" w:type="dxa"/>
          </w:tcPr>
          <w:p w14:paraId="5F155538"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15.31 ± 9.32</w:t>
            </w:r>
            <w:r>
              <w:rPr>
                <w:rFonts w:ascii="Arial" w:hAnsi="Arial" w:cs="Arial"/>
                <w:sz w:val="20"/>
                <w:szCs w:val="20"/>
                <w:vertAlign w:val="superscript"/>
              </w:rPr>
              <w:t>a</w:t>
            </w:r>
          </w:p>
        </w:tc>
        <w:tc>
          <w:tcPr>
            <w:tcW w:w="1601" w:type="dxa"/>
          </w:tcPr>
          <w:p w14:paraId="50731E5C"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12.54 ± 0.52</w:t>
            </w:r>
            <w:r>
              <w:rPr>
                <w:rFonts w:ascii="Arial" w:hAnsi="Arial" w:cs="Arial"/>
                <w:sz w:val="20"/>
                <w:szCs w:val="20"/>
                <w:vertAlign w:val="superscript"/>
              </w:rPr>
              <w:t>a</w:t>
            </w:r>
          </w:p>
        </w:tc>
        <w:tc>
          <w:tcPr>
            <w:tcW w:w="1716" w:type="dxa"/>
          </w:tcPr>
          <w:p w14:paraId="6B60812B"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9.39 ± 0.16</w:t>
            </w:r>
            <w:r>
              <w:rPr>
                <w:rFonts w:ascii="Arial" w:hAnsi="Arial" w:cs="Arial"/>
                <w:sz w:val="20"/>
                <w:szCs w:val="20"/>
                <w:vertAlign w:val="superscript"/>
              </w:rPr>
              <w:t>c</w:t>
            </w:r>
          </w:p>
        </w:tc>
        <w:tc>
          <w:tcPr>
            <w:tcW w:w="1710" w:type="dxa"/>
          </w:tcPr>
          <w:p w14:paraId="70482EFA"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4.20 ± 0.17</w:t>
            </w:r>
            <w:r>
              <w:rPr>
                <w:rFonts w:ascii="Arial" w:hAnsi="Arial" w:cs="Arial"/>
                <w:sz w:val="20"/>
                <w:szCs w:val="20"/>
                <w:vertAlign w:val="superscript"/>
              </w:rPr>
              <w:t>ae</w:t>
            </w:r>
          </w:p>
        </w:tc>
        <w:tc>
          <w:tcPr>
            <w:tcW w:w="1800" w:type="dxa"/>
          </w:tcPr>
          <w:p w14:paraId="1C3F1D71"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5.19 ± 0.05</w:t>
            </w:r>
            <w:r>
              <w:rPr>
                <w:rFonts w:ascii="Arial" w:hAnsi="Arial" w:cs="Arial"/>
                <w:sz w:val="20"/>
                <w:szCs w:val="20"/>
                <w:vertAlign w:val="superscript"/>
              </w:rPr>
              <w:t>c</w:t>
            </w:r>
          </w:p>
        </w:tc>
      </w:tr>
      <w:tr w:rsidR="00F62FD0" w14:paraId="4EB48610"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43F32B33" w14:textId="77777777" w:rsidR="00F62FD0" w:rsidRDefault="00000000">
            <w:pPr>
              <w:spacing w:line="240" w:lineRule="auto"/>
              <w:jc w:val="center"/>
              <w:rPr>
                <w:rFonts w:ascii="Arial" w:hAnsi="Arial" w:cs="Arial"/>
                <w:sz w:val="20"/>
                <w:szCs w:val="20"/>
              </w:rPr>
            </w:pPr>
            <w:r>
              <w:rPr>
                <w:rFonts w:ascii="Arial" w:hAnsi="Arial" w:cs="Arial"/>
                <w:sz w:val="20"/>
                <w:szCs w:val="20"/>
              </w:rPr>
              <w:t>Pulp (250 mg)</w:t>
            </w:r>
          </w:p>
        </w:tc>
        <w:tc>
          <w:tcPr>
            <w:tcW w:w="1602" w:type="dxa"/>
          </w:tcPr>
          <w:p w14:paraId="62CD0C6E"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18.07 ± 0.29</w:t>
            </w:r>
            <w:r>
              <w:rPr>
                <w:rFonts w:ascii="Arial" w:hAnsi="Arial" w:cs="Arial"/>
                <w:sz w:val="20"/>
                <w:szCs w:val="20"/>
                <w:vertAlign w:val="superscript"/>
              </w:rPr>
              <w:t>ac</w:t>
            </w:r>
          </w:p>
        </w:tc>
        <w:tc>
          <w:tcPr>
            <w:tcW w:w="1601" w:type="dxa"/>
          </w:tcPr>
          <w:p w14:paraId="6F62CE0C"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13.90 ± 0.55</w:t>
            </w:r>
            <w:r>
              <w:rPr>
                <w:rFonts w:ascii="Arial" w:hAnsi="Arial" w:cs="Arial"/>
                <w:sz w:val="20"/>
                <w:szCs w:val="20"/>
                <w:vertAlign w:val="superscript"/>
              </w:rPr>
              <w:t>ac</w:t>
            </w:r>
          </w:p>
        </w:tc>
        <w:tc>
          <w:tcPr>
            <w:tcW w:w="1716" w:type="dxa"/>
          </w:tcPr>
          <w:p w14:paraId="3C878664"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6.65 ± 1.13</w:t>
            </w:r>
            <w:r>
              <w:rPr>
                <w:rFonts w:ascii="Arial" w:hAnsi="Arial" w:cs="Arial"/>
                <w:sz w:val="20"/>
                <w:szCs w:val="20"/>
                <w:vertAlign w:val="superscript"/>
              </w:rPr>
              <w:t>bd</w:t>
            </w:r>
          </w:p>
        </w:tc>
        <w:tc>
          <w:tcPr>
            <w:tcW w:w="1710" w:type="dxa"/>
          </w:tcPr>
          <w:p w14:paraId="363B70B0"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2.72 ± 0.73</w:t>
            </w:r>
            <w:r>
              <w:rPr>
                <w:rFonts w:ascii="Arial" w:hAnsi="Arial" w:cs="Arial"/>
                <w:sz w:val="20"/>
                <w:szCs w:val="20"/>
                <w:vertAlign w:val="superscript"/>
              </w:rPr>
              <w:t>cd</w:t>
            </w:r>
          </w:p>
        </w:tc>
        <w:tc>
          <w:tcPr>
            <w:tcW w:w="1800" w:type="dxa"/>
          </w:tcPr>
          <w:p w14:paraId="215ED8EB"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3.93 ± 0.40</w:t>
            </w:r>
            <w:r>
              <w:rPr>
                <w:rFonts w:ascii="Arial" w:hAnsi="Arial" w:cs="Arial"/>
                <w:sz w:val="20"/>
                <w:szCs w:val="20"/>
                <w:vertAlign w:val="superscript"/>
              </w:rPr>
              <w:t>b</w:t>
            </w:r>
          </w:p>
        </w:tc>
      </w:tr>
      <w:tr w:rsidR="00F62FD0" w14:paraId="58B26537"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7E87F3B8" w14:textId="77777777" w:rsidR="00F62FD0" w:rsidRDefault="00000000">
            <w:pPr>
              <w:spacing w:line="240" w:lineRule="auto"/>
              <w:jc w:val="center"/>
              <w:rPr>
                <w:rFonts w:ascii="Arial" w:hAnsi="Arial" w:cs="Arial"/>
                <w:sz w:val="20"/>
                <w:szCs w:val="20"/>
              </w:rPr>
            </w:pPr>
            <w:r>
              <w:rPr>
                <w:rFonts w:ascii="Arial" w:hAnsi="Arial" w:cs="Arial"/>
                <w:sz w:val="20"/>
                <w:szCs w:val="20"/>
              </w:rPr>
              <w:t>Pulp (500 mg)</w:t>
            </w:r>
          </w:p>
        </w:tc>
        <w:tc>
          <w:tcPr>
            <w:tcW w:w="1602" w:type="dxa"/>
          </w:tcPr>
          <w:p w14:paraId="409DC6DD"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17.25 ± 0.37</w:t>
            </w:r>
            <w:r>
              <w:rPr>
                <w:rFonts w:ascii="Arial" w:hAnsi="Arial" w:cs="Arial"/>
                <w:sz w:val="20"/>
                <w:szCs w:val="20"/>
                <w:vertAlign w:val="superscript"/>
              </w:rPr>
              <w:t>ac</w:t>
            </w:r>
          </w:p>
        </w:tc>
        <w:tc>
          <w:tcPr>
            <w:tcW w:w="1601" w:type="dxa"/>
          </w:tcPr>
          <w:p w14:paraId="7FE2F136"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13.48 ± 0.31</w:t>
            </w:r>
            <w:r>
              <w:rPr>
                <w:rFonts w:ascii="Arial" w:hAnsi="Arial" w:cs="Arial"/>
                <w:sz w:val="20"/>
                <w:szCs w:val="20"/>
                <w:vertAlign w:val="superscript"/>
              </w:rPr>
              <w:t>ac</w:t>
            </w:r>
          </w:p>
        </w:tc>
        <w:tc>
          <w:tcPr>
            <w:tcW w:w="1716" w:type="dxa"/>
          </w:tcPr>
          <w:p w14:paraId="404C9828"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7.54 ± 1.39</w:t>
            </w:r>
            <w:r>
              <w:rPr>
                <w:rFonts w:ascii="Arial" w:hAnsi="Arial" w:cs="Arial"/>
                <w:sz w:val="20"/>
                <w:szCs w:val="20"/>
                <w:vertAlign w:val="superscript"/>
              </w:rPr>
              <w:t>bcd</w:t>
            </w:r>
          </w:p>
        </w:tc>
        <w:tc>
          <w:tcPr>
            <w:tcW w:w="1710" w:type="dxa"/>
          </w:tcPr>
          <w:p w14:paraId="557613F7"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2.98 ± 0.51</w:t>
            </w:r>
            <w:r>
              <w:rPr>
                <w:rFonts w:ascii="Arial" w:hAnsi="Arial" w:cs="Arial"/>
                <w:sz w:val="20"/>
                <w:szCs w:val="20"/>
                <w:vertAlign w:val="superscript"/>
              </w:rPr>
              <w:t>cd</w:t>
            </w:r>
          </w:p>
        </w:tc>
        <w:tc>
          <w:tcPr>
            <w:tcW w:w="1800" w:type="dxa"/>
          </w:tcPr>
          <w:p w14:paraId="2DE8D7FA"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4.56 ± 0.88</w:t>
            </w:r>
            <w:r>
              <w:rPr>
                <w:rFonts w:ascii="Arial" w:hAnsi="Arial" w:cs="Arial"/>
                <w:sz w:val="20"/>
                <w:szCs w:val="20"/>
                <w:vertAlign w:val="superscript"/>
              </w:rPr>
              <w:t>bc</w:t>
            </w:r>
          </w:p>
        </w:tc>
      </w:tr>
      <w:tr w:rsidR="00F62FD0" w14:paraId="617A8A2D" w14:textId="77777777" w:rsidTr="00F62FD0">
        <w:tc>
          <w:tcPr>
            <w:cnfStyle w:val="001000000000" w:firstRow="0" w:lastRow="0" w:firstColumn="1" w:lastColumn="0" w:oddVBand="0" w:evenVBand="0" w:oddHBand="0" w:evenHBand="0" w:firstRowFirstColumn="0" w:firstRowLastColumn="0" w:lastRowFirstColumn="0" w:lastRowLastColumn="0"/>
            <w:tcW w:w="1646" w:type="dxa"/>
          </w:tcPr>
          <w:p w14:paraId="4EE1CF30" w14:textId="77777777" w:rsidR="00F62FD0" w:rsidRDefault="00000000">
            <w:pPr>
              <w:spacing w:line="240" w:lineRule="auto"/>
              <w:jc w:val="center"/>
              <w:rPr>
                <w:rFonts w:ascii="Arial" w:hAnsi="Arial" w:cs="Arial"/>
                <w:sz w:val="20"/>
                <w:szCs w:val="20"/>
              </w:rPr>
            </w:pPr>
            <w:r>
              <w:rPr>
                <w:rFonts w:ascii="Arial" w:hAnsi="Arial" w:cs="Arial"/>
                <w:sz w:val="20"/>
                <w:szCs w:val="20"/>
              </w:rPr>
              <w:t>Ext. Combination (250 mg)</w:t>
            </w:r>
          </w:p>
        </w:tc>
        <w:tc>
          <w:tcPr>
            <w:tcW w:w="1602" w:type="dxa"/>
          </w:tcPr>
          <w:p w14:paraId="47D646F8"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17.11 ± 0.16</w:t>
            </w:r>
            <w:r>
              <w:rPr>
                <w:rFonts w:ascii="Arial" w:hAnsi="Arial" w:cs="Arial"/>
                <w:sz w:val="20"/>
                <w:szCs w:val="20"/>
                <w:vertAlign w:val="superscript"/>
              </w:rPr>
              <w:t>ac</w:t>
            </w:r>
          </w:p>
        </w:tc>
        <w:tc>
          <w:tcPr>
            <w:tcW w:w="1601" w:type="dxa"/>
          </w:tcPr>
          <w:p w14:paraId="026D6C78"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13.94 ± 0.26</w:t>
            </w:r>
            <w:r>
              <w:rPr>
                <w:rFonts w:ascii="Arial" w:hAnsi="Arial" w:cs="Arial"/>
                <w:sz w:val="20"/>
                <w:szCs w:val="20"/>
                <w:vertAlign w:val="superscript"/>
              </w:rPr>
              <w:t>ac</w:t>
            </w:r>
          </w:p>
        </w:tc>
        <w:tc>
          <w:tcPr>
            <w:tcW w:w="1716" w:type="dxa"/>
          </w:tcPr>
          <w:p w14:paraId="3AE6D8F0"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7.31 ± 0.50</w:t>
            </w:r>
            <w:r>
              <w:rPr>
                <w:rFonts w:ascii="Arial" w:hAnsi="Arial" w:cs="Arial"/>
                <w:sz w:val="20"/>
                <w:szCs w:val="20"/>
                <w:vertAlign w:val="superscript"/>
              </w:rPr>
              <w:t>bd</w:t>
            </w:r>
          </w:p>
        </w:tc>
        <w:tc>
          <w:tcPr>
            <w:tcW w:w="1710" w:type="dxa"/>
          </w:tcPr>
          <w:p w14:paraId="451D4283"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3.24 ± 0.62</w:t>
            </w:r>
            <w:r>
              <w:rPr>
                <w:rFonts w:ascii="Arial" w:hAnsi="Arial" w:cs="Arial"/>
                <w:sz w:val="20"/>
                <w:szCs w:val="20"/>
                <w:vertAlign w:val="superscript"/>
              </w:rPr>
              <w:t>cd</w:t>
            </w:r>
          </w:p>
        </w:tc>
        <w:tc>
          <w:tcPr>
            <w:tcW w:w="1800" w:type="dxa"/>
          </w:tcPr>
          <w:p w14:paraId="0E8D6579"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4.06 ± 0.53</w:t>
            </w:r>
            <w:r>
              <w:rPr>
                <w:rFonts w:ascii="Arial" w:hAnsi="Arial" w:cs="Arial"/>
                <w:sz w:val="20"/>
                <w:szCs w:val="20"/>
                <w:vertAlign w:val="superscript"/>
              </w:rPr>
              <w:t>b</w:t>
            </w:r>
          </w:p>
        </w:tc>
      </w:tr>
      <w:tr w:rsidR="00F62FD0" w14:paraId="50093BAA" w14:textId="77777777" w:rsidTr="00F62FD0">
        <w:tc>
          <w:tcPr>
            <w:cnfStyle w:val="001000000000" w:firstRow="0" w:lastRow="0" w:firstColumn="1" w:lastColumn="0" w:oddVBand="0" w:evenVBand="0" w:oddHBand="0" w:evenHBand="0" w:firstRowFirstColumn="0" w:firstRowLastColumn="0" w:lastRowFirstColumn="0" w:lastRowLastColumn="0"/>
            <w:tcW w:w="1646" w:type="dxa"/>
            <w:tcBorders>
              <w:bottom w:val="single" w:sz="18" w:space="0" w:color="auto"/>
            </w:tcBorders>
          </w:tcPr>
          <w:p w14:paraId="3513DB88" w14:textId="77777777" w:rsidR="00F62FD0" w:rsidRDefault="00000000">
            <w:pPr>
              <w:spacing w:line="240" w:lineRule="auto"/>
              <w:jc w:val="center"/>
              <w:rPr>
                <w:rFonts w:ascii="Arial" w:hAnsi="Arial" w:cs="Arial"/>
                <w:sz w:val="20"/>
                <w:szCs w:val="20"/>
              </w:rPr>
            </w:pPr>
            <w:r>
              <w:rPr>
                <w:rFonts w:ascii="Arial" w:hAnsi="Arial" w:cs="Arial"/>
                <w:sz w:val="20"/>
                <w:szCs w:val="20"/>
              </w:rPr>
              <w:t>Ext. Combination (500 mg)</w:t>
            </w:r>
          </w:p>
        </w:tc>
        <w:tc>
          <w:tcPr>
            <w:tcW w:w="1602" w:type="dxa"/>
            <w:tcBorders>
              <w:bottom w:val="single" w:sz="18" w:space="0" w:color="auto"/>
            </w:tcBorders>
          </w:tcPr>
          <w:p w14:paraId="55D9BB8F"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16.50 ± 0.16</w:t>
            </w:r>
            <w:r>
              <w:rPr>
                <w:rFonts w:ascii="Arial" w:hAnsi="Arial" w:cs="Arial"/>
                <w:sz w:val="20"/>
                <w:szCs w:val="20"/>
                <w:vertAlign w:val="superscript"/>
              </w:rPr>
              <w:t xml:space="preserve"> a</w:t>
            </w:r>
          </w:p>
        </w:tc>
        <w:tc>
          <w:tcPr>
            <w:tcW w:w="1601" w:type="dxa"/>
            <w:tcBorders>
              <w:bottom w:val="single" w:sz="18" w:space="0" w:color="auto"/>
            </w:tcBorders>
          </w:tcPr>
          <w:p w14:paraId="1CFD3DE9"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13.03 ± 0.09</w:t>
            </w:r>
            <w:r>
              <w:rPr>
                <w:rFonts w:ascii="Arial" w:hAnsi="Arial" w:cs="Arial"/>
                <w:sz w:val="20"/>
                <w:szCs w:val="20"/>
                <w:vertAlign w:val="superscript"/>
              </w:rPr>
              <w:t>a</w:t>
            </w:r>
          </w:p>
        </w:tc>
        <w:tc>
          <w:tcPr>
            <w:tcW w:w="1716" w:type="dxa"/>
            <w:tcBorders>
              <w:bottom w:val="single" w:sz="18" w:space="0" w:color="auto"/>
            </w:tcBorders>
          </w:tcPr>
          <w:p w14:paraId="3A3CC8C5"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8.66 ± 0.71</w:t>
            </w:r>
            <w:r>
              <w:rPr>
                <w:rFonts w:ascii="Arial" w:hAnsi="Arial" w:cs="Arial"/>
                <w:sz w:val="20"/>
                <w:szCs w:val="20"/>
                <w:vertAlign w:val="superscript"/>
              </w:rPr>
              <w:t>cd</w:t>
            </w:r>
          </w:p>
        </w:tc>
        <w:tc>
          <w:tcPr>
            <w:tcW w:w="1710" w:type="dxa"/>
            <w:tcBorders>
              <w:bottom w:val="single" w:sz="18" w:space="0" w:color="auto"/>
            </w:tcBorders>
          </w:tcPr>
          <w:p w14:paraId="48EEFF17"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3.77 ± 0.09</w:t>
            </w:r>
            <w:r>
              <w:rPr>
                <w:rFonts w:ascii="Arial" w:hAnsi="Arial" w:cs="Arial"/>
                <w:sz w:val="20"/>
                <w:szCs w:val="20"/>
                <w:vertAlign w:val="superscript"/>
              </w:rPr>
              <w:t>ce</w:t>
            </w:r>
          </w:p>
        </w:tc>
        <w:tc>
          <w:tcPr>
            <w:tcW w:w="1800" w:type="dxa"/>
            <w:tcBorders>
              <w:bottom w:val="single" w:sz="18" w:space="0" w:color="auto"/>
            </w:tcBorders>
          </w:tcPr>
          <w:p w14:paraId="13BCE0D0" w14:textId="77777777" w:rsidR="00F62FD0" w:rsidRDefault="0000000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4.88 ± 0.62</w:t>
            </w:r>
            <w:r>
              <w:rPr>
                <w:rFonts w:ascii="Arial" w:hAnsi="Arial" w:cs="Arial"/>
                <w:sz w:val="20"/>
                <w:szCs w:val="20"/>
                <w:vertAlign w:val="superscript"/>
              </w:rPr>
              <w:t>bc</w:t>
            </w:r>
          </w:p>
        </w:tc>
      </w:tr>
    </w:tbl>
    <w:p w14:paraId="0D42DA21" w14:textId="77777777" w:rsidR="00F62FD0" w:rsidRDefault="00000000">
      <w:pPr>
        <w:jc w:val="both"/>
        <w:rPr>
          <w:rFonts w:ascii="Arial" w:hAnsi="Arial" w:cs="Arial"/>
          <w:sz w:val="20"/>
          <w:szCs w:val="20"/>
        </w:rPr>
      </w:pPr>
      <w:r>
        <w:rPr>
          <w:rFonts w:ascii="Arial" w:hAnsi="Arial" w:cs="Arial"/>
          <w:bCs/>
          <w:sz w:val="20"/>
          <w:szCs w:val="20"/>
        </w:rPr>
        <w:t xml:space="preserve">Values are mean </w:t>
      </w:r>
      <w:r>
        <w:rPr>
          <w:rFonts w:ascii="Arial" w:hAnsi="Arial" w:cs="Arial"/>
          <w:sz w:val="20"/>
          <w:szCs w:val="20"/>
        </w:rPr>
        <w:t>± standard deviation (n = 3). Values with different superscript letters per column are statistically significant (p&lt;0.05).</w:t>
      </w:r>
    </w:p>
    <w:p w14:paraId="58B6D0A5" w14:textId="77777777" w:rsidR="00F62FD0" w:rsidRDefault="00000000">
      <w:pPr>
        <w:spacing w:line="360" w:lineRule="auto"/>
        <w:jc w:val="both"/>
        <w:rPr>
          <w:rFonts w:ascii="Arial" w:hAnsi="Arial" w:cs="Arial"/>
          <w:b/>
          <w:bCs/>
        </w:rPr>
      </w:pPr>
      <w:r>
        <w:rPr>
          <w:rFonts w:ascii="Arial" w:hAnsi="Arial" w:cs="Arial"/>
          <w:b/>
          <w:bCs/>
        </w:rPr>
        <w:lastRenderedPageBreak/>
        <w:t xml:space="preserve">3.2 Effect of Plant Parts Extract of A. </w:t>
      </w:r>
      <w:proofErr w:type="gramStart"/>
      <w:r>
        <w:rPr>
          <w:rFonts w:ascii="Arial" w:hAnsi="Arial" w:cs="Arial"/>
          <w:b/>
          <w:bCs/>
        </w:rPr>
        <w:t>Heterophyllus  On</w:t>
      </w:r>
      <w:proofErr w:type="gramEnd"/>
      <w:r>
        <w:rPr>
          <w:rFonts w:ascii="Arial" w:hAnsi="Arial" w:cs="Arial"/>
          <w:b/>
          <w:bCs/>
        </w:rPr>
        <w:t xml:space="preserve"> Renal Function Parameters</w:t>
      </w:r>
    </w:p>
    <w:p w14:paraId="786F2DAB"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The results indicate that oral administration of ethanol extracts of </w:t>
      </w:r>
      <w:r>
        <w:rPr>
          <w:rFonts w:ascii="Arial" w:hAnsi="Arial" w:cs="Arial"/>
          <w:i/>
          <w:iCs/>
          <w:sz w:val="20"/>
          <w:szCs w:val="20"/>
        </w:rPr>
        <w:t>A. heterophyllus</w:t>
      </w:r>
      <w:r>
        <w:rPr>
          <w:rFonts w:ascii="Arial" w:hAnsi="Arial" w:cs="Arial"/>
          <w:sz w:val="20"/>
          <w:szCs w:val="20"/>
        </w:rPr>
        <w:t xml:space="preserve"> stembark, leaf, and pulp ameliorated renal and electrolyte disturbances in BPH-induced Wistar albino rats. The negative control group showed markedly elevated urea (30.43 ± 1.98 mg/dL) and creatinine (7.27 ± 1.01 mg/dL) levels, signifying renal impairment resulting from BPH induction. However, treatment with the extracts and the standard drug, Finasteride, significantly reduced these parameters, demonstrating a nephroprotective potential of the plant extracts. Electrolyte analysis revealed that sodium and chloride levels were abnormally high in the negative control, indicating renal-associated imbalance, but these values were </w:t>
      </w:r>
      <w:proofErr w:type="spellStart"/>
      <w:r>
        <w:rPr>
          <w:rFonts w:ascii="Arial" w:hAnsi="Arial" w:cs="Arial"/>
          <w:sz w:val="20"/>
          <w:szCs w:val="20"/>
        </w:rPr>
        <w:t>normalised</w:t>
      </w:r>
      <w:proofErr w:type="spellEnd"/>
      <w:r>
        <w:rPr>
          <w:rFonts w:ascii="Arial" w:hAnsi="Arial" w:cs="Arial"/>
          <w:sz w:val="20"/>
          <w:szCs w:val="20"/>
        </w:rPr>
        <w:t xml:space="preserve"> in treated groups, particularly in rats given the stembark and combination extracts. Potassium and bicarbonate levels remained relatively consistent across all groups, showing no signs of major electrolyte disruption</w:t>
      </w:r>
    </w:p>
    <w:p w14:paraId="5C37F041" w14:textId="559D652C" w:rsidR="00F62FD0" w:rsidRDefault="00000000">
      <w:pPr>
        <w:spacing w:line="240" w:lineRule="auto"/>
        <w:jc w:val="both"/>
        <w:rPr>
          <w:rFonts w:ascii="Arial" w:hAnsi="Arial" w:cs="Arial"/>
          <w:sz w:val="20"/>
          <w:szCs w:val="20"/>
        </w:rPr>
      </w:pPr>
      <w:r>
        <w:rPr>
          <w:rFonts w:ascii="Arial" w:hAnsi="Arial" w:cs="Arial"/>
          <w:b/>
          <w:bCs/>
          <w:sz w:val="20"/>
          <w:szCs w:val="20"/>
        </w:rPr>
        <w:t xml:space="preserve">Table </w:t>
      </w:r>
      <w:r w:rsidR="00E95EF2">
        <w:rPr>
          <w:rFonts w:ascii="Arial" w:hAnsi="Arial" w:cs="Arial"/>
          <w:b/>
          <w:bCs/>
          <w:sz w:val="20"/>
          <w:szCs w:val="20"/>
        </w:rPr>
        <w:t>4</w:t>
      </w:r>
      <w:r>
        <w:rPr>
          <w:rFonts w:ascii="Arial" w:hAnsi="Arial" w:cs="Arial"/>
          <w:b/>
          <w:bCs/>
          <w:sz w:val="20"/>
          <w:szCs w:val="20"/>
        </w:rPr>
        <w:t xml:space="preserve"> Results showing the effect of oral treatments on the renal and electrolyte parameter concentrations in the experimental rats.</w:t>
      </w:r>
    </w:p>
    <w:tbl>
      <w:tblPr>
        <w:tblStyle w:val="ListTable21"/>
        <w:tblW w:w="11160" w:type="dxa"/>
        <w:tblInd w:w="-893" w:type="dxa"/>
        <w:tblLayout w:type="fixed"/>
        <w:tblLook w:val="04A0" w:firstRow="1" w:lastRow="0" w:firstColumn="1" w:lastColumn="0" w:noHBand="0" w:noVBand="1"/>
      </w:tblPr>
      <w:tblGrid>
        <w:gridCol w:w="1961"/>
        <w:gridCol w:w="1549"/>
        <w:gridCol w:w="1440"/>
        <w:gridCol w:w="1620"/>
        <w:gridCol w:w="1440"/>
        <w:gridCol w:w="1596"/>
        <w:gridCol w:w="1554"/>
      </w:tblGrid>
      <w:tr w:rsidR="00F62FD0" w14:paraId="62F4BFD2" w14:textId="77777777" w:rsidTr="00F62F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Borders>
              <w:top w:val="single" w:sz="18" w:space="0" w:color="auto"/>
              <w:bottom w:val="single" w:sz="18" w:space="0" w:color="auto"/>
            </w:tcBorders>
          </w:tcPr>
          <w:p w14:paraId="6908E69F" w14:textId="77777777" w:rsidR="00F62FD0" w:rsidRDefault="00000000">
            <w:pPr>
              <w:spacing w:line="240" w:lineRule="auto"/>
              <w:jc w:val="both"/>
              <w:rPr>
                <w:rFonts w:ascii="Arial" w:hAnsi="Arial" w:cs="Arial"/>
                <w:b w:val="0"/>
                <w:sz w:val="20"/>
                <w:szCs w:val="20"/>
              </w:rPr>
            </w:pPr>
            <w:r>
              <w:rPr>
                <w:rFonts w:ascii="Arial" w:hAnsi="Arial" w:cs="Arial"/>
                <w:sz w:val="20"/>
                <w:szCs w:val="20"/>
              </w:rPr>
              <w:t>Treatment</w:t>
            </w:r>
          </w:p>
        </w:tc>
        <w:tc>
          <w:tcPr>
            <w:tcW w:w="1549" w:type="dxa"/>
            <w:tcBorders>
              <w:top w:val="single" w:sz="18" w:space="0" w:color="auto"/>
              <w:bottom w:val="single" w:sz="18" w:space="0" w:color="auto"/>
            </w:tcBorders>
          </w:tcPr>
          <w:p w14:paraId="15844904" w14:textId="77777777" w:rsidR="00F62FD0" w:rsidRDefault="00000000">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Urea</w:t>
            </w:r>
          </w:p>
        </w:tc>
        <w:tc>
          <w:tcPr>
            <w:tcW w:w="1440" w:type="dxa"/>
            <w:tcBorders>
              <w:top w:val="single" w:sz="18" w:space="0" w:color="auto"/>
              <w:bottom w:val="single" w:sz="18" w:space="0" w:color="auto"/>
            </w:tcBorders>
          </w:tcPr>
          <w:p w14:paraId="0EF1DD79" w14:textId="77777777" w:rsidR="00F62FD0" w:rsidRDefault="00000000">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Creatinine</w:t>
            </w:r>
          </w:p>
        </w:tc>
        <w:tc>
          <w:tcPr>
            <w:tcW w:w="1620" w:type="dxa"/>
            <w:tcBorders>
              <w:top w:val="single" w:sz="18" w:space="0" w:color="auto"/>
              <w:bottom w:val="single" w:sz="18" w:space="0" w:color="auto"/>
            </w:tcBorders>
          </w:tcPr>
          <w:p w14:paraId="6FCA1537" w14:textId="77777777" w:rsidR="00F62FD0" w:rsidRDefault="00000000">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Sodium</w:t>
            </w:r>
          </w:p>
        </w:tc>
        <w:tc>
          <w:tcPr>
            <w:tcW w:w="1440" w:type="dxa"/>
            <w:tcBorders>
              <w:top w:val="single" w:sz="18" w:space="0" w:color="auto"/>
              <w:bottom w:val="single" w:sz="18" w:space="0" w:color="auto"/>
            </w:tcBorders>
          </w:tcPr>
          <w:p w14:paraId="369CC9E7" w14:textId="77777777" w:rsidR="00F62FD0" w:rsidRDefault="00000000">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Potassium</w:t>
            </w:r>
          </w:p>
        </w:tc>
        <w:tc>
          <w:tcPr>
            <w:tcW w:w="1596" w:type="dxa"/>
            <w:tcBorders>
              <w:top w:val="single" w:sz="18" w:space="0" w:color="auto"/>
              <w:bottom w:val="single" w:sz="18" w:space="0" w:color="auto"/>
            </w:tcBorders>
          </w:tcPr>
          <w:p w14:paraId="37FA848D" w14:textId="77777777" w:rsidR="00F62FD0" w:rsidRDefault="00000000">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Bicarbonate</w:t>
            </w:r>
          </w:p>
        </w:tc>
        <w:tc>
          <w:tcPr>
            <w:tcW w:w="1554" w:type="dxa"/>
            <w:tcBorders>
              <w:top w:val="single" w:sz="18" w:space="0" w:color="auto"/>
              <w:bottom w:val="single" w:sz="18" w:space="0" w:color="auto"/>
            </w:tcBorders>
          </w:tcPr>
          <w:p w14:paraId="20BBE2B3" w14:textId="77777777" w:rsidR="00F62FD0" w:rsidRDefault="00000000">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Chloride</w:t>
            </w:r>
          </w:p>
        </w:tc>
      </w:tr>
      <w:tr w:rsidR="00F62FD0" w14:paraId="521A73C8" w14:textId="77777777" w:rsidTr="00F62FD0">
        <w:tc>
          <w:tcPr>
            <w:cnfStyle w:val="001000000000" w:firstRow="0" w:lastRow="0" w:firstColumn="1" w:lastColumn="0" w:oddVBand="0" w:evenVBand="0" w:oddHBand="0" w:evenHBand="0" w:firstRowFirstColumn="0" w:firstRowLastColumn="0" w:lastRowFirstColumn="0" w:lastRowLastColumn="0"/>
            <w:tcW w:w="1961" w:type="dxa"/>
            <w:tcBorders>
              <w:top w:val="single" w:sz="18" w:space="0" w:color="auto"/>
            </w:tcBorders>
          </w:tcPr>
          <w:p w14:paraId="626FD07A" w14:textId="77777777" w:rsidR="00F62FD0" w:rsidRDefault="00000000">
            <w:pPr>
              <w:spacing w:line="360" w:lineRule="auto"/>
              <w:jc w:val="both"/>
              <w:rPr>
                <w:rFonts w:ascii="Arial" w:hAnsi="Arial" w:cs="Arial"/>
                <w:sz w:val="20"/>
                <w:szCs w:val="20"/>
              </w:rPr>
            </w:pPr>
            <w:r>
              <w:rPr>
                <w:rFonts w:ascii="Arial" w:hAnsi="Arial" w:cs="Arial"/>
                <w:sz w:val="20"/>
                <w:szCs w:val="20"/>
              </w:rPr>
              <w:t>Control</w:t>
            </w:r>
          </w:p>
        </w:tc>
        <w:tc>
          <w:tcPr>
            <w:tcW w:w="1549" w:type="dxa"/>
            <w:tcBorders>
              <w:top w:val="single" w:sz="18" w:space="0" w:color="auto"/>
            </w:tcBorders>
          </w:tcPr>
          <w:p w14:paraId="769DB574"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18.11 ± 0.26</w:t>
            </w:r>
            <w:r>
              <w:rPr>
                <w:rFonts w:ascii="Arial" w:hAnsi="Arial" w:cs="Arial"/>
                <w:sz w:val="20"/>
                <w:szCs w:val="20"/>
                <w:vertAlign w:val="superscript"/>
              </w:rPr>
              <w:t>a</w:t>
            </w:r>
          </w:p>
        </w:tc>
        <w:tc>
          <w:tcPr>
            <w:tcW w:w="1440" w:type="dxa"/>
            <w:tcBorders>
              <w:top w:val="single" w:sz="18" w:space="0" w:color="auto"/>
            </w:tcBorders>
          </w:tcPr>
          <w:p w14:paraId="1B471AE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4.60 ± 0.25</w:t>
            </w:r>
            <w:r>
              <w:rPr>
                <w:rFonts w:ascii="Arial" w:hAnsi="Arial" w:cs="Arial"/>
                <w:sz w:val="20"/>
                <w:szCs w:val="20"/>
                <w:vertAlign w:val="superscript"/>
              </w:rPr>
              <w:t>ac</w:t>
            </w:r>
          </w:p>
        </w:tc>
        <w:tc>
          <w:tcPr>
            <w:tcW w:w="1620" w:type="dxa"/>
            <w:tcBorders>
              <w:top w:val="single" w:sz="18" w:space="0" w:color="auto"/>
            </w:tcBorders>
          </w:tcPr>
          <w:p w14:paraId="11DEE768"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169.00 ± 3.66</w:t>
            </w:r>
            <w:r>
              <w:rPr>
                <w:rFonts w:ascii="Arial" w:hAnsi="Arial" w:cs="Arial"/>
                <w:sz w:val="20"/>
                <w:szCs w:val="20"/>
                <w:vertAlign w:val="superscript"/>
              </w:rPr>
              <w:t>a</w:t>
            </w:r>
          </w:p>
        </w:tc>
        <w:tc>
          <w:tcPr>
            <w:tcW w:w="1440" w:type="dxa"/>
            <w:tcBorders>
              <w:top w:val="single" w:sz="18" w:space="0" w:color="auto"/>
            </w:tcBorders>
          </w:tcPr>
          <w:p w14:paraId="2F60471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5.33 ± 0.10</w:t>
            </w:r>
            <w:r>
              <w:rPr>
                <w:rFonts w:ascii="Arial" w:hAnsi="Arial" w:cs="Arial"/>
                <w:sz w:val="20"/>
                <w:szCs w:val="20"/>
                <w:vertAlign w:val="superscript"/>
              </w:rPr>
              <w:t>ab</w:t>
            </w:r>
          </w:p>
        </w:tc>
        <w:tc>
          <w:tcPr>
            <w:tcW w:w="1596" w:type="dxa"/>
            <w:tcBorders>
              <w:top w:val="single" w:sz="18" w:space="0" w:color="auto"/>
            </w:tcBorders>
          </w:tcPr>
          <w:p w14:paraId="1B93193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20.50 ± 2.58</w:t>
            </w:r>
            <w:r>
              <w:rPr>
                <w:rFonts w:ascii="Arial" w:hAnsi="Arial" w:cs="Arial"/>
                <w:sz w:val="20"/>
                <w:szCs w:val="20"/>
                <w:vertAlign w:val="superscript"/>
              </w:rPr>
              <w:t>a</w:t>
            </w:r>
          </w:p>
        </w:tc>
        <w:tc>
          <w:tcPr>
            <w:tcW w:w="1554" w:type="dxa"/>
            <w:tcBorders>
              <w:top w:val="single" w:sz="18" w:space="0" w:color="auto"/>
            </w:tcBorders>
          </w:tcPr>
          <w:p w14:paraId="753A213F"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57.89 ± 2.10</w:t>
            </w:r>
            <w:r>
              <w:rPr>
                <w:rFonts w:ascii="Arial" w:hAnsi="Arial" w:cs="Arial"/>
                <w:sz w:val="20"/>
                <w:szCs w:val="20"/>
                <w:vertAlign w:val="superscript"/>
              </w:rPr>
              <w:t>a</w:t>
            </w:r>
          </w:p>
        </w:tc>
      </w:tr>
      <w:tr w:rsidR="00F62FD0" w14:paraId="73360E30"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5BD8B046" w14:textId="77777777" w:rsidR="00F62FD0" w:rsidRDefault="00000000">
            <w:pPr>
              <w:spacing w:line="360" w:lineRule="auto"/>
              <w:jc w:val="both"/>
              <w:rPr>
                <w:rFonts w:ascii="Arial" w:hAnsi="Arial" w:cs="Arial"/>
                <w:sz w:val="20"/>
                <w:szCs w:val="20"/>
              </w:rPr>
            </w:pPr>
            <w:r>
              <w:rPr>
                <w:rFonts w:ascii="Arial" w:hAnsi="Arial" w:cs="Arial"/>
                <w:sz w:val="20"/>
                <w:szCs w:val="20"/>
              </w:rPr>
              <w:t>Negative control</w:t>
            </w:r>
          </w:p>
        </w:tc>
        <w:tc>
          <w:tcPr>
            <w:tcW w:w="1549" w:type="dxa"/>
          </w:tcPr>
          <w:p w14:paraId="22EF477F"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30.43 ± 1.98</w:t>
            </w:r>
            <w:r>
              <w:rPr>
                <w:rFonts w:ascii="Arial" w:hAnsi="Arial" w:cs="Arial"/>
                <w:sz w:val="20"/>
                <w:szCs w:val="20"/>
                <w:vertAlign w:val="superscript"/>
              </w:rPr>
              <w:t>b</w:t>
            </w:r>
          </w:p>
        </w:tc>
        <w:tc>
          <w:tcPr>
            <w:tcW w:w="1440" w:type="dxa"/>
          </w:tcPr>
          <w:p w14:paraId="50969359"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7.27 ± 1.01</w:t>
            </w:r>
            <w:r>
              <w:rPr>
                <w:rFonts w:ascii="Arial" w:hAnsi="Arial" w:cs="Arial"/>
                <w:sz w:val="20"/>
                <w:szCs w:val="20"/>
                <w:vertAlign w:val="superscript"/>
              </w:rPr>
              <w:t>b</w:t>
            </w:r>
          </w:p>
        </w:tc>
        <w:tc>
          <w:tcPr>
            <w:tcW w:w="1620" w:type="dxa"/>
          </w:tcPr>
          <w:p w14:paraId="3B9FB0B9"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187.20 ± 5.65</w:t>
            </w:r>
            <w:r>
              <w:rPr>
                <w:rFonts w:ascii="Arial" w:hAnsi="Arial" w:cs="Arial"/>
                <w:sz w:val="20"/>
                <w:szCs w:val="20"/>
                <w:vertAlign w:val="superscript"/>
              </w:rPr>
              <w:t>b</w:t>
            </w:r>
          </w:p>
        </w:tc>
        <w:tc>
          <w:tcPr>
            <w:tcW w:w="1440" w:type="dxa"/>
          </w:tcPr>
          <w:p w14:paraId="784B788E"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5.12 ± 0.18</w:t>
            </w:r>
            <w:r>
              <w:rPr>
                <w:rFonts w:ascii="Arial" w:hAnsi="Arial" w:cs="Arial"/>
                <w:sz w:val="20"/>
                <w:szCs w:val="20"/>
                <w:vertAlign w:val="superscript"/>
              </w:rPr>
              <w:t>ab</w:t>
            </w:r>
          </w:p>
        </w:tc>
        <w:tc>
          <w:tcPr>
            <w:tcW w:w="1596" w:type="dxa"/>
          </w:tcPr>
          <w:p w14:paraId="025CC724"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14.34 ± 1.17</w:t>
            </w:r>
            <w:r>
              <w:rPr>
                <w:rFonts w:ascii="Arial" w:hAnsi="Arial" w:cs="Arial"/>
                <w:sz w:val="20"/>
                <w:szCs w:val="20"/>
                <w:vertAlign w:val="superscript"/>
              </w:rPr>
              <w:t>b</w:t>
            </w:r>
          </w:p>
        </w:tc>
        <w:tc>
          <w:tcPr>
            <w:tcW w:w="1554" w:type="dxa"/>
          </w:tcPr>
          <w:p w14:paraId="3C5064C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81.77 ± 3.18</w:t>
            </w:r>
            <w:r>
              <w:rPr>
                <w:rFonts w:ascii="Arial" w:hAnsi="Arial" w:cs="Arial"/>
                <w:sz w:val="20"/>
                <w:szCs w:val="20"/>
                <w:vertAlign w:val="superscript"/>
              </w:rPr>
              <w:t>b</w:t>
            </w:r>
          </w:p>
        </w:tc>
      </w:tr>
      <w:tr w:rsidR="00F62FD0" w14:paraId="644B14CE"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7BCB429E" w14:textId="77777777" w:rsidR="00F62FD0" w:rsidRDefault="00000000">
            <w:pPr>
              <w:spacing w:line="360" w:lineRule="auto"/>
              <w:jc w:val="both"/>
              <w:rPr>
                <w:rFonts w:ascii="Arial" w:hAnsi="Arial" w:cs="Arial"/>
                <w:sz w:val="20"/>
                <w:szCs w:val="20"/>
              </w:rPr>
            </w:pPr>
            <w:proofErr w:type="spellStart"/>
            <w:r>
              <w:rPr>
                <w:rFonts w:ascii="Arial" w:hAnsi="Arial" w:cs="Arial"/>
                <w:sz w:val="20"/>
                <w:szCs w:val="20"/>
              </w:rPr>
              <w:t>Fansteride</w:t>
            </w:r>
            <w:proofErr w:type="spellEnd"/>
            <w:r>
              <w:rPr>
                <w:rFonts w:ascii="Arial" w:hAnsi="Arial" w:cs="Arial"/>
                <w:sz w:val="20"/>
                <w:szCs w:val="20"/>
              </w:rPr>
              <w:t xml:space="preserve"> (5 mg)</w:t>
            </w:r>
          </w:p>
        </w:tc>
        <w:tc>
          <w:tcPr>
            <w:tcW w:w="1549" w:type="dxa"/>
          </w:tcPr>
          <w:p w14:paraId="3FC798EA"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19.39 ± 1.04</w:t>
            </w:r>
            <w:r>
              <w:rPr>
                <w:rFonts w:ascii="Arial" w:hAnsi="Arial" w:cs="Arial"/>
                <w:sz w:val="20"/>
                <w:szCs w:val="20"/>
                <w:vertAlign w:val="superscript"/>
              </w:rPr>
              <w:t>a</w:t>
            </w:r>
          </w:p>
        </w:tc>
        <w:tc>
          <w:tcPr>
            <w:tcW w:w="1440" w:type="dxa"/>
          </w:tcPr>
          <w:p w14:paraId="67422A0A"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4.49 ± 0.14</w:t>
            </w:r>
            <w:r>
              <w:rPr>
                <w:rFonts w:ascii="Arial" w:hAnsi="Arial" w:cs="Arial"/>
                <w:sz w:val="20"/>
                <w:szCs w:val="20"/>
                <w:vertAlign w:val="superscript"/>
              </w:rPr>
              <w:t>a</w:t>
            </w:r>
          </w:p>
        </w:tc>
        <w:tc>
          <w:tcPr>
            <w:tcW w:w="1620" w:type="dxa"/>
          </w:tcPr>
          <w:p w14:paraId="7053A416"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165.40 ± 2.61</w:t>
            </w:r>
            <w:r>
              <w:rPr>
                <w:rFonts w:ascii="Arial" w:hAnsi="Arial" w:cs="Arial"/>
                <w:sz w:val="20"/>
                <w:szCs w:val="20"/>
                <w:vertAlign w:val="superscript"/>
              </w:rPr>
              <w:t>a</w:t>
            </w:r>
          </w:p>
        </w:tc>
        <w:tc>
          <w:tcPr>
            <w:tcW w:w="1440" w:type="dxa"/>
          </w:tcPr>
          <w:p w14:paraId="53CAD3C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5.09 ± 0.52</w:t>
            </w:r>
            <w:r>
              <w:rPr>
                <w:rFonts w:ascii="Arial" w:hAnsi="Arial" w:cs="Arial"/>
                <w:sz w:val="20"/>
                <w:szCs w:val="20"/>
                <w:vertAlign w:val="superscript"/>
              </w:rPr>
              <w:t>ab</w:t>
            </w:r>
          </w:p>
        </w:tc>
        <w:tc>
          <w:tcPr>
            <w:tcW w:w="1596" w:type="dxa"/>
          </w:tcPr>
          <w:p w14:paraId="272A856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17.66 ± 0.69</w:t>
            </w:r>
            <w:r>
              <w:rPr>
                <w:rFonts w:ascii="Arial" w:hAnsi="Arial" w:cs="Arial"/>
                <w:sz w:val="20"/>
                <w:szCs w:val="20"/>
                <w:vertAlign w:val="superscript"/>
              </w:rPr>
              <w:t>c</w:t>
            </w:r>
          </w:p>
        </w:tc>
        <w:tc>
          <w:tcPr>
            <w:tcW w:w="1554" w:type="dxa"/>
          </w:tcPr>
          <w:p w14:paraId="254BB427"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61.64 ± 1.32</w:t>
            </w:r>
            <w:r>
              <w:rPr>
                <w:rFonts w:ascii="Arial" w:hAnsi="Arial" w:cs="Arial"/>
                <w:sz w:val="20"/>
                <w:szCs w:val="20"/>
                <w:vertAlign w:val="superscript"/>
              </w:rPr>
              <w:t>a</w:t>
            </w:r>
          </w:p>
        </w:tc>
      </w:tr>
      <w:tr w:rsidR="00F62FD0" w14:paraId="3E053F1F"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2F6A1E78" w14:textId="77777777" w:rsidR="00F62FD0" w:rsidRDefault="00000000">
            <w:pPr>
              <w:spacing w:line="360" w:lineRule="auto"/>
              <w:jc w:val="both"/>
              <w:rPr>
                <w:rFonts w:ascii="Arial" w:hAnsi="Arial" w:cs="Arial"/>
                <w:sz w:val="20"/>
                <w:szCs w:val="20"/>
              </w:rPr>
            </w:pPr>
            <w:r>
              <w:rPr>
                <w:rFonts w:ascii="Arial" w:hAnsi="Arial" w:cs="Arial"/>
                <w:sz w:val="20"/>
                <w:szCs w:val="20"/>
              </w:rPr>
              <w:t>Leaves (250 mg)</w:t>
            </w:r>
          </w:p>
        </w:tc>
        <w:tc>
          <w:tcPr>
            <w:tcW w:w="1549" w:type="dxa"/>
          </w:tcPr>
          <w:p w14:paraId="151FB032"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25.21 ± 0.31</w:t>
            </w:r>
            <w:r>
              <w:rPr>
                <w:rFonts w:ascii="Arial" w:hAnsi="Arial" w:cs="Arial"/>
                <w:sz w:val="20"/>
                <w:szCs w:val="20"/>
                <w:vertAlign w:val="superscript"/>
              </w:rPr>
              <w:t>c</w:t>
            </w:r>
          </w:p>
        </w:tc>
        <w:tc>
          <w:tcPr>
            <w:tcW w:w="1440" w:type="dxa"/>
          </w:tcPr>
          <w:p w14:paraId="7BB73664"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5.10 ± 0.24</w:t>
            </w:r>
            <w:r>
              <w:rPr>
                <w:rFonts w:ascii="Arial" w:hAnsi="Arial" w:cs="Arial"/>
                <w:sz w:val="20"/>
                <w:szCs w:val="20"/>
                <w:vertAlign w:val="superscript"/>
              </w:rPr>
              <w:t>c</w:t>
            </w:r>
          </w:p>
        </w:tc>
        <w:tc>
          <w:tcPr>
            <w:tcW w:w="1620" w:type="dxa"/>
          </w:tcPr>
          <w:p w14:paraId="3EAE9E6D"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170.60 ± 3.68</w:t>
            </w:r>
            <w:r>
              <w:rPr>
                <w:rFonts w:ascii="Arial" w:hAnsi="Arial" w:cs="Arial"/>
                <w:sz w:val="20"/>
                <w:szCs w:val="20"/>
                <w:vertAlign w:val="superscript"/>
              </w:rPr>
              <w:t>a</w:t>
            </w:r>
          </w:p>
        </w:tc>
        <w:tc>
          <w:tcPr>
            <w:tcW w:w="1440" w:type="dxa"/>
          </w:tcPr>
          <w:p w14:paraId="4C009E6D"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5.06 ± 0.08</w:t>
            </w:r>
            <w:r>
              <w:rPr>
                <w:rFonts w:ascii="Arial" w:hAnsi="Arial" w:cs="Arial"/>
                <w:sz w:val="20"/>
                <w:szCs w:val="20"/>
                <w:vertAlign w:val="superscript"/>
              </w:rPr>
              <w:t>ab</w:t>
            </w:r>
          </w:p>
        </w:tc>
        <w:tc>
          <w:tcPr>
            <w:tcW w:w="1596" w:type="dxa"/>
          </w:tcPr>
          <w:p w14:paraId="4ECAABD7"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17.48 ± 0.14</w:t>
            </w:r>
            <w:r>
              <w:rPr>
                <w:rFonts w:ascii="Arial" w:hAnsi="Arial" w:cs="Arial"/>
                <w:sz w:val="20"/>
                <w:szCs w:val="20"/>
                <w:vertAlign w:val="superscript"/>
              </w:rPr>
              <w:t>c</w:t>
            </w:r>
          </w:p>
        </w:tc>
        <w:tc>
          <w:tcPr>
            <w:tcW w:w="1554" w:type="dxa"/>
          </w:tcPr>
          <w:p w14:paraId="502F34B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62.92 ± 9.39</w:t>
            </w:r>
            <w:r>
              <w:rPr>
                <w:rFonts w:ascii="Arial" w:hAnsi="Arial" w:cs="Arial"/>
                <w:sz w:val="20"/>
                <w:szCs w:val="20"/>
                <w:vertAlign w:val="superscript"/>
              </w:rPr>
              <w:t>ac</w:t>
            </w:r>
          </w:p>
        </w:tc>
      </w:tr>
      <w:tr w:rsidR="00F62FD0" w14:paraId="0D0CDA9D"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6A53536A" w14:textId="77777777" w:rsidR="00F62FD0" w:rsidRDefault="00000000">
            <w:pPr>
              <w:spacing w:line="360" w:lineRule="auto"/>
              <w:jc w:val="both"/>
              <w:rPr>
                <w:rFonts w:ascii="Arial" w:hAnsi="Arial" w:cs="Arial"/>
                <w:sz w:val="20"/>
                <w:szCs w:val="20"/>
              </w:rPr>
            </w:pPr>
            <w:r>
              <w:rPr>
                <w:rFonts w:ascii="Arial" w:hAnsi="Arial" w:cs="Arial"/>
                <w:sz w:val="20"/>
                <w:szCs w:val="20"/>
              </w:rPr>
              <w:t>Leaves (500 mg)</w:t>
            </w:r>
          </w:p>
        </w:tc>
        <w:tc>
          <w:tcPr>
            <w:tcW w:w="1549" w:type="dxa"/>
          </w:tcPr>
          <w:p w14:paraId="19B3EA78"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23.69 ± 0.37</w:t>
            </w:r>
            <w:r>
              <w:rPr>
                <w:rFonts w:ascii="Arial" w:hAnsi="Arial" w:cs="Arial"/>
                <w:sz w:val="20"/>
                <w:szCs w:val="20"/>
                <w:vertAlign w:val="superscript"/>
              </w:rPr>
              <w:t>cd</w:t>
            </w:r>
          </w:p>
        </w:tc>
        <w:tc>
          <w:tcPr>
            <w:tcW w:w="1440" w:type="dxa"/>
          </w:tcPr>
          <w:p w14:paraId="2636B2B8"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4.62 ± 0.30</w:t>
            </w:r>
            <w:r>
              <w:rPr>
                <w:rFonts w:ascii="Arial" w:hAnsi="Arial" w:cs="Arial"/>
                <w:sz w:val="20"/>
                <w:szCs w:val="20"/>
                <w:vertAlign w:val="superscript"/>
              </w:rPr>
              <w:t>ac</w:t>
            </w:r>
          </w:p>
        </w:tc>
        <w:tc>
          <w:tcPr>
            <w:tcW w:w="1620" w:type="dxa"/>
          </w:tcPr>
          <w:p w14:paraId="1B730E5E"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170.80 ± 2.48</w:t>
            </w:r>
            <w:r>
              <w:rPr>
                <w:rFonts w:ascii="Arial" w:hAnsi="Arial" w:cs="Arial"/>
                <w:sz w:val="20"/>
                <w:szCs w:val="20"/>
                <w:vertAlign w:val="superscript"/>
              </w:rPr>
              <w:t>a</w:t>
            </w:r>
          </w:p>
        </w:tc>
        <w:tc>
          <w:tcPr>
            <w:tcW w:w="1440" w:type="dxa"/>
          </w:tcPr>
          <w:p w14:paraId="27FAF79A"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szCs w:val="20"/>
              </w:rPr>
              <w:t>4.98 ± 0.15</w:t>
            </w:r>
            <w:r>
              <w:rPr>
                <w:rFonts w:ascii="Arial" w:hAnsi="Arial" w:cs="Arial"/>
                <w:sz w:val="20"/>
                <w:szCs w:val="20"/>
                <w:vertAlign w:val="superscript"/>
              </w:rPr>
              <w:t>ab</w:t>
            </w:r>
          </w:p>
        </w:tc>
        <w:tc>
          <w:tcPr>
            <w:tcW w:w="1596" w:type="dxa"/>
          </w:tcPr>
          <w:p w14:paraId="61F9A569"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17.58 ± 0.54</w:t>
            </w:r>
            <w:r>
              <w:rPr>
                <w:rFonts w:ascii="Arial" w:hAnsi="Arial" w:cs="Arial"/>
                <w:sz w:val="20"/>
                <w:szCs w:val="20"/>
                <w:vertAlign w:val="superscript"/>
              </w:rPr>
              <w:t>c</w:t>
            </w:r>
          </w:p>
        </w:tc>
        <w:tc>
          <w:tcPr>
            <w:tcW w:w="1554" w:type="dxa"/>
          </w:tcPr>
          <w:p w14:paraId="414B9E83"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67.15 ± 1.45</w:t>
            </w:r>
            <w:r>
              <w:rPr>
                <w:rFonts w:ascii="Arial" w:hAnsi="Arial" w:cs="Arial"/>
                <w:sz w:val="20"/>
                <w:szCs w:val="20"/>
                <w:vertAlign w:val="superscript"/>
              </w:rPr>
              <w:t>c</w:t>
            </w:r>
          </w:p>
        </w:tc>
      </w:tr>
      <w:tr w:rsidR="00F62FD0" w14:paraId="0991AB15"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412B7667" w14:textId="77777777" w:rsidR="00F62FD0" w:rsidRDefault="00000000">
            <w:pPr>
              <w:spacing w:line="360" w:lineRule="auto"/>
              <w:jc w:val="both"/>
              <w:rPr>
                <w:rFonts w:ascii="Arial" w:hAnsi="Arial" w:cs="Arial"/>
                <w:sz w:val="20"/>
                <w:szCs w:val="20"/>
              </w:rPr>
            </w:pPr>
            <w:r>
              <w:rPr>
                <w:rFonts w:ascii="Arial" w:hAnsi="Arial" w:cs="Arial"/>
                <w:sz w:val="20"/>
                <w:szCs w:val="20"/>
              </w:rPr>
              <w:t>Stem (250 mg)</w:t>
            </w:r>
          </w:p>
        </w:tc>
        <w:tc>
          <w:tcPr>
            <w:tcW w:w="1549" w:type="dxa"/>
          </w:tcPr>
          <w:p w14:paraId="3B6A1E3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21.82 ± 0.76</w:t>
            </w:r>
            <w:r>
              <w:rPr>
                <w:rFonts w:ascii="Arial" w:hAnsi="Arial" w:cs="Arial"/>
                <w:sz w:val="20"/>
                <w:szCs w:val="20"/>
                <w:vertAlign w:val="superscript"/>
              </w:rPr>
              <w:t>d</w:t>
            </w:r>
          </w:p>
        </w:tc>
        <w:tc>
          <w:tcPr>
            <w:tcW w:w="1440" w:type="dxa"/>
          </w:tcPr>
          <w:p w14:paraId="7115104B"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4.66 ± 0.17</w:t>
            </w:r>
            <w:r>
              <w:rPr>
                <w:rFonts w:ascii="Arial" w:hAnsi="Arial" w:cs="Arial"/>
                <w:sz w:val="20"/>
                <w:szCs w:val="20"/>
                <w:vertAlign w:val="superscript"/>
              </w:rPr>
              <w:t>ac</w:t>
            </w:r>
          </w:p>
        </w:tc>
        <w:tc>
          <w:tcPr>
            <w:tcW w:w="1620" w:type="dxa"/>
          </w:tcPr>
          <w:p w14:paraId="501F0CEC"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175.80 ± 4.36</w:t>
            </w:r>
            <w:r>
              <w:rPr>
                <w:rFonts w:ascii="Arial" w:hAnsi="Arial" w:cs="Arial"/>
                <w:sz w:val="20"/>
                <w:szCs w:val="20"/>
                <w:vertAlign w:val="superscript"/>
              </w:rPr>
              <w:t>a</w:t>
            </w:r>
          </w:p>
        </w:tc>
        <w:tc>
          <w:tcPr>
            <w:tcW w:w="1440" w:type="dxa"/>
          </w:tcPr>
          <w:p w14:paraId="523FA75B"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5.19 ± 0.04</w:t>
            </w:r>
            <w:r>
              <w:rPr>
                <w:rFonts w:ascii="Arial" w:hAnsi="Arial" w:cs="Arial"/>
                <w:sz w:val="20"/>
                <w:szCs w:val="20"/>
                <w:vertAlign w:val="superscript"/>
              </w:rPr>
              <w:t>ab</w:t>
            </w:r>
          </w:p>
        </w:tc>
        <w:tc>
          <w:tcPr>
            <w:tcW w:w="1596" w:type="dxa"/>
          </w:tcPr>
          <w:p w14:paraId="6F041DEE"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18.13 ± 0.31</w:t>
            </w:r>
            <w:r>
              <w:rPr>
                <w:rFonts w:ascii="Arial" w:hAnsi="Arial" w:cs="Arial"/>
                <w:sz w:val="20"/>
                <w:szCs w:val="20"/>
                <w:vertAlign w:val="superscript"/>
              </w:rPr>
              <w:t>ac</w:t>
            </w:r>
          </w:p>
        </w:tc>
        <w:tc>
          <w:tcPr>
            <w:tcW w:w="1554" w:type="dxa"/>
          </w:tcPr>
          <w:p w14:paraId="0BFD256E"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67.52 ± 2.07</w:t>
            </w:r>
            <w:r>
              <w:rPr>
                <w:rFonts w:ascii="Arial" w:hAnsi="Arial" w:cs="Arial"/>
                <w:sz w:val="20"/>
                <w:szCs w:val="20"/>
                <w:vertAlign w:val="superscript"/>
              </w:rPr>
              <w:t>c</w:t>
            </w:r>
          </w:p>
        </w:tc>
      </w:tr>
      <w:tr w:rsidR="00F62FD0" w14:paraId="164524AD"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345CE7FF" w14:textId="77777777" w:rsidR="00F62FD0" w:rsidRDefault="00000000">
            <w:pPr>
              <w:spacing w:line="360" w:lineRule="auto"/>
              <w:jc w:val="both"/>
              <w:rPr>
                <w:rFonts w:ascii="Arial" w:hAnsi="Arial" w:cs="Arial"/>
                <w:sz w:val="20"/>
                <w:szCs w:val="20"/>
              </w:rPr>
            </w:pPr>
            <w:r>
              <w:rPr>
                <w:rFonts w:ascii="Arial" w:hAnsi="Arial" w:cs="Arial"/>
                <w:sz w:val="20"/>
                <w:szCs w:val="20"/>
              </w:rPr>
              <w:t>Stem (500 mg)</w:t>
            </w:r>
          </w:p>
        </w:tc>
        <w:tc>
          <w:tcPr>
            <w:tcW w:w="1549" w:type="dxa"/>
          </w:tcPr>
          <w:p w14:paraId="6B3CF148"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23.77 ± 0.26</w:t>
            </w:r>
            <w:r>
              <w:rPr>
                <w:rFonts w:ascii="Arial" w:hAnsi="Arial" w:cs="Arial"/>
                <w:sz w:val="20"/>
                <w:szCs w:val="20"/>
                <w:vertAlign w:val="superscript"/>
              </w:rPr>
              <w:t>cd</w:t>
            </w:r>
          </w:p>
        </w:tc>
        <w:tc>
          <w:tcPr>
            <w:tcW w:w="1440" w:type="dxa"/>
          </w:tcPr>
          <w:p w14:paraId="1C015A95"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5.34 ± 0.28</w:t>
            </w:r>
            <w:r>
              <w:rPr>
                <w:rFonts w:ascii="Arial" w:hAnsi="Arial" w:cs="Arial"/>
                <w:sz w:val="20"/>
                <w:szCs w:val="20"/>
                <w:vertAlign w:val="superscript"/>
              </w:rPr>
              <w:t>c</w:t>
            </w:r>
          </w:p>
        </w:tc>
        <w:tc>
          <w:tcPr>
            <w:tcW w:w="1620" w:type="dxa"/>
          </w:tcPr>
          <w:p w14:paraId="7AFCD0AE"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171.90 ± 2.85</w:t>
            </w:r>
            <w:r>
              <w:rPr>
                <w:rFonts w:ascii="Arial" w:hAnsi="Arial" w:cs="Arial"/>
                <w:sz w:val="20"/>
                <w:szCs w:val="20"/>
                <w:vertAlign w:val="superscript"/>
              </w:rPr>
              <w:t>a</w:t>
            </w:r>
          </w:p>
        </w:tc>
        <w:tc>
          <w:tcPr>
            <w:tcW w:w="1440" w:type="dxa"/>
          </w:tcPr>
          <w:p w14:paraId="4FDE9926"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5.60 ± 0.35</w:t>
            </w:r>
            <w:r>
              <w:rPr>
                <w:rFonts w:ascii="Arial" w:hAnsi="Arial" w:cs="Arial"/>
                <w:sz w:val="20"/>
                <w:szCs w:val="20"/>
                <w:vertAlign w:val="superscript"/>
              </w:rPr>
              <w:t>ab</w:t>
            </w:r>
          </w:p>
        </w:tc>
        <w:tc>
          <w:tcPr>
            <w:tcW w:w="1596" w:type="dxa"/>
          </w:tcPr>
          <w:p w14:paraId="29A61D0D"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16.86 ± 0.36</w:t>
            </w:r>
            <w:r>
              <w:rPr>
                <w:rFonts w:ascii="Arial" w:hAnsi="Arial" w:cs="Arial"/>
                <w:sz w:val="20"/>
                <w:szCs w:val="20"/>
                <w:vertAlign w:val="superscript"/>
              </w:rPr>
              <w:t>d</w:t>
            </w:r>
          </w:p>
        </w:tc>
        <w:tc>
          <w:tcPr>
            <w:tcW w:w="1554" w:type="dxa"/>
          </w:tcPr>
          <w:p w14:paraId="64B531D2"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59.25 ± 2.95</w:t>
            </w:r>
            <w:r>
              <w:rPr>
                <w:rFonts w:ascii="Arial" w:hAnsi="Arial" w:cs="Arial"/>
                <w:sz w:val="20"/>
                <w:szCs w:val="20"/>
                <w:vertAlign w:val="superscript"/>
              </w:rPr>
              <w:t>a</w:t>
            </w:r>
          </w:p>
        </w:tc>
      </w:tr>
      <w:tr w:rsidR="00F62FD0" w14:paraId="6D198087"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759CBD16" w14:textId="77777777" w:rsidR="00F62FD0" w:rsidRDefault="00000000">
            <w:pPr>
              <w:spacing w:line="360" w:lineRule="auto"/>
              <w:jc w:val="both"/>
              <w:rPr>
                <w:rFonts w:ascii="Arial" w:hAnsi="Arial" w:cs="Arial"/>
                <w:sz w:val="20"/>
                <w:szCs w:val="20"/>
              </w:rPr>
            </w:pPr>
            <w:r>
              <w:rPr>
                <w:rFonts w:ascii="Arial" w:hAnsi="Arial" w:cs="Arial"/>
                <w:sz w:val="20"/>
                <w:szCs w:val="20"/>
              </w:rPr>
              <w:t>Pulp (250 mg)</w:t>
            </w:r>
          </w:p>
        </w:tc>
        <w:tc>
          <w:tcPr>
            <w:tcW w:w="1549" w:type="dxa"/>
          </w:tcPr>
          <w:p w14:paraId="190EF6B2"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25.52 ± 3.15</w:t>
            </w:r>
            <w:r>
              <w:rPr>
                <w:rFonts w:ascii="Arial" w:hAnsi="Arial" w:cs="Arial"/>
                <w:sz w:val="20"/>
                <w:szCs w:val="20"/>
                <w:vertAlign w:val="superscript"/>
              </w:rPr>
              <w:t>cd</w:t>
            </w:r>
          </w:p>
        </w:tc>
        <w:tc>
          <w:tcPr>
            <w:tcW w:w="1440" w:type="dxa"/>
          </w:tcPr>
          <w:p w14:paraId="6E1ACE52"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5.19 ± 0.24</w:t>
            </w:r>
            <w:r>
              <w:rPr>
                <w:rFonts w:ascii="Arial" w:hAnsi="Arial" w:cs="Arial"/>
                <w:sz w:val="20"/>
                <w:szCs w:val="20"/>
                <w:vertAlign w:val="superscript"/>
              </w:rPr>
              <w:t>c</w:t>
            </w:r>
          </w:p>
        </w:tc>
        <w:tc>
          <w:tcPr>
            <w:tcW w:w="1620" w:type="dxa"/>
          </w:tcPr>
          <w:p w14:paraId="156A20D2"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168.40 ± 1.86</w:t>
            </w:r>
            <w:r>
              <w:rPr>
                <w:rFonts w:ascii="Arial" w:hAnsi="Arial" w:cs="Arial"/>
                <w:sz w:val="20"/>
                <w:szCs w:val="20"/>
                <w:vertAlign w:val="superscript"/>
              </w:rPr>
              <w:t>a</w:t>
            </w:r>
          </w:p>
        </w:tc>
        <w:tc>
          <w:tcPr>
            <w:tcW w:w="1440" w:type="dxa"/>
          </w:tcPr>
          <w:p w14:paraId="2379C3AD"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4.93 ± 0.31</w:t>
            </w:r>
            <w:r>
              <w:rPr>
                <w:rFonts w:ascii="Arial" w:hAnsi="Arial" w:cs="Arial"/>
                <w:sz w:val="20"/>
                <w:szCs w:val="20"/>
                <w:vertAlign w:val="superscript"/>
              </w:rPr>
              <w:t>a</w:t>
            </w:r>
          </w:p>
        </w:tc>
        <w:tc>
          <w:tcPr>
            <w:tcW w:w="1596" w:type="dxa"/>
          </w:tcPr>
          <w:p w14:paraId="11547DD8"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16.94 ± 0.31</w:t>
            </w:r>
            <w:r>
              <w:rPr>
                <w:rFonts w:ascii="Arial" w:hAnsi="Arial" w:cs="Arial"/>
                <w:sz w:val="20"/>
                <w:szCs w:val="20"/>
                <w:vertAlign w:val="superscript"/>
              </w:rPr>
              <w:t>d</w:t>
            </w:r>
          </w:p>
        </w:tc>
        <w:tc>
          <w:tcPr>
            <w:tcW w:w="1554" w:type="dxa"/>
          </w:tcPr>
          <w:p w14:paraId="716C9192"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66.79 ± 0.58</w:t>
            </w:r>
            <w:r>
              <w:rPr>
                <w:rFonts w:ascii="Arial" w:hAnsi="Arial" w:cs="Arial"/>
                <w:sz w:val="20"/>
                <w:szCs w:val="20"/>
                <w:vertAlign w:val="superscript"/>
              </w:rPr>
              <w:t>c</w:t>
            </w:r>
          </w:p>
        </w:tc>
      </w:tr>
      <w:tr w:rsidR="00F62FD0" w14:paraId="215C04B8"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0664A9DE" w14:textId="77777777" w:rsidR="00F62FD0" w:rsidRDefault="00000000">
            <w:pPr>
              <w:spacing w:line="360" w:lineRule="auto"/>
              <w:jc w:val="both"/>
              <w:rPr>
                <w:rFonts w:ascii="Arial" w:hAnsi="Arial" w:cs="Arial"/>
                <w:sz w:val="20"/>
                <w:szCs w:val="20"/>
              </w:rPr>
            </w:pPr>
            <w:r>
              <w:rPr>
                <w:rFonts w:ascii="Arial" w:hAnsi="Arial" w:cs="Arial"/>
                <w:sz w:val="20"/>
                <w:szCs w:val="20"/>
              </w:rPr>
              <w:t>Pulp (500 mg)</w:t>
            </w:r>
          </w:p>
        </w:tc>
        <w:tc>
          <w:tcPr>
            <w:tcW w:w="1549" w:type="dxa"/>
          </w:tcPr>
          <w:p w14:paraId="5ED54FA3"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22.47 ± 0.45</w:t>
            </w:r>
            <w:r>
              <w:rPr>
                <w:rFonts w:ascii="Arial" w:hAnsi="Arial" w:cs="Arial"/>
                <w:sz w:val="20"/>
                <w:szCs w:val="20"/>
                <w:vertAlign w:val="superscript"/>
              </w:rPr>
              <w:t>d</w:t>
            </w:r>
          </w:p>
        </w:tc>
        <w:tc>
          <w:tcPr>
            <w:tcW w:w="1440" w:type="dxa"/>
          </w:tcPr>
          <w:p w14:paraId="385CFD94"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5.04 ± 0.17</w:t>
            </w:r>
            <w:r>
              <w:rPr>
                <w:rFonts w:ascii="Arial" w:hAnsi="Arial" w:cs="Arial"/>
                <w:sz w:val="20"/>
                <w:szCs w:val="20"/>
                <w:vertAlign w:val="superscript"/>
              </w:rPr>
              <w:t>ac</w:t>
            </w:r>
          </w:p>
        </w:tc>
        <w:tc>
          <w:tcPr>
            <w:tcW w:w="1620" w:type="dxa"/>
          </w:tcPr>
          <w:p w14:paraId="6278D6AD"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171.50 ± 3.71</w:t>
            </w:r>
            <w:r>
              <w:rPr>
                <w:rFonts w:ascii="Arial" w:hAnsi="Arial" w:cs="Arial"/>
                <w:sz w:val="20"/>
                <w:szCs w:val="20"/>
                <w:vertAlign w:val="superscript"/>
              </w:rPr>
              <w:t>a</w:t>
            </w:r>
          </w:p>
        </w:tc>
        <w:tc>
          <w:tcPr>
            <w:tcW w:w="1440" w:type="dxa"/>
          </w:tcPr>
          <w:p w14:paraId="50D0A8BA"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5.25 ± 0.12</w:t>
            </w:r>
            <w:r>
              <w:rPr>
                <w:rFonts w:ascii="Arial" w:hAnsi="Arial" w:cs="Arial"/>
                <w:sz w:val="20"/>
                <w:szCs w:val="20"/>
                <w:vertAlign w:val="superscript"/>
              </w:rPr>
              <w:t>ab</w:t>
            </w:r>
          </w:p>
        </w:tc>
        <w:tc>
          <w:tcPr>
            <w:tcW w:w="1596" w:type="dxa"/>
          </w:tcPr>
          <w:p w14:paraId="6FE5C767"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17.74 ± 0.17</w:t>
            </w:r>
            <w:r>
              <w:rPr>
                <w:rFonts w:ascii="Arial" w:hAnsi="Arial" w:cs="Arial"/>
                <w:sz w:val="20"/>
                <w:szCs w:val="20"/>
                <w:vertAlign w:val="superscript"/>
              </w:rPr>
              <w:t>c</w:t>
            </w:r>
          </w:p>
        </w:tc>
        <w:tc>
          <w:tcPr>
            <w:tcW w:w="1554" w:type="dxa"/>
          </w:tcPr>
          <w:p w14:paraId="5D1FA078"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68.20 ± 7.30</w:t>
            </w:r>
            <w:r>
              <w:rPr>
                <w:rFonts w:ascii="Arial" w:hAnsi="Arial" w:cs="Arial"/>
                <w:sz w:val="20"/>
                <w:szCs w:val="20"/>
                <w:vertAlign w:val="superscript"/>
              </w:rPr>
              <w:t>ac</w:t>
            </w:r>
          </w:p>
        </w:tc>
      </w:tr>
      <w:tr w:rsidR="00F62FD0" w14:paraId="20297FF5" w14:textId="77777777" w:rsidTr="00F62FD0">
        <w:tc>
          <w:tcPr>
            <w:cnfStyle w:val="001000000000" w:firstRow="0" w:lastRow="0" w:firstColumn="1" w:lastColumn="0" w:oddVBand="0" w:evenVBand="0" w:oddHBand="0" w:evenHBand="0" w:firstRowFirstColumn="0" w:firstRowLastColumn="0" w:lastRowFirstColumn="0" w:lastRowLastColumn="0"/>
            <w:tcW w:w="1961" w:type="dxa"/>
          </w:tcPr>
          <w:p w14:paraId="622DDA9D" w14:textId="77777777" w:rsidR="00F62FD0" w:rsidRDefault="00000000">
            <w:pPr>
              <w:spacing w:line="360" w:lineRule="auto"/>
              <w:jc w:val="both"/>
              <w:rPr>
                <w:rFonts w:ascii="Arial" w:hAnsi="Arial" w:cs="Arial"/>
                <w:sz w:val="20"/>
                <w:szCs w:val="20"/>
              </w:rPr>
            </w:pPr>
            <w:r>
              <w:rPr>
                <w:rFonts w:ascii="Arial" w:hAnsi="Arial" w:cs="Arial"/>
                <w:sz w:val="20"/>
                <w:szCs w:val="20"/>
              </w:rPr>
              <w:t>Ext. Combination (250 mg)</w:t>
            </w:r>
          </w:p>
        </w:tc>
        <w:tc>
          <w:tcPr>
            <w:tcW w:w="1549" w:type="dxa"/>
          </w:tcPr>
          <w:p w14:paraId="142895B9"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21.17 ± 0.38</w:t>
            </w:r>
            <w:r>
              <w:rPr>
                <w:rFonts w:ascii="Arial" w:hAnsi="Arial" w:cs="Arial"/>
                <w:sz w:val="20"/>
                <w:szCs w:val="20"/>
                <w:vertAlign w:val="superscript"/>
              </w:rPr>
              <w:t>d</w:t>
            </w:r>
          </w:p>
        </w:tc>
        <w:tc>
          <w:tcPr>
            <w:tcW w:w="1440" w:type="dxa"/>
          </w:tcPr>
          <w:p w14:paraId="7404A82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4.72 ± 0.21</w:t>
            </w:r>
            <w:r>
              <w:rPr>
                <w:rFonts w:ascii="Arial" w:hAnsi="Arial" w:cs="Arial"/>
                <w:sz w:val="20"/>
                <w:szCs w:val="20"/>
                <w:vertAlign w:val="superscript"/>
              </w:rPr>
              <w:t>ac</w:t>
            </w:r>
          </w:p>
        </w:tc>
        <w:tc>
          <w:tcPr>
            <w:tcW w:w="1620" w:type="dxa"/>
          </w:tcPr>
          <w:p w14:paraId="71B2F697"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172.60 ± 4.24</w:t>
            </w:r>
            <w:r>
              <w:rPr>
                <w:rFonts w:ascii="Arial" w:hAnsi="Arial" w:cs="Arial"/>
                <w:sz w:val="20"/>
                <w:szCs w:val="20"/>
                <w:vertAlign w:val="superscript"/>
              </w:rPr>
              <w:t>a</w:t>
            </w:r>
          </w:p>
        </w:tc>
        <w:tc>
          <w:tcPr>
            <w:tcW w:w="1440" w:type="dxa"/>
          </w:tcPr>
          <w:p w14:paraId="79AB01C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5.20 ± 0.23</w:t>
            </w:r>
            <w:r>
              <w:rPr>
                <w:rFonts w:ascii="Arial" w:hAnsi="Arial" w:cs="Arial"/>
                <w:sz w:val="20"/>
                <w:szCs w:val="20"/>
                <w:vertAlign w:val="superscript"/>
              </w:rPr>
              <w:t>ab</w:t>
            </w:r>
          </w:p>
        </w:tc>
        <w:tc>
          <w:tcPr>
            <w:tcW w:w="1596" w:type="dxa"/>
          </w:tcPr>
          <w:p w14:paraId="306F2F8B"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18.90 ± 0.14</w:t>
            </w:r>
            <w:r>
              <w:rPr>
                <w:rFonts w:ascii="Arial" w:hAnsi="Arial" w:cs="Arial"/>
                <w:sz w:val="20"/>
                <w:szCs w:val="20"/>
                <w:vertAlign w:val="superscript"/>
              </w:rPr>
              <w:t>ac</w:t>
            </w:r>
          </w:p>
        </w:tc>
        <w:tc>
          <w:tcPr>
            <w:tcW w:w="1554" w:type="dxa"/>
          </w:tcPr>
          <w:p w14:paraId="347FA6A9"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61.74 ± 2.30</w:t>
            </w:r>
            <w:r>
              <w:rPr>
                <w:rFonts w:ascii="Arial" w:hAnsi="Arial" w:cs="Arial"/>
                <w:sz w:val="20"/>
                <w:szCs w:val="20"/>
                <w:vertAlign w:val="superscript"/>
              </w:rPr>
              <w:t>ac</w:t>
            </w:r>
          </w:p>
        </w:tc>
      </w:tr>
      <w:tr w:rsidR="00F62FD0" w14:paraId="497549CA" w14:textId="77777777" w:rsidTr="00F62FD0">
        <w:tc>
          <w:tcPr>
            <w:cnfStyle w:val="001000000000" w:firstRow="0" w:lastRow="0" w:firstColumn="1" w:lastColumn="0" w:oddVBand="0" w:evenVBand="0" w:oddHBand="0" w:evenHBand="0" w:firstRowFirstColumn="0" w:firstRowLastColumn="0" w:lastRowFirstColumn="0" w:lastRowLastColumn="0"/>
            <w:tcW w:w="1961" w:type="dxa"/>
            <w:tcBorders>
              <w:bottom w:val="single" w:sz="18" w:space="0" w:color="auto"/>
            </w:tcBorders>
          </w:tcPr>
          <w:p w14:paraId="731E9652" w14:textId="77777777" w:rsidR="00F62FD0" w:rsidRDefault="00000000">
            <w:pPr>
              <w:spacing w:line="360" w:lineRule="auto"/>
              <w:jc w:val="both"/>
              <w:rPr>
                <w:rFonts w:ascii="Arial" w:hAnsi="Arial" w:cs="Arial"/>
                <w:sz w:val="20"/>
                <w:szCs w:val="20"/>
              </w:rPr>
            </w:pPr>
            <w:r>
              <w:rPr>
                <w:rFonts w:ascii="Arial" w:hAnsi="Arial" w:cs="Arial"/>
                <w:sz w:val="20"/>
                <w:szCs w:val="20"/>
              </w:rPr>
              <w:t>Ext. Combination (500 mg)</w:t>
            </w:r>
          </w:p>
        </w:tc>
        <w:tc>
          <w:tcPr>
            <w:tcW w:w="1549" w:type="dxa"/>
            <w:tcBorders>
              <w:bottom w:val="single" w:sz="18" w:space="0" w:color="auto"/>
            </w:tcBorders>
          </w:tcPr>
          <w:p w14:paraId="7779AA18"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25.05 ± 3.94</w:t>
            </w:r>
            <w:r>
              <w:rPr>
                <w:rFonts w:ascii="Arial" w:hAnsi="Arial" w:cs="Arial"/>
                <w:sz w:val="20"/>
                <w:szCs w:val="20"/>
                <w:vertAlign w:val="superscript"/>
              </w:rPr>
              <w:t>cd</w:t>
            </w:r>
          </w:p>
        </w:tc>
        <w:tc>
          <w:tcPr>
            <w:tcW w:w="1440" w:type="dxa"/>
            <w:tcBorders>
              <w:bottom w:val="single" w:sz="18" w:space="0" w:color="auto"/>
            </w:tcBorders>
          </w:tcPr>
          <w:p w14:paraId="117F408D"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 ± 0.62</w:t>
            </w:r>
            <w:r>
              <w:rPr>
                <w:rFonts w:ascii="Arial" w:hAnsi="Arial" w:cs="Arial"/>
                <w:sz w:val="20"/>
                <w:szCs w:val="20"/>
                <w:vertAlign w:val="superscript"/>
              </w:rPr>
              <w:t>d</w:t>
            </w:r>
          </w:p>
        </w:tc>
        <w:tc>
          <w:tcPr>
            <w:tcW w:w="1620" w:type="dxa"/>
            <w:tcBorders>
              <w:bottom w:val="single" w:sz="18" w:space="0" w:color="auto"/>
            </w:tcBorders>
          </w:tcPr>
          <w:p w14:paraId="59DC0F0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171.10 ± 2.66</w:t>
            </w:r>
            <w:r>
              <w:rPr>
                <w:rFonts w:ascii="Arial" w:hAnsi="Arial" w:cs="Arial"/>
                <w:sz w:val="20"/>
                <w:szCs w:val="20"/>
                <w:vertAlign w:val="superscript"/>
              </w:rPr>
              <w:t>a</w:t>
            </w:r>
          </w:p>
        </w:tc>
        <w:tc>
          <w:tcPr>
            <w:tcW w:w="1440" w:type="dxa"/>
            <w:tcBorders>
              <w:bottom w:val="single" w:sz="18" w:space="0" w:color="auto"/>
            </w:tcBorders>
          </w:tcPr>
          <w:p w14:paraId="6A387287"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5.80 ± 0.60</w:t>
            </w:r>
            <w:r>
              <w:rPr>
                <w:rFonts w:ascii="Arial" w:hAnsi="Arial" w:cs="Arial"/>
                <w:sz w:val="20"/>
                <w:szCs w:val="20"/>
                <w:vertAlign w:val="superscript"/>
              </w:rPr>
              <w:t>b</w:t>
            </w:r>
          </w:p>
        </w:tc>
        <w:tc>
          <w:tcPr>
            <w:tcW w:w="1596" w:type="dxa"/>
            <w:tcBorders>
              <w:bottom w:val="single" w:sz="18" w:space="0" w:color="auto"/>
            </w:tcBorders>
          </w:tcPr>
          <w:p w14:paraId="128E84BB"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20.71 ± 0.17</w:t>
            </w:r>
            <w:r>
              <w:rPr>
                <w:rFonts w:ascii="Arial" w:hAnsi="Arial" w:cs="Arial"/>
                <w:sz w:val="20"/>
                <w:szCs w:val="20"/>
                <w:vertAlign w:val="superscript"/>
              </w:rPr>
              <w:t>a</w:t>
            </w:r>
          </w:p>
        </w:tc>
        <w:tc>
          <w:tcPr>
            <w:tcW w:w="1554" w:type="dxa"/>
            <w:tcBorders>
              <w:bottom w:val="single" w:sz="18" w:space="0" w:color="auto"/>
            </w:tcBorders>
          </w:tcPr>
          <w:p w14:paraId="0086ABB1" w14:textId="77777777" w:rsidR="00F62FD0" w:rsidRDefault="0000000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59.45 ± 0.89</w:t>
            </w:r>
            <w:r>
              <w:rPr>
                <w:rFonts w:ascii="Arial" w:hAnsi="Arial" w:cs="Arial"/>
                <w:sz w:val="20"/>
                <w:szCs w:val="20"/>
                <w:vertAlign w:val="superscript"/>
              </w:rPr>
              <w:t>a</w:t>
            </w:r>
          </w:p>
        </w:tc>
      </w:tr>
    </w:tbl>
    <w:p w14:paraId="339CB5D5" w14:textId="77777777" w:rsidR="00F62FD0" w:rsidRDefault="00000000">
      <w:pPr>
        <w:spacing w:line="240" w:lineRule="auto"/>
        <w:jc w:val="both"/>
        <w:rPr>
          <w:rFonts w:ascii="Arial" w:hAnsi="Arial" w:cs="Arial"/>
          <w:sz w:val="20"/>
          <w:szCs w:val="20"/>
        </w:rPr>
      </w:pPr>
      <w:r>
        <w:rPr>
          <w:rFonts w:ascii="Arial" w:hAnsi="Arial" w:cs="Arial"/>
          <w:bCs/>
          <w:sz w:val="20"/>
          <w:szCs w:val="20"/>
        </w:rPr>
        <w:t>Values are mean</w:t>
      </w:r>
      <w:r>
        <w:rPr>
          <w:rFonts w:ascii="Arial" w:hAnsi="Arial" w:cs="Arial"/>
          <w:b/>
          <w:sz w:val="20"/>
          <w:szCs w:val="20"/>
        </w:rPr>
        <w:t xml:space="preserve"> </w:t>
      </w:r>
      <w:r>
        <w:rPr>
          <w:rFonts w:ascii="Arial" w:hAnsi="Arial" w:cs="Arial"/>
          <w:sz w:val="20"/>
          <w:szCs w:val="20"/>
        </w:rPr>
        <w:t xml:space="preserve">± standard deviation (n = 3). Values with different superscript letters per column are statistically significant (p&lt;0.05). </w:t>
      </w:r>
    </w:p>
    <w:p w14:paraId="1DF87D74" w14:textId="77777777" w:rsidR="00F62FD0" w:rsidRDefault="00000000">
      <w:pPr>
        <w:jc w:val="both"/>
        <w:rPr>
          <w:rFonts w:ascii="Arial" w:hAnsi="Arial" w:cs="Arial"/>
          <w:sz w:val="20"/>
          <w:szCs w:val="20"/>
        </w:rPr>
      </w:pPr>
      <w:r>
        <w:rPr>
          <w:rFonts w:ascii="Arial" w:hAnsi="Arial" w:cs="Arial"/>
          <w:sz w:val="20"/>
          <w:szCs w:val="20"/>
        </w:rPr>
        <w:t>.</w:t>
      </w:r>
    </w:p>
    <w:p w14:paraId="60F19325" w14:textId="77777777" w:rsidR="00F62FD0" w:rsidRDefault="00F62FD0">
      <w:pPr>
        <w:jc w:val="both"/>
        <w:rPr>
          <w:rFonts w:ascii="Arial" w:hAnsi="Arial" w:cs="Arial"/>
          <w:sz w:val="20"/>
          <w:szCs w:val="20"/>
        </w:rPr>
      </w:pPr>
    </w:p>
    <w:p w14:paraId="2EA6E1A3" w14:textId="77777777" w:rsidR="00F62FD0" w:rsidRDefault="00F62FD0">
      <w:pPr>
        <w:jc w:val="both"/>
        <w:rPr>
          <w:rFonts w:ascii="Arial" w:hAnsi="Arial" w:cs="Arial"/>
          <w:sz w:val="20"/>
          <w:szCs w:val="20"/>
        </w:rPr>
      </w:pPr>
    </w:p>
    <w:p w14:paraId="532AF2F8" w14:textId="77777777" w:rsidR="00F62FD0" w:rsidRDefault="00F62FD0">
      <w:pPr>
        <w:jc w:val="both"/>
        <w:rPr>
          <w:rFonts w:ascii="Arial" w:hAnsi="Arial" w:cs="Arial"/>
          <w:sz w:val="20"/>
          <w:szCs w:val="20"/>
        </w:rPr>
      </w:pPr>
    </w:p>
    <w:p w14:paraId="31B7FC3F" w14:textId="77777777" w:rsidR="00F62FD0" w:rsidRDefault="00000000">
      <w:pPr>
        <w:jc w:val="both"/>
        <w:rPr>
          <w:rFonts w:ascii="Arial" w:hAnsi="Arial" w:cs="Arial"/>
          <w:b/>
          <w:bCs/>
          <w:sz w:val="20"/>
          <w:szCs w:val="20"/>
        </w:rPr>
      </w:pPr>
      <w:r>
        <w:rPr>
          <w:rFonts w:ascii="Arial" w:hAnsi="Arial" w:cs="Arial"/>
          <w:b/>
          <w:bCs/>
          <w:sz w:val="20"/>
          <w:szCs w:val="20"/>
        </w:rPr>
        <w:lastRenderedPageBreak/>
        <w:t>3.3 Discussion</w:t>
      </w:r>
    </w:p>
    <w:p w14:paraId="7A54C2CB"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Herbal medicine serves as a natural alternative therapy widely </w:t>
      </w:r>
      <w:proofErr w:type="spellStart"/>
      <w:r>
        <w:rPr>
          <w:rFonts w:ascii="Arial" w:hAnsi="Arial" w:cs="Arial"/>
          <w:sz w:val="20"/>
          <w:szCs w:val="20"/>
        </w:rPr>
        <w:t>utilised</w:t>
      </w:r>
      <w:proofErr w:type="spellEnd"/>
      <w:r>
        <w:rPr>
          <w:rFonts w:ascii="Arial" w:hAnsi="Arial" w:cs="Arial"/>
          <w:sz w:val="20"/>
          <w:szCs w:val="20"/>
        </w:rPr>
        <w:t xml:space="preserve"> in primary healthcare systems, particularly within developing nations. In Africa, it is estimated that approximately 70–80% of patients rely on traditional medical practices for treatment. Globally, nearly 25% of modern pharmaceuticals have originated from plant sources. Plants produce a diverse array of metabolites, some of which possess therapeutic benefits, while others may exhibit toxic effects. Similarly, pharmaceutical agents can be beneficial at specific doses yet harmful at higher concentrations. Therefore, it is essential to conduct comprehensive safety evaluations of herbal preparations purported to have medicinal value to establish their safety profiles for both human and animal use (</w:t>
      </w:r>
      <w:proofErr w:type="spellStart"/>
      <w:r>
        <w:rPr>
          <w:rFonts w:ascii="Arial" w:hAnsi="Arial" w:cs="Arial"/>
          <w:sz w:val="20"/>
          <w:szCs w:val="20"/>
        </w:rPr>
        <w:t>Alelign</w:t>
      </w:r>
      <w:proofErr w:type="spellEnd"/>
      <w:r>
        <w:rPr>
          <w:rFonts w:ascii="Arial" w:hAnsi="Arial" w:cs="Arial"/>
          <w:sz w:val="20"/>
          <w:szCs w:val="20"/>
        </w:rPr>
        <w:t xml:space="preserve"> et al</w:t>
      </w:r>
      <w:r>
        <w:rPr>
          <w:rFonts w:ascii="Arial" w:hAnsi="Arial" w:cs="Arial"/>
          <w:i/>
          <w:iCs/>
          <w:sz w:val="20"/>
          <w:szCs w:val="20"/>
        </w:rPr>
        <w:t>.</w:t>
      </w:r>
      <w:r>
        <w:rPr>
          <w:rFonts w:ascii="Arial" w:hAnsi="Arial" w:cs="Arial"/>
          <w:sz w:val="20"/>
          <w:szCs w:val="20"/>
        </w:rPr>
        <w:t>, 2021).</w:t>
      </w:r>
    </w:p>
    <w:p w14:paraId="20C1D1A5"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This study was designed to compare the in vivo sub-acute toxicity of </w:t>
      </w:r>
      <w:r>
        <w:rPr>
          <w:rFonts w:ascii="Arial" w:hAnsi="Arial" w:cs="Arial"/>
          <w:sz w:val="20"/>
          <w:szCs w:val="20"/>
          <w:lang w:val="en-GB"/>
        </w:rPr>
        <w:t xml:space="preserve">Wistar albino rats with benign prostatic hyperplasia </w:t>
      </w:r>
      <w:r>
        <w:rPr>
          <w:rFonts w:ascii="Arial" w:hAnsi="Arial" w:cs="Arial"/>
          <w:sz w:val="20"/>
          <w:szCs w:val="20"/>
        </w:rPr>
        <w:t xml:space="preserve">treated with ethanol extracts of </w:t>
      </w:r>
      <w:r>
        <w:rPr>
          <w:rFonts w:ascii="Arial" w:hAnsi="Arial" w:cs="Arial"/>
          <w:i/>
          <w:iCs/>
          <w:sz w:val="20"/>
          <w:szCs w:val="20"/>
        </w:rPr>
        <w:t>A. heterophyllus</w:t>
      </w:r>
      <w:r>
        <w:rPr>
          <w:rFonts w:ascii="Arial" w:hAnsi="Arial" w:cs="Arial"/>
          <w:sz w:val="20"/>
          <w:szCs w:val="20"/>
        </w:rPr>
        <w:t xml:space="preserve"> stem bark, leaf, and pulp. Sub-acute toxicity evaluation is essential for determining the biochemical and target organ effects of test agents or extracts, as such alterations are often undetectable in acute toxicity studies. Conducting sub-acute toxicity assessments in rodents yields critical insights into the potential adverse effects associated with the administration of compounds or plant extracts. The resulting toxicological data are instrumental in establishing suitable dosage levels for subsequent long-term investigations (</w:t>
      </w:r>
      <w:proofErr w:type="spellStart"/>
      <w:r>
        <w:rPr>
          <w:rFonts w:ascii="Arial" w:hAnsi="Arial" w:cs="Arial"/>
          <w:sz w:val="20"/>
          <w:szCs w:val="20"/>
        </w:rPr>
        <w:t>Izunya</w:t>
      </w:r>
      <w:proofErr w:type="spellEnd"/>
      <w:r>
        <w:rPr>
          <w:rFonts w:ascii="Arial" w:hAnsi="Arial" w:cs="Arial"/>
          <w:sz w:val="20"/>
          <w:szCs w:val="20"/>
        </w:rPr>
        <w:t xml:space="preserve"> et al., 2024).</w:t>
      </w:r>
    </w:p>
    <w:p w14:paraId="46946FFF" w14:textId="77777777" w:rsidR="00F62FD0" w:rsidRDefault="00000000">
      <w:pPr>
        <w:spacing w:line="360" w:lineRule="auto"/>
        <w:jc w:val="both"/>
        <w:rPr>
          <w:rFonts w:ascii="Arial" w:hAnsi="Arial" w:cs="Arial"/>
          <w:sz w:val="20"/>
          <w:szCs w:val="20"/>
        </w:rPr>
      </w:pPr>
      <w:r>
        <w:rPr>
          <w:rFonts w:ascii="Arial" w:hAnsi="Arial" w:cs="Arial"/>
          <w:sz w:val="20"/>
          <w:szCs w:val="20"/>
        </w:rPr>
        <w:t>The liver is a crucial organ in animals, receiving approximately 25% of the total cardiac output, thereby making it the organ with the highest blood supply. As the primary site for drug metabolism, it is continually exposed to various xenobiotics entering the body. Given the liver’s diverse physiological roles, no single assay can comprehensively assess its overall function. The liver function biomarkers examined in this study serve as valuable diagnostic indicators for identifying hepatic impairment. Damage to hepatocytes leads to the release of intracellular constituents into the bloodstream, signifying cellular injury (</w:t>
      </w:r>
      <w:proofErr w:type="spellStart"/>
      <w:r>
        <w:rPr>
          <w:rFonts w:ascii="Arial" w:hAnsi="Arial" w:cs="Arial"/>
          <w:sz w:val="20"/>
          <w:szCs w:val="20"/>
        </w:rPr>
        <w:t>Ofeniforo</w:t>
      </w:r>
      <w:proofErr w:type="spellEnd"/>
      <w:r>
        <w:rPr>
          <w:rFonts w:ascii="Arial" w:hAnsi="Arial" w:cs="Arial"/>
          <w:sz w:val="20"/>
          <w:szCs w:val="20"/>
        </w:rPr>
        <w:t xml:space="preserve"> et al</w:t>
      </w:r>
      <w:r>
        <w:rPr>
          <w:rFonts w:ascii="Arial" w:hAnsi="Arial" w:cs="Arial"/>
          <w:i/>
          <w:iCs/>
          <w:sz w:val="20"/>
          <w:szCs w:val="20"/>
        </w:rPr>
        <w:t>.</w:t>
      </w:r>
      <w:r>
        <w:rPr>
          <w:rFonts w:ascii="Arial" w:hAnsi="Arial" w:cs="Arial"/>
          <w:sz w:val="20"/>
          <w:szCs w:val="20"/>
        </w:rPr>
        <w:t xml:space="preserve">, 2025). Both alanine aminotransferase (ALT) and aspartate aminotransferase (AST) function to </w:t>
      </w:r>
      <w:proofErr w:type="spellStart"/>
      <w:r>
        <w:rPr>
          <w:rFonts w:ascii="Arial" w:hAnsi="Arial" w:cs="Arial"/>
          <w:sz w:val="20"/>
          <w:szCs w:val="20"/>
        </w:rPr>
        <w:t>catalyse</w:t>
      </w:r>
      <w:proofErr w:type="spellEnd"/>
      <w:r>
        <w:rPr>
          <w:rFonts w:ascii="Arial" w:hAnsi="Arial" w:cs="Arial"/>
          <w:sz w:val="20"/>
          <w:szCs w:val="20"/>
        </w:rPr>
        <w:t xml:space="preserve"> the transfer of an amino group from an amino acid to α-ketoglutarate, yielding glutamate and another corresponding product. Specifically, ALT acts on alanine to produce pyruvate, while AST acts on aspartate to generate oxaloacetate. ALT is primarily involved in the glucose–alanine cycle, whereas AST participates in the malate–aspartate shuttle within cellular metabolism. Alkaline phosphatase (ALP), on the other hand, </w:t>
      </w:r>
      <w:proofErr w:type="spellStart"/>
      <w:r>
        <w:rPr>
          <w:rFonts w:ascii="Arial" w:hAnsi="Arial" w:cs="Arial"/>
          <w:sz w:val="20"/>
          <w:szCs w:val="20"/>
        </w:rPr>
        <w:t>catalyses</w:t>
      </w:r>
      <w:proofErr w:type="spellEnd"/>
      <w:r>
        <w:rPr>
          <w:rFonts w:ascii="Arial" w:hAnsi="Arial" w:cs="Arial"/>
          <w:sz w:val="20"/>
          <w:szCs w:val="20"/>
        </w:rPr>
        <w:t xml:space="preserve"> the removal of phosphate groups from various proteins and nucleotides and serves as a key biomarker of hepatobiliary dysfunction. Consequently, variations in serum levels of ALT and AST are widely </w:t>
      </w:r>
      <w:proofErr w:type="spellStart"/>
      <w:r>
        <w:rPr>
          <w:rFonts w:ascii="Arial" w:hAnsi="Arial" w:cs="Arial"/>
          <w:sz w:val="20"/>
          <w:szCs w:val="20"/>
        </w:rPr>
        <w:t>recognised</w:t>
      </w:r>
      <w:proofErr w:type="spellEnd"/>
      <w:r>
        <w:rPr>
          <w:rFonts w:ascii="Arial" w:hAnsi="Arial" w:cs="Arial"/>
          <w:sz w:val="20"/>
          <w:szCs w:val="20"/>
        </w:rPr>
        <w:t xml:space="preserve"> as standard indicators of hepatocellular injury and hepatotoxicity (Yassin et al., 2021).</w:t>
      </w:r>
    </w:p>
    <w:p w14:paraId="4799674C" w14:textId="77777777" w:rsidR="00F62FD0" w:rsidRDefault="00000000">
      <w:pPr>
        <w:spacing w:line="360" w:lineRule="auto"/>
        <w:jc w:val="both"/>
        <w:rPr>
          <w:rFonts w:ascii="Arial" w:hAnsi="Arial" w:cs="Arial"/>
          <w:sz w:val="20"/>
          <w:szCs w:val="20"/>
        </w:rPr>
      </w:pPr>
      <w:r>
        <w:rPr>
          <w:rFonts w:ascii="Arial" w:hAnsi="Arial" w:cs="Arial"/>
          <w:sz w:val="20"/>
          <w:szCs w:val="20"/>
        </w:rPr>
        <w:t>In this study, the BPH-induced group (negative control) showed significant increases in serum ALT (22.67 ± 0.62 U/L) and AST (23.97 ± 2.28 U/L) compared to the control (15.14 ± 0.30 U/L and 13.15 ± 1.05 U/L, respectively). This increase suggests liver damage, most likely attributable to oxidative stress (</w:t>
      </w:r>
      <w:proofErr w:type="spellStart"/>
      <w:r>
        <w:rPr>
          <w:rFonts w:ascii="Arial" w:hAnsi="Arial" w:cs="Arial"/>
          <w:sz w:val="20"/>
          <w:szCs w:val="20"/>
        </w:rPr>
        <w:t>Allameh</w:t>
      </w:r>
      <w:proofErr w:type="spellEnd"/>
      <w:r>
        <w:rPr>
          <w:rFonts w:ascii="Arial" w:hAnsi="Arial" w:cs="Arial"/>
          <w:sz w:val="20"/>
          <w:szCs w:val="20"/>
        </w:rPr>
        <w:t xml:space="preserve"> et al., 2023), induced by androgen exposure. Alkaline phosphatase (ALP) activity increased from 138.60 ± 6.97 U/L in the normal control to 179.50 ± 6.96 U/L in the BPH-induced group, indicating hepatic dysfunction. Similarly, elevated lactate dehydrogenase (LDH) activity in the BPH group signified cellular damage and enhanced membrane permeability. Administration of </w:t>
      </w:r>
      <w:r>
        <w:rPr>
          <w:rFonts w:ascii="Arial" w:hAnsi="Arial" w:cs="Arial"/>
          <w:i/>
          <w:iCs/>
          <w:sz w:val="20"/>
          <w:szCs w:val="20"/>
        </w:rPr>
        <w:t>A. heterophyllus</w:t>
      </w:r>
      <w:r>
        <w:rPr>
          <w:rFonts w:ascii="Arial" w:hAnsi="Arial" w:cs="Arial"/>
          <w:sz w:val="20"/>
          <w:szCs w:val="20"/>
        </w:rPr>
        <w:t xml:space="preserve"> extracts significantly mitigated these alterations in a dose-dependent fashion. Among the treatments, the </w:t>
      </w:r>
      <w:r>
        <w:rPr>
          <w:rFonts w:ascii="Arial" w:hAnsi="Arial" w:cs="Arial"/>
          <w:sz w:val="20"/>
          <w:szCs w:val="20"/>
        </w:rPr>
        <w:lastRenderedPageBreak/>
        <w:t xml:space="preserve">stembark extract at 500 mg/kg exhibited the strongest protective effect, </w:t>
      </w:r>
      <w:proofErr w:type="spellStart"/>
      <w:r>
        <w:rPr>
          <w:rFonts w:ascii="Arial" w:hAnsi="Arial" w:cs="Arial"/>
          <w:sz w:val="20"/>
          <w:szCs w:val="20"/>
        </w:rPr>
        <w:t>normalising</w:t>
      </w:r>
      <w:proofErr w:type="spellEnd"/>
      <w:r>
        <w:rPr>
          <w:rFonts w:ascii="Arial" w:hAnsi="Arial" w:cs="Arial"/>
          <w:sz w:val="20"/>
          <w:szCs w:val="20"/>
        </w:rPr>
        <w:t xml:space="preserve"> ALT, AST, and ALP levels to 15.16 ± 0.22 U/L, 12.88 ± 0.15 U/L, and 129.30 ± 0.94 U/L, respectively. The leaf and pulp </w:t>
      </w:r>
      <w:proofErr w:type="gramStart"/>
      <w:r>
        <w:rPr>
          <w:rFonts w:ascii="Arial" w:hAnsi="Arial" w:cs="Arial"/>
          <w:sz w:val="20"/>
          <w:szCs w:val="20"/>
        </w:rPr>
        <w:t>extracts</w:t>
      </w:r>
      <w:proofErr w:type="gramEnd"/>
      <w:r>
        <w:rPr>
          <w:rFonts w:ascii="Arial" w:hAnsi="Arial" w:cs="Arial"/>
          <w:sz w:val="20"/>
          <w:szCs w:val="20"/>
        </w:rPr>
        <w:t xml:space="preserve"> likewise produced significant enzyme reductions comparable to those observed with finasteride, indicating notable hepatoprotective potential. The </w:t>
      </w:r>
      <w:proofErr w:type="spellStart"/>
      <w:r>
        <w:rPr>
          <w:rFonts w:ascii="Arial" w:hAnsi="Arial" w:cs="Arial"/>
          <w:sz w:val="20"/>
          <w:szCs w:val="20"/>
        </w:rPr>
        <w:t>normalisation</w:t>
      </w:r>
      <w:proofErr w:type="spellEnd"/>
      <w:r>
        <w:rPr>
          <w:rFonts w:ascii="Arial" w:hAnsi="Arial" w:cs="Arial"/>
          <w:sz w:val="20"/>
          <w:szCs w:val="20"/>
        </w:rPr>
        <w:t xml:space="preserve"> of hepatic enzymes by the extracts could be attributed to their high content of bioactive compounds such as flavonoids and phenols, which exhibit antioxidant and free radical-scavenging properties (Agu </w:t>
      </w:r>
      <w:r>
        <w:rPr>
          <w:rFonts w:ascii="Arial" w:hAnsi="Arial" w:cs="Arial"/>
          <w:i/>
          <w:iCs/>
          <w:sz w:val="20"/>
          <w:szCs w:val="20"/>
        </w:rPr>
        <w:t>et al.</w:t>
      </w:r>
      <w:r>
        <w:rPr>
          <w:rFonts w:ascii="Arial" w:hAnsi="Arial" w:cs="Arial"/>
          <w:sz w:val="20"/>
          <w:szCs w:val="20"/>
        </w:rPr>
        <w:t xml:space="preserve">, 2024). Therefore, the observed reduction in enzyme activity across treated groups indicates that </w:t>
      </w:r>
      <w:r>
        <w:rPr>
          <w:rFonts w:ascii="Arial" w:hAnsi="Arial" w:cs="Arial"/>
          <w:i/>
          <w:iCs/>
          <w:sz w:val="20"/>
          <w:szCs w:val="20"/>
        </w:rPr>
        <w:t>A. heterophyllus</w:t>
      </w:r>
      <w:r>
        <w:rPr>
          <w:rFonts w:ascii="Arial" w:hAnsi="Arial" w:cs="Arial"/>
          <w:sz w:val="20"/>
          <w:szCs w:val="20"/>
        </w:rPr>
        <w:t xml:space="preserve"> extracts do not exert hepatotoxic effects but rather promote liver protection against BPH-induced oxidative damage.</w:t>
      </w:r>
    </w:p>
    <w:p w14:paraId="631CAA65"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Albumin, the predominant soluble protein in plasma or serum, constitutes approximately 50–60% of total serum proteins. It is chiefly </w:t>
      </w:r>
      <w:proofErr w:type="spellStart"/>
      <w:r>
        <w:rPr>
          <w:rFonts w:ascii="Arial" w:hAnsi="Arial" w:cs="Arial"/>
          <w:sz w:val="20"/>
          <w:szCs w:val="20"/>
        </w:rPr>
        <w:t>synthesised</w:t>
      </w:r>
      <w:proofErr w:type="spellEnd"/>
      <w:r>
        <w:rPr>
          <w:rFonts w:ascii="Arial" w:hAnsi="Arial" w:cs="Arial"/>
          <w:sz w:val="20"/>
          <w:szCs w:val="20"/>
        </w:rPr>
        <w:t xml:space="preserve"> in the liver and catabolized in the liver, muscles, and kidneys. As a multifunctional protein, serum albumin plays vital roles in numerous physiological processes. Bilirubin, though often viewed as a waste product, also exhibits beneficial properties such as antioxidant, anti-inflammatory, and cell-</w:t>
      </w:r>
      <w:proofErr w:type="spellStart"/>
      <w:r>
        <w:rPr>
          <w:rFonts w:ascii="Arial" w:hAnsi="Arial" w:cs="Arial"/>
          <w:sz w:val="20"/>
          <w:szCs w:val="20"/>
        </w:rPr>
        <w:t>signalling</w:t>
      </w:r>
      <w:proofErr w:type="spellEnd"/>
      <w:r>
        <w:rPr>
          <w:rFonts w:ascii="Arial" w:hAnsi="Arial" w:cs="Arial"/>
          <w:sz w:val="20"/>
          <w:szCs w:val="20"/>
        </w:rPr>
        <w:t xml:space="preserve"> activities (Rafaqat et al</w:t>
      </w:r>
      <w:r>
        <w:rPr>
          <w:rFonts w:ascii="Arial" w:hAnsi="Arial" w:cs="Arial"/>
          <w:i/>
          <w:iCs/>
          <w:sz w:val="20"/>
          <w:szCs w:val="20"/>
        </w:rPr>
        <w:t>.,</w:t>
      </w:r>
      <w:r>
        <w:rPr>
          <w:rFonts w:ascii="Arial" w:hAnsi="Arial" w:cs="Arial"/>
          <w:sz w:val="20"/>
          <w:szCs w:val="20"/>
        </w:rPr>
        <w:t xml:space="preserve"> 2023). Although bilirubin is not a direct indicator of the liver’s synthetic function, its conjugation and excretion are closely linked to hepatic metabolic and excretory processes. As the end product of heme catabolism, bilirubin circulates in the bloodstream bound to albumin, undergoes conjugation in the liver, and is subsequently excreted in bile. Elevations in serum bilirubin are classified as either direct (conjugated) or indirect (unconjugated) hyperbilirubinemia. Direct hyperbilirubinemia commonly results from impaired hepatic excretion, as observed in conditions such as cholestasis, Dubin–Johnson syndrome, or Rotor syndrome, while indirect hyperbilirubinemia generally arises from hepatocellular injury or excessive hemolysis (Kalas et al., 2021). Moreover, hepatic disorders often lead to a reduction in functional hepatocytes, consequently elevating bilirubin concentrations (Thakur et al., 2024).</w:t>
      </w:r>
    </w:p>
    <w:p w14:paraId="5DC1D216"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In the present study, the negative control group displayed significant increases in total (24.40 ± 0.93 µmol/L) and direct (17.21 ± 0.60 µmol/L) bilirubin levels compared to the normal control (16.06 ± 0.54 µmol/L and 11.76 ± 0.33 µmol/L, respectively), indicating hepatic impairment associated with BPH-induced oxidative stress and inflammation. Conversely, the concentrations of total protein and albumin were markedly decreased in the negative control (5.29 ± 0.85 g/dL and 3.76 ± 0.54 g/dL) relative to the normal control (10.00 ± 0.37 g/dL and 5.81 ± 0.35 g/dL), reflecting compromised protein synthesis. Administration of </w:t>
      </w:r>
      <w:r>
        <w:rPr>
          <w:rFonts w:ascii="Arial" w:hAnsi="Arial" w:cs="Arial"/>
          <w:i/>
          <w:iCs/>
          <w:sz w:val="20"/>
          <w:szCs w:val="20"/>
        </w:rPr>
        <w:t>A. heterophyllus</w:t>
      </w:r>
      <w:r>
        <w:rPr>
          <w:rFonts w:ascii="Arial" w:hAnsi="Arial" w:cs="Arial"/>
          <w:sz w:val="20"/>
          <w:szCs w:val="20"/>
        </w:rPr>
        <w:t xml:space="preserve"> extracts ameliorated these alterations, with the stembark extract (500 mg/kg) exhibiting the most pronounced restorative effect (total protein: 9.39 ± 0.16 g/dL; albumin: 5.19 ± 0.05 g/dL; total bilirubin: 15.31 ± 9.32 µmol/L). The leaf and pulp </w:t>
      </w:r>
      <w:proofErr w:type="gramStart"/>
      <w:r>
        <w:rPr>
          <w:rFonts w:ascii="Arial" w:hAnsi="Arial" w:cs="Arial"/>
          <w:sz w:val="20"/>
          <w:szCs w:val="20"/>
        </w:rPr>
        <w:t>extracts</w:t>
      </w:r>
      <w:proofErr w:type="gramEnd"/>
      <w:r>
        <w:rPr>
          <w:rFonts w:ascii="Arial" w:hAnsi="Arial" w:cs="Arial"/>
          <w:sz w:val="20"/>
          <w:szCs w:val="20"/>
        </w:rPr>
        <w:t xml:space="preserve"> also improved these biochemical parameters, albeit to a lesser extent.</w:t>
      </w:r>
    </w:p>
    <w:p w14:paraId="6FA57752"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These results support the findings by Okolo et al. (2023). In their study, they found that </w:t>
      </w:r>
      <w:r>
        <w:rPr>
          <w:rFonts w:ascii="Arial" w:hAnsi="Arial" w:cs="Arial"/>
          <w:i/>
          <w:iCs/>
          <w:sz w:val="20"/>
          <w:szCs w:val="20"/>
        </w:rPr>
        <w:t>A. heterophyllus</w:t>
      </w:r>
      <w:r>
        <w:rPr>
          <w:rFonts w:ascii="Arial" w:hAnsi="Arial" w:cs="Arial"/>
          <w:sz w:val="20"/>
          <w:szCs w:val="20"/>
        </w:rPr>
        <w:t xml:space="preserve"> has ameliorative effects on hepatotoxicity seen in testosterone propionate-induced prostatitis in male Wistar albino rats. This effect was evident from the assessment of liver marker enzymes and histopathological examinations, which revealed that co-administration of aqueous leaf and seed extracts of </w:t>
      </w:r>
      <w:r>
        <w:rPr>
          <w:rFonts w:ascii="Arial" w:hAnsi="Arial" w:cs="Arial"/>
          <w:i/>
          <w:iCs/>
          <w:sz w:val="20"/>
          <w:szCs w:val="20"/>
        </w:rPr>
        <w:t>A. heterophyllus</w:t>
      </w:r>
      <w:r>
        <w:rPr>
          <w:rFonts w:ascii="Arial" w:hAnsi="Arial" w:cs="Arial"/>
          <w:sz w:val="20"/>
          <w:szCs w:val="20"/>
        </w:rPr>
        <w:t xml:space="preserve"> at doses of 100, 200, and 300 mg/kg resulted in a significant reduction in </w:t>
      </w:r>
      <w:r>
        <w:rPr>
          <w:rFonts w:ascii="Arial" w:hAnsi="Arial" w:cs="Arial"/>
          <w:sz w:val="20"/>
          <w:szCs w:val="20"/>
        </w:rPr>
        <w:lastRenderedPageBreak/>
        <w:t>hepatic enzyme levels relative to the negative control group. Such findings demonstrate the hepatoprotective efficacy of these plant extracts.</w:t>
      </w:r>
    </w:p>
    <w:p w14:paraId="39DF831E" w14:textId="77777777" w:rsidR="00F62FD0" w:rsidRDefault="00000000">
      <w:pPr>
        <w:spacing w:line="360" w:lineRule="auto"/>
        <w:jc w:val="both"/>
        <w:rPr>
          <w:rFonts w:ascii="Arial" w:hAnsi="Arial" w:cs="Arial"/>
          <w:sz w:val="20"/>
          <w:szCs w:val="20"/>
        </w:rPr>
      </w:pPr>
      <w:r>
        <w:rPr>
          <w:rFonts w:ascii="Arial" w:hAnsi="Arial" w:cs="Arial"/>
          <w:sz w:val="20"/>
          <w:szCs w:val="20"/>
        </w:rPr>
        <w:t>Renal function indicators, including urea and creatinine, together with serum electrolytes such as sodium, potassium, bicarbonate, and chloride, serve as vital parameters for evaluating nephrotoxicity and electrolyte homeostasis. Serum urea and creatinine, in particular, are key biomarkers of renal dysfunction and should therefore be routinely monitored to assess kidney health (</w:t>
      </w:r>
      <w:proofErr w:type="spellStart"/>
      <w:r>
        <w:rPr>
          <w:rFonts w:ascii="Arial" w:hAnsi="Arial" w:cs="Arial"/>
          <w:sz w:val="20"/>
          <w:szCs w:val="20"/>
        </w:rPr>
        <w:t>Akpotaire</w:t>
      </w:r>
      <w:proofErr w:type="spellEnd"/>
      <w:r>
        <w:rPr>
          <w:rFonts w:ascii="Arial" w:hAnsi="Arial" w:cs="Arial"/>
          <w:sz w:val="20"/>
          <w:szCs w:val="20"/>
        </w:rPr>
        <w:t xml:space="preserve"> &amp; Seriki, 2023). In the present study, the negative control group showed marked elevations in urea (30.43 ± 1.98 mg/dL) and creatinine (7.27 ± 1.01 mg/dL) relative to the normal control (18.11 ± 0.26 mg/dL and 4.60 ± 0.25 mg/dL, respectively), indicating renal stress associated with BPH induction. Administration of </w:t>
      </w:r>
      <w:r>
        <w:rPr>
          <w:rFonts w:ascii="Arial" w:hAnsi="Arial" w:cs="Arial"/>
          <w:i/>
          <w:iCs/>
          <w:sz w:val="20"/>
          <w:szCs w:val="20"/>
        </w:rPr>
        <w:t>A. heterophyllus</w:t>
      </w:r>
      <w:r>
        <w:rPr>
          <w:rFonts w:ascii="Arial" w:hAnsi="Arial" w:cs="Arial"/>
          <w:sz w:val="20"/>
          <w:szCs w:val="20"/>
        </w:rPr>
        <w:t xml:space="preserve"> extracts significantly mitigated these increases, with the stembark extract (500 mg/kg) lowering urea and creatinine levels to 23.77 ± 0.26 mg/dL and 5.34 ± 0.28 mg/dL, respectively. Similarly, the combination extract (250 mg/kg) produced further reductions (21.17 ± 0.38 mg/dL and 4.72 ± 0.21 mg/dL), comparable to those observed with finasteride treatment (19.39 ± 1.04 mg/dL and 4.49 ± 0.14 mg/dL). These findings indicate that the extracts promote renal clearance and protect against nephron damage.</w:t>
      </w:r>
    </w:p>
    <w:p w14:paraId="4EB5F954"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Electrolyte values remained within normal physiological ranges across all treatment groups, demonstrating that </w:t>
      </w:r>
      <w:r>
        <w:rPr>
          <w:rFonts w:ascii="Arial" w:hAnsi="Arial" w:cs="Arial"/>
          <w:i/>
          <w:iCs/>
          <w:sz w:val="20"/>
          <w:szCs w:val="20"/>
        </w:rPr>
        <w:t>A. heterophyllus</w:t>
      </w:r>
      <w:r>
        <w:rPr>
          <w:rFonts w:ascii="Arial" w:hAnsi="Arial" w:cs="Arial"/>
          <w:sz w:val="20"/>
          <w:szCs w:val="20"/>
        </w:rPr>
        <w:t xml:space="preserve"> administration did not impair electrolyte or acid–base balance. Sodium concentrations ranged from 165.40 to 175.80 mmol/L, potassium from 4.93 to 5.80 mmol/L, bicarbonate from 16.86 to 20.71 mmol/L, and chloride from 57.89 to 68.20 mmol/L. The stability of these parameters suggests preserved renal tubular integrity and effective ionic regulation. This agrees with previous studies by Ogundipe </w:t>
      </w:r>
      <w:r>
        <w:rPr>
          <w:rFonts w:ascii="Arial" w:hAnsi="Arial" w:cs="Arial"/>
          <w:i/>
          <w:iCs/>
          <w:sz w:val="20"/>
          <w:szCs w:val="20"/>
        </w:rPr>
        <w:t>et al.</w:t>
      </w:r>
      <w:r>
        <w:rPr>
          <w:rFonts w:ascii="Arial" w:hAnsi="Arial" w:cs="Arial"/>
          <w:sz w:val="20"/>
          <w:szCs w:val="20"/>
        </w:rPr>
        <w:t xml:space="preserve"> (2025), who reported that aqueous extract of </w:t>
      </w:r>
      <w:r>
        <w:rPr>
          <w:rFonts w:ascii="Arial" w:hAnsi="Arial" w:cs="Arial"/>
          <w:i/>
          <w:iCs/>
          <w:sz w:val="20"/>
          <w:szCs w:val="20"/>
        </w:rPr>
        <w:t>A. heterophyllus</w:t>
      </w:r>
      <w:r>
        <w:rPr>
          <w:rFonts w:ascii="Arial" w:hAnsi="Arial" w:cs="Arial"/>
          <w:sz w:val="20"/>
          <w:szCs w:val="20"/>
        </w:rPr>
        <w:t xml:space="preserve"> mitigates the nephrotoxic effect of gentamicin by modulating markers of renal function, oxidative stress and inflammation. Similarly, reported that ethyl acetate fractions of </w:t>
      </w:r>
      <w:r>
        <w:rPr>
          <w:rFonts w:ascii="Arial" w:hAnsi="Arial" w:cs="Arial"/>
          <w:i/>
          <w:iCs/>
          <w:sz w:val="20"/>
          <w:szCs w:val="20"/>
        </w:rPr>
        <w:t xml:space="preserve">A. </w:t>
      </w:r>
      <w:proofErr w:type="spellStart"/>
      <w:r>
        <w:rPr>
          <w:rFonts w:ascii="Arial" w:hAnsi="Arial" w:cs="Arial"/>
          <w:i/>
          <w:iCs/>
          <w:sz w:val="20"/>
          <w:szCs w:val="20"/>
        </w:rPr>
        <w:t>altilis</w:t>
      </w:r>
      <w:proofErr w:type="spellEnd"/>
      <w:r>
        <w:rPr>
          <w:rFonts w:ascii="Arial" w:hAnsi="Arial" w:cs="Arial"/>
          <w:sz w:val="20"/>
          <w:szCs w:val="20"/>
        </w:rPr>
        <w:t xml:space="preserve"> and </w:t>
      </w:r>
      <w:r>
        <w:rPr>
          <w:rFonts w:ascii="Arial" w:hAnsi="Arial" w:cs="Arial"/>
          <w:i/>
          <w:iCs/>
          <w:sz w:val="20"/>
          <w:szCs w:val="20"/>
        </w:rPr>
        <w:t>A. heterophyllus</w:t>
      </w:r>
      <w:r>
        <w:rPr>
          <w:rFonts w:ascii="Arial" w:hAnsi="Arial" w:cs="Arial"/>
          <w:sz w:val="20"/>
          <w:szCs w:val="20"/>
        </w:rPr>
        <w:t xml:space="preserve"> can protect the kidney from damage. The nephroprotective capacity reported in their study was supported by </w:t>
      </w:r>
      <w:proofErr w:type="spellStart"/>
      <w:r>
        <w:rPr>
          <w:rFonts w:ascii="Arial" w:hAnsi="Arial" w:cs="Arial"/>
          <w:sz w:val="20"/>
          <w:szCs w:val="20"/>
        </w:rPr>
        <w:t>normalised</w:t>
      </w:r>
      <w:proofErr w:type="spellEnd"/>
      <w:r>
        <w:rPr>
          <w:rFonts w:ascii="Arial" w:hAnsi="Arial" w:cs="Arial"/>
          <w:sz w:val="20"/>
          <w:szCs w:val="20"/>
        </w:rPr>
        <w:t xml:space="preserve"> kidney index values.</w:t>
      </w:r>
    </w:p>
    <w:p w14:paraId="362AE6C7" w14:textId="77777777" w:rsidR="00F62FD0" w:rsidRDefault="00000000">
      <w:pPr>
        <w:jc w:val="both"/>
        <w:rPr>
          <w:rFonts w:ascii="Arial" w:hAnsi="Arial" w:cs="Arial"/>
          <w:b/>
          <w:bCs/>
          <w:sz w:val="20"/>
          <w:szCs w:val="20"/>
        </w:rPr>
      </w:pPr>
      <w:r>
        <w:rPr>
          <w:rFonts w:ascii="Arial" w:hAnsi="Arial" w:cs="Arial"/>
          <w:b/>
          <w:bCs/>
          <w:sz w:val="20"/>
          <w:szCs w:val="20"/>
        </w:rPr>
        <w:t>Conclusion</w:t>
      </w:r>
    </w:p>
    <w:p w14:paraId="26E44346" w14:textId="77777777" w:rsidR="00F62FD0" w:rsidRDefault="00000000">
      <w:pPr>
        <w:spacing w:line="360" w:lineRule="auto"/>
        <w:jc w:val="both"/>
        <w:rPr>
          <w:rFonts w:ascii="Arial" w:hAnsi="Arial" w:cs="Arial"/>
          <w:sz w:val="20"/>
          <w:szCs w:val="20"/>
        </w:rPr>
      </w:pPr>
      <w:r>
        <w:rPr>
          <w:rFonts w:ascii="Arial" w:hAnsi="Arial" w:cs="Arial"/>
          <w:sz w:val="20"/>
          <w:szCs w:val="20"/>
        </w:rPr>
        <w:t xml:space="preserve">This study revealed that ethanol extracts of </w:t>
      </w:r>
      <w:r>
        <w:rPr>
          <w:rFonts w:ascii="Arial" w:hAnsi="Arial" w:cs="Arial"/>
          <w:i/>
          <w:iCs/>
          <w:sz w:val="20"/>
          <w:szCs w:val="20"/>
        </w:rPr>
        <w:t>A. heterophyllus</w:t>
      </w:r>
      <w:r>
        <w:rPr>
          <w:rFonts w:ascii="Arial" w:hAnsi="Arial" w:cs="Arial"/>
          <w:sz w:val="20"/>
          <w:szCs w:val="20"/>
        </w:rPr>
        <w:t xml:space="preserve"> stem bark, leaf, and pulp possess significant protective and restorative effects on hepatic and renal functions in BPH-induced Wistar albino rats. The administration of these extracts effectively </w:t>
      </w:r>
      <w:proofErr w:type="spellStart"/>
      <w:r>
        <w:rPr>
          <w:rFonts w:ascii="Arial" w:hAnsi="Arial" w:cs="Arial"/>
          <w:sz w:val="20"/>
          <w:szCs w:val="20"/>
        </w:rPr>
        <w:t>normalised</w:t>
      </w:r>
      <w:proofErr w:type="spellEnd"/>
      <w:r>
        <w:rPr>
          <w:rFonts w:ascii="Arial" w:hAnsi="Arial" w:cs="Arial"/>
          <w:sz w:val="20"/>
          <w:szCs w:val="20"/>
        </w:rPr>
        <w:t xml:space="preserve"> liver enzyme activities (ALT, AST, ALP, and LDH), serum protein and bilirubin concentrations, as well as renal biomarkers (urea and creatinine), indicating enhanced organ function and systemic homeostasis. Among the various fractions evaluated, the stembark extract exhibited the greatest efficacy, with ALT (15.16 ± 0.22 U/L) and AST (12.88 ± 0.15 U/L) levels closely resembling those of the control group, demonstrating pronounced hepatoprotective activity. The findings reiterate the safety and therapeutic potential of </w:t>
      </w:r>
      <w:r>
        <w:rPr>
          <w:rFonts w:ascii="Arial" w:hAnsi="Arial" w:cs="Arial"/>
          <w:i/>
          <w:iCs/>
          <w:sz w:val="20"/>
          <w:szCs w:val="20"/>
        </w:rPr>
        <w:t>A. heterophyllus</w:t>
      </w:r>
      <w:r>
        <w:rPr>
          <w:rFonts w:ascii="Arial" w:hAnsi="Arial" w:cs="Arial"/>
          <w:sz w:val="20"/>
          <w:szCs w:val="20"/>
        </w:rPr>
        <w:t xml:space="preserve"> extracts, particularly the stembark, as a promising natural intervention for BPH-associated hepatic and renal impairments. Notwithstanding, further investigations are warranted to isolate the active phytoconstituents and elucidate their specific mechanisms of action.</w:t>
      </w:r>
    </w:p>
    <w:p w14:paraId="1DF5AC40" w14:textId="77777777" w:rsidR="00F62FD0" w:rsidRDefault="00F62FD0">
      <w:pPr>
        <w:spacing w:line="360" w:lineRule="auto"/>
        <w:jc w:val="both"/>
        <w:rPr>
          <w:rFonts w:ascii="Arial" w:hAnsi="Arial" w:cs="Arial"/>
          <w:sz w:val="20"/>
          <w:szCs w:val="20"/>
        </w:rPr>
      </w:pPr>
    </w:p>
    <w:p w14:paraId="74DDC23A" w14:textId="77777777" w:rsidR="00F62FD0" w:rsidRDefault="00000000">
      <w:pPr>
        <w:spacing w:line="360" w:lineRule="auto"/>
        <w:jc w:val="both"/>
        <w:rPr>
          <w:rFonts w:ascii="Arial" w:hAnsi="Arial"/>
          <w:sz w:val="20"/>
          <w:szCs w:val="20"/>
        </w:rPr>
      </w:pPr>
      <w:r>
        <w:rPr>
          <w:rFonts w:ascii="Arial" w:hAnsi="Arial"/>
          <w:sz w:val="20"/>
          <w:szCs w:val="20"/>
        </w:rPr>
        <w:lastRenderedPageBreak/>
        <w:t>ETHICAL CONSIDERATIONS: All authors hereby declare that &amp;</w:t>
      </w:r>
      <w:proofErr w:type="spellStart"/>
      <w:proofErr w:type="gramStart"/>
      <w:r>
        <w:rPr>
          <w:rFonts w:ascii="Arial" w:hAnsi="Arial"/>
          <w:sz w:val="20"/>
          <w:szCs w:val="20"/>
        </w:rPr>
        <w:t>quot;Principles</w:t>
      </w:r>
      <w:proofErr w:type="spellEnd"/>
      <w:proofErr w:type="gramEnd"/>
      <w:r>
        <w:rPr>
          <w:rFonts w:ascii="Arial" w:hAnsi="Arial"/>
          <w:sz w:val="20"/>
          <w:szCs w:val="20"/>
        </w:rPr>
        <w:t xml:space="preserve"> of laboratory animal </w:t>
      </w:r>
      <w:proofErr w:type="spellStart"/>
      <w:r>
        <w:rPr>
          <w:rFonts w:ascii="Arial" w:hAnsi="Arial"/>
          <w:sz w:val="20"/>
          <w:szCs w:val="20"/>
        </w:rPr>
        <w:t>care&amp;quot</w:t>
      </w:r>
      <w:proofErr w:type="spellEnd"/>
      <w:r>
        <w:rPr>
          <w:rFonts w:ascii="Arial" w:hAnsi="Arial"/>
          <w:sz w:val="20"/>
          <w:szCs w:val="20"/>
        </w:rPr>
        <w:t xml:space="preserve">; (NIH publication No. 85-23, revised 1985) were followed.  All experiments were examined and approved by the ethical committee </w:t>
      </w:r>
      <w:proofErr w:type="gramStart"/>
      <w:r>
        <w:rPr>
          <w:rFonts w:ascii="Arial" w:hAnsi="Arial"/>
          <w:sz w:val="20"/>
          <w:szCs w:val="20"/>
        </w:rPr>
        <w:t>of  the</w:t>
      </w:r>
      <w:proofErr w:type="gramEnd"/>
      <w:r>
        <w:rPr>
          <w:rFonts w:ascii="Arial" w:hAnsi="Arial"/>
          <w:sz w:val="20"/>
          <w:szCs w:val="20"/>
        </w:rPr>
        <w:t xml:space="preserve"> School of Biological Sciences (SOBS), Federal University of </w:t>
      </w:r>
      <w:proofErr w:type="gramStart"/>
      <w:r>
        <w:rPr>
          <w:rFonts w:ascii="Arial" w:hAnsi="Arial"/>
          <w:sz w:val="20"/>
          <w:szCs w:val="20"/>
        </w:rPr>
        <w:t>Technology ,</w:t>
      </w:r>
      <w:proofErr w:type="gramEnd"/>
      <w:r>
        <w:rPr>
          <w:rFonts w:ascii="Arial" w:hAnsi="Arial"/>
          <w:sz w:val="20"/>
          <w:szCs w:val="20"/>
        </w:rPr>
        <w:t xml:space="preserve"> Owerri (FUTO</w:t>
      </w:r>
      <w:proofErr w:type="gramStart"/>
      <w:r>
        <w:rPr>
          <w:rFonts w:ascii="Arial" w:hAnsi="Arial"/>
          <w:sz w:val="20"/>
          <w:szCs w:val="20"/>
        </w:rPr>
        <w:t>) ,</w:t>
      </w:r>
      <w:proofErr w:type="gramEnd"/>
      <w:r>
        <w:rPr>
          <w:rFonts w:ascii="Arial" w:hAnsi="Arial"/>
          <w:sz w:val="20"/>
          <w:szCs w:val="20"/>
        </w:rPr>
        <w:t xml:space="preserve"> Imo State, Nigeria.</w:t>
      </w:r>
    </w:p>
    <w:p w14:paraId="7A712700" w14:textId="77777777" w:rsidR="00F62FD0" w:rsidRDefault="00F62FD0">
      <w:pPr>
        <w:spacing w:line="360" w:lineRule="auto"/>
        <w:jc w:val="both"/>
        <w:rPr>
          <w:rFonts w:ascii="Arial" w:hAnsi="Arial"/>
          <w:sz w:val="20"/>
          <w:szCs w:val="20"/>
        </w:rPr>
      </w:pPr>
    </w:p>
    <w:p w14:paraId="61F2159F" w14:textId="77777777" w:rsidR="00F62FD0" w:rsidRDefault="00000000">
      <w:pPr>
        <w:spacing w:line="360" w:lineRule="auto"/>
        <w:jc w:val="both"/>
        <w:rPr>
          <w:rFonts w:ascii="Arial" w:hAnsi="Arial"/>
          <w:b/>
          <w:bCs/>
          <w:sz w:val="20"/>
          <w:szCs w:val="20"/>
        </w:rPr>
      </w:pPr>
      <w:r>
        <w:rPr>
          <w:rFonts w:ascii="Arial" w:hAnsi="Arial"/>
          <w:b/>
          <w:bCs/>
          <w:sz w:val="20"/>
          <w:szCs w:val="20"/>
        </w:rPr>
        <w:t>Disclaimer (Artificial intelligence)</w:t>
      </w:r>
    </w:p>
    <w:p w14:paraId="1F3460E3" w14:textId="77777777" w:rsidR="00F62FD0" w:rsidRDefault="00000000">
      <w:pPr>
        <w:spacing w:line="360" w:lineRule="auto"/>
        <w:jc w:val="both"/>
        <w:rPr>
          <w:rFonts w:ascii="Arial" w:hAnsi="Arial" w:cs="Arial"/>
          <w:sz w:val="20"/>
          <w:szCs w:val="20"/>
        </w:rPr>
      </w:pPr>
      <w:r>
        <w:rPr>
          <w:rFonts w:ascii="Arial" w:hAnsi="Arial"/>
          <w:sz w:val="20"/>
          <w:szCs w:val="20"/>
        </w:rPr>
        <w:t xml:space="preserve">Author(s) hereby </w:t>
      </w:r>
      <w:proofErr w:type="gramStart"/>
      <w:r>
        <w:rPr>
          <w:rFonts w:ascii="Arial" w:hAnsi="Arial"/>
          <w:sz w:val="20"/>
          <w:szCs w:val="20"/>
        </w:rPr>
        <w:t>declare</w:t>
      </w:r>
      <w:proofErr w:type="gramEnd"/>
      <w:r>
        <w:rPr>
          <w:rFonts w:ascii="Arial" w:hAnsi="Arial"/>
          <w:sz w:val="20"/>
          <w:szCs w:val="20"/>
        </w:rPr>
        <w:t xml:space="preserve"> that NO generative AI technologies such as Large Language Models (ChatGPT, COPILOT, etc.) and text-to-image generators have been used during the writing or editing of this manuscript.</w:t>
      </w:r>
    </w:p>
    <w:p w14:paraId="37759C10" w14:textId="77777777" w:rsidR="00F62FD0" w:rsidRDefault="00F62FD0">
      <w:pPr>
        <w:spacing w:line="360" w:lineRule="auto"/>
        <w:jc w:val="both"/>
        <w:rPr>
          <w:rFonts w:ascii="Arial" w:hAnsi="Arial" w:cs="Arial"/>
          <w:sz w:val="20"/>
          <w:szCs w:val="20"/>
        </w:rPr>
      </w:pPr>
    </w:p>
    <w:p w14:paraId="35F0E31C" w14:textId="77777777" w:rsidR="00F62FD0" w:rsidRDefault="00F62FD0">
      <w:pPr>
        <w:spacing w:line="360" w:lineRule="auto"/>
        <w:jc w:val="both"/>
        <w:rPr>
          <w:rFonts w:ascii="Arial" w:hAnsi="Arial" w:cs="Arial"/>
          <w:sz w:val="20"/>
          <w:szCs w:val="20"/>
        </w:rPr>
      </w:pPr>
    </w:p>
    <w:p w14:paraId="75458614" w14:textId="77777777" w:rsidR="00F62FD0" w:rsidRDefault="00F62FD0">
      <w:pPr>
        <w:spacing w:line="360" w:lineRule="auto"/>
        <w:jc w:val="both"/>
        <w:rPr>
          <w:rFonts w:ascii="Arial" w:hAnsi="Arial" w:cs="Arial"/>
          <w:sz w:val="20"/>
          <w:szCs w:val="20"/>
        </w:rPr>
      </w:pPr>
    </w:p>
    <w:p w14:paraId="0735B677" w14:textId="77777777" w:rsidR="00F62FD0" w:rsidRDefault="00F62FD0">
      <w:pPr>
        <w:spacing w:line="360" w:lineRule="auto"/>
        <w:jc w:val="both"/>
        <w:rPr>
          <w:rFonts w:ascii="Arial" w:hAnsi="Arial" w:cs="Arial"/>
          <w:sz w:val="20"/>
          <w:szCs w:val="20"/>
        </w:rPr>
      </w:pPr>
    </w:p>
    <w:p w14:paraId="32A596D3" w14:textId="77777777" w:rsidR="00F62FD0" w:rsidRDefault="00F62FD0">
      <w:pPr>
        <w:spacing w:line="360" w:lineRule="auto"/>
        <w:jc w:val="both"/>
        <w:rPr>
          <w:rFonts w:ascii="Arial" w:hAnsi="Arial" w:cs="Arial"/>
          <w:sz w:val="20"/>
          <w:szCs w:val="20"/>
        </w:rPr>
      </w:pPr>
    </w:p>
    <w:p w14:paraId="1597DAD9" w14:textId="77777777" w:rsidR="00F62FD0" w:rsidRDefault="00F62FD0">
      <w:pPr>
        <w:spacing w:line="360" w:lineRule="auto"/>
        <w:jc w:val="both"/>
        <w:rPr>
          <w:rFonts w:ascii="Arial" w:hAnsi="Arial" w:cs="Arial"/>
          <w:sz w:val="20"/>
          <w:szCs w:val="20"/>
        </w:rPr>
      </w:pPr>
    </w:p>
    <w:p w14:paraId="7DB3612A" w14:textId="77777777" w:rsidR="00F62FD0" w:rsidRDefault="00F62FD0">
      <w:pPr>
        <w:spacing w:line="360" w:lineRule="auto"/>
        <w:jc w:val="both"/>
        <w:rPr>
          <w:rFonts w:ascii="Arial" w:hAnsi="Arial" w:cs="Arial"/>
          <w:sz w:val="20"/>
          <w:szCs w:val="20"/>
        </w:rPr>
      </w:pPr>
    </w:p>
    <w:p w14:paraId="65A37A26" w14:textId="77777777" w:rsidR="00F62FD0" w:rsidRDefault="00F62FD0">
      <w:pPr>
        <w:spacing w:line="360" w:lineRule="auto"/>
        <w:jc w:val="both"/>
        <w:rPr>
          <w:rFonts w:ascii="Arial" w:hAnsi="Arial" w:cs="Arial"/>
          <w:sz w:val="20"/>
          <w:szCs w:val="20"/>
        </w:rPr>
      </w:pPr>
    </w:p>
    <w:p w14:paraId="4B91E13D" w14:textId="77777777" w:rsidR="00F62FD0" w:rsidRDefault="00F62FD0">
      <w:pPr>
        <w:spacing w:line="360" w:lineRule="auto"/>
        <w:jc w:val="both"/>
        <w:rPr>
          <w:rFonts w:ascii="Arial" w:hAnsi="Arial" w:cs="Arial"/>
          <w:sz w:val="20"/>
          <w:szCs w:val="20"/>
        </w:rPr>
      </w:pPr>
    </w:p>
    <w:p w14:paraId="367ACE68" w14:textId="77777777" w:rsidR="00F62FD0" w:rsidRDefault="00F62FD0">
      <w:pPr>
        <w:spacing w:line="360" w:lineRule="auto"/>
        <w:jc w:val="both"/>
        <w:rPr>
          <w:rFonts w:ascii="Arial" w:hAnsi="Arial" w:cs="Arial"/>
          <w:sz w:val="20"/>
          <w:szCs w:val="20"/>
        </w:rPr>
      </w:pPr>
    </w:p>
    <w:p w14:paraId="204D3F2E" w14:textId="77777777" w:rsidR="00F62FD0" w:rsidRDefault="00F62FD0">
      <w:pPr>
        <w:spacing w:line="360" w:lineRule="auto"/>
        <w:jc w:val="both"/>
        <w:rPr>
          <w:rFonts w:ascii="Arial" w:hAnsi="Arial" w:cs="Arial"/>
          <w:sz w:val="20"/>
          <w:szCs w:val="20"/>
        </w:rPr>
      </w:pPr>
    </w:p>
    <w:p w14:paraId="4E7D818E" w14:textId="77777777" w:rsidR="00F62FD0" w:rsidRDefault="00F62FD0">
      <w:pPr>
        <w:spacing w:line="360" w:lineRule="auto"/>
        <w:jc w:val="both"/>
        <w:rPr>
          <w:rFonts w:ascii="Arial" w:hAnsi="Arial" w:cs="Arial"/>
          <w:sz w:val="20"/>
          <w:szCs w:val="20"/>
        </w:rPr>
      </w:pPr>
    </w:p>
    <w:p w14:paraId="3FE0071E" w14:textId="77777777" w:rsidR="00F62FD0" w:rsidRDefault="00F62FD0">
      <w:pPr>
        <w:spacing w:line="360" w:lineRule="auto"/>
        <w:jc w:val="both"/>
        <w:rPr>
          <w:rFonts w:ascii="Arial" w:hAnsi="Arial" w:cs="Arial"/>
          <w:sz w:val="20"/>
          <w:szCs w:val="20"/>
        </w:rPr>
      </w:pPr>
    </w:p>
    <w:p w14:paraId="107DDE45" w14:textId="77777777" w:rsidR="00F62FD0" w:rsidRDefault="00F62FD0">
      <w:pPr>
        <w:spacing w:line="360" w:lineRule="auto"/>
        <w:jc w:val="both"/>
        <w:rPr>
          <w:rFonts w:ascii="Arial" w:hAnsi="Arial" w:cs="Arial"/>
          <w:sz w:val="20"/>
          <w:szCs w:val="20"/>
        </w:rPr>
      </w:pPr>
    </w:p>
    <w:p w14:paraId="47C4C4C6" w14:textId="77777777" w:rsidR="00F62FD0" w:rsidRDefault="00F62FD0">
      <w:pPr>
        <w:spacing w:line="360" w:lineRule="auto"/>
        <w:jc w:val="both"/>
        <w:rPr>
          <w:rFonts w:ascii="Arial" w:hAnsi="Arial" w:cs="Arial"/>
          <w:sz w:val="20"/>
          <w:szCs w:val="20"/>
        </w:rPr>
      </w:pPr>
    </w:p>
    <w:p w14:paraId="62BDB340" w14:textId="77777777" w:rsidR="00F62FD0" w:rsidRDefault="00F62FD0">
      <w:pPr>
        <w:spacing w:line="360" w:lineRule="auto"/>
        <w:jc w:val="both"/>
        <w:rPr>
          <w:rFonts w:ascii="Arial" w:hAnsi="Arial" w:cs="Arial"/>
          <w:sz w:val="20"/>
          <w:szCs w:val="20"/>
        </w:rPr>
      </w:pPr>
    </w:p>
    <w:p w14:paraId="2292777E" w14:textId="77777777" w:rsidR="00F62FD0" w:rsidRDefault="00F62FD0">
      <w:pPr>
        <w:spacing w:line="360" w:lineRule="auto"/>
        <w:jc w:val="both"/>
        <w:rPr>
          <w:rFonts w:ascii="Arial" w:hAnsi="Arial" w:cs="Arial"/>
          <w:sz w:val="20"/>
          <w:szCs w:val="20"/>
        </w:rPr>
      </w:pPr>
    </w:p>
    <w:p w14:paraId="67FEDD0F" w14:textId="77777777" w:rsidR="00F62FD0" w:rsidRDefault="00000000">
      <w:pPr>
        <w:jc w:val="center"/>
        <w:rPr>
          <w:rFonts w:ascii="Arial" w:hAnsi="Arial" w:cs="Arial"/>
          <w:b/>
          <w:bCs/>
          <w:sz w:val="20"/>
          <w:szCs w:val="20"/>
        </w:rPr>
      </w:pPr>
      <w:r>
        <w:rPr>
          <w:rFonts w:ascii="Arial" w:hAnsi="Arial" w:cs="Arial"/>
          <w:b/>
          <w:bCs/>
          <w:sz w:val="20"/>
          <w:szCs w:val="20"/>
        </w:rPr>
        <w:t>REFERENCES</w:t>
      </w:r>
    </w:p>
    <w:p w14:paraId="377382CF" w14:textId="77777777" w:rsidR="00F62FD0" w:rsidRDefault="00000000">
      <w:pPr>
        <w:ind w:left="720" w:hanging="720"/>
        <w:jc w:val="both"/>
        <w:rPr>
          <w:rFonts w:ascii="Arial" w:hAnsi="Arial" w:cs="Arial"/>
          <w:sz w:val="20"/>
          <w:szCs w:val="20"/>
        </w:rPr>
      </w:pPr>
      <w:r>
        <w:rPr>
          <w:rFonts w:ascii="Arial" w:hAnsi="Arial" w:cs="Arial"/>
          <w:sz w:val="20"/>
          <w:szCs w:val="20"/>
        </w:rPr>
        <w:t xml:space="preserve">Achi, N. K., </w:t>
      </w:r>
      <w:proofErr w:type="spellStart"/>
      <w:r>
        <w:rPr>
          <w:rFonts w:ascii="Arial" w:hAnsi="Arial" w:cs="Arial"/>
          <w:sz w:val="20"/>
          <w:szCs w:val="20"/>
        </w:rPr>
        <w:t>Eleazu</w:t>
      </w:r>
      <w:proofErr w:type="spellEnd"/>
      <w:r>
        <w:rPr>
          <w:rFonts w:ascii="Arial" w:hAnsi="Arial" w:cs="Arial"/>
          <w:sz w:val="20"/>
          <w:szCs w:val="20"/>
        </w:rPr>
        <w:t xml:space="preserve">, C. O., </w:t>
      </w:r>
      <w:proofErr w:type="spellStart"/>
      <w:r>
        <w:rPr>
          <w:rFonts w:ascii="Arial" w:hAnsi="Arial" w:cs="Arial"/>
          <w:sz w:val="20"/>
          <w:szCs w:val="20"/>
        </w:rPr>
        <w:t>Onyeabo</w:t>
      </w:r>
      <w:proofErr w:type="spellEnd"/>
      <w:r>
        <w:rPr>
          <w:rFonts w:ascii="Arial" w:hAnsi="Arial" w:cs="Arial"/>
          <w:sz w:val="20"/>
          <w:szCs w:val="20"/>
        </w:rPr>
        <w:t xml:space="preserve">, C., Kalu, W., &amp; </w:t>
      </w:r>
      <w:proofErr w:type="spellStart"/>
      <w:r>
        <w:rPr>
          <w:rFonts w:ascii="Arial" w:hAnsi="Arial" w:cs="Arial"/>
          <w:sz w:val="20"/>
          <w:szCs w:val="20"/>
        </w:rPr>
        <w:t>Eleazu</w:t>
      </w:r>
      <w:proofErr w:type="spellEnd"/>
      <w:r>
        <w:rPr>
          <w:rFonts w:ascii="Arial" w:hAnsi="Arial" w:cs="Arial"/>
          <w:sz w:val="20"/>
          <w:szCs w:val="20"/>
        </w:rPr>
        <w:t xml:space="preserve">, K. (2024). </w:t>
      </w:r>
      <w:proofErr w:type="spellStart"/>
      <w:r>
        <w:rPr>
          <w:rFonts w:ascii="Arial" w:hAnsi="Arial" w:cs="Arial"/>
          <w:i/>
          <w:iCs/>
          <w:sz w:val="20"/>
          <w:szCs w:val="20"/>
        </w:rPr>
        <w:t>Syzygium</w:t>
      </w:r>
      <w:proofErr w:type="spellEnd"/>
      <w:r>
        <w:rPr>
          <w:rFonts w:ascii="Arial" w:hAnsi="Arial" w:cs="Arial"/>
          <w:i/>
          <w:iCs/>
          <w:sz w:val="20"/>
          <w:szCs w:val="20"/>
        </w:rPr>
        <w:t xml:space="preserve"> </w:t>
      </w:r>
      <w:proofErr w:type="spellStart"/>
      <w:r>
        <w:rPr>
          <w:rFonts w:ascii="Arial" w:hAnsi="Arial" w:cs="Arial"/>
          <w:i/>
          <w:iCs/>
          <w:sz w:val="20"/>
          <w:szCs w:val="20"/>
        </w:rPr>
        <w:t>malaccense</w:t>
      </w:r>
      <w:proofErr w:type="spellEnd"/>
      <w:r>
        <w:rPr>
          <w:rFonts w:ascii="Arial" w:hAnsi="Arial" w:cs="Arial"/>
          <w:sz w:val="20"/>
          <w:szCs w:val="20"/>
        </w:rPr>
        <w:t xml:space="preserve"> leaves methanol extract modulates some biochemical and inflammatory markers and prostate histology of testosterone-estradiol valerate induced benign prostatic hyperplasia in </w:t>
      </w:r>
      <w:r>
        <w:rPr>
          <w:rFonts w:ascii="Arial" w:hAnsi="Arial" w:cs="Arial"/>
          <w:sz w:val="20"/>
          <w:szCs w:val="20"/>
        </w:rPr>
        <w:lastRenderedPageBreak/>
        <w:t>rats. </w:t>
      </w:r>
      <w:r>
        <w:rPr>
          <w:rFonts w:ascii="Arial" w:hAnsi="Arial" w:cs="Arial"/>
          <w:i/>
          <w:iCs/>
          <w:sz w:val="20"/>
          <w:szCs w:val="20"/>
        </w:rPr>
        <w:t>Avicenna Journal of Phytomedicine</w:t>
      </w:r>
      <w:r>
        <w:rPr>
          <w:rFonts w:ascii="Arial" w:hAnsi="Arial" w:cs="Arial"/>
          <w:sz w:val="20"/>
          <w:szCs w:val="20"/>
        </w:rPr>
        <w:t>, </w:t>
      </w:r>
      <w:r>
        <w:rPr>
          <w:rFonts w:ascii="Arial" w:hAnsi="Arial" w:cs="Arial"/>
          <w:i/>
          <w:iCs/>
          <w:sz w:val="20"/>
          <w:szCs w:val="20"/>
        </w:rPr>
        <w:t>14</w:t>
      </w:r>
      <w:r>
        <w:rPr>
          <w:rFonts w:ascii="Arial" w:hAnsi="Arial" w:cs="Arial"/>
          <w:sz w:val="20"/>
          <w:szCs w:val="20"/>
        </w:rPr>
        <w:t xml:space="preserve">(3), 305. </w:t>
      </w:r>
      <w:hyperlink r:id="rId8" w:history="1">
        <w:r>
          <w:rPr>
            <w:rStyle w:val="Hyperlink"/>
            <w:rFonts w:ascii="Arial" w:hAnsi="Arial" w:cs="Arial"/>
            <w:sz w:val="20"/>
            <w:szCs w:val="20"/>
          </w:rPr>
          <w:t>https://dx.doi.org/10.22038/AJP.2023.23526</w:t>
        </w:r>
      </w:hyperlink>
      <w:r>
        <w:rPr>
          <w:rFonts w:ascii="Arial" w:hAnsi="Arial" w:cs="Arial"/>
          <w:sz w:val="20"/>
          <w:szCs w:val="20"/>
        </w:rPr>
        <w:t>.</w:t>
      </w:r>
    </w:p>
    <w:p w14:paraId="656E0A6D" w14:textId="77777777" w:rsidR="00F62FD0" w:rsidRDefault="00000000">
      <w:pPr>
        <w:ind w:left="720" w:hanging="720"/>
        <w:jc w:val="both"/>
        <w:rPr>
          <w:rFonts w:ascii="Arial" w:hAnsi="Arial" w:cs="Arial"/>
          <w:sz w:val="20"/>
          <w:szCs w:val="20"/>
        </w:rPr>
      </w:pPr>
      <w:r>
        <w:rPr>
          <w:rFonts w:ascii="Arial" w:hAnsi="Arial" w:cs="Arial"/>
          <w:sz w:val="20"/>
          <w:szCs w:val="20"/>
        </w:rPr>
        <w:t xml:space="preserve">Agu, G. C., </w:t>
      </w:r>
      <w:proofErr w:type="spellStart"/>
      <w:r>
        <w:rPr>
          <w:rFonts w:ascii="Arial" w:hAnsi="Arial" w:cs="Arial"/>
          <w:sz w:val="20"/>
          <w:szCs w:val="20"/>
        </w:rPr>
        <w:t>Onajobi</w:t>
      </w:r>
      <w:proofErr w:type="spellEnd"/>
      <w:r>
        <w:rPr>
          <w:rFonts w:ascii="Arial" w:hAnsi="Arial" w:cs="Arial"/>
          <w:sz w:val="20"/>
          <w:szCs w:val="20"/>
        </w:rPr>
        <w:t xml:space="preserve">, I. B., Afolabi, O. T., </w:t>
      </w:r>
      <w:proofErr w:type="spellStart"/>
      <w:r>
        <w:rPr>
          <w:rFonts w:ascii="Arial" w:hAnsi="Arial" w:cs="Arial"/>
          <w:sz w:val="20"/>
          <w:szCs w:val="20"/>
        </w:rPr>
        <w:t>Adesetan</w:t>
      </w:r>
      <w:proofErr w:type="spellEnd"/>
      <w:r>
        <w:rPr>
          <w:rFonts w:ascii="Arial" w:hAnsi="Arial" w:cs="Arial"/>
          <w:sz w:val="20"/>
          <w:szCs w:val="20"/>
        </w:rPr>
        <w:t xml:space="preserve">, T. O., Thomas, B., Adeyemi, J., &amp; Sossou, I. (2024). Phytochemical and Antioxidant Analysis of </w:t>
      </w:r>
      <w:r>
        <w:rPr>
          <w:rFonts w:ascii="Arial" w:hAnsi="Arial" w:cs="Arial"/>
          <w:i/>
          <w:iCs/>
          <w:sz w:val="20"/>
          <w:szCs w:val="20"/>
        </w:rPr>
        <w:t>Artocarpus heterophyllus</w:t>
      </w:r>
      <w:r>
        <w:rPr>
          <w:rFonts w:ascii="Arial" w:hAnsi="Arial" w:cs="Arial"/>
          <w:sz w:val="20"/>
          <w:szCs w:val="20"/>
        </w:rPr>
        <w:t xml:space="preserve"> Peel Extracts. </w:t>
      </w:r>
      <w:r>
        <w:rPr>
          <w:rFonts w:ascii="Arial" w:hAnsi="Arial" w:cs="Arial"/>
          <w:i/>
          <w:iCs/>
          <w:sz w:val="20"/>
          <w:szCs w:val="20"/>
        </w:rPr>
        <w:t>African Science Frontiers Initiatives Research Journal</w:t>
      </w:r>
      <w:r>
        <w:rPr>
          <w:rFonts w:ascii="Arial" w:hAnsi="Arial" w:cs="Arial"/>
          <w:sz w:val="20"/>
          <w:szCs w:val="20"/>
        </w:rPr>
        <w:t xml:space="preserve">, e14762. </w:t>
      </w:r>
      <w:hyperlink r:id="rId9" w:history="1">
        <w:r>
          <w:rPr>
            <w:rStyle w:val="Hyperlink"/>
            <w:rFonts w:ascii="Arial" w:hAnsi="Arial" w:cs="Arial"/>
            <w:sz w:val="20"/>
            <w:szCs w:val="20"/>
          </w:rPr>
          <w:t>https://doi.org/10.7004/asfirj-c2pw-xx13</w:t>
        </w:r>
      </w:hyperlink>
      <w:r>
        <w:rPr>
          <w:rFonts w:ascii="Arial" w:hAnsi="Arial" w:cs="Arial"/>
          <w:sz w:val="20"/>
          <w:szCs w:val="20"/>
        </w:rPr>
        <w:t>.</w:t>
      </w:r>
    </w:p>
    <w:p w14:paraId="4992DF86" w14:textId="77777777" w:rsidR="00F62FD0" w:rsidRDefault="00000000">
      <w:pPr>
        <w:ind w:left="720" w:hanging="720"/>
        <w:jc w:val="both"/>
        <w:rPr>
          <w:rFonts w:ascii="Arial" w:hAnsi="Arial" w:cs="Arial"/>
          <w:sz w:val="20"/>
          <w:szCs w:val="20"/>
        </w:rPr>
      </w:pPr>
      <w:r>
        <w:rPr>
          <w:rFonts w:ascii="Arial" w:hAnsi="Arial" w:cs="Arial"/>
          <w:sz w:val="20"/>
          <w:szCs w:val="20"/>
        </w:rPr>
        <w:t xml:space="preserve">Ajiboye, B.O., </w:t>
      </w:r>
      <w:proofErr w:type="spellStart"/>
      <w:r>
        <w:rPr>
          <w:rFonts w:ascii="Arial" w:hAnsi="Arial" w:cs="Arial"/>
          <w:sz w:val="20"/>
          <w:szCs w:val="20"/>
        </w:rPr>
        <w:t>Famusiwa</w:t>
      </w:r>
      <w:proofErr w:type="spellEnd"/>
      <w:r>
        <w:rPr>
          <w:rFonts w:ascii="Arial" w:hAnsi="Arial" w:cs="Arial"/>
          <w:sz w:val="20"/>
          <w:szCs w:val="20"/>
        </w:rPr>
        <w:t xml:space="preserve">, C.D., Oghenemine, E.E., </w:t>
      </w:r>
      <w:proofErr w:type="spellStart"/>
      <w:r>
        <w:rPr>
          <w:rFonts w:ascii="Arial" w:hAnsi="Arial" w:cs="Arial"/>
          <w:sz w:val="20"/>
          <w:szCs w:val="20"/>
        </w:rPr>
        <w:t>Imoleyemi</w:t>
      </w:r>
      <w:proofErr w:type="spellEnd"/>
      <w:r>
        <w:rPr>
          <w:rFonts w:ascii="Arial" w:hAnsi="Arial" w:cs="Arial"/>
          <w:sz w:val="20"/>
          <w:szCs w:val="20"/>
        </w:rPr>
        <w:t xml:space="preserve">, A.D., Akinlolu, O.S., Fatoki, T.H., </w:t>
      </w:r>
      <w:proofErr w:type="spellStart"/>
      <w:r>
        <w:rPr>
          <w:rFonts w:ascii="Arial" w:hAnsi="Arial" w:cs="Arial"/>
          <w:sz w:val="20"/>
          <w:szCs w:val="20"/>
        </w:rPr>
        <w:t>Agbolade</w:t>
      </w:r>
      <w:proofErr w:type="spellEnd"/>
      <w:r>
        <w:rPr>
          <w:rFonts w:ascii="Arial" w:hAnsi="Arial" w:cs="Arial"/>
          <w:sz w:val="20"/>
          <w:szCs w:val="20"/>
        </w:rPr>
        <w:t xml:space="preserve">, A.O., </w:t>
      </w:r>
      <w:proofErr w:type="spellStart"/>
      <w:r>
        <w:rPr>
          <w:rFonts w:ascii="Arial" w:hAnsi="Arial" w:cs="Arial"/>
          <w:sz w:val="20"/>
          <w:szCs w:val="20"/>
        </w:rPr>
        <w:t>Ojelabi</w:t>
      </w:r>
      <w:proofErr w:type="spellEnd"/>
      <w:r>
        <w:rPr>
          <w:rFonts w:ascii="Arial" w:hAnsi="Arial" w:cs="Arial"/>
          <w:sz w:val="20"/>
          <w:szCs w:val="20"/>
        </w:rPr>
        <w:t xml:space="preserve">, A.O., </w:t>
      </w:r>
      <w:proofErr w:type="spellStart"/>
      <w:r>
        <w:rPr>
          <w:rFonts w:ascii="Arial" w:hAnsi="Arial" w:cs="Arial"/>
          <w:sz w:val="20"/>
          <w:szCs w:val="20"/>
        </w:rPr>
        <w:t>Ajuwon</w:t>
      </w:r>
      <w:proofErr w:type="spellEnd"/>
      <w:r>
        <w:rPr>
          <w:rFonts w:ascii="Arial" w:hAnsi="Arial" w:cs="Arial"/>
          <w:sz w:val="20"/>
          <w:szCs w:val="20"/>
        </w:rPr>
        <w:t xml:space="preserve">, O. R., </w:t>
      </w:r>
      <w:proofErr w:type="spellStart"/>
      <w:r>
        <w:rPr>
          <w:rFonts w:ascii="Arial" w:hAnsi="Arial" w:cs="Arial"/>
          <w:sz w:val="20"/>
          <w:szCs w:val="20"/>
        </w:rPr>
        <w:t>Oyinloye</w:t>
      </w:r>
      <w:proofErr w:type="spellEnd"/>
      <w:r>
        <w:rPr>
          <w:rFonts w:ascii="Arial" w:hAnsi="Arial" w:cs="Arial"/>
          <w:sz w:val="20"/>
          <w:szCs w:val="20"/>
        </w:rPr>
        <w:t xml:space="preserve">, B.E., </w:t>
      </w:r>
      <w:proofErr w:type="spellStart"/>
      <w:r>
        <w:rPr>
          <w:rFonts w:ascii="Arial" w:hAnsi="Arial" w:cs="Arial"/>
          <w:sz w:val="20"/>
          <w:szCs w:val="20"/>
        </w:rPr>
        <w:t>Iriti</w:t>
      </w:r>
      <w:proofErr w:type="spellEnd"/>
      <w:r>
        <w:rPr>
          <w:rFonts w:ascii="Arial" w:hAnsi="Arial" w:cs="Arial"/>
          <w:sz w:val="20"/>
          <w:szCs w:val="20"/>
        </w:rPr>
        <w:t xml:space="preserve">, M., </w:t>
      </w:r>
      <w:proofErr w:type="spellStart"/>
      <w:r>
        <w:rPr>
          <w:rFonts w:ascii="Arial" w:hAnsi="Arial" w:cs="Arial"/>
          <w:sz w:val="20"/>
          <w:szCs w:val="20"/>
        </w:rPr>
        <w:t>Okesola</w:t>
      </w:r>
      <w:proofErr w:type="spellEnd"/>
      <w:r>
        <w:rPr>
          <w:rFonts w:ascii="Arial" w:hAnsi="Arial" w:cs="Arial"/>
          <w:sz w:val="20"/>
          <w:szCs w:val="20"/>
        </w:rPr>
        <w:t>, M.A. and Ojo, O.A. (2025). Ameliorative effect of </w:t>
      </w:r>
      <w:r>
        <w:rPr>
          <w:rFonts w:ascii="Arial" w:hAnsi="Arial" w:cs="Arial"/>
          <w:i/>
          <w:iCs/>
          <w:sz w:val="20"/>
          <w:szCs w:val="20"/>
        </w:rPr>
        <w:t>Hibiscus sabdariffa</w:t>
      </w:r>
      <w:r>
        <w:rPr>
          <w:rFonts w:ascii="Arial" w:hAnsi="Arial" w:cs="Arial"/>
          <w:sz w:val="20"/>
          <w:szCs w:val="20"/>
        </w:rPr>
        <w:t xml:space="preserve"> leaf flavonoid extract on the PSA/CEA/AKT/MMP-9 </w:t>
      </w:r>
      <w:proofErr w:type="spellStart"/>
      <w:r>
        <w:rPr>
          <w:rFonts w:ascii="Arial" w:hAnsi="Arial" w:cs="Arial"/>
          <w:sz w:val="20"/>
          <w:szCs w:val="20"/>
        </w:rPr>
        <w:t>signalling</w:t>
      </w:r>
      <w:proofErr w:type="spellEnd"/>
      <w:r>
        <w:rPr>
          <w:rFonts w:ascii="Arial" w:hAnsi="Arial" w:cs="Arial"/>
          <w:sz w:val="20"/>
          <w:szCs w:val="20"/>
        </w:rPr>
        <w:t xml:space="preserve"> pathway in benign prostatic hyperplasia-induced rats. </w:t>
      </w:r>
      <w:r>
        <w:rPr>
          <w:rFonts w:ascii="Arial" w:hAnsi="Arial" w:cs="Arial"/>
          <w:i/>
          <w:iCs/>
          <w:sz w:val="20"/>
          <w:szCs w:val="20"/>
        </w:rPr>
        <w:t xml:space="preserve">Comp Clin </w:t>
      </w:r>
      <w:proofErr w:type="spellStart"/>
      <w:r>
        <w:rPr>
          <w:rFonts w:ascii="Arial" w:hAnsi="Arial" w:cs="Arial"/>
          <w:i/>
          <w:iCs/>
          <w:sz w:val="20"/>
          <w:szCs w:val="20"/>
        </w:rPr>
        <w:t>Pathol</w:t>
      </w:r>
      <w:proofErr w:type="spellEnd"/>
      <w:r>
        <w:rPr>
          <w:rFonts w:ascii="Arial" w:hAnsi="Arial" w:cs="Arial"/>
          <w:sz w:val="20"/>
          <w:szCs w:val="20"/>
        </w:rPr>
        <w:t>, </w:t>
      </w:r>
      <w:r>
        <w:rPr>
          <w:rFonts w:ascii="Arial" w:hAnsi="Arial" w:cs="Arial"/>
          <w:i/>
          <w:iCs/>
          <w:sz w:val="20"/>
          <w:szCs w:val="20"/>
        </w:rPr>
        <w:t>34</w:t>
      </w:r>
      <w:r>
        <w:rPr>
          <w:rFonts w:ascii="Arial" w:hAnsi="Arial" w:cs="Arial"/>
          <w:sz w:val="20"/>
          <w:szCs w:val="20"/>
        </w:rPr>
        <w:t xml:space="preserve">, 889–900. </w:t>
      </w:r>
      <w:hyperlink r:id="rId10" w:history="1">
        <w:r>
          <w:rPr>
            <w:rStyle w:val="Hyperlink"/>
            <w:rFonts w:ascii="Arial" w:hAnsi="Arial" w:cs="Arial"/>
            <w:sz w:val="20"/>
            <w:szCs w:val="20"/>
          </w:rPr>
          <w:t>https://doi.org/10.1007/s00580-025-03703-9</w:t>
        </w:r>
      </w:hyperlink>
      <w:r>
        <w:rPr>
          <w:rFonts w:ascii="Arial" w:hAnsi="Arial" w:cs="Arial"/>
          <w:sz w:val="20"/>
          <w:szCs w:val="20"/>
        </w:rPr>
        <w:t>.</w:t>
      </w:r>
    </w:p>
    <w:p w14:paraId="2295EF0C"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Akpotaire</w:t>
      </w:r>
      <w:proofErr w:type="spellEnd"/>
      <w:r>
        <w:rPr>
          <w:rFonts w:ascii="Arial" w:hAnsi="Arial" w:cs="Arial"/>
          <w:sz w:val="20"/>
          <w:szCs w:val="20"/>
        </w:rPr>
        <w:t xml:space="preserve">, P., &amp; Seriki, S. (2023). Assessment and correlation of serum urea and creatinine levels in normal, hypertensive, and diabetic persons in </w:t>
      </w:r>
      <w:proofErr w:type="spellStart"/>
      <w:r>
        <w:rPr>
          <w:rFonts w:ascii="Arial" w:hAnsi="Arial" w:cs="Arial"/>
          <w:sz w:val="20"/>
          <w:szCs w:val="20"/>
        </w:rPr>
        <w:t>Auchi</w:t>
      </w:r>
      <w:proofErr w:type="spellEnd"/>
      <w:r>
        <w:rPr>
          <w:rFonts w:ascii="Arial" w:hAnsi="Arial" w:cs="Arial"/>
          <w:sz w:val="20"/>
          <w:szCs w:val="20"/>
        </w:rPr>
        <w:t>, Nigeria. </w:t>
      </w:r>
      <w:r>
        <w:rPr>
          <w:rFonts w:ascii="Arial" w:hAnsi="Arial" w:cs="Arial"/>
          <w:i/>
          <w:iCs/>
          <w:sz w:val="20"/>
          <w:szCs w:val="20"/>
        </w:rPr>
        <w:t>Archives of Pathology and Clinical Research,</w:t>
      </w:r>
      <w:r>
        <w:rPr>
          <w:rFonts w:ascii="Arial" w:hAnsi="Arial" w:cs="Arial"/>
          <w:sz w:val="20"/>
          <w:szCs w:val="20"/>
        </w:rPr>
        <w:t> </w:t>
      </w:r>
      <w:r>
        <w:rPr>
          <w:rFonts w:ascii="Arial" w:hAnsi="Arial" w:cs="Arial"/>
          <w:i/>
          <w:iCs/>
          <w:sz w:val="20"/>
          <w:szCs w:val="20"/>
        </w:rPr>
        <w:t>7</w:t>
      </w:r>
      <w:r>
        <w:rPr>
          <w:rFonts w:ascii="Arial" w:hAnsi="Arial" w:cs="Arial"/>
          <w:sz w:val="20"/>
          <w:szCs w:val="20"/>
        </w:rPr>
        <w:t xml:space="preserve">, 007-16. </w:t>
      </w:r>
      <w:hyperlink r:id="rId11" w:history="1">
        <w:r>
          <w:rPr>
            <w:rStyle w:val="Hyperlink"/>
            <w:rFonts w:ascii="Arial" w:hAnsi="Arial" w:cs="Arial"/>
            <w:sz w:val="20"/>
            <w:szCs w:val="20"/>
          </w:rPr>
          <w:t>https://doi.org/10.29328/journal.apcr.1001035</w:t>
        </w:r>
      </w:hyperlink>
      <w:r>
        <w:rPr>
          <w:rFonts w:ascii="Arial" w:hAnsi="Arial" w:cs="Arial"/>
          <w:sz w:val="20"/>
          <w:szCs w:val="20"/>
        </w:rPr>
        <w:t>.</w:t>
      </w:r>
    </w:p>
    <w:p w14:paraId="6D007141"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Alelign</w:t>
      </w:r>
      <w:proofErr w:type="spellEnd"/>
      <w:r>
        <w:rPr>
          <w:rFonts w:ascii="Arial" w:hAnsi="Arial" w:cs="Arial"/>
          <w:sz w:val="20"/>
          <w:szCs w:val="20"/>
        </w:rPr>
        <w:t xml:space="preserve">, T., Chalchisa, D., Fekadu, N., Solomon, D., Sisay, T., Debella, A., &amp; Petros, B. (2021). Evaluation of acute and sub-acute toxicity of selected traditional </w:t>
      </w:r>
      <w:proofErr w:type="spellStart"/>
      <w:r>
        <w:rPr>
          <w:rFonts w:ascii="Arial" w:hAnsi="Arial" w:cs="Arial"/>
          <w:sz w:val="20"/>
          <w:szCs w:val="20"/>
        </w:rPr>
        <w:t>antiurolithiatic</w:t>
      </w:r>
      <w:proofErr w:type="spellEnd"/>
      <w:r>
        <w:rPr>
          <w:rFonts w:ascii="Arial" w:hAnsi="Arial" w:cs="Arial"/>
          <w:sz w:val="20"/>
          <w:szCs w:val="20"/>
        </w:rPr>
        <w:t xml:space="preserve"> medicinal plant extracts in Wistar albino rats</w:t>
      </w:r>
      <w:r>
        <w:rPr>
          <w:rFonts w:ascii="Arial" w:hAnsi="Arial" w:cs="Arial"/>
          <w:i/>
          <w:iCs/>
          <w:sz w:val="20"/>
          <w:szCs w:val="20"/>
        </w:rPr>
        <w:t>. Toxicology Reports</w:t>
      </w:r>
      <w:r>
        <w:rPr>
          <w:rFonts w:ascii="Arial" w:hAnsi="Arial" w:cs="Arial"/>
          <w:sz w:val="20"/>
          <w:szCs w:val="20"/>
        </w:rPr>
        <w:t>,</w:t>
      </w:r>
      <w:r>
        <w:rPr>
          <w:rFonts w:ascii="Arial" w:hAnsi="Arial" w:cs="Arial"/>
          <w:i/>
          <w:iCs/>
          <w:sz w:val="20"/>
          <w:szCs w:val="20"/>
        </w:rPr>
        <w:t xml:space="preserve"> 7</w:t>
      </w:r>
      <w:r>
        <w:rPr>
          <w:rFonts w:ascii="Arial" w:hAnsi="Arial" w:cs="Arial"/>
          <w:sz w:val="20"/>
          <w:szCs w:val="20"/>
        </w:rPr>
        <w:t>,</w:t>
      </w:r>
      <w:r>
        <w:rPr>
          <w:rFonts w:ascii="Arial" w:hAnsi="Arial" w:cs="Arial"/>
          <w:i/>
          <w:iCs/>
          <w:sz w:val="20"/>
          <w:szCs w:val="20"/>
        </w:rPr>
        <w:t xml:space="preserve"> </w:t>
      </w:r>
      <w:r>
        <w:rPr>
          <w:rFonts w:ascii="Arial" w:hAnsi="Arial" w:cs="Arial"/>
          <w:sz w:val="20"/>
          <w:szCs w:val="20"/>
        </w:rPr>
        <w:t xml:space="preserve">1356 – 1365. </w:t>
      </w:r>
      <w:hyperlink r:id="rId12" w:history="1">
        <w:r>
          <w:rPr>
            <w:rStyle w:val="Hyperlink"/>
            <w:rFonts w:ascii="Arial" w:hAnsi="Arial" w:cs="Arial"/>
            <w:sz w:val="20"/>
            <w:szCs w:val="20"/>
          </w:rPr>
          <w:t>https://doi.org/10.1016/j.toxrep.2020.10.001</w:t>
        </w:r>
      </w:hyperlink>
      <w:r>
        <w:rPr>
          <w:rFonts w:ascii="Arial" w:hAnsi="Arial" w:cs="Arial"/>
          <w:sz w:val="20"/>
          <w:szCs w:val="20"/>
        </w:rPr>
        <w:t>.</w:t>
      </w:r>
    </w:p>
    <w:p w14:paraId="4505B8E8"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Allameh</w:t>
      </w:r>
      <w:proofErr w:type="spellEnd"/>
      <w:r>
        <w:rPr>
          <w:rFonts w:ascii="Arial" w:hAnsi="Arial" w:cs="Arial"/>
          <w:sz w:val="20"/>
          <w:szCs w:val="20"/>
        </w:rPr>
        <w:t xml:space="preserve">, A., </w:t>
      </w:r>
      <w:proofErr w:type="spellStart"/>
      <w:r>
        <w:rPr>
          <w:rFonts w:ascii="Arial" w:hAnsi="Arial" w:cs="Arial"/>
          <w:sz w:val="20"/>
          <w:szCs w:val="20"/>
        </w:rPr>
        <w:t>Niayesh</w:t>
      </w:r>
      <w:proofErr w:type="spellEnd"/>
      <w:r>
        <w:rPr>
          <w:rFonts w:ascii="Arial" w:hAnsi="Arial" w:cs="Arial"/>
          <w:sz w:val="20"/>
          <w:szCs w:val="20"/>
        </w:rPr>
        <w:t xml:space="preserve">-Mehr, R., </w:t>
      </w:r>
      <w:proofErr w:type="spellStart"/>
      <w:r>
        <w:rPr>
          <w:rFonts w:ascii="Arial" w:hAnsi="Arial" w:cs="Arial"/>
          <w:sz w:val="20"/>
          <w:szCs w:val="20"/>
        </w:rPr>
        <w:t>Aliarab</w:t>
      </w:r>
      <w:proofErr w:type="spellEnd"/>
      <w:r>
        <w:rPr>
          <w:rFonts w:ascii="Arial" w:hAnsi="Arial" w:cs="Arial"/>
          <w:sz w:val="20"/>
          <w:szCs w:val="20"/>
        </w:rPr>
        <w:t xml:space="preserve">, A., Sebastiani, G., &amp; </w:t>
      </w:r>
      <w:proofErr w:type="spellStart"/>
      <w:r>
        <w:rPr>
          <w:rFonts w:ascii="Arial" w:hAnsi="Arial" w:cs="Arial"/>
          <w:sz w:val="20"/>
          <w:szCs w:val="20"/>
        </w:rPr>
        <w:t>Pantopoulos</w:t>
      </w:r>
      <w:proofErr w:type="spellEnd"/>
      <w:r>
        <w:rPr>
          <w:rFonts w:ascii="Arial" w:hAnsi="Arial" w:cs="Arial"/>
          <w:sz w:val="20"/>
          <w:szCs w:val="20"/>
        </w:rPr>
        <w:t>, K. (2023). Oxidative Stress in Liver Pathophysiology and Disease. </w:t>
      </w:r>
      <w:r>
        <w:rPr>
          <w:rFonts w:ascii="Arial" w:hAnsi="Arial" w:cs="Arial"/>
          <w:i/>
          <w:iCs/>
          <w:sz w:val="20"/>
          <w:szCs w:val="20"/>
        </w:rPr>
        <w:t>Antioxidants (Basel, Switzerland)</w:t>
      </w:r>
      <w:r>
        <w:rPr>
          <w:rFonts w:ascii="Arial" w:hAnsi="Arial" w:cs="Arial"/>
          <w:sz w:val="20"/>
          <w:szCs w:val="20"/>
        </w:rPr>
        <w:t>, </w:t>
      </w:r>
      <w:r>
        <w:rPr>
          <w:rFonts w:ascii="Arial" w:hAnsi="Arial" w:cs="Arial"/>
          <w:i/>
          <w:iCs/>
          <w:sz w:val="20"/>
          <w:szCs w:val="20"/>
        </w:rPr>
        <w:t>12</w:t>
      </w:r>
      <w:r>
        <w:rPr>
          <w:rFonts w:ascii="Arial" w:hAnsi="Arial" w:cs="Arial"/>
          <w:sz w:val="20"/>
          <w:szCs w:val="20"/>
        </w:rPr>
        <w:t xml:space="preserve">(9), 1653. </w:t>
      </w:r>
      <w:hyperlink r:id="rId13" w:history="1">
        <w:r>
          <w:rPr>
            <w:rStyle w:val="Hyperlink"/>
            <w:rFonts w:ascii="Arial" w:hAnsi="Arial" w:cs="Arial"/>
            <w:sz w:val="20"/>
            <w:szCs w:val="20"/>
          </w:rPr>
          <w:t>https://doi.org/10.3390/antiox12091653</w:t>
        </w:r>
      </w:hyperlink>
      <w:r>
        <w:rPr>
          <w:rFonts w:ascii="Arial" w:hAnsi="Arial" w:cs="Arial"/>
          <w:sz w:val="20"/>
          <w:szCs w:val="20"/>
        </w:rPr>
        <w:t>.</w:t>
      </w:r>
    </w:p>
    <w:p w14:paraId="07938483" w14:textId="77777777" w:rsidR="00F62FD0" w:rsidRDefault="00000000">
      <w:pPr>
        <w:ind w:left="720" w:hanging="720"/>
        <w:jc w:val="both"/>
        <w:rPr>
          <w:rFonts w:ascii="Arial" w:hAnsi="Arial" w:cs="Arial"/>
          <w:sz w:val="20"/>
          <w:szCs w:val="20"/>
        </w:rPr>
      </w:pPr>
      <w:r>
        <w:rPr>
          <w:rFonts w:ascii="Arial" w:hAnsi="Arial" w:cs="Arial"/>
          <w:sz w:val="20"/>
          <w:szCs w:val="20"/>
        </w:rPr>
        <w:t xml:space="preserve">Bassey, O. B., Suleiman, H., </w:t>
      </w:r>
      <w:proofErr w:type="spellStart"/>
      <w:r>
        <w:rPr>
          <w:rFonts w:ascii="Arial" w:hAnsi="Arial" w:cs="Arial"/>
          <w:sz w:val="20"/>
          <w:szCs w:val="20"/>
        </w:rPr>
        <w:t>Shiyin</w:t>
      </w:r>
      <w:proofErr w:type="spellEnd"/>
      <w:r>
        <w:rPr>
          <w:rFonts w:ascii="Arial" w:hAnsi="Arial" w:cs="Arial"/>
          <w:sz w:val="20"/>
          <w:szCs w:val="20"/>
        </w:rPr>
        <w:t xml:space="preserve">, K. B., &amp; Solomon, A. O. (2023). Biochemical evaluation of </w:t>
      </w:r>
      <w:r>
        <w:rPr>
          <w:rFonts w:ascii="Arial" w:hAnsi="Arial" w:cs="Arial"/>
          <w:i/>
          <w:iCs/>
          <w:sz w:val="20"/>
          <w:szCs w:val="20"/>
        </w:rPr>
        <w:t>Ceiba pentandra</w:t>
      </w:r>
      <w:r>
        <w:rPr>
          <w:rFonts w:ascii="Arial" w:hAnsi="Arial" w:cs="Arial"/>
          <w:sz w:val="20"/>
          <w:szCs w:val="20"/>
        </w:rPr>
        <w:t xml:space="preserve"> leaf on the amelioration of testosterone induced-benign prostatic hyperplasia in Wister rats. </w:t>
      </w:r>
      <w:r>
        <w:rPr>
          <w:rFonts w:ascii="Arial" w:hAnsi="Arial" w:cs="Arial"/>
          <w:i/>
          <w:iCs/>
          <w:sz w:val="20"/>
          <w:szCs w:val="20"/>
        </w:rPr>
        <w:t>World Journal of Advanced Research and Reviews</w:t>
      </w:r>
      <w:r>
        <w:rPr>
          <w:rFonts w:ascii="Arial" w:hAnsi="Arial" w:cs="Arial"/>
          <w:sz w:val="20"/>
          <w:szCs w:val="20"/>
        </w:rPr>
        <w:t xml:space="preserve">, </w:t>
      </w:r>
      <w:r>
        <w:rPr>
          <w:rFonts w:ascii="Arial" w:hAnsi="Arial" w:cs="Arial"/>
          <w:i/>
          <w:iCs/>
          <w:sz w:val="20"/>
          <w:szCs w:val="20"/>
        </w:rPr>
        <w:t>18</w:t>
      </w:r>
      <w:r>
        <w:rPr>
          <w:rFonts w:ascii="Arial" w:hAnsi="Arial" w:cs="Arial"/>
          <w:sz w:val="20"/>
          <w:szCs w:val="20"/>
        </w:rPr>
        <w:t xml:space="preserve">(01), 476 – 487. </w:t>
      </w:r>
      <w:hyperlink r:id="rId14" w:history="1">
        <w:r>
          <w:rPr>
            <w:rStyle w:val="Hyperlink"/>
            <w:rFonts w:ascii="Arial" w:hAnsi="Arial" w:cs="Arial"/>
            <w:sz w:val="20"/>
            <w:szCs w:val="20"/>
          </w:rPr>
          <w:t>https://doi.org/10.30574/wjarr.2023.18.1.0623</w:t>
        </w:r>
      </w:hyperlink>
      <w:r>
        <w:rPr>
          <w:rFonts w:ascii="Arial" w:hAnsi="Arial" w:cs="Arial"/>
          <w:sz w:val="20"/>
          <w:szCs w:val="20"/>
        </w:rPr>
        <w:t>.</w:t>
      </w:r>
    </w:p>
    <w:p w14:paraId="414F3C1A" w14:textId="77777777" w:rsidR="00F62FD0" w:rsidRDefault="00000000">
      <w:pPr>
        <w:ind w:left="720" w:hanging="720"/>
        <w:jc w:val="both"/>
        <w:rPr>
          <w:rFonts w:ascii="Arial" w:hAnsi="Arial" w:cs="Arial"/>
          <w:sz w:val="20"/>
          <w:szCs w:val="20"/>
        </w:rPr>
      </w:pPr>
      <w:r>
        <w:rPr>
          <w:rFonts w:ascii="Arial" w:hAnsi="Arial" w:cs="Arial"/>
          <w:sz w:val="20"/>
          <w:szCs w:val="20"/>
        </w:rPr>
        <w:t>Belem-</w:t>
      </w:r>
      <w:proofErr w:type="spellStart"/>
      <w:r>
        <w:rPr>
          <w:rFonts w:ascii="Arial" w:hAnsi="Arial" w:cs="Arial"/>
          <w:sz w:val="20"/>
          <w:szCs w:val="20"/>
        </w:rPr>
        <w:t>Kabré</w:t>
      </w:r>
      <w:proofErr w:type="spellEnd"/>
      <w:r>
        <w:rPr>
          <w:rFonts w:ascii="Arial" w:hAnsi="Arial" w:cs="Arial"/>
          <w:sz w:val="20"/>
          <w:szCs w:val="20"/>
        </w:rPr>
        <w:t xml:space="preserve">, W. L. M. E., Da, O., </w:t>
      </w:r>
      <w:proofErr w:type="spellStart"/>
      <w:r>
        <w:rPr>
          <w:rFonts w:ascii="Arial" w:hAnsi="Arial" w:cs="Arial"/>
          <w:sz w:val="20"/>
          <w:szCs w:val="20"/>
        </w:rPr>
        <w:t>Sombié</w:t>
      </w:r>
      <w:proofErr w:type="spellEnd"/>
      <w:r>
        <w:rPr>
          <w:rFonts w:ascii="Arial" w:hAnsi="Arial" w:cs="Arial"/>
          <w:sz w:val="20"/>
          <w:szCs w:val="20"/>
        </w:rPr>
        <w:t xml:space="preserve">, E. N., Boly, R., Ouédraogo, G. G., Ouédraogo, W. R. C., </w:t>
      </w:r>
      <w:proofErr w:type="spellStart"/>
      <w:r>
        <w:rPr>
          <w:rFonts w:ascii="Arial" w:hAnsi="Arial" w:cs="Arial"/>
          <w:sz w:val="20"/>
          <w:szCs w:val="20"/>
        </w:rPr>
        <w:t>Yabré</w:t>
      </w:r>
      <w:proofErr w:type="spellEnd"/>
      <w:r>
        <w:rPr>
          <w:rFonts w:ascii="Arial" w:hAnsi="Arial" w:cs="Arial"/>
          <w:sz w:val="20"/>
          <w:szCs w:val="20"/>
        </w:rPr>
        <w:t xml:space="preserve">, Z., </w:t>
      </w:r>
      <w:proofErr w:type="spellStart"/>
      <w:r>
        <w:rPr>
          <w:rFonts w:ascii="Arial" w:hAnsi="Arial" w:cs="Arial"/>
          <w:sz w:val="20"/>
          <w:szCs w:val="20"/>
        </w:rPr>
        <w:t>Koussé</w:t>
      </w:r>
      <w:proofErr w:type="spellEnd"/>
      <w:r>
        <w:rPr>
          <w:rFonts w:ascii="Arial" w:hAnsi="Arial" w:cs="Arial"/>
          <w:sz w:val="20"/>
          <w:szCs w:val="20"/>
        </w:rPr>
        <w:t xml:space="preserve">, J. N. D., </w:t>
      </w:r>
      <w:proofErr w:type="spellStart"/>
      <w:r>
        <w:rPr>
          <w:rFonts w:ascii="Arial" w:hAnsi="Arial" w:cs="Arial"/>
          <w:sz w:val="20"/>
          <w:szCs w:val="20"/>
        </w:rPr>
        <w:t>Belemnaba</w:t>
      </w:r>
      <w:proofErr w:type="spellEnd"/>
      <w:r>
        <w:rPr>
          <w:rFonts w:ascii="Arial" w:hAnsi="Arial" w:cs="Arial"/>
          <w:sz w:val="20"/>
          <w:szCs w:val="20"/>
        </w:rPr>
        <w:t xml:space="preserve">, L., Lamien-Sanou, A. &amp; Ouédraogo, N. (2024). Therapeutic effect of aqueous extract from </w:t>
      </w:r>
      <w:proofErr w:type="spellStart"/>
      <w:r>
        <w:rPr>
          <w:rFonts w:ascii="Arial" w:hAnsi="Arial" w:cs="Arial"/>
          <w:sz w:val="20"/>
          <w:szCs w:val="20"/>
        </w:rPr>
        <w:t>Ampelocissus</w:t>
      </w:r>
      <w:proofErr w:type="spellEnd"/>
      <w:r>
        <w:rPr>
          <w:rFonts w:ascii="Arial" w:hAnsi="Arial" w:cs="Arial"/>
          <w:sz w:val="20"/>
          <w:szCs w:val="20"/>
        </w:rPr>
        <w:t xml:space="preserve"> </w:t>
      </w:r>
      <w:proofErr w:type="spellStart"/>
      <w:r>
        <w:rPr>
          <w:rFonts w:ascii="Arial" w:hAnsi="Arial" w:cs="Arial"/>
          <w:sz w:val="20"/>
          <w:szCs w:val="20"/>
        </w:rPr>
        <w:t>africana</w:t>
      </w:r>
      <w:proofErr w:type="spellEnd"/>
      <w:r>
        <w:rPr>
          <w:rFonts w:ascii="Arial" w:hAnsi="Arial" w:cs="Arial"/>
          <w:sz w:val="20"/>
          <w:szCs w:val="20"/>
        </w:rPr>
        <w:t xml:space="preserve"> (</w:t>
      </w:r>
      <w:proofErr w:type="spellStart"/>
      <w:r>
        <w:rPr>
          <w:rFonts w:ascii="Arial" w:hAnsi="Arial" w:cs="Arial"/>
          <w:sz w:val="20"/>
          <w:szCs w:val="20"/>
        </w:rPr>
        <w:t>Lour</w:t>
      </w:r>
      <w:proofErr w:type="spellEnd"/>
      <w:r>
        <w:rPr>
          <w:rFonts w:ascii="Arial" w:hAnsi="Arial" w:cs="Arial"/>
          <w:sz w:val="20"/>
          <w:szCs w:val="20"/>
        </w:rPr>
        <w:t xml:space="preserve">) </w:t>
      </w:r>
      <w:proofErr w:type="spellStart"/>
      <w:r>
        <w:rPr>
          <w:rFonts w:ascii="Arial" w:hAnsi="Arial" w:cs="Arial"/>
          <w:sz w:val="20"/>
          <w:szCs w:val="20"/>
        </w:rPr>
        <w:t>Merr</w:t>
      </w:r>
      <w:proofErr w:type="spellEnd"/>
      <w:r>
        <w:rPr>
          <w:rFonts w:ascii="Arial" w:hAnsi="Arial" w:cs="Arial"/>
          <w:sz w:val="20"/>
          <w:szCs w:val="20"/>
        </w:rPr>
        <w:t xml:space="preserve"> rhizomes on testosterone-induced benign prostatic hyperplasia in Wistar rats. </w:t>
      </w:r>
      <w:r>
        <w:rPr>
          <w:rFonts w:ascii="Arial" w:hAnsi="Arial" w:cs="Arial"/>
          <w:i/>
          <w:iCs/>
          <w:sz w:val="20"/>
          <w:szCs w:val="20"/>
        </w:rPr>
        <w:t xml:space="preserve">Journal of </w:t>
      </w:r>
      <w:proofErr w:type="spellStart"/>
      <w:r>
        <w:rPr>
          <w:rFonts w:ascii="Arial" w:hAnsi="Arial" w:cs="Arial"/>
          <w:i/>
          <w:iCs/>
          <w:sz w:val="20"/>
          <w:szCs w:val="20"/>
        </w:rPr>
        <w:t>Herbmed</w:t>
      </w:r>
      <w:proofErr w:type="spellEnd"/>
      <w:r>
        <w:rPr>
          <w:rFonts w:ascii="Arial" w:hAnsi="Arial" w:cs="Arial"/>
          <w:i/>
          <w:iCs/>
          <w:sz w:val="20"/>
          <w:szCs w:val="20"/>
        </w:rPr>
        <w:t xml:space="preserve"> Pharmacology</w:t>
      </w:r>
      <w:r>
        <w:rPr>
          <w:rFonts w:ascii="Arial" w:hAnsi="Arial" w:cs="Arial"/>
          <w:sz w:val="20"/>
          <w:szCs w:val="20"/>
        </w:rPr>
        <w:t>, </w:t>
      </w:r>
      <w:r>
        <w:rPr>
          <w:rFonts w:ascii="Arial" w:hAnsi="Arial" w:cs="Arial"/>
          <w:i/>
          <w:iCs/>
          <w:sz w:val="20"/>
          <w:szCs w:val="20"/>
        </w:rPr>
        <w:t>13</w:t>
      </w:r>
      <w:r>
        <w:rPr>
          <w:rFonts w:ascii="Arial" w:hAnsi="Arial" w:cs="Arial"/>
          <w:sz w:val="20"/>
          <w:szCs w:val="20"/>
        </w:rPr>
        <w:t xml:space="preserve">(2), 199-207. </w:t>
      </w:r>
      <w:hyperlink r:id="rId15" w:history="1">
        <w:r>
          <w:rPr>
            <w:rStyle w:val="Hyperlink"/>
            <w:rFonts w:ascii="Arial" w:hAnsi="Arial" w:cs="Arial"/>
            <w:sz w:val="20"/>
            <w:szCs w:val="20"/>
          </w:rPr>
          <w:t>https://doi.org/10.34172/jhp.2024.42388</w:t>
        </w:r>
      </w:hyperlink>
      <w:r>
        <w:rPr>
          <w:rFonts w:ascii="Arial" w:hAnsi="Arial" w:cs="Arial"/>
          <w:sz w:val="20"/>
          <w:szCs w:val="20"/>
        </w:rPr>
        <w:t>.</w:t>
      </w:r>
    </w:p>
    <w:p w14:paraId="17C19939"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Chukwudoruo</w:t>
      </w:r>
      <w:proofErr w:type="spellEnd"/>
      <w:r>
        <w:rPr>
          <w:rFonts w:ascii="Arial" w:hAnsi="Arial" w:cs="Arial"/>
          <w:sz w:val="20"/>
          <w:szCs w:val="20"/>
        </w:rPr>
        <w:t>, C. S., Osuji-Kalu-Ibe, N. C., Igwe, K. O., Iheme, C. I., &amp; Mba, B. A. (2021). Serum total protein concentration and liver enzymes activities in albino rats model administered with ethanolic leaf extract of Ficus capensis. </w:t>
      </w:r>
      <w:r>
        <w:rPr>
          <w:rFonts w:ascii="Arial" w:hAnsi="Arial" w:cs="Arial"/>
          <w:i/>
          <w:iCs/>
          <w:sz w:val="20"/>
          <w:szCs w:val="20"/>
        </w:rPr>
        <w:t>African Journal of Biotechnology</w:t>
      </w:r>
      <w:r>
        <w:rPr>
          <w:rFonts w:ascii="Arial" w:hAnsi="Arial" w:cs="Arial"/>
          <w:sz w:val="20"/>
          <w:szCs w:val="20"/>
        </w:rPr>
        <w:t>, </w:t>
      </w:r>
      <w:r>
        <w:rPr>
          <w:rFonts w:ascii="Arial" w:hAnsi="Arial" w:cs="Arial"/>
          <w:i/>
          <w:iCs/>
          <w:sz w:val="20"/>
          <w:szCs w:val="20"/>
        </w:rPr>
        <w:t>20</w:t>
      </w:r>
      <w:r>
        <w:rPr>
          <w:rFonts w:ascii="Arial" w:hAnsi="Arial" w:cs="Arial"/>
          <w:sz w:val="20"/>
          <w:szCs w:val="20"/>
        </w:rPr>
        <w:t>(4), 164-168.</w:t>
      </w:r>
    </w:p>
    <w:p w14:paraId="791FE922" w14:textId="77777777" w:rsidR="00F62FD0" w:rsidRDefault="00000000">
      <w:pPr>
        <w:ind w:left="720" w:hanging="720"/>
        <w:jc w:val="both"/>
        <w:rPr>
          <w:rFonts w:ascii="Arial" w:hAnsi="Arial" w:cs="Arial"/>
          <w:sz w:val="20"/>
          <w:szCs w:val="20"/>
        </w:rPr>
      </w:pPr>
      <w:r>
        <w:rPr>
          <w:rFonts w:ascii="Arial" w:hAnsi="Arial" w:cs="Arial"/>
          <w:sz w:val="20"/>
          <w:szCs w:val="20"/>
        </w:rPr>
        <w:t>Claure-Del Granado, R., &amp; Espinosa-Cuevas, M. (2021). Herbal nephropathy. </w:t>
      </w:r>
      <w:proofErr w:type="spellStart"/>
      <w:r>
        <w:rPr>
          <w:rFonts w:ascii="Arial" w:hAnsi="Arial" w:cs="Arial"/>
          <w:i/>
          <w:iCs/>
          <w:sz w:val="20"/>
          <w:szCs w:val="20"/>
        </w:rPr>
        <w:t>Contrib</w:t>
      </w:r>
      <w:proofErr w:type="spellEnd"/>
      <w:r>
        <w:rPr>
          <w:rFonts w:ascii="Arial" w:hAnsi="Arial" w:cs="Arial"/>
          <w:i/>
          <w:iCs/>
          <w:sz w:val="20"/>
          <w:szCs w:val="20"/>
        </w:rPr>
        <w:t xml:space="preserve"> Nephrol</w:t>
      </w:r>
      <w:r>
        <w:rPr>
          <w:rFonts w:ascii="Arial" w:hAnsi="Arial" w:cs="Arial"/>
          <w:sz w:val="20"/>
          <w:szCs w:val="20"/>
        </w:rPr>
        <w:t>, </w:t>
      </w:r>
      <w:r>
        <w:rPr>
          <w:rFonts w:ascii="Arial" w:hAnsi="Arial" w:cs="Arial"/>
          <w:i/>
          <w:iCs/>
          <w:sz w:val="20"/>
          <w:szCs w:val="20"/>
        </w:rPr>
        <w:t>199</w:t>
      </w:r>
      <w:r>
        <w:rPr>
          <w:rFonts w:ascii="Arial" w:hAnsi="Arial" w:cs="Arial"/>
          <w:sz w:val="20"/>
          <w:szCs w:val="20"/>
        </w:rPr>
        <w:t>, 143-154.</w:t>
      </w:r>
    </w:p>
    <w:p w14:paraId="583FBDDA" w14:textId="77777777" w:rsidR="00F62FD0" w:rsidRDefault="00000000">
      <w:pPr>
        <w:ind w:left="720" w:hanging="720"/>
        <w:jc w:val="both"/>
        <w:rPr>
          <w:rFonts w:ascii="Arial" w:hAnsi="Arial" w:cs="Arial"/>
          <w:sz w:val="20"/>
          <w:szCs w:val="20"/>
        </w:rPr>
      </w:pPr>
      <w:r>
        <w:rPr>
          <w:rFonts w:ascii="Arial" w:hAnsi="Arial" w:cs="Arial"/>
          <w:sz w:val="20"/>
          <w:szCs w:val="20"/>
        </w:rPr>
        <w:t>Enyindah, C., Elechi-Amadi, K., &amp; Ben-Chioma, A. (2023). Evaluation of Therapeutic Potential of Plantain Root Extract in Testosterone-Induced BPH in Male Albino Rats. </w:t>
      </w:r>
      <w:r>
        <w:rPr>
          <w:rFonts w:ascii="Arial" w:hAnsi="Arial" w:cs="Arial"/>
          <w:i/>
          <w:iCs/>
          <w:sz w:val="20"/>
          <w:szCs w:val="20"/>
        </w:rPr>
        <w:t>Journal of Disease and Global Health</w:t>
      </w:r>
      <w:r>
        <w:rPr>
          <w:rFonts w:ascii="Arial" w:hAnsi="Arial" w:cs="Arial"/>
          <w:sz w:val="20"/>
          <w:szCs w:val="20"/>
        </w:rPr>
        <w:t>, </w:t>
      </w:r>
      <w:r>
        <w:rPr>
          <w:rFonts w:ascii="Arial" w:hAnsi="Arial" w:cs="Arial"/>
          <w:i/>
          <w:iCs/>
          <w:sz w:val="20"/>
          <w:szCs w:val="20"/>
        </w:rPr>
        <w:t>16</w:t>
      </w:r>
      <w:r>
        <w:rPr>
          <w:rFonts w:ascii="Arial" w:hAnsi="Arial" w:cs="Arial"/>
          <w:sz w:val="20"/>
          <w:szCs w:val="20"/>
        </w:rPr>
        <w:t xml:space="preserve">(2), 32-37. </w:t>
      </w:r>
      <w:hyperlink r:id="rId16" w:history="1">
        <w:r>
          <w:rPr>
            <w:rStyle w:val="Hyperlink"/>
            <w:rFonts w:ascii="Arial" w:hAnsi="Arial" w:cs="Arial"/>
            <w:sz w:val="20"/>
            <w:szCs w:val="20"/>
          </w:rPr>
          <w:t>https://doi.org/10.56557/JODAGH/2023/v16i28364</w:t>
        </w:r>
      </w:hyperlink>
      <w:r>
        <w:rPr>
          <w:rFonts w:ascii="Arial" w:hAnsi="Arial" w:cs="Arial"/>
          <w:sz w:val="20"/>
          <w:szCs w:val="20"/>
        </w:rPr>
        <w:t>.</w:t>
      </w:r>
    </w:p>
    <w:p w14:paraId="206341D1" w14:textId="77777777" w:rsidR="00F62FD0" w:rsidRDefault="00000000">
      <w:pPr>
        <w:ind w:left="720" w:hanging="720"/>
        <w:jc w:val="both"/>
        <w:rPr>
          <w:rFonts w:ascii="Arial" w:hAnsi="Arial" w:cs="Arial"/>
          <w:sz w:val="20"/>
          <w:szCs w:val="20"/>
        </w:rPr>
      </w:pPr>
      <w:r>
        <w:rPr>
          <w:rFonts w:ascii="Arial" w:hAnsi="Arial" w:cs="Arial"/>
          <w:sz w:val="20"/>
          <w:szCs w:val="20"/>
        </w:rPr>
        <w:t xml:space="preserve">Gabi, B., Sharif, H. B., Umar, H., &amp; Umar, I. (2022). Toxicity study and effect of the leaf extract of </w:t>
      </w:r>
      <w:r>
        <w:rPr>
          <w:rFonts w:ascii="Arial" w:hAnsi="Arial" w:cs="Arial"/>
          <w:i/>
          <w:iCs/>
          <w:sz w:val="20"/>
          <w:szCs w:val="20"/>
        </w:rPr>
        <w:t>Acacia nilotica</w:t>
      </w:r>
      <w:r>
        <w:rPr>
          <w:rFonts w:ascii="Arial" w:hAnsi="Arial" w:cs="Arial"/>
          <w:sz w:val="20"/>
          <w:szCs w:val="20"/>
        </w:rPr>
        <w:t xml:space="preserve"> on some biochemical parameters of Wistar albino rats. </w:t>
      </w:r>
      <w:r>
        <w:rPr>
          <w:rFonts w:ascii="Arial" w:hAnsi="Arial" w:cs="Arial"/>
          <w:i/>
          <w:iCs/>
          <w:sz w:val="20"/>
          <w:szCs w:val="20"/>
        </w:rPr>
        <w:t>Science World Journal</w:t>
      </w:r>
      <w:r>
        <w:rPr>
          <w:rFonts w:ascii="Arial" w:hAnsi="Arial" w:cs="Arial"/>
          <w:sz w:val="20"/>
          <w:szCs w:val="20"/>
        </w:rPr>
        <w:t>, </w:t>
      </w:r>
      <w:r>
        <w:rPr>
          <w:rFonts w:ascii="Arial" w:hAnsi="Arial" w:cs="Arial"/>
          <w:i/>
          <w:iCs/>
          <w:sz w:val="20"/>
          <w:szCs w:val="20"/>
        </w:rPr>
        <w:t>17</w:t>
      </w:r>
      <w:r>
        <w:rPr>
          <w:rFonts w:ascii="Arial" w:hAnsi="Arial" w:cs="Arial"/>
          <w:sz w:val="20"/>
          <w:szCs w:val="20"/>
        </w:rPr>
        <w:t>(3), 390-397.</w:t>
      </w:r>
    </w:p>
    <w:p w14:paraId="1AE0BECD"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Gravas</w:t>
      </w:r>
      <w:proofErr w:type="spellEnd"/>
      <w:r>
        <w:rPr>
          <w:rFonts w:ascii="Arial" w:hAnsi="Arial" w:cs="Arial"/>
          <w:sz w:val="20"/>
          <w:szCs w:val="20"/>
        </w:rPr>
        <w:t xml:space="preserve">, S., Gacci, M., </w:t>
      </w:r>
      <w:proofErr w:type="spellStart"/>
      <w:r>
        <w:rPr>
          <w:rFonts w:ascii="Arial" w:hAnsi="Arial" w:cs="Arial"/>
          <w:sz w:val="20"/>
          <w:szCs w:val="20"/>
        </w:rPr>
        <w:t>Gratzke</w:t>
      </w:r>
      <w:proofErr w:type="spellEnd"/>
      <w:r>
        <w:rPr>
          <w:rFonts w:ascii="Arial" w:hAnsi="Arial" w:cs="Arial"/>
          <w:sz w:val="20"/>
          <w:szCs w:val="20"/>
        </w:rPr>
        <w:t xml:space="preserve">, C., Herrmann, T. R., </w:t>
      </w:r>
      <w:proofErr w:type="spellStart"/>
      <w:r>
        <w:rPr>
          <w:rFonts w:ascii="Arial" w:hAnsi="Arial" w:cs="Arial"/>
          <w:sz w:val="20"/>
          <w:szCs w:val="20"/>
        </w:rPr>
        <w:t>Karavitakis</w:t>
      </w:r>
      <w:proofErr w:type="spellEnd"/>
      <w:r>
        <w:rPr>
          <w:rFonts w:ascii="Arial" w:hAnsi="Arial" w:cs="Arial"/>
          <w:sz w:val="20"/>
          <w:szCs w:val="20"/>
        </w:rPr>
        <w:t xml:space="preserve">, M., Kyriazis, I., Malde, S., </w:t>
      </w:r>
      <w:proofErr w:type="spellStart"/>
      <w:r>
        <w:rPr>
          <w:rFonts w:ascii="Arial" w:hAnsi="Arial" w:cs="Arial"/>
          <w:sz w:val="20"/>
          <w:szCs w:val="20"/>
        </w:rPr>
        <w:t>Mamoulakis</w:t>
      </w:r>
      <w:proofErr w:type="spellEnd"/>
      <w:r>
        <w:rPr>
          <w:rFonts w:ascii="Arial" w:hAnsi="Arial" w:cs="Arial"/>
          <w:sz w:val="20"/>
          <w:szCs w:val="20"/>
        </w:rPr>
        <w:t xml:space="preserve">, C., Rieken, M., </w:t>
      </w:r>
      <w:proofErr w:type="spellStart"/>
      <w:r>
        <w:rPr>
          <w:rFonts w:ascii="Arial" w:hAnsi="Arial" w:cs="Arial"/>
          <w:sz w:val="20"/>
          <w:szCs w:val="20"/>
        </w:rPr>
        <w:t>Sakalis</w:t>
      </w:r>
      <w:proofErr w:type="spellEnd"/>
      <w:r>
        <w:rPr>
          <w:rFonts w:ascii="Arial" w:hAnsi="Arial" w:cs="Arial"/>
          <w:sz w:val="20"/>
          <w:szCs w:val="20"/>
        </w:rPr>
        <w:t xml:space="preserve">, V. I., Schouten, N., Speakman, M. J., </w:t>
      </w:r>
      <w:proofErr w:type="spellStart"/>
      <w:r>
        <w:rPr>
          <w:rFonts w:ascii="Arial" w:hAnsi="Arial" w:cs="Arial"/>
          <w:sz w:val="20"/>
          <w:szCs w:val="20"/>
        </w:rPr>
        <w:t>Tikkinen</w:t>
      </w:r>
      <w:proofErr w:type="spellEnd"/>
      <w:r>
        <w:rPr>
          <w:rFonts w:ascii="Arial" w:hAnsi="Arial" w:cs="Arial"/>
          <w:sz w:val="20"/>
          <w:szCs w:val="20"/>
        </w:rPr>
        <w:t>, K. A. O., &amp; Cornu, J. N. (2023). Summary paper on the 2023 European Association of Urology guidelines on the management of non-neurogenic male lower urinary tract symptoms. </w:t>
      </w:r>
      <w:r>
        <w:rPr>
          <w:rFonts w:ascii="Arial" w:hAnsi="Arial" w:cs="Arial"/>
          <w:i/>
          <w:iCs/>
          <w:sz w:val="20"/>
          <w:szCs w:val="20"/>
        </w:rPr>
        <w:t>European urology</w:t>
      </w:r>
      <w:r>
        <w:rPr>
          <w:rFonts w:ascii="Arial" w:hAnsi="Arial" w:cs="Arial"/>
          <w:sz w:val="20"/>
          <w:szCs w:val="20"/>
        </w:rPr>
        <w:t>, </w:t>
      </w:r>
      <w:r>
        <w:rPr>
          <w:rFonts w:ascii="Arial" w:hAnsi="Arial" w:cs="Arial"/>
          <w:i/>
          <w:iCs/>
          <w:sz w:val="20"/>
          <w:szCs w:val="20"/>
        </w:rPr>
        <w:t>84</w:t>
      </w:r>
      <w:r>
        <w:rPr>
          <w:rFonts w:ascii="Arial" w:hAnsi="Arial" w:cs="Arial"/>
          <w:sz w:val="20"/>
          <w:szCs w:val="20"/>
        </w:rPr>
        <w:t xml:space="preserve">(2), 207-222. </w:t>
      </w:r>
      <w:hyperlink r:id="rId17" w:history="1">
        <w:r>
          <w:rPr>
            <w:rStyle w:val="Hyperlink"/>
            <w:rFonts w:ascii="Arial" w:hAnsi="Arial" w:cs="Arial"/>
            <w:sz w:val="20"/>
            <w:szCs w:val="20"/>
          </w:rPr>
          <w:t>https://doi.org/10.1016/j.eururo.2023.04.008</w:t>
        </w:r>
      </w:hyperlink>
      <w:r>
        <w:rPr>
          <w:rFonts w:ascii="Arial" w:hAnsi="Arial" w:cs="Arial"/>
          <w:sz w:val="20"/>
          <w:szCs w:val="20"/>
        </w:rPr>
        <w:t>.</w:t>
      </w:r>
    </w:p>
    <w:p w14:paraId="3B048A13" w14:textId="77777777" w:rsidR="00F62FD0" w:rsidRDefault="00000000">
      <w:pPr>
        <w:ind w:left="720" w:hanging="720"/>
        <w:jc w:val="both"/>
        <w:rPr>
          <w:rFonts w:ascii="Arial" w:hAnsi="Arial" w:cs="Arial"/>
          <w:sz w:val="20"/>
          <w:szCs w:val="20"/>
        </w:rPr>
      </w:pPr>
      <w:r>
        <w:rPr>
          <w:rFonts w:ascii="Arial" w:hAnsi="Arial" w:cs="Arial"/>
          <w:sz w:val="20"/>
          <w:szCs w:val="20"/>
        </w:rPr>
        <w:lastRenderedPageBreak/>
        <w:t xml:space="preserve">Hall, A. M., </w:t>
      </w:r>
      <w:proofErr w:type="spellStart"/>
      <w:r>
        <w:rPr>
          <w:rFonts w:ascii="Arial" w:hAnsi="Arial" w:cs="Arial"/>
          <w:sz w:val="20"/>
          <w:szCs w:val="20"/>
        </w:rPr>
        <w:t>Trepiccione</w:t>
      </w:r>
      <w:proofErr w:type="spellEnd"/>
      <w:r>
        <w:rPr>
          <w:rFonts w:ascii="Arial" w:hAnsi="Arial" w:cs="Arial"/>
          <w:sz w:val="20"/>
          <w:szCs w:val="20"/>
        </w:rPr>
        <w:t>, F., &amp; Unwin, R. J. (2022). Drug toxicity in the proximal tubule: new models, methods and mechanisms. </w:t>
      </w:r>
      <w:r>
        <w:rPr>
          <w:rFonts w:ascii="Arial" w:hAnsi="Arial" w:cs="Arial"/>
          <w:i/>
          <w:iCs/>
          <w:sz w:val="20"/>
          <w:szCs w:val="20"/>
        </w:rPr>
        <w:t>Pediatric Nephrology</w:t>
      </w:r>
      <w:r>
        <w:rPr>
          <w:rFonts w:ascii="Arial" w:hAnsi="Arial" w:cs="Arial"/>
          <w:sz w:val="20"/>
          <w:szCs w:val="20"/>
        </w:rPr>
        <w:t>, </w:t>
      </w:r>
      <w:r>
        <w:rPr>
          <w:rFonts w:ascii="Arial" w:hAnsi="Arial" w:cs="Arial"/>
          <w:i/>
          <w:iCs/>
          <w:sz w:val="20"/>
          <w:szCs w:val="20"/>
        </w:rPr>
        <w:t>37</w:t>
      </w:r>
      <w:r>
        <w:rPr>
          <w:rFonts w:ascii="Arial" w:hAnsi="Arial" w:cs="Arial"/>
          <w:sz w:val="20"/>
          <w:szCs w:val="20"/>
        </w:rPr>
        <w:t xml:space="preserve">(5), 973-982. </w:t>
      </w:r>
      <w:hyperlink r:id="rId18" w:history="1">
        <w:r>
          <w:rPr>
            <w:rStyle w:val="Hyperlink"/>
            <w:rFonts w:ascii="Arial" w:hAnsi="Arial" w:cs="Arial"/>
            <w:sz w:val="20"/>
            <w:szCs w:val="20"/>
          </w:rPr>
          <w:t>https://doi.org/10.1007/s00467-021-05121-9</w:t>
        </w:r>
      </w:hyperlink>
      <w:r>
        <w:rPr>
          <w:rFonts w:ascii="Arial" w:hAnsi="Arial" w:cs="Arial"/>
          <w:sz w:val="20"/>
          <w:szCs w:val="20"/>
        </w:rPr>
        <w:t>.</w:t>
      </w:r>
    </w:p>
    <w:p w14:paraId="3831DF4F"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Hoseinpour</w:t>
      </w:r>
      <w:proofErr w:type="spellEnd"/>
      <w:r>
        <w:rPr>
          <w:rFonts w:ascii="Arial" w:hAnsi="Arial" w:cs="Arial"/>
          <w:sz w:val="20"/>
          <w:szCs w:val="20"/>
        </w:rPr>
        <w:t xml:space="preserve">, F., </w:t>
      </w:r>
      <w:proofErr w:type="spellStart"/>
      <w:r>
        <w:rPr>
          <w:rFonts w:ascii="Arial" w:hAnsi="Arial" w:cs="Arial"/>
          <w:sz w:val="20"/>
          <w:szCs w:val="20"/>
        </w:rPr>
        <w:t>Hashemnia</w:t>
      </w:r>
      <w:proofErr w:type="spellEnd"/>
      <w:r>
        <w:rPr>
          <w:rFonts w:ascii="Arial" w:hAnsi="Arial" w:cs="Arial"/>
          <w:sz w:val="20"/>
          <w:szCs w:val="20"/>
        </w:rPr>
        <w:t>, M., Cheraghi, H., Salari Asl, M. M., Zare, F., &amp; Zanjani, I. A. (2025). Protective effect of the hydroethanolic extract of camelthorn (</w:t>
      </w:r>
      <w:r>
        <w:rPr>
          <w:rFonts w:ascii="Arial" w:hAnsi="Arial" w:cs="Arial"/>
          <w:i/>
          <w:iCs/>
          <w:sz w:val="20"/>
          <w:szCs w:val="20"/>
        </w:rPr>
        <w:t xml:space="preserve">Alhagi </w:t>
      </w:r>
      <w:proofErr w:type="spellStart"/>
      <w:r>
        <w:rPr>
          <w:rFonts w:ascii="Arial" w:hAnsi="Arial" w:cs="Arial"/>
          <w:i/>
          <w:iCs/>
          <w:sz w:val="20"/>
          <w:szCs w:val="20"/>
        </w:rPr>
        <w:t>maurorum</w:t>
      </w:r>
      <w:proofErr w:type="spellEnd"/>
      <w:r>
        <w:rPr>
          <w:rFonts w:ascii="Arial" w:hAnsi="Arial" w:cs="Arial"/>
          <w:sz w:val="20"/>
          <w:szCs w:val="20"/>
        </w:rPr>
        <w:t>) on benign prostatic hyperplasia induced by testosterone in rats. </w:t>
      </w:r>
      <w:r>
        <w:rPr>
          <w:rFonts w:ascii="Arial" w:hAnsi="Arial" w:cs="Arial"/>
          <w:i/>
          <w:iCs/>
          <w:sz w:val="20"/>
          <w:szCs w:val="20"/>
        </w:rPr>
        <w:t>BMC Complementary Medicine and Therapies</w:t>
      </w:r>
      <w:r>
        <w:rPr>
          <w:rFonts w:ascii="Arial" w:hAnsi="Arial" w:cs="Arial"/>
          <w:sz w:val="20"/>
          <w:szCs w:val="20"/>
        </w:rPr>
        <w:t>, </w:t>
      </w:r>
      <w:r>
        <w:rPr>
          <w:rFonts w:ascii="Arial" w:hAnsi="Arial" w:cs="Arial"/>
          <w:i/>
          <w:iCs/>
          <w:sz w:val="20"/>
          <w:szCs w:val="20"/>
        </w:rPr>
        <w:t>25</w:t>
      </w:r>
      <w:r>
        <w:rPr>
          <w:rFonts w:ascii="Arial" w:hAnsi="Arial" w:cs="Arial"/>
          <w:sz w:val="20"/>
          <w:szCs w:val="20"/>
        </w:rPr>
        <w:t xml:space="preserve">(1), 136. </w:t>
      </w:r>
      <w:hyperlink r:id="rId19" w:history="1">
        <w:r>
          <w:rPr>
            <w:rStyle w:val="Hyperlink"/>
            <w:rFonts w:ascii="Arial" w:hAnsi="Arial" w:cs="Arial"/>
            <w:sz w:val="20"/>
            <w:szCs w:val="20"/>
          </w:rPr>
          <w:t>https://doi.org/10.1186/s12906-025-04862-6</w:t>
        </w:r>
      </w:hyperlink>
      <w:r>
        <w:rPr>
          <w:rFonts w:ascii="Arial" w:hAnsi="Arial" w:cs="Arial"/>
          <w:sz w:val="20"/>
          <w:szCs w:val="20"/>
        </w:rPr>
        <w:t>.</w:t>
      </w:r>
    </w:p>
    <w:p w14:paraId="6C509C75"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Izunya</w:t>
      </w:r>
      <w:proofErr w:type="spellEnd"/>
      <w:r>
        <w:rPr>
          <w:rFonts w:ascii="Arial" w:hAnsi="Arial" w:cs="Arial"/>
          <w:sz w:val="20"/>
          <w:szCs w:val="20"/>
        </w:rPr>
        <w:t xml:space="preserve">, A. M., Akpamu, U., Uzzi, H. O., &amp; </w:t>
      </w:r>
      <w:proofErr w:type="spellStart"/>
      <w:r>
        <w:rPr>
          <w:rFonts w:ascii="Arial" w:hAnsi="Arial" w:cs="Arial"/>
          <w:sz w:val="20"/>
          <w:szCs w:val="20"/>
        </w:rPr>
        <w:t>Ujaddughe</w:t>
      </w:r>
      <w:proofErr w:type="spellEnd"/>
      <w:r>
        <w:rPr>
          <w:rFonts w:ascii="Arial" w:hAnsi="Arial" w:cs="Arial"/>
          <w:sz w:val="20"/>
          <w:szCs w:val="20"/>
        </w:rPr>
        <w:t xml:space="preserve">, O. M. (2024). Effects of ethanolic extract of Euphorbia </w:t>
      </w:r>
      <w:proofErr w:type="spellStart"/>
      <w:r>
        <w:rPr>
          <w:rFonts w:ascii="Arial" w:hAnsi="Arial" w:cs="Arial"/>
          <w:sz w:val="20"/>
          <w:szCs w:val="20"/>
        </w:rPr>
        <w:t>hirta</w:t>
      </w:r>
      <w:proofErr w:type="spellEnd"/>
      <w:r>
        <w:rPr>
          <w:rFonts w:ascii="Arial" w:hAnsi="Arial" w:cs="Arial"/>
          <w:sz w:val="20"/>
          <w:szCs w:val="20"/>
        </w:rPr>
        <w:t xml:space="preserve"> leaf on the biochemical parameters and histology of liver and kidney in rats. </w:t>
      </w:r>
      <w:r>
        <w:rPr>
          <w:rFonts w:ascii="Arial" w:hAnsi="Arial" w:cs="Arial"/>
          <w:i/>
          <w:iCs/>
          <w:sz w:val="20"/>
          <w:szCs w:val="20"/>
        </w:rPr>
        <w:t>FUOYE Journal of Biomedical Research</w:t>
      </w:r>
      <w:r>
        <w:rPr>
          <w:rFonts w:ascii="Arial" w:hAnsi="Arial" w:cs="Arial"/>
          <w:sz w:val="20"/>
          <w:szCs w:val="20"/>
        </w:rPr>
        <w:t>, </w:t>
      </w:r>
      <w:r>
        <w:rPr>
          <w:rFonts w:ascii="Arial" w:hAnsi="Arial" w:cs="Arial"/>
          <w:i/>
          <w:iCs/>
          <w:sz w:val="20"/>
          <w:szCs w:val="20"/>
        </w:rPr>
        <w:t>1</w:t>
      </w:r>
      <w:r>
        <w:rPr>
          <w:rFonts w:ascii="Arial" w:hAnsi="Arial" w:cs="Arial"/>
          <w:sz w:val="20"/>
          <w:szCs w:val="20"/>
        </w:rPr>
        <w:t>(2), 148-158.</w:t>
      </w:r>
    </w:p>
    <w:p w14:paraId="6B8F2EA2" w14:textId="77777777" w:rsidR="00F62FD0" w:rsidRPr="007F574A" w:rsidRDefault="00000000">
      <w:pPr>
        <w:ind w:left="720" w:hanging="720"/>
        <w:jc w:val="both"/>
        <w:rPr>
          <w:rFonts w:ascii="Arial" w:hAnsi="Arial" w:cs="Arial"/>
          <w:sz w:val="20"/>
          <w:szCs w:val="20"/>
          <w:lang w:val="nl-BE"/>
        </w:rPr>
      </w:pPr>
      <w:r>
        <w:rPr>
          <w:rFonts w:ascii="Arial" w:hAnsi="Arial" w:cs="Arial"/>
          <w:sz w:val="20"/>
          <w:szCs w:val="20"/>
        </w:rPr>
        <w:t>Kalas, M. A., Chavez, L., Leon, M., Taweesedt, P. T., &amp; Surani, S. (2021). Abnormal liver enzymes: A review for clinicians. </w:t>
      </w:r>
      <w:r>
        <w:rPr>
          <w:rFonts w:ascii="Arial" w:hAnsi="Arial" w:cs="Arial"/>
          <w:i/>
          <w:iCs/>
          <w:sz w:val="20"/>
          <w:szCs w:val="20"/>
        </w:rPr>
        <w:t>World journal of hepatology</w:t>
      </w:r>
      <w:r>
        <w:rPr>
          <w:rFonts w:ascii="Arial" w:hAnsi="Arial" w:cs="Arial"/>
          <w:sz w:val="20"/>
          <w:szCs w:val="20"/>
        </w:rPr>
        <w:t>, </w:t>
      </w:r>
      <w:r>
        <w:rPr>
          <w:rFonts w:ascii="Arial" w:hAnsi="Arial" w:cs="Arial"/>
          <w:i/>
          <w:iCs/>
          <w:sz w:val="20"/>
          <w:szCs w:val="20"/>
        </w:rPr>
        <w:t>13</w:t>
      </w:r>
      <w:r>
        <w:rPr>
          <w:rFonts w:ascii="Arial" w:hAnsi="Arial" w:cs="Arial"/>
          <w:sz w:val="20"/>
          <w:szCs w:val="20"/>
        </w:rPr>
        <w:t xml:space="preserve">(11), 1688–1698. </w:t>
      </w:r>
      <w:hyperlink r:id="rId20" w:history="1">
        <w:r w:rsidRPr="007F574A">
          <w:rPr>
            <w:rStyle w:val="Hyperlink"/>
            <w:rFonts w:ascii="Arial" w:hAnsi="Arial" w:cs="Arial"/>
            <w:sz w:val="20"/>
            <w:szCs w:val="20"/>
            <w:lang w:val="nl-BE"/>
          </w:rPr>
          <w:t>https://doi.org/10.4254/wjh.v13.i11.1688</w:t>
        </w:r>
      </w:hyperlink>
      <w:r w:rsidRPr="007F574A">
        <w:rPr>
          <w:rFonts w:ascii="Arial" w:hAnsi="Arial" w:cs="Arial"/>
          <w:sz w:val="20"/>
          <w:szCs w:val="20"/>
          <w:lang w:val="nl-BE"/>
        </w:rPr>
        <w:t>.</w:t>
      </w:r>
    </w:p>
    <w:p w14:paraId="6EFD000C" w14:textId="77777777" w:rsidR="00F62FD0" w:rsidRDefault="00000000">
      <w:pPr>
        <w:ind w:left="720" w:hanging="720"/>
        <w:jc w:val="both"/>
        <w:rPr>
          <w:rFonts w:ascii="Arial" w:hAnsi="Arial" w:cs="Arial"/>
          <w:sz w:val="20"/>
          <w:szCs w:val="20"/>
        </w:rPr>
      </w:pPr>
      <w:r w:rsidRPr="007F574A">
        <w:rPr>
          <w:rFonts w:ascii="Arial" w:hAnsi="Arial" w:cs="Arial"/>
          <w:sz w:val="20"/>
          <w:szCs w:val="20"/>
          <w:lang w:val="nl-BE"/>
        </w:rPr>
        <w:t xml:space="preserve">Kale, O. E., Onyeka, O. C., Oluwatobunmi, A. A., Victoria, F. O., Opeyemi, A. A., Tamalunas, A., Hennenberg, M., Akindele, A. J., &amp; Awodele, O. (2025). </w:t>
      </w:r>
      <w:r>
        <w:rPr>
          <w:rFonts w:ascii="Arial" w:hAnsi="Arial" w:cs="Arial"/>
          <w:sz w:val="20"/>
          <w:szCs w:val="20"/>
        </w:rPr>
        <w:t xml:space="preserve">Ameliorative potential of </w:t>
      </w:r>
      <w:proofErr w:type="spellStart"/>
      <w:r>
        <w:rPr>
          <w:rFonts w:ascii="Arial" w:hAnsi="Arial" w:cs="Arial"/>
          <w:i/>
          <w:iCs/>
          <w:sz w:val="20"/>
          <w:szCs w:val="20"/>
        </w:rPr>
        <w:t>Acridocarpus</w:t>
      </w:r>
      <w:proofErr w:type="spellEnd"/>
      <w:r>
        <w:rPr>
          <w:rFonts w:ascii="Arial" w:hAnsi="Arial" w:cs="Arial"/>
          <w:sz w:val="20"/>
          <w:szCs w:val="20"/>
        </w:rPr>
        <w:t xml:space="preserve"> </w:t>
      </w:r>
      <w:proofErr w:type="spellStart"/>
      <w:r>
        <w:rPr>
          <w:rFonts w:ascii="Arial" w:hAnsi="Arial" w:cs="Arial"/>
          <w:i/>
          <w:iCs/>
          <w:sz w:val="20"/>
          <w:szCs w:val="20"/>
        </w:rPr>
        <w:t>smeathmannii</w:t>
      </w:r>
      <w:proofErr w:type="spellEnd"/>
      <w:r>
        <w:rPr>
          <w:rFonts w:ascii="Arial" w:hAnsi="Arial" w:cs="Arial"/>
          <w:sz w:val="20"/>
          <w:szCs w:val="20"/>
        </w:rPr>
        <w:t xml:space="preserve"> extracts on testosterone propionate and sleep deprivation-induced benign prostate hyperplasia rats. </w:t>
      </w:r>
      <w:r>
        <w:rPr>
          <w:rFonts w:ascii="Arial" w:hAnsi="Arial" w:cs="Arial"/>
          <w:i/>
          <w:iCs/>
          <w:sz w:val="20"/>
          <w:szCs w:val="20"/>
        </w:rPr>
        <w:t>Clinical Traditional Medicine and Pharmacology</w:t>
      </w:r>
      <w:r>
        <w:rPr>
          <w:rFonts w:ascii="Arial" w:hAnsi="Arial" w:cs="Arial"/>
          <w:sz w:val="20"/>
          <w:szCs w:val="20"/>
        </w:rPr>
        <w:t xml:space="preserve">, 200231. </w:t>
      </w:r>
      <w:hyperlink r:id="rId21" w:history="1">
        <w:r>
          <w:rPr>
            <w:rStyle w:val="Hyperlink"/>
            <w:rFonts w:ascii="Arial" w:hAnsi="Arial" w:cs="Arial"/>
            <w:sz w:val="20"/>
            <w:szCs w:val="20"/>
          </w:rPr>
          <w:t>https://doi.org/10.1016/j.ctmp.2025.200231</w:t>
        </w:r>
      </w:hyperlink>
      <w:r>
        <w:rPr>
          <w:rFonts w:ascii="Arial" w:hAnsi="Arial" w:cs="Arial"/>
          <w:sz w:val="20"/>
          <w:szCs w:val="20"/>
        </w:rPr>
        <w:t>.</w:t>
      </w:r>
    </w:p>
    <w:p w14:paraId="7AF7CEA8" w14:textId="77777777" w:rsidR="00F62FD0" w:rsidRDefault="00000000">
      <w:pPr>
        <w:ind w:left="720" w:hanging="720"/>
        <w:jc w:val="both"/>
        <w:rPr>
          <w:rFonts w:ascii="Arial" w:hAnsi="Arial" w:cs="Arial"/>
          <w:sz w:val="20"/>
          <w:szCs w:val="20"/>
        </w:rPr>
      </w:pPr>
      <w:r>
        <w:rPr>
          <w:rFonts w:ascii="Arial" w:hAnsi="Arial" w:cs="Arial"/>
          <w:sz w:val="20"/>
          <w:szCs w:val="20"/>
        </w:rPr>
        <w:t xml:space="preserve">Lamin, S., Azzahra, F., Azizah, A. N., Novita, R. P., &amp; Amriani, A. (2024). Nephroprotective effects of ethyl acetate fraction from </w:t>
      </w:r>
      <w:r>
        <w:rPr>
          <w:rFonts w:ascii="Arial" w:hAnsi="Arial" w:cs="Arial"/>
          <w:i/>
          <w:iCs/>
          <w:sz w:val="20"/>
          <w:szCs w:val="20"/>
        </w:rPr>
        <w:t xml:space="preserve">Artocarpus </w:t>
      </w:r>
      <w:proofErr w:type="spellStart"/>
      <w:r>
        <w:rPr>
          <w:rFonts w:ascii="Arial" w:hAnsi="Arial" w:cs="Arial"/>
          <w:i/>
          <w:iCs/>
          <w:sz w:val="20"/>
          <w:szCs w:val="20"/>
        </w:rPr>
        <w:t>altilis</w:t>
      </w:r>
      <w:proofErr w:type="spellEnd"/>
      <w:r>
        <w:rPr>
          <w:rFonts w:ascii="Arial" w:hAnsi="Arial" w:cs="Arial"/>
          <w:sz w:val="20"/>
          <w:szCs w:val="20"/>
        </w:rPr>
        <w:t xml:space="preserve"> and </w:t>
      </w:r>
      <w:r>
        <w:rPr>
          <w:rFonts w:ascii="Arial" w:hAnsi="Arial" w:cs="Arial"/>
          <w:i/>
          <w:iCs/>
          <w:sz w:val="20"/>
          <w:szCs w:val="20"/>
        </w:rPr>
        <w:t>A. heterophyllus</w:t>
      </w:r>
      <w:r>
        <w:rPr>
          <w:rFonts w:ascii="Arial" w:hAnsi="Arial" w:cs="Arial"/>
          <w:sz w:val="20"/>
          <w:szCs w:val="20"/>
        </w:rPr>
        <w:t xml:space="preserve"> leaves on gentamicin-piroxicam nephrotoxicity in rats. </w:t>
      </w:r>
      <w:r>
        <w:rPr>
          <w:rFonts w:ascii="Arial" w:hAnsi="Arial" w:cs="Arial"/>
          <w:i/>
          <w:iCs/>
          <w:sz w:val="20"/>
          <w:szCs w:val="20"/>
        </w:rPr>
        <w:t>Farmacia</w:t>
      </w:r>
      <w:r>
        <w:rPr>
          <w:rFonts w:ascii="Arial" w:hAnsi="Arial" w:cs="Arial"/>
          <w:sz w:val="20"/>
          <w:szCs w:val="20"/>
        </w:rPr>
        <w:t>, </w:t>
      </w:r>
      <w:r>
        <w:rPr>
          <w:rFonts w:ascii="Arial" w:hAnsi="Arial" w:cs="Arial"/>
          <w:i/>
          <w:iCs/>
          <w:sz w:val="20"/>
          <w:szCs w:val="20"/>
        </w:rPr>
        <w:t>72</w:t>
      </w:r>
      <w:r>
        <w:rPr>
          <w:rFonts w:ascii="Arial" w:hAnsi="Arial" w:cs="Arial"/>
          <w:sz w:val="20"/>
          <w:szCs w:val="20"/>
        </w:rPr>
        <w:t xml:space="preserve">(1). </w:t>
      </w:r>
      <w:hyperlink r:id="rId22" w:history="1">
        <w:r>
          <w:rPr>
            <w:rStyle w:val="Hyperlink"/>
            <w:rFonts w:ascii="Arial" w:hAnsi="Arial" w:cs="Arial"/>
            <w:sz w:val="20"/>
            <w:szCs w:val="20"/>
          </w:rPr>
          <w:t>https://doi.org/10.31925/farmacia.2024.1.23</w:t>
        </w:r>
      </w:hyperlink>
      <w:r>
        <w:rPr>
          <w:rFonts w:ascii="Arial" w:hAnsi="Arial" w:cs="Arial"/>
          <w:sz w:val="20"/>
          <w:szCs w:val="20"/>
        </w:rPr>
        <w:t>.</w:t>
      </w:r>
    </w:p>
    <w:p w14:paraId="0FBFFE71" w14:textId="77777777" w:rsidR="00F62FD0" w:rsidRPr="007F574A" w:rsidRDefault="00000000">
      <w:pPr>
        <w:ind w:left="720" w:hanging="720"/>
        <w:jc w:val="both"/>
        <w:rPr>
          <w:rFonts w:ascii="Arial" w:hAnsi="Arial" w:cs="Arial"/>
          <w:sz w:val="20"/>
          <w:szCs w:val="20"/>
          <w:lang w:val="nl-BE"/>
        </w:rPr>
      </w:pPr>
      <w:r>
        <w:rPr>
          <w:rFonts w:ascii="Arial" w:hAnsi="Arial" w:cs="Arial"/>
          <w:sz w:val="20"/>
          <w:szCs w:val="20"/>
        </w:rPr>
        <w:t>Launer, B. M., McVary, K. T., Ricke, W. A., &amp; Lloyd, G. L. (2021). The rising worldwide impact of benign prostatic hyperplasia. </w:t>
      </w:r>
      <w:r>
        <w:rPr>
          <w:rFonts w:ascii="Arial" w:hAnsi="Arial" w:cs="Arial"/>
          <w:i/>
          <w:iCs/>
          <w:sz w:val="20"/>
          <w:szCs w:val="20"/>
        </w:rPr>
        <w:t>BJU international</w:t>
      </w:r>
      <w:r>
        <w:rPr>
          <w:rFonts w:ascii="Arial" w:hAnsi="Arial" w:cs="Arial"/>
          <w:sz w:val="20"/>
          <w:szCs w:val="20"/>
        </w:rPr>
        <w:t>, </w:t>
      </w:r>
      <w:r>
        <w:rPr>
          <w:rFonts w:ascii="Arial" w:hAnsi="Arial" w:cs="Arial"/>
          <w:i/>
          <w:iCs/>
          <w:sz w:val="20"/>
          <w:szCs w:val="20"/>
        </w:rPr>
        <w:t>127</w:t>
      </w:r>
      <w:r>
        <w:rPr>
          <w:rFonts w:ascii="Arial" w:hAnsi="Arial" w:cs="Arial"/>
          <w:sz w:val="20"/>
          <w:szCs w:val="20"/>
        </w:rPr>
        <w:t xml:space="preserve">(6), 722-728. </w:t>
      </w:r>
      <w:hyperlink r:id="rId23" w:history="1">
        <w:r w:rsidRPr="007F574A">
          <w:rPr>
            <w:rStyle w:val="Hyperlink"/>
            <w:rFonts w:ascii="Arial" w:hAnsi="Arial" w:cs="Arial"/>
            <w:sz w:val="20"/>
            <w:szCs w:val="20"/>
            <w:lang w:val="nl-BE"/>
          </w:rPr>
          <w:t>https://doi.org/10.1111/bju.15286</w:t>
        </w:r>
      </w:hyperlink>
    </w:p>
    <w:p w14:paraId="5390EED2" w14:textId="77777777" w:rsidR="00F62FD0" w:rsidRDefault="00000000">
      <w:pPr>
        <w:ind w:left="720" w:hanging="720"/>
        <w:jc w:val="both"/>
        <w:rPr>
          <w:rFonts w:ascii="Arial" w:hAnsi="Arial" w:cs="Arial"/>
          <w:sz w:val="20"/>
          <w:szCs w:val="20"/>
        </w:rPr>
      </w:pPr>
      <w:r w:rsidRPr="007F574A">
        <w:rPr>
          <w:rFonts w:ascii="Arial" w:hAnsi="Arial" w:cs="Arial"/>
          <w:sz w:val="20"/>
          <w:szCs w:val="20"/>
          <w:lang w:val="nl-BE"/>
        </w:rPr>
        <w:t xml:space="preserve">Nirujan, B. R., Kim, J., Baek, E.-B., Kim, K., Jayathilake, N. J., Kwak, Y. G., Jang, M. R., Ji, H. S., Kwun, H.-J., &amp; Lee, K. P. (2025). </w:t>
      </w:r>
      <w:r>
        <w:rPr>
          <w:rFonts w:ascii="Arial" w:hAnsi="Arial" w:cs="Arial"/>
          <w:sz w:val="20"/>
          <w:szCs w:val="20"/>
        </w:rPr>
        <w:t>Ameliorative Effects of </w:t>
      </w:r>
      <w:r>
        <w:rPr>
          <w:rFonts w:ascii="Arial" w:hAnsi="Arial" w:cs="Arial"/>
          <w:i/>
          <w:iCs/>
          <w:sz w:val="20"/>
          <w:szCs w:val="20"/>
        </w:rPr>
        <w:t>Prunella vulgaris</w:t>
      </w:r>
      <w:r>
        <w:rPr>
          <w:rFonts w:ascii="Arial" w:hAnsi="Arial" w:cs="Arial"/>
          <w:sz w:val="20"/>
          <w:szCs w:val="20"/>
        </w:rPr>
        <w:t> on Lower Urinary Tract Symptoms Induced by Benign Prostatic Hyperplasia in SD Rats via Nitric Oxide and Potassium Channels. </w:t>
      </w:r>
      <w:r>
        <w:rPr>
          <w:rFonts w:ascii="Arial" w:hAnsi="Arial" w:cs="Arial"/>
          <w:i/>
          <w:iCs/>
          <w:sz w:val="20"/>
          <w:szCs w:val="20"/>
        </w:rPr>
        <w:t>Pharmaceuticals</w:t>
      </w:r>
      <w:r>
        <w:rPr>
          <w:rFonts w:ascii="Arial" w:hAnsi="Arial" w:cs="Arial"/>
          <w:sz w:val="20"/>
          <w:szCs w:val="20"/>
        </w:rPr>
        <w:t>, </w:t>
      </w:r>
      <w:r>
        <w:rPr>
          <w:rFonts w:ascii="Arial" w:hAnsi="Arial" w:cs="Arial"/>
          <w:i/>
          <w:iCs/>
          <w:sz w:val="20"/>
          <w:szCs w:val="20"/>
        </w:rPr>
        <w:t>18</w:t>
      </w:r>
      <w:r>
        <w:rPr>
          <w:rFonts w:ascii="Arial" w:hAnsi="Arial" w:cs="Arial"/>
          <w:sz w:val="20"/>
          <w:szCs w:val="20"/>
        </w:rPr>
        <w:t xml:space="preserve">(3), 400. </w:t>
      </w:r>
      <w:hyperlink r:id="rId24" w:history="1">
        <w:r>
          <w:rPr>
            <w:rStyle w:val="Hyperlink"/>
            <w:rFonts w:ascii="Arial" w:hAnsi="Arial" w:cs="Arial"/>
            <w:sz w:val="20"/>
            <w:szCs w:val="20"/>
          </w:rPr>
          <w:t>https://doi.org/10.3390/ph18030400</w:t>
        </w:r>
      </w:hyperlink>
      <w:r>
        <w:rPr>
          <w:rFonts w:ascii="Arial" w:hAnsi="Arial" w:cs="Arial"/>
          <w:sz w:val="20"/>
          <w:szCs w:val="20"/>
        </w:rPr>
        <w:t>.</w:t>
      </w:r>
    </w:p>
    <w:p w14:paraId="7A26C9D9"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Ofeniforo</w:t>
      </w:r>
      <w:proofErr w:type="spellEnd"/>
      <w:r>
        <w:rPr>
          <w:rFonts w:ascii="Arial" w:hAnsi="Arial" w:cs="Arial"/>
          <w:sz w:val="20"/>
          <w:szCs w:val="20"/>
        </w:rPr>
        <w:t xml:space="preserve">, B. E., </w:t>
      </w:r>
      <w:proofErr w:type="spellStart"/>
      <w:r>
        <w:rPr>
          <w:rFonts w:ascii="Arial" w:hAnsi="Arial" w:cs="Arial"/>
          <w:sz w:val="20"/>
          <w:szCs w:val="20"/>
        </w:rPr>
        <w:t>Ogunro</w:t>
      </w:r>
      <w:proofErr w:type="spellEnd"/>
      <w:r>
        <w:rPr>
          <w:rFonts w:ascii="Arial" w:hAnsi="Arial" w:cs="Arial"/>
          <w:sz w:val="20"/>
          <w:szCs w:val="20"/>
        </w:rPr>
        <w:t xml:space="preserve">, O. B., Agada, S. E., Adam, A. A., Ajayi, M. G., &amp; Balogun, E. A. (2025). Evaluation of serum and tissue biochemical assays of </w:t>
      </w:r>
      <w:r>
        <w:rPr>
          <w:rFonts w:ascii="Arial" w:hAnsi="Arial" w:cs="Arial"/>
          <w:i/>
          <w:iCs/>
          <w:sz w:val="20"/>
          <w:szCs w:val="20"/>
        </w:rPr>
        <w:t>Rattus norvegicus</w:t>
      </w:r>
      <w:r>
        <w:rPr>
          <w:rFonts w:ascii="Arial" w:hAnsi="Arial" w:cs="Arial"/>
          <w:sz w:val="20"/>
          <w:szCs w:val="20"/>
        </w:rPr>
        <w:t xml:space="preserve"> after sub-acute oral administration of ethyl acetate sub-fraction of </w:t>
      </w:r>
      <w:proofErr w:type="spellStart"/>
      <w:r>
        <w:rPr>
          <w:rFonts w:ascii="Arial" w:hAnsi="Arial" w:cs="Arial"/>
          <w:i/>
          <w:iCs/>
          <w:sz w:val="20"/>
          <w:szCs w:val="20"/>
        </w:rPr>
        <w:t>Spilanthes</w:t>
      </w:r>
      <w:proofErr w:type="spellEnd"/>
      <w:r>
        <w:rPr>
          <w:rFonts w:ascii="Arial" w:hAnsi="Arial" w:cs="Arial"/>
          <w:i/>
          <w:iCs/>
          <w:sz w:val="20"/>
          <w:szCs w:val="20"/>
        </w:rPr>
        <w:t xml:space="preserve"> </w:t>
      </w:r>
      <w:proofErr w:type="spellStart"/>
      <w:r>
        <w:rPr>
          <w:rFonts w:ascii="Arial" w:hAnsi="Arial" w:cs="Arial"/>
          <w:i/>
          <w:iCs/>
          <w:sz w:val="20"/>
          <w:szCs w:val="20"/>
        </w:rPr>
        <w:t>filicaulis</w:t>
      </w:r>
      <w:proofErr w:type="spellEnd"/>
      <w:r>
        <w:rPr>
          <w:rFonts w:ascii="Arial" w:hAnsi="Arial" w:cs="Arial"/>
          <w:sz w:val="20"/>
          <w:szCs w:val="20"/>
        </w:rPr>
        <w:t>. </w:t>
      </w:r>
      <w:r>
        <w:rPr>
          <w:rFonts w:ascii="Arial" w:hAnsi="Arial" w:cs="Arial"/>
          <w:i/>
          <w:iCs/>
          <w:sz w:val="20"/>
          <w:szCs w:val="20"/>
        </w:rPr>
        <w:t>Future Journal of Pharmaceutical Sciences</w:t>
      </w:r>
      <w:r>
        <w:rPr>
          <w:rFonts w:ascii="Arial" w:hAnsi="Arial" w:cs="Arial"/>
          <w:sz w:val="20"/>
          <w:szCs w:val="20"/>
        </w:rPr>
        <w:t>, </w:t>
      </w:r>
      <w:r>
        <w:rPr>
          <w:rFonts w:ascii="Arial" w:hAnsi="Arial" w:cs="Arial"/>
          <w:i/>
          <w:iCs/>
          <w:sz w:val="20"/>
          <w:szCs w:val="20"/>
        </w:rPr>
        <w:t>11</w:t>
      </w:r>
      <w:r>
        <w:rPr>
          <w:rFonts w:ascii="Arial" w:hAnsi="Arial" w:cs="Arial"/>
          <w:sz w:val="20"/>
          <w:szCs w:val="20"/>
        </w:rPr>
        <w:t xml:space="preserve">(1), 65. </w:t>
      </w:r>
      <w:hyperlink r:id="rId25" w:history="1">
        <w:r>
          <w:rPr>
            <w:rStyle w:val="Hyperlink"/>
            <w:rFonts w:ascii="Arial" w:hAnsi="Arial" w:cs="Arial"/>
            <w:sz w:val="20"/>
            <w:szCs w:val="20"/>
          </w:rPr>
          <w:t>https://doi.org/10.1186/s43094-025-00812-8</w:t>
        </w:r>
      </w:hyperlink>
      <w:r>
        <w:rPr>
          <w:rFonts w:ascii="Arial" w:hAnsi="Arial" w:cs="Arial"/>
          <w:sz w:val="20"/>
          <w:szCs w:val="20"/>
        </w:rPr>
        <w:t>.</w:t>
      </w:r>
    </w:p>
    <w:p w14:paraId="3D1A88B0" w14:textId="77777777" w:rsidR="00F62FD0" w:rsidRDefault="00000000">
      <w:pPr>
        <w:ind w:left="720" w:hanging="720"/>
        <w:jc w:val="both"/>
        <w:rPr>
          <w:rFonts w:ascii="Arial" w:hAnsi="Arial" w:cs="Arial"/>
          <w:sz w:val="20"/>
          <w:szCs w:val="20"/>
        </w:rPr>
      </w:pPr>
      <w:r w:rsidRPr="007F574A">
        <w:rPr>
          <w:rFonts w:ascii="Arial" w:hAnsi="Arial" w:cs="Arial"/>
          <w:sz w:val="20"/>
          <w:szCs w:val="20"/>
          <w:lang w:val="nl-BE"/>
        </w:rPr>
        <w:t xml:space="preserve">Ogar, V. O. &amp; Itam, Y. B. (2024). </w:t>
      </w:r>
      <w:r>
        <w:rPr>
          <w:rFonts w:ascii="Arial" w:hAnsi="Arial" w:cs="Arial"/>
          <w:sz w:val="20"/>
          <w:szCs w:val="20"/>
        </w:rPr>
        <w:t xml:space="preserve">Kidney-Induced Injury from Native Herbal Drugs: A Case Study of Certain Herbs Used in the Management of Infertility in Calabar, Nigeria. </w:t>
      </w:r>
      <w:r>
        <w:rPr>
          <w:rFonts w:ascii="Arial" w:hAnsi="Arial" w:cs="Arial"/>
          <w:i/>
          <w:iCs/>
          <w:sz w:val="20"/>
          <w:szCs w:val="20"/>
        </w:rPr>
        <w:t>International Journal of Public Health, Pharmacy and Pharmacology, 9</w:t>
      </w:r>
      <w:r>
        <w:rPr>
          <w:rFonts w:ascii="Arial" w:hAnsi="Arial" w:cs="Arial"/>
          <w:sz w:val="20"/>
          <w:szCs w:val="20"/>
        </w:rPr>
        <w:t xml:space="preserve"> (2), 10-18. </w:t>
      </w:r>
      <w:hyperlink r:id="rId26" w:history="1">
        <w:r>
          <w:rPr>
            <w:rStyle w:val="Hyperlink"/>
            <w:rFonts w:ascii="Arial" w:hAnsi="Arial" w:cs="Arial"/>
            <w:sz w:val="20"/>
            <w:szCs w:val="20"/>
          </w:rPr>
          <w:t>https://doi.org/10.37745/ijphpp.15/vol9n21018</w:t>
        </w:r>
      </w:hyperlink>
      <w:r>
        <w:rPr>
          <w:rFonts w:ascii="Arial" w:hAnsi="Arial" w:cs="Arial"/>
          <w:sz w:val="20"/>
          <w:szCs w:val="20"/>
        </w:rPr>
        <w:t>.</w:t>
      </w:r>
    </w:p>
    <w:p w14:paraId="3DFA8F58" w14:textId="77777777" w:rsidR="00F62FD0" w:rsidRPr="007F574A" w:rsidRDefault="00000000">
      <w:pPr>
        <w:ind w:left="720" w:hanging="720"/>
        <w:jc w:val="both"/>
        <w:rPr>
          <w:rFonts w:ascii="Arial" w:hAnsi="Arial" w:cs="Arial"/>
          <w:sz w:val="20"/>
          <w:szCs w:val="20"/>
          <w:lang w:val="nl-BE"/>
        </w:rPr>
      </w:pPr>
      <w:r w:rsidRPr="007F574A">
        <w:rPr>
          <w:rFonts w:ascii="Arial" w:hAnsi="Arial" w:cs="Arial"/>
          <w:sz w:val="20"/>
          <w:szCs w:val="20"/>
          <w:lang w:val="nl-BE"/>
        </w:rPr>
        <w:t>Ogundipe, O.J., Akinpelu, O.F., Sossou, I.T. </w:t>
      </w:r>
      <w:r w:rsidRPr="007F574A">
        <w:rPr>
          <w:rFonts w:ascii="Arial" w:hAnsi="Arial" w:cs="Arial"/>
          <w:i/>
          <w:iCs/>
          <w:sz w:val="20"/>
          <w:szCs w:val="20"/>
          <w:lang w:val="nl-BE"/>
        </w:rPr>
        <w:t>et al.</w:t>
      </w:r>
      <w:r w:rsidRPr="007F574A">
        <w:rPr>
          <w:rFonts w:ascii="Arial" w:hAnsi="Arial" w:cs="Arial"/>
          <w:sz w:val="20"/>
          <w:szCs w:val="20"/>
          <w:lang w:val="nl-BE"/>
        </w:rPr>
        <w:t> </w:t>
      </w:r>
      <w:r>
        <w:rPr>
          <w:rFonts w:ascii="Arial" w:hAnsi="Arial" w:cs="Arial"/>
          <w:sz w:val="20"/>
          <w:szCs w:val="20"/>
        </w:rPr>
        <w:t>Aqueous extract of </w:t>
      </w:r>
      <w:r>
        <w:rPr>
          <w:rFonts w:ascii="Arial" w:hAnsi="Arial" w:cs="Arial"/>
          <w:i/>
          <w:iCs/>
          <w:sz w:val="20"/>
          <w:szCs w:val="20"/>
        </w:rPr>
        <w:t>Artocarpus heterophyllus</w:t>
      </w:r>
      <w:r>
        <w:rPr>
          <w:rFonts w:ascii="Arial" w:hAnsi="Arial" w:cs="Arial"/>
          <w:sz w:val="20"/>
          <w:szCs w:val="20"/>
        </w:rPr>
        <w:t> leaves attenuates gentamicin-induced nephrotoxicity via modulation of oxidative stress and inflammation in rats. </w:t>
      </w:r>
      <w:r w:rsidRPr="007F574A">
        <w:rPr>
          <w:rFonts w:ascii="Arial" w:hAnsi="Arial" w:cs="Arial"/>
          <w:i/>
          <w:iCs/>
          <w:sz w:val="20"/>
          <w:szCs w:val="20"/>
          <w:lang w:val="nl-BE"/>
        </w:rPr>
        <w:t>Nutrire,</w:t>
      </w:r>
      <w:r w:rsidRPr="007F574A">
        <w:rPr>
          <w:rFonts w:ascii="Arial" w:hAnsi="Arial" w:cs="Arial"/>
          <w:sz w:val="20"/>
          <w:szCs w:val="20"/>
          <w:lang w:val="nl-BE"/>
        </w:rPr>
        <w:t> </w:t>
      </w:r>
      <w:r w:rsidRPr="007F574A">
        <w:rPr>
          <w:rFonts w:ascii="Arial" w:hAnsi="Arial" w:cs="Arial"/>
          <w:i/>
          <w:iCs/>
          <w:sz w:val="20"/>
          <w:szCs w:val="20"/>
          <w:lang w:val="nl-BE"/>
        </w:rPr>
        <w:t>50</w:t>
      </w:r>
      <w:r w:rsidRPr="007F574A">
        <w:rPr>
          <w:rFonts w:ascii="Arial" w:hAnsi="Arial" w:cs="Arial"/>
          <w:sz w:val="20"/>
          <w:szCs w:val="20"/>
          <w:lang w:val="nl-BE"/>
        </w:rPr>
        <w:t xml:space="preserve">, 63 (2025). </w:t>
      </w:r>
      <w:r>
        <w:fldChar w:fldCharType="begin"/>
      </w:r>
      <w:r w:rsidRPr="007F574A">
        <w:rPr>
          <w:rFonts w:ascii="Arial" w:hAnsi="Arial" w:cs="Arial"/>
          <w:sz w:val="20"/>
          <w:szCs w:val="20"/>
          <w:lang w:val="nl-BE"/>
        </w:rPr>
        <w:instrText xml:space="preserve"> HYPERLINK "https://doi.org/10.1186/s41110-025-00366-y" </w:instrText>
      </w:r>
      <w:r>
        <w:fldChar w:fldCharType="separate"/>
      </w:r>
      <w:r w:rsidRPr="007F574A">
        <w:rPr>
          <w:rStyle w:val="Hyperlink"/>
          <w:rFonts w:ascii="Arial" w:hAnsi="Arial" w:cs="Arial"/>
          <w:sz w:val="20"/>
          <w:szCs w:val="20"/>
          <w:lang w:val="nl-BE"/>
        </w:rPr>
        <w:t>https://doi.org/10.1186/s41110-025-00366-y</w:t>
      </w:r>
      <w:r>
        <w:rPr>
          <w:rStyle w:val="Hyperlink"/>
          <w:rFonts w:ascii="Arial" w:hAnsi="Arial" w:cs="Arial"/>
          <w:sz w:val="20"/>
          <w:szCs w:val="20"/>
        </w:rPr>
        <w:fldChar w:fldCharType="end"/>
      </w:r>
      <w:r w:rsidRPr="007F574A">
        <w:rPr>
          <w:rFonts w:ascii="Arial" w:hAnsi="Arial" w:cs="Arial"/>
          <w:sz w:val="20"/>
          <w:szCs w:val="20"/>
          <w:lang w:val="nl-BE"/>
        </w:rPr>
        <w:t>.</w:t>
      </w:r>
    </w:p>
    <w:p w14:paraId="505A00C7" w14:textId="77777777" w:rsidR="00F62FD0" w:rsidRDefault="00000000">
      <w:pPr>
        <w:ind w:left="720" w:hanging="720"/>
        <w:jc w:val="both"/>
        <w:rPr>
          <w:rFonts w:ascii="Arial" w:hAnsi="Arial" w:cs="Arial"/>
          <w:sz w:val="20"/>
          <w:szCs w:val="20"/>
        </w:rPr>
      </w:pPr>
      <w:r w:rsidRPr="007F574A">
        <w:rPr>
          <w:rFonts w:ascii="Arial" w:hAnsi="Arial" w:cs="Arial"/>
          <w:sz w:val="20"/>
          <w:szCs w:val="20"/>
          <w:lang w:val="nl-BE"/>
        </w:rPr>
        <w:t xml:space="preserve">Okolo, L. U., Uwakwe, A., Anacletus, F., &amp; Nwauche, K. (2023). </w:t>
      </w:r>
      <w:r>
        <w:rPr>
          <w:rFonts w:ascii="Arial" w:hAnsi="Arial" w:cs="Arial"/>
          <w:sz w:val="20"/>
          <w:szCs w:val="20"/>
        </w:rPr>
        <w:t xml:space="preserve">Hepatoprotective potentials of aqueous leaf and seed extracts of </w:t>
      </w:r>
      <w:r>
        <w:rPr>
          <w:rFonts w:ascii="Arial" w:hAnsi="Arial" w:cs="Arial"/>
          <w:i/>
          <w:iCs/>
          <w:sz w:val="20"/>
          <w:szCs w:val="20"/>
        </w:rPr>
        <w:t>Artocarpus heterophyllus</w:t>
      </w:r>
      <w:r>
        <w:rPr>
          <w:rFonts w:ascii="Arial" w:hAnsi="Arial" w:cs="Arial"/>
          <w:sz w:val="20"/>
          <w:szCs w:val="20"/>
        </w:rPr>
        <w:t xml:space="preserve"> on testosterone propionate-induced prostatitis in Wistar rats. </w:t>
      </w:r>
      <w:r>
        <w:rPr>
          <w:rFonts w:ascii="Arial" w:hAnsi="Arial" w:cs="Arial"/>
          <w:i/>
          <w:iCs/>
          <w:sz w:val="20"/>
          <w:szCs w:val="20"/>
        </w:rPr>
        <w:t>Scientia Africana</w:t>
      </w:r>
      <w:r>
        <w:rPr>
          <w:rFonts w:ascii="Arial" w:hAnsi="Arial" w:cs="Arial"/>
          <w:sz w:val="20"/>
          <w:szCs w:val="20"/>
        </w:rPr>
        <w:t>, </w:t>
      </w:r>
      <w:r>
        <w:rPr>
          <w:rFonts w:ascii="Arial" w:hAnsi="Arial" w:cs="Arial"/>
          <w:i/>
          <w:iCs/>
          <w:sz w:val="20"/>
          <w:szCs w:val="20"/>
        </w:rPr>
        <w:t>22</w:t>
      </w:r>
      <w:r>
        <w:rPr>
          <w:rFonts w:ascii="Arial" w:hAnsi="Arial" w:cs="Arial"/>
          <w:sz w:val="20"/>
          <w:szCs w:val="20"/>
        </w:rPr>
        <w:t xml:space="preserve">(1), 317–334. </w:t>
      </w:r>
      <w:hyperlink r:id="rId27" w:history="1">
        <w:r>
          <w:rPr>
            <w:rStyle w:val="Hyperlink"/>
            <w:rFonts w:ascii="Arial" w:hAnsi="Arial" w:cs="Arial"/>
            <w:sz w:val="20"/>
            <w:szCs w:val="20"/>
          </w:rPr>
          <w:t>https://doi.org/10.4314/sa.v22i1.27</w:t>
        </w:r>
      </w:hyperlink>
      <w:r>
        <w:rPr>
          <w:rFonts w:ascii="Arial" w:hAnsi="Arial" w:cs="Arial"/>
          <w:sz w:val="20"/>
          <w:szCs w:val="20"/>
        </w:rPr>
        <w:t>.</w:t>
      </w:r>
    </w:p>
    <w:p w14:paraId="27DCBC05" w14:textId="77777777" w:rsidR="00F62FD0" w:rsidRDefault="00000000">
      <w:pPr>
        <w:ind w:left="720" w:hanging="720"/>
        <w:jc w:val="both"/>
        <w:rPr>
          <w:rFonts w:ascii="Arial" w:hAnsi="Arial" w:cs="Arial"/>
          <w:sz w:val="20"/>
          <w:szCs w:val="20"/>
        </w:rPr>
      </w:pPr>
      <w:r>
        <w:rPr>
          <w:rFonts w:ascii="Arial" w:hAnsi="Arial" w:cs="Arial"/>
          <w:sz w:val="20"/>
          <w:szCs w:val="20"/>
        </w:rPr>
        <w:t>Pearson, A., Gafner, S., Rider, C. V., Embry, M. R., Ferguson, S. S., &amp; Mitchell, C. A. (2022). Plant vs. kidney: evaluating nephrotoxicity of botanicals with the latest toxicological tools. </w:t>
      </w:r>
      <w:r>
        <w:rPr>
          <w:rFonts w:ascii="Arial" w:hAnsi="Arial" w:cs="Arial"/>
          <w:i/>
          <w:iCs/>
          <w:sz w:val="20"/>
          <w:szCs w:val="20"/>
        </w:rPr>
        <w:t>Current opinion in toxicology</w:t>
      </w:r>
      <w:r>
        <w:rPr>
          <w:rFonts w:ascii="Arial" w:hAnsi="Arial" w:cs="Arial"/>
          <w:sz w:val="20"/>
          <w:szCs w:val="20"/>
        </w:rPr>
        <w:t>, </w:t>
      </w:r>
      <w:r>
        <w:rPr>
          <w:rFonts w:ascii="Arial" w:hAnsi="Arial" w:cs="Arial"/>
          <w:i/>
          <w:iCs/>
          <w:sz w:val="20"/>
          <w:szCs w:val="20"/>
        </w:rPr>
        <w:t>32</w:t>
      </w:r>
      <w:r>
        <w:rPr>
          <w:rFonts w:ascii="Arial" w:hAnsi="Arial" w:cs="Arial"/>
          <w:sz w:val="20"/>
          <w:szCs w:val="20"/>
        </w:rPr>
        <w:t xml:space="preserve">, 100371. </w:t>
      </w:r>
      <w:hyperlink r:id="rId28" w:tgtFrame="_blank" w:tooltip="Persistent link using digital object identifier" w:history="1">
        <w:r>
          <w:rPr>
            <w:rStyle w:val="Hyperlink"/>
            <w:rFonts w:ascii="Arial" w:hAnsi="Arial" w:cs="Arial"/>
            <w:sz w:val="20"/>
            <w:szCs w:val="20"/>
          </w:rPr>
          <w:t>https://doi.org/10.1016/j.cotox.2022.100371</w:t>
        </w:r>
      </w:hyperlink>
      <w:r>
        <w:rPr>
          <w:rFonts w:ascii="Arial" w:hAnsi="Arial" w:cs="Arial"/>
          <w:sz w:val="20"/>
          <w:szCs w:val="20"/>
        </w:rPr>
        <w:t>.</w:t>
      </w:r>
    </w:p>
    <w:p w14:paraId="5A25CA9B" w14:textId="77777777" w:rsidR="00F62FD0" w:rsidRDefault="00000000">
      <w:pPr>
        <w:ind w:left="720" w:hanging="720"/>
        <w:jc w:val="both"/>
        <w:rPr>
          <w:rFonts w:ascii="Arial" w:hAnsi="Arial" w:cs="Arial"/>
          <w:sz w:val="20"/>
          <w:szCs w:val="20"/>
        </w:rPr>
      </w:pPr>
      <w:r>
        <w:rPr>
          <w:rFonts w:ascii="Arial" w:hAnsi="Arial" w:cs="Arial"/>
          <w:sz w:val="20"/>
          <w:szCs w:val="20"/>
        </w:rPr>
        <w:t>Rafaqat, S., Sattar, A., Khalid, A., &amp; Rafaqat, S. (2023). Role of liver parameters in diabetes mellitus–a narrative review. </w:t>
      </w:r>
      <w:r>
        <w:rPr>
          <w:rFonts w:ascii="Arial" w:hAnsi="Arial" w:cs="Arial"/>
          <w:i/>
          <w:iCs/>
          <w:sz w:val="20"/>
          <w:szCs w:val="20"/>
        </w:rPr>
        <w:t>Endocrine Regulations</w:t>
      </w:r>
      <w:r>
        <w:rPr>
          <w:rFonts w:ascii="Arial" w:hAnsi="Arial" w:cs="Arial"/>
          <w:sz w:val="20"/>
          <w:szCs w:val="20"/>
        </w:rPr>
        <w:t>, </w:t>
      </w:r>
      <w:r>
        <w:rPr>
          <w:rFonts w:ascii="Arial" w:hAnsi="Arial" w:cs="Arial"/>
          <w:i/>
          <w:iCs/>
          <w:sz w:val="20"/>
          <w:szCs w:val="20"/>
        </w:rPr>
        <w:t>57</w:t>
      </w:r>
      <w:r>
        <w:rPr>
          <w:rFonts w:ascii="Arial" w:hAnsi="Arial" w:cs="Arial"/>
          <w:sz w:val="20"/>
          <w:szCs w:val="20"/>
        </w:rPr>
        <w:t xml:space="preserve">(1), 200-220. </w:t>
      </w:r>
      <w:hyperlink r:id="rId29" w:history="1">
        <w:r>
          <w:rPr>
            <w:rStyle w:val="Hyperlink"/>
            <w:rFonts w:ascii="Arial" w:hAnsi="Arial" w:cs="Arial"/>
            <w:sz w:val="20"/>
            <w:szCs w:val="20"/>
          </w:rPr>
          <w:t>https://doi.org/10.2478/enr-2023-0024</w:t>
        </w:r>
      </w:hyperlink>
      <w:r>
        <w:rPr>
          <w:rFonts w:ascii="Arial" w:hAnsi="Arial" w:cs="Arial"/>
          <w:sz w:val="20"/>
          <w:szCs w:val="20"/>
        </w:rPr>
        <w:t>.</w:t>
      </w:r>
    </w:p>
    <w:p w14:paraId="76DA7E63" w14:textId="77777777" w:rsidR="00F62FD0" w:rsidRDefault="00000000">
      <w:pPr>
        <w:ind w:left="720" w:hanging="720"/>
        <w:jc w:val="both"/>
        <w:rPr>
          <w:rFonts w:ascii="Arial" w:hAnsi="Arial" w:cs="Arial"/>
          <w:sz w:val="20"/>
          <w:szCs w:val="20"/>
        </w:rPr>
      </w:pPr>
      <w:r>
        <w:rPr>
          <w:rFonts w:ascii="Arial" w:hAnsi="Arial" w:cs="Arial"/>
          <w:sz w:val="20"/>
          <w:szCs w:val="20"/>
        </w:rPr>
        <w:lastRenderedPageBreak/>
        <w:t xml:space="preserve">Selles, A., </w:t>
      </w:r>
      <w:proofErr w:type="spellStart"/>
      <w:r>
        <w:rPr>
          <w:rFonts w:ascii="Arial" w:hAnsi="Arial" w:cs="Arial"/>
          <w:sz w:val="20"/>
          <w:szCs w:val="20"/>
        </w:rPr>
        <w:t>Afir</w:t>
      </w:r>
      <w:proofErr w:type="spellEnd"/>
      <w:r>
        <w:rPr>
          <w:rFonts w:ascii="Arial" w:hAnsi="Arial" w:cs="Arial"/>
          <w:sz w:val="20"/>
          <w:szCs w:val="20"/>
        </w:rPr>
        <w:t xml:space="preserve">, Y., Rahou, Y., </w:t>
      </w:r>
      <w:proofErr w:type="spellStart"/>
      <w:r>
        <w:rPr>
          <w:rFonts w:ascii="Arial" w:hAnsi="Arial" w:cs="Arial"/>
          <w:sz w:val="20"/>
          <w:szCs w:val="20"/>
        </w:rPr>
        <w:t>Debchi</w:t>
      </w:r>
      <w:proofErr w:type="spellEnd"/>
      <w:r>
        <w:rPr>
          <w:rFonts w:ascii="Arial" w:hAnsi="Arial" w:cs="Arial"/>
          <w:sz w:val="20"/>
          <w:szCs w:val="20"/>
        </w:rPr>
        <w:t xml:space="preserve">, L., Rafa-Debbah, H., </w:t>
      </w:r>
      <w:proofErr w:type="spellStart"/>
      <w:r>
        <w:rPr>
          <w:rFonts w:ascii="Arial" w:hAnsi="Arial" w:cs="Arial"/>
          <w:sz w:val="20"/>
          <w:szCs w:val="20"/>
        </w:rPr>
        <w:t>Bahriz</w:t>
      </w:r>
      <w:proofErr w:type="spellEnd"/>
      <w:r>
        <w:rPr>
          <w:rFonts w:ascii="Arial" w:hAnsi="Arial" w:cs="Arial"/>
          <w:sz w:val="20"/>
          <w:szCs w:val="20"/>
        </w:rPr>
        <w:t>, M. R., &amp; Benziane, A. (2024). Acute Kidney Injury Following the Ingestion of a Medicinal Plants’ Mixture: A Case Report. </w:t>
      </w:r>
      <w:r>
        <w:rPr>
          <w:rFonts w:ascii="Arial" w:hAnsi="Arial" w:cs="Arial"/>
          <w:i/>
          <w:iCs/>
          <w:sz w:val="20"/>
          <w:szCs w:val="20"/>
        </w:rPr>
        <w:t>Case Reports in Nephrology</w:t>
      </w:r>
      <w:r>
        <w:rPr>
          <w:rFonts w:ascii="Arial" w:hAnsi="Arial" w:cs="Arial"/>
          <w:sz w:val="20"/>
          <w:szCs w:val="20"/>
        </w:rPr>
        <w:t>, </w:t>
      </w:r>
      <w:r>
        <w:rPr>
          <w:rFonts w:ascii="Arial" w:hAnsi="Arial" w:cs="Arial"/>
          <w:i/>
          <w:iCs/>
          <w:sz w:val="20"/>
          <w:szCs w:val="20"/>
        </w:rPr>
        <w:t>2024</w:t>
      </w:r>
      <w:r>
        <w:rPr>
          <w:rFonts w:ascii="Arial" w:hAnsi="Arial" w:cs="Arial"/>
          <w:sz w:val="20"/>
          <w:szCs w:val="20"/>
        </w:rPr>
        <w:t xml:space="preserve">(1), 8207758. </w:t>
      </w:r>
      <w:hyperlink r:id="rId30" w:history="1">
        <w:r>
          <w:rPr>
            <w:rStyle w:val="Hyperlink"/>
            <w:rFonts w:ascii="Arial" w:hAnsi="Arial" w:cs="Arial"/>
            <w:sz w:val="20"/>
            <w:szCs w:val="20"/>
          </w:rPr>
          <w:t>https://doi.org/10.1155/crin/8207758</w:t>
        </w:r>
      </w:hyperlink>
      <w:r>
        <w:rPr>
          <w:rFonts w:ascii="Arial" w:hAnsi="Arial" w:cs="Arial"/>
          <w:sz w:val="20"/>
          <w:szCs w:val="20"/>
        </w:rPr>
        <w:t>.</w:t>
      </w:r>
    </w:p>
    <w:p w14:paraId="372F9340" w14:textId="77777777" w:rsidR="00F62FD0" w:rsidRDefault="00000000">
      <w:pPr>
        <w:ind w:left="720" w:hanging="720"/>
        <w:jc w:val="both"/>
        <w:rPr>
          <w:rFonts w:ascii="Arial" w:hAnsi="Arial" w:cs="Arial"/>
          <w:sz w:val="20"/>
          <w:szCs w:val="20"/>
        </w:rPr>
      </w:pPr>
      <w:r>
        <w:rPr>
          <w:rFonts w:ascii="Arial" w:hAnsi="Arial" w:cs="Arial"/>
          <w:sz w:val="20"/>
          <w:szCs w:val="20"/>
        </w:rPr>
        <w:t>Shawon, S. I., Reyda, R. N., &amp; Qais, N. (2024). Medicinal herbs and their metabolites with biological potential to protect and combat liver toxicity and its disorders: A review. </w:t>
      </w:r>
      <w:proofErr w:type="spellStart"/>
      <w:r>
        <w:rPr>
          <w:rFonts w:ascii="Arial" w:hAnsi="Arial" w:cs="Arial"/>
          <w:i/>
          <w:iCs/>
          <w:sz w:val="20"/>
          <w:szCs w:val="20"/>
        </w:rPr>
        <w:t>Heliyon</w:t>
      </w:r>
      <w:proofErr w:type="spellEnd"/>
      <w:r>
        <w:rPr>
          <w:rFonts w:ascii="Arial" w:hAnsi="Arial" w:cs="Arial"/>
          <w:sz w:val="20"/>
          <w:szCs w:val="20"/>
        </w:rPr>
        <w:t>, </w:t>
      </w:r>
      <w:r>
        <w:rPr>
          <w:rFonts w:ascii="Arial" w:hAnsi="Arial" w:cs="Arial"/>
          <w:i/>
          <w:iCs/>
          <w:sz w:val="20"/>
          <w:szCs w:val="20"/>
        </w:rPr>
        <w:t>10</w:t>
      </w:r>
      <w:r>
        <w:rPr>
          <w:rFonts w:ascii="Arial" w:hAnsi="Arial" w:cs="Arial"/>
          <w:sz w:val="20"/>
          <w:szCs w:val="20"/>
        </w:rPr>
        <w:t xml:space="preserve">(3). </w:t>
      </w:r>
      <w:hyperlink r:id="rId31" w:tgtFrame="_blank" w:tooltip="Persistent link using digital object identifier" w:history="1">
        <w:r>
          <w:rPr>
            <w:rStyle w:val="Hyperlink"/>
            <w:rFonts w:ascii="Arial" w:hAnsi="Arial" w:cs="Arial"/>
            <w:sz w:val="20"/>
            <w:szCs w:val="20"/>
          </w:rPr>
          <w:t>https://doi.org/10.1016/j.heliyon.2024.e25340</w:t>
        </w:r>
      </w:hyperlink>
      <w:r>
        <w:rPr>
          <w:rFonts w:ascii="Arial" w:hAnsi="Arial" w:cs="Arial"/>
          <w:sz w:val="20"/>
          <w:szCs w:val="20"/>
        </w:rPr>
        <w:t>.</w:t>
      </w:r>
    </w:p>
    <w:p w14:paraId="3730DEAF" w14:textId="77777777" w:rsidR="00F62FD0" w:rsidRDefault="00000000">
      <w:pPr>
        <w:ind w:left="720" w:hanging="720"/>
        <w:jc w:val="both"/>
        <w:rPr>
          <w:rFonts w:ascii="Arial" w:hAnsi="Arial" w:cs="Arial"/>
          <w:sz w:val="20"/>
          <w:szCs w:val="20"/>
        </w:rPr>
      </w:pPr>
      <w:r>
        <w:rPr>
          <w:rFonts w:ascii="Arial" w:hAnsi="Arial" w:cs="Arial"/>
          <w:sz w:val="20"/>
          <w:szCs w:val="20"/>
        </w:rPr>
        <w:t>Thakur, S., Kumar, V., Das, R., Sharma, V., &amp; Mehta, D. K. (2024). Biomarkers of hepatic toxicity: an overview. </w:t>
      </w:r>
      <w:r>
        <w:rPr>
          <w:rFonts w:ascii="Arial" w:hAnsi="Arial" w:cs="Arial"/>
          <w:i/>
          <w:iCs/>
          <w:sz w:val="20"/>
          <w:szCs w:val="20"/>
        </w:rPr>
        <w:t>Current Therapeutic Research</w:t>
      </w:r>
      <w:r>
        <w:rPr>
          <w:rFonts w:ascii="Arial" w:hAnsi="Arial" w:cs="Arial"/>
          <w:sz w:val="20"/>
          <w:szCs w:val="20"/>
        </w:rPr>
        <w:t>, </w:t>
      </w:r>
      <w:r>
        <w:rPr>
          <w:rFonts w:ascii="Arial" w:hAnsi="Arial" w:cs="Arial"/>
          <w:i/>
          <w:iCs/>
          <w:sz w:val="20"/>
          <w:szCs w:val="20"/>
        </w:rPr>
        <w:t>100</w:t>
      </w:r>
      <w:r>
        <w:rPr>
          <w:rFonts w:ascii="Arial" w:hAnsi="Arial" w:cs="Arial"/>
          <w:sz w:val="20"/>
          <w:szCs w:val="20"/>
        </w:rPr>
        <w:t xml:space="preserve">, 100737. </w:t>
      </w:r>
      <w:hyperlink r:id="rId32" w:history="1">
        <w:r>
          <w:rPr>
            <w:rStyle w:val="Hyperlink"/>
            <w:rFonts w:ascii="Arial" w:hAnsi="Arial" w:cs="Arial"/>
            <w:sz w:val="20"/>
            <w:szCs w:val="20"/>
          </w:rPr>
          <w:t>https://doi.org/10.1016/j.curtheres.2024.100737</w:t>
        </w:r>
      </w:hyperlink>
      <w:r>
        <w:rPr>
          <w:rFonts w:ascii="Arial" w:hAnsi="Arial" w:cs="Arial"/>
          <w:sz w:val="20"/>
          <w:szCs w:val="20"/>
        </w:rPr>
        <w:t>.</w:t>
      </w:r>
    </w:p>
    <w:p w14:paraId="68DBB0A5" w14:textId="77777777" w:rsidR="00F62FD0" w:rsidRDefault="00000000">
      <w:pPr>
        <w:ind w:left="720" w:hanging="720"/>
        <w:jc w:val="both"/>
        <w:rPr>
          <w:rFonts w:ascii="Arial" w:hAnsi="Arial" w:cs="Arial"/>
          <w:sz w:val="20"/>
          <w:szCs w:val="20"/>
        </w:rPr>
      </w:pPr>
      <w:r>
        <w:rPr>
          <w:rFonts w:ascii="Arial" w:hAnsi="Arial" w:cs="Arial"/>
          <w:sz w:val="20"/>
          <w:szCs w:val="20"/>
        </w:rPr>
        <w:t xml:space="preserve">Wang, Y., Huang, Y., Song, L., Wang, H., Wan, L., Pang, J., &amp; Liang, W. (2024). The characteristic VOCs of different parts of </w:t>
      </w:r>
      <w:r>
        <w:rPr>
          <w:rFonts w:ascii="Arial" w:hAnsi="Arial" w:cs="Arial"/>
          <w:i/>
          <w:iCs/>
          <w:sz w:val="20"/>
          <w:szCs w:val="20"/>
        </w:rPr>
        <w:t>Artocarpus heterophyllus</w:t>
      </w:r>
      <w:r>
        <w:rPr>
          <w:rFonts w:ascii="Arial" w:hAnsi="Arial" w:cs="Arial"/>
          <w:sz w:val="20"/>
          <w:szCs w:val="20"/>
        </w:rPr>
        <w:t xml:space="preserve"> fruit based on HS-SPME-GC-MS and PTR-TOF-MS. </w:t>
      </w:r>
      <w:r>
        <w:rPr>
          <w:rFonts w:ascii="Arial" w:hAnsi="Arial" w:cs="Arial"/>
          <w:i/>
          <w:iCs/>
          <w:sz w:val="20"/>
          <w:szCs w:val="20"/>
        </w:rPr>
        <w:t>Food Chemistry</w:t>
      </w:r>
      <w:r>
        <w:rPr>
          <w:rFonts w:ascii="Arial" w:hAnsi="Arial" w:cs="Arial"/>
          <w:sz w:val="20"/>
          <w:szCs w:val="20"/>
        </w:rPr>
        <w:t>, </w:t>
      </w:r>
      <w:r>
        <w:rPr>
          <w:rFonts w:ascii="Arial" w:hAnsi="Arial" w:cs="Arial"/>
          <w:i/>
          <w:iCs/>
          <w:sz w:val="20"/>
          <w:szCs w:val="20"/>
        </w:rPr>
        <w:t>459</w:t>
      </w:r>
      <w:r>
        <w:rPr>
          <w:rFonts w:ascii="Arial" w:hAnsi="Arial" w:cs="Arial"/>
          <w:sz w:val="20"/>
          <w:szCs w:val="20"/>
        </w:rPr>
        <w:t xml:space="preserve">, 140431. </w:t>
      </w:r>
      <w:hyperlink r:id="rId33" w:tgtFrame="_blank" w:tooltip="Persistent link using digital object identifier" w:history="1">
        <w:r>
          <w:rPr>
            <w:rStyle w:val="Hyperlink"/>
            <w:rFonts w:ascii="Arial" w:hAnsi="Arial" w:cs="Arial"/>
            <w:sz w:val="20"/>
            <w:szCs w:val="20"/>
          </w:rPr>
          <w:t>https://doi.org/10.1016/j.foodchem.2024.140431</w:t>
        </w:r>
      </w:hyperlink>
      <w:r>
        <w:rPr>
          <w:rFonts w:ascii="Arial" w:hAnsi="Arial" w:cs="Arial"/>
          <w:sz w:val="20"/>
          <w:szCs w:val="20"/>
        </w:rPr>
        <w:t>.</w:t>
      </w:r>
    </w:p>
    <w:p w14:paraId="4F14984F" w14:textId="77777777" w:rsidR="00F62FD0" w:rsidRDefault="00000000">
      <w:pPr>
        <w:ind w:left="720" w:hanging="720"/>
        <w:jc w:val="both"/>
        <w:rPr>
          <w:rFonts w:ascii="Arial" w:hAnsi="Arial" w:cs="Arial"/>
          <w:sz w:val="20"/>
          <w:szCs w:val="20"/>
        </w:rPr>
      </w:pPr>
      <w:r>
        <w:rPr>
          <w:rFonts w:ascii="Arial" w:hAnsi="Arial" w:cs="Arial"/>
          <w:sz w:val="20"/>
          <w:szCs w:val="20"/>
        </w:rPr>
        <w:t>Yassin, M. M., Adas, T. O., &amp; Yasin, M. M. (2021). Serum Glucose, Bilirubin, Liver Enzymes, Renal Parameters. </w:t>
      </w:r>
      <w:r>
        <w:rPr>
          <w:rFonts w:ascii="Arial" w:hAnsi="Arial" w:cs="Arial"/>
          <w:i/>
          <w:iCs/>
          <w:sz w:val="20"/>
          <w:szCs w:val="20"/>
        </w:rPr>
        <w:t xml:space="preserve">Protein Profile and some electrolytes in adult male domestic rabbits intoxicated with Chlorpyrifos. J </w:t>
      </w:r>
      <w:proofErr w:type="spellStart"/>
      <w:r>
        <w:rPr>
          <w:rFonts w:ascii="Arial" w:hAnsi="Arial" w:cs="Arial"/>
          <w:i/>
          <w:iCs/>
          <w:sz w:val="20"/>
          <w:szCs w:val="20"/>
        </w:rPr>
        <w:t>Toxicol</w:t>
      </w:r>
      <w:proofErr w:type="spellEnd"/>
      <w:r>
        <w:rPr>
          <w:rFonts w:ascii="Arial" w:hAnsi="Arial" w:cs="Arial"/>
          <w:i/>
          <w:iCs/>
          <w:sz w:val="20"/>
          <w:szCs w:val="20"/>
        </w:rPr>
        <w:t xml:space="preserve"> Risk Assess</w:t>
      </w:r>
      <w:r>
        <w:rPr>
          <w:rFonts w:ascii="Arial" w:hAnsi="Arial" w:cs="Arial"/>
          <w:sz w:val="20"/>
          <w:szCs w:val="20"/>
        </w:rPr>
        <w:t>, </w:t>
      </w:r>
      <w:r>
        <w:rPr>
          <w:rFonts w:ascii="Arial" w:hAnsi="Arial" w:cs="Arial"/>
          <w:i/>
          <w:iCs/>
          <w:sz w:val="20"/>
          <w:szCs w:val="20"/>
        </w:rPr>
        <w:t>7</w:t>
      </w:r>
      <w:r>
        <w:rPr>
          <w:rFonts w:ascii="Arial" w:hAnsi="Arial" w:cs="Arial"/>
          <w:sz w:val="20"/>
          <w:szCs w:val="20"/>
        </w:rPr>
        <w:t xml:space="preserve">, 037. </w:t>
      </w:r>
      <w:hyperlink r:id="rId34" w:history="1">
        <w:r>
          <w:rPr>
            <w:rStyle w:val="Hyperlink"/>
            <w:rFonts w:ascii="Arial" w:hAnsi="Arial" w:cs="Arial"/>
            <w:sz w:val="20"/>
            <w:szCs w:val="20"/>
          </w:rPr>
          <w:t>https://doi.org/10.23937/2572-4061.1510037</w:t>
        </w:r>
      </w:hyperlink>
      <w:r>
        <w:rPr>
          <w:rFonts w:ascii="Arial" w:hAnsi="Arial" w:cs="Arial"/>
          <w:sz w:val="20"/>
          <w:szCs w:val="20"/>
        </w:rPr>
        <w:t>.</w:t>
      </w:r>
    </w:p>
    <w:p w14:paraId="6423FDE4" w14:textId="77777777" w:rsidR="00F62FD0" w:rsidRDefault="00000000">
      <w:pPr>
        <w:ind w:left="720" w:hanging="720"/>
        <w:jc w:val="both"/>
        <w:rPr>
          <w:rFonts w:ascii="Arial" w:hAnsi="Arial" w:cs="Arial"/>
          <w:sz w:val="20"/>
          <w:szCs w:val="20"/>
        </w:rPr>
      </w:pPr>
      <w:proofErr w:type="spellStart"/>
      <w:r>
        <w:rPr>
          <w:rFonts w:ascii="Arial" w:hAnsi="Arial" w:cs="Arial"/>
          <w:sz w:val="20"/>
          <w:szCs w:val="20"/>
        </w:rPr>
        <w:t>Yekeen</w:t>
      </w:r>
      <w:proofErr w:type="spellEnd"/>
      <w:r>
        <w:rPr>
          <w:rFonts w:ascii="Arial" w:hAnsi="Arial" w:cs="Arial"/>
          <w:sz w:val="20"/>
          <w:szCs w:val="20"/>
        </w:rPr>
        <w:t xml:space="preserve">, M. O., Zamfara, M. I., &amp; Adebowale, O. A. (2023). Evaluation of biochemical and hematological effect of </w:t>
      </w:r>
      <w:r>
        <w:rPr>
          <w:rFonts w:ascii="Arial" w:hAnsi="Arial" w:cs="Arial"/>
          <w:i/>
          <w:iCs/>
          <w:sz w:val="20"/>
          <w:szCs w:val="20"/>
        </w:rPr>
        <w:t xml:space="preserve">Jatropha </w:t>
      </w:r>
      <w:proofErr w:type="spellStart"/>
      <w:r>
        <w:rPr>
          <w:rFonts w:ascii="Arial" w:hAnsi="Arial" w:cs="Arial"/>
          <w:i/>
          <w:iCs/>
          <w:sz w:val="20"/>
          <w:szCs w:val="20"/>
        </w:rPr>
        <w:t>gossypiifolia</w:t>
      </w:r>
      <w:proofErr w:type="spellEnd"/>
      <w:r>
        <w:rPr>
          <w:rFonts w:ascii="Arial" w:hAnsi="Arial" w:cs="Arial"/>
          <w:sz w:val="20"/>
          <w:szCs w:val="20"/>
        </w:rPr>
        <w:t xml:space="preserve"> Linn. aqueous extract on albino rats. </w:t>
      </w:r>
      <w:r>
        <w:rPr>
          <w:rFonts w:ascii="Arial" w:hAnsi="Arial" w:cs="Arial"/>
          <w:i/>
          <w:iCs/>
          <w:sz w:val="20"/>
          <w:szCs w:val="20"/>
        </w:rPr>
        <w:t>GSC Biological and Pharmaceutical Sciences</w:t>
      </w:r>
      <w:r>
        <w:rPr>
          <w:rFonts w:ascii="Arial" w:hAnsi="Arial" w:cs="Arial"/>
          <w:sz w:val="20"/>
          <w:szCs w:val="20"/>
        </w:rPr>
        <w:t xml:space="preserve">, </w:t>
      </w:r>
      <w:r>
        <w:rPr>
          <w:rFonts w:ascii="Arial" w:hAnsi="Arial" w:cs="Arial"/>
          <w:i/>
          <w:iCs/>
          <w:sz w:val="20"/>
          <w:szCs w:val="20"/>
        </w:rPr>
        <w:t>24</w:t>
      </w:r>
      <w:r>
        <w:rPr>
          <w:rFonts w:ascii="Arial" w:hAnsi="Arial" w:cs="Arial"/>
          <w:sz w:val="20"/>
          <w:szCs w:val="20"/>
        </w:rPr>
        <w:t xml:space="preserve">(01), 334–338. </w:t>
      </w:r>
      <w:hyperlink r:id="rId35" w:history="1">
        <w:r>
          <w:rPr>
            <w:rStyle w:val="Hyperlink"/>
            <w:rFonts w:ascii="Arial" w:hAnsi="Arial" w:cs="Arial"/>
            <w:sz w:val="20"/>
            <w:szCs w:val="20"/>
          </w:rPr>
          <w:t>https://doi.org/10.30574/gscbps.2023.24.1.0291</w:t>
        </w:r>
      </w:hyperlink>
      <w:r>
        <w:rPr>
          <w:rFonts w:ascii="Arial" w:hAnsi="Arial" w:cs="Arial"/>
          <w:sz w:val="20"/>
          <w:szCs w:val="20"/>
        </w:rPr>
        <w:t>.</w:t>
      </w:r>
    </w:p>
    <w:p w14:paraId="53D002F2" w14:textId="77777777" w:rsidR="00F62FD0" w:rsidRDefault="00000000">
      <w:pPr>
        <w:ind w:left="720" w:hanging="720"/>
        <w:jc w:val="both"/>
        <w:rPr>
          <w:rStyle w:val="Hyperlink"/>
          <w:rFonts w:ascii="Arial" w:hAnsi="Arial" w:cs="Arial"/>
          <w:sz w:val="20"/>
          <w:szCs w:val="20"/>
        </w:rPr>
      </w:pPr>
      <w:r>
        <w:rPr>
          <w:rFonts w:ascii="Arial" w:hAnsi="Arial" w:cs="Arial"/>
          <w:sz w:val="20"/>
          <w:szCs w:val="20"/>
        </w:rPr>
        <w:t xml:space="preserve">Yuniarti, L., Fakih, T. M., Tejasari, M., Indriyanti, R. A., Maryam, E., &amp; Nugroho, B. H. (2025). Comprehensive Bioactive Compound Profiling of </w:t>
      </w:r>
      <w:r>
        <w:rPr>
          <w:rFonts w:ascii="Arial" w:hAnsi="Arial" w:cs="Arial"/>
          <w:i/>
          <w:iCs/>
          <w:sz w:val="20"/>
          <w:szCs w:val="20"/>
        </w:rPr>
        <w:t>Artocarpus heterophyllus</w:t>
      </w:r>
      <w:r>
        <w:rPr>
          <w:rFonts w:ascii="Arial" w:hAnsi="Arial" w:cs="Arial"/>
          <w:sz w:val="20"/>
          <w:szCs w:val="20"/>
        </w:rPr>
        <w:t xml:space="preserve"> Leaves: LC-MS/MS Analysis, Antioxidant Potential, and Molecular Insights. </w:t>
      </w:r>
      <w:r>
        <w:rPr>
          <w:rFonts w:ascii="Arial" w:hAnsi="Arial" w:cs="Arial"/>
          <w:i/>
          <w:iCs/>
          <w:sz w:val="20"/>
          <w:szCs w:val="20"/>
        </w:rPr>
        <w:t>Drug Design, Development and Therapy</w:t>
      </w:r>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 xml:space="preserve">, 1195-1213. </w:t>
      </w:r>
      <w:hyperlink r:id="rId36" w:history="1">
        <w:r>
          <w:rPr>
            <w:rStyle w:val="Hyperlink"/>
            <w:rFonts w:ascii="Arial" w:hAnsi="Arial" w:cs="Arial"/>
            <w:sz w:val="20"/>
            <w:szCs w:val="20"/>
          </w:rPr>
          <w:t>https://doi.org/10.2147/DDDT.S507658</w:t>
        </w:r>
      </w:hyperlink>
    </w:p>
    <w:p w14:paraId="1C435C94" w14:textId="77777777" w:rsidR="007F574A" w:rsidRPr="007F574A" w:rsidRDefault="007F574A" w:rsidP="007F574A">
      <w:pPr>
        <w:rPr>
          <w:rFonts w:ascii="Arial" w:hAnsi="Arial" w:cs="Arial"/>
          <w:sz w:val="20"/>
          <w:szCs w:val="20"/>
        </w:rPr>
      </w:pPr>
    </w:p>
    <w:p w14:paraId="34810EFD" w14:textId="77777777" w:rsidR="007F574A" w:rsidRPr="007F574A" w:rsidRDefault="007F574A" w:rsidP="007F574A">
      <w:pPr>
        <w:rPr>
          <w:rFonts w:ascii="Arial" w:hAnsi="Arial" w:cs="Arial"/>
          <w:sz w:val="20"/>
          <w:szCs w:val="20"/>
        </w:rPr>
      </w:pPr>
    </w:p>
    <w:p w14:paraId="773F378A" w14:textId="77777777" w:rsidR="007F574A" w:rsidRPr="007F574A" w:rsidRDefault="007F574A" w:rsidP="007F574A">
      <w:pPr>
        <w:rPr>
          <w:rFonts w:ascii="Arial" w:hAnsi="Arial" w:cs="Arial"/>
          <w:sz w:val="20"/>
          <w:szCs w:val="20"/>
        </w:rPr>
      </w:pPr>
    </w:p>
    <w:p w14:paraId="4CB48AFD" w14:textId="77777777" w:rsidR="007F574A" w:rsidRPr="007F574A" w:rsidRDefault="007F574A" w:rsidP="007F574A">
      <w:pPr>
        <w:rPr>
          <w:rFonts w:ascii="Arial" w:hAnsi="Arial" w:cs="Arial"/>
          <w:sz w:val="20"/>
          <w:szCs w:val="20"/>
        </w:rPr>
      </w:pPr>
    </w:p>
    <w:p w14:paraId="7D827BB0" w14:textId="77777777" w:rsidR="007F574A" w:rsidRDefault="007F574A" w:rsidP="007F574A">
      <w:pPr>
        <w:rPr>
          <w:rStyle w:val="Hyperlink"/>
          <w:rFonts w:ascii="Arial" w:hAnsi="Arial" w:cs="Arial"/>
          <w:sz w:val="20"/>
          <w:szCs w:val="20"/>
        </w:rPr>
      </w:pPr>
    </w:p>
    <w:p w14:paraId="75D90A23" w14:textId="77777777" w:rsidR="007F574A" w:rsidRDefault="007F574A" w:rsidP="007F574A">
      <w:pPr>
        <w:rPr>
          <w:rStyle w:val="Hyperlink"/>
          <w:rFonts w:ascii="Arial" w:hAnsi="Arial" w:cs="Arial"/>
          <w:sz w:val="20"/>
          <w:szCs w:val="20"/>
        </w:rPr>
      </w:pPr>
    </w:p>
    <w:p w14:paraId="5BD8B6D8" w14:textId="23EB60BA" w:rsidR="007F574A" w:rsidRPr="007F574A" w:rsidRDefault="007F574A" w:rsidP="007F574A">
      <w:pPr>
        <w:tabs>
          <w:tab w:val="left" w:pos="5220"/>
        </w:tabs>
        <w:rPr>
          <w:rFonts w:ascii="Arial" w:hAnsi="Arial" w:cs="Arial"/>
          <w:sz w:val="20"/>
          <w:szCs w:val="20"/>
        </w:rPr>
      </w:pPr>
      <w:r>
        <w:rPr>
          <w:rFonts w:ascii="Arial" w:hAnsi="Arial" w:cs="Arial"/>
          <w:sz w:val="20"/>
          <w:szCs w:val="20"/>
        </w:rPr>
        <w:tab/>
      </w:r>
    </w:p>
    <w:sectPr w:rsidR="007F574A" w:rsidRPr="007F574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6AAB" w14:textId="77777777" w:rsidR="00B7515A" w:rsidRDefault="00B7515A">
      <w:pPr>
        <w:spacing w:line="240" w:lineRule="auto"/>
      </w:pPr>
      <w:r>
        <w:separator/>
      </w:r>
    </w:p>
  </w:endnote>
  <w:endnote w:type="continuationSeparator" w:id="0">
    <w:p w14:paraId="78366D11" w14:textId="77777777" w:rsidR="00B7515A" w:rsidRDefault="00B75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05B1" w14:textId="77777777" w:rsidR="00B7515A" w:rsidRDefault="00B7515A">
      <w:pPr>
        <w:spacing w:after="0"/>
      </w:pPr>
      <w:r>
        <w:separator/>
      </w:r>
    </w:p>
  </w:footnote>
  <w:footnote w:type="continuationSeparator" w:id="0">
    <w:p w14:paraId="019AF21C" w14:textId="77777777" w:rsidR="00B7515A" w:rsidRDefault="00B7515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A2"/>
    <w:rsid w:val="000B270E"/>
    <w:rsid w:val="00202BC8"/>
    <w:rsid w:val="002D0E88"/>
    <w:rsid w:val="002D4A77"/>
    <w:rsid w:val="00373012"/>
    <w:rsid w:val="003A45F8"/>
    <w:rsid w:val="003A5967"/>
    <w:rsid w:val="003C6A3F"/>
    <w:rsid w:val="00402A8D"/>
    <w:rsid w:val="00437B79"/>
    <w:rsid w:val="00494ADF"/>
    <w:rsid w:val="004B063C"/>
    <w:rsid w:val="004F1021"/>
    <w:rsid w:val="005B0DCE"/>
    <w:rsid w:val="005C2EC2"/>
    <w:rsid w:val="00611AB0"/>
    <w:rsid w:val="00624882"/>
    <w:rsid w:val="0064037F"/>
    <w:rsid w:val="006A1846"/>
    <w:rsid w:val="006C5B05"/>
    <w:rsid w:val="006E7253"/>
    <w:rsid w:val="007254E1"/>
    <w:rsid w:val="007A0FBA"/>
    <w:rsid w:val="007F574A"/>
    <w:rsid w:val="007F62AC"/>
    <w:rsid w:val="00804462"/>
    <w:rsid w:val="008126B3"/>
    <w:rsid w:val="0084540C"/>
    <w:rsid w:val="008635D8"/>
    <w:rsid w:val="008F0361"/>
    <w:rsid w:val="00933B80"/>
    <w:rsid w:val="00935819"/>
    <w:rsid w:val="00942FBE"/>
    <w:rsid w:val="00951EF1"/>
    <w:rsid w:val="009779E2"/>
    <w:rsid w:val="00982638"/>
    <w:rsid w:val="009E137A"/>
    <w:rsid w:val="00A4091A"/>
    <w:rsid w:val="00A42B5E"/>
    <w:rsid w:val="00AB74C6"/>
    <w:rsid w:val="00AE0FC8"/>
    <w:rsid w:val="00B27A74"/>
    <w:rsid w:val="00B7515A"/>
    <w:rsid w:val="00B86AD0"/>
    <w:rsid w:val="00C005D7"/>
    <w:rsid w:val="00C200FE"/>
    <w:rsid w:val="00CA685E"/>
    <w:rsid w:val="00CC1DB1"/>
    <w:rsid w:val="00D56058"/>
    <w:rsid w:val="00D94B55"/>
    <w:rsid w:val="00E30C67"/>
    <w:rsid w:val="00E67DA6"/>
    <w:rsid w:val="00E769A2"/>
    <w:rsid w:val="00E95EF2"/>
    <w:rsid w:val="00EA5A09"/>
    <w:rsid w:val="00EC68F9"/>
    <w:rsid w:val="00EF4921"/>
    <w:rsid w:val="00F112B7"/>
    <w:rsid w:val="00F57369"/>
    <w:rsid w:val="00F62FD0"/>
    <w:rsid w:val="00F747DC"/>
    <w:rsid w:val="00F77577"/>
    <w:rsid w:val="00FA163D"/>
    <w:rsid w:val="06B51263"/>
    <w:rsid w:val="14DA5F08"/>
    <w:rsid w:val="55533F62"/>
    <w:rsid w:val="6A25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E6DFD"/>
  <w15:docId w15:val="{BA5BCD29-C015-4645-8748-738DB469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90/antiox12091653" TargetMode="External"/><Relationship Id="rId18" Type="http://schemas.openxmlformats.org/officeDocument/2006/relationships/hyperlink" Target="https://doi.org/10.1007/s00467-021-05121-9" TargetMode="External"/><Relationship Id="rId26" Type="http://schemas.openxmlformats.org/officeDocument/2006/relationships/hyperlink" Target="https://doi.org/10.37745/ijphpp.15/vol9n21018" TargetMode="External"/><Relationship Id="rId21" Type="http://schemas.openxmlformats.org/officeDocument/2006/relationships/hyperlink" Target="https://doi.org/10.1016/j.ctmp.2025.200231" TargetMode="External"/><Relationship Id="rId34" Type="http://schemas.openxmlformats.org/officeDocument/2006/relationships/hyperlink" Target="https://doi.org/10.23937/2572-4061.1510037" TargetMode="External"/><Relationship Id="rId7" Type="http://schemas.openxmlformats.org/officeDocument/2006/relationships/image" Target="media/image1.jpeg"/><Relationship Id="rId12" Type="http://schemas.openxmlformats.org/officeDocument/2006/relationships/hyperlink" Target="https://doi.org/10.1016/j.toxrep.2020.10.001" TargetMode="External"/><Relationship Id="rId17" Type="http://schemas.openxmlformats.org/officeDocument/2006/relationships/hyperlink" Target="https://doi.org/10.1016/j.eururo.2023.04.008" TargetMode="External"/><Relationship Id="rId25" Type="http://schemas.openxmlformats.org/officeDocument/2006/relationships/hyperlink" Target="https://doi.org/10.1186/s43094-025-00812-8" TargetMode="External"/><Relationship Id="rId33" Type="http://schemas.openxmlformats.org/officeDocument/2006/relationships/hyperlink" Target="https://doi.org/10.1016/j.foodchem.2024.14043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6557/JODAGH/2023/v16i28364" TargetMode="External"/><Relationship Id="rId20" Type="http://schemas.openxmlformats.org/officeDocument/2006/relationships/hyperlink" Target="https://doi.org/10.4254/wjh.v13.i11.1688" TargetMode="External"/><Relationship Id="rId29" Type="http://schemas.openxmlformats.org/officeDocument/2006/relationships/hyperlink" Target="https://doi.org/10.2478/enr-2023-002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9328/journal.apcr.1001035" TargetMode="External"/><Relationship Id="rId24" Type="http://schemas.openxmlformats.org/officeDocument/2006/relationships/hyperlink" Target="https://doi.org/10.3390/ph18030400" TargetMode="External"/><Relationship Id="rId32" Type="http://schemas.openxmlformats.org/officeDocument/2006/relationships/hyperlink" Target="https://doi.org/10.1016/j.curtheres.2024.10073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4172/jhp.2024.42388" TargetMode="External"/><Relationship Id="rId23" Type="http://schemas.openxmlformats.org/officeDocument/2006/relationships/hyperlink" Target="https://doi.org/10.1111/bju.15286" TargetMode="External"/><Relationship Id="rId28" Type="http://schemas.openxmlformats.org/officeDocument/2006/relationships/hyperlink" Target="https://doi.org/10.1016/j.cotox.2022.100371" TargetMode="External"/><Relationship Id="rId36" Type="http://schemas.openxmlformats.org/officeDocument/2006/relationships/hyperlink" Target="https://doi.org/10.2147/DDDT.S507658" TargetMode="External"/><Relationship Id="rId10" Type="http://schemas.openxmlformats.org/officeDocument/2006/relationships/hyperlink" Target="https://doi.org/10.1007/s00580-025-03703-9" TargetMode="External"/><Relationship Id="rId19" Type="http://schemas.openxmlformats.org/officeDocument/2006/relationships/hyperlink" Target="https://doi.org/10.1186/s12906-025-04862-6" TargetMode="External"/><Relationship Id="rId31" Type="http://schemas.openxmlformats.org/officeDocument/2006/relationships/hyperlink" Target="https://doi.org/10.1016/j.heliyon.2024.e25340" TargetMode="External"/><Relationship Id="rId4" Type="http://schemas.openxmlformats.org/officeDocument/2006/relationships/webSettings" Target="webSettings.xml"/><Relationship Id="rId9" Type="http://schemas.openxmlformats.org/officeDocument/2006/relationships/hyperlink" Target="https://doi.org/10.7004/asfirj-c2pw-xx13" TargetMode="External"/><Relationship Id="rId14" Type="http://schemas.openxmlformats.org/officeDocument/2006/relationships/hyperlink" Target="https://doi.org/10.30574/wjarr.2023.18.1.0623" TargetMode="External"/><Relationship Id="rId22" Type="http://schemas.openxmlformats.org/officeDocument/2006/relationships/hyperlink" Target="https://doi.org/10.31925/farmacia.2024.1.23" TargetMode="External"/><Relationship Id="rId27" Type="http://schemas.openxmlformats.org/officeDocument/2006/relationships/hyperlink" Target="https://doi.org/10.4314/sa.v22i1.27" TargetMode="External"/><Relationship Id="rId30" Type="http://schemas.openxmlformats.org/officeDocument/2006/relationships/hyperlink" Target="https://doi.org/10.1155/crin/8207758" TargetMode="External"/><Relationship Id="rId35" Type="http://schemas.openxmlformats.org/officeDocument/2006/relationships/hyperlink" Target="https://doi.org/10.30574/gscbps.2023.24.1.0291" TargetMode="External"/><Relationship Id="rId8" Type="http://schemas.openxmlformats.org/officeDocument/2006/relationships/hyperlink" Target="https://dx.doi.org/10.22038/AJP.2023.2352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6662</Words>
  <Characters>37977</Characters>
  <Application>Microsoft Office Word</Application>
  <DocSecurity>0</DocSecurity>
  <Lines>316</Lines>
  <Paragraphs>89</Paragraphs>
  <ScaleCrop>false</ScaleCrop>
  <Company/>
  <LinksUpToDate>false</LinksUpToDate>
  <CharactersWithSpaces>44550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Nwabueze</dc:creator>
  <cp:lastModifiedBy>Editor-90</cp:lastModifiedBy>
  <cp:revision>15</cp:revision>
  <dcterms:created xsi:type="dcterms:W3CDTF">2025-10-20T18:12:00Z</dcterms:created>
  <dcterms:modified xsi:type="dcterms:W3CDTF">2025-10-23T06:10:00Z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5b12ebc6-adbc-4297-ba73-2a6cf4e23042</vt:lpwstr>
  </property>
  <property fmtid="{D5CDD505-2E9C-101B-9397-08002B2CF9AE}" pid="3" name="KSOProductBuildVer">
    <vt:lpwstr>1033-12.2.0.23131</vt:lpwstr>
  </property>
  <property fmtid="{D5CDD505-2E9C-101B-9397-08002B2CF9AE}" pid="4" name="ICV">
    <vt:lpwstr>7119AAA597E84BBCB311EA046368B001_12</vt:lpwstr>
  </property>
</Properties>
</file>