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CCA" w:rsidRDefault="00B01760">
      <w:pPr>
        <w:spacing w:after="0" w:line="240" w:lineRule="auto"/>
        <w:jc w:val="both"/>
        <w:rPr>
          <w:rFonts w:ascii="Times New Roman" w:hAnsi="Times New Roman"/>
          <w:b/>
          <w:bCs/>
          <w:caps/>
          <w:sz w:val="24"/>
          <w:szCs w:val="24"/>
          <w:u w:val="single"/>
        </w:rPr>
      </w:pPr>
      <w:r>
        <w:rPr>
          <w:rFonts w:ascii="Times New Roman" w:hAnsi="Times New Roman"/>
          <w:b/>
          <w:bCs/>
          <w:caps/>
          <w:sz w:val="24"/>
          <w:szCs w:val="24"/>
          <w:u w:val="single"/>
        </w:rPr>
        <w:t>Original Research Article</w:t>
      </w:r>
    </w:p>
    <w:p w:rsidR="00307CCA" w:rsidRDefault="00307CCA">
      <w:pPr>
        <w:spacing w:after="0" w:line="240" w:lineRule="auto"/>
        <w:jc w:val="both"/>
        <w:rPr>
          <w:rFonts w:ascii="Times New Roman" w:hAnsi="Times New Roman"/>
          <w:b/>
          <w:bCs/>
          <w:caps/>
          <w:sz w:val="24"/>
          <w:szCs w:val="24"/>
        </w:rPr>
      </w:pPr>
    </w:p>
    <w:p w:rsidR="00307CCA" w:rsidRDefault="00B01760">
      <w:pPr>
        <w:spacing w:after="0" w:line="240" w:lineRule="auto"/>
        <w:rPr>
          <w:rFonts w:ascii="Times New Roman" w:hAnsi="Times New Roman"/>
          <w:b/>
          <w:bCs/>
          <w:caps/>
          <w:sz w:val="24"/>
          <w:szCs w:val="24"/>
        </w:rPr>
      </w:pPr>
      <w:r>
        <w:rPr>
          <w:rFonts w:ascii="Times New Roman" w:hAnsi="Times New Roman"/>
          <w:b/>
          <w:bCs/>
          <w:caps/>
          <w:sz w:val="24"/>
          <w:szCs w:val="24"/>
        </w:rPr>
        <w:t xml:space="preserve">PHYTOCHEMICAL </w:t>
      </w:r>
      <w:r>
        <w:rPr>
          <w:rFonts w:ascii="Times New Roman" w:hAnsi="Times New Roman"/>
          <w:b/>
          <w:bCs/>
          <w:caps/>
          <w:sz w:val="24"/>
          <w:szCs w:val="24"/>
        </w:rPr>
        <w:t xml:space="preserve">composition </w:t>
      </w:r>
      <w:r>
        <w:rPr>
          <w:rFonts w:ascii="Times New Roman" w:hAnsi="Times New Roman"/>
          <w:b/>
          <w:bCs/>
          <w:caps/>
          <w:sz w:val="24"/>
          <w:szCs w:val="24"/>
        </w:rPr>
        <w:t>and</w:t>
      </w:r>
      <w:r>
        <w:rPr>
          <w:rFonts w:ascii="Times New Roman" w:hAnsi="Times New Roman"/>
          <w:b/>
          <w:bCs/>
          <w:caps/>
          <w:sz w:val="24"/>
          <w:szCs w:val="24"/>
        </w:rPr>
        <w:t xml:space="preserve"> </w:t>
      </w:r>
      <w:r>
        <w:rPr>
          <w:rFonts w:ascii="Times New Roman" w:hAnsi="Times New Roman"/>
          <w:b/>
          <w:bCs/>
          <w:i/>
          <w:iCs/>
          <w:caps/>
          <w:sz w:val="24"/>
          <w:szCs w:val="24"/>
        </w:rPr>
        <w:t>in vitro</w:t>
      </w:r>
      <w:r>
        <w:rPr>
          <w:rFonts w:ascii="Times New Roman" w:hAnsi="Times New Roman"/>
          <w:b/>
          <w:bCs/>
          <w:caps/>
          <w:sz w:val="24"/>
          <w:szCs w:val="24"/>
        </w:rPr>
        <w:t xml:space="preserve"> </w:t>
      </w:r>
      <w:r>
        <w:rPr>
          <w:rFonts w:ascii="Times New Roman" w:hAnsi="Times New Roman"/>
          <w:b/>
          <w:bCs/>
          <w:caps/>
          <w:sz w:val="24"/>
          <w:szCs w:val="24"/>
        </w:rPr>
        <w:t xml:space="preserve">antioxidant </w:t>
      </w:r>
      <w:r>
        <w:rPr>
          <w:rFonts w:ascii="Times New Roman" w:hAnsi="Times New Roman"/>
          <w:b/>
          <w:bCs/>
          <w:caps/>
          <w:sz w:val="24"/>
          <w:szCs w:val="24"/>
        </w:rPr>
        <w:t xml:space="preserve">potential </w:t>
      </w:r>
      <w:r>
        <w:rPr>
          <w:rFonts w:ascii="Times New Roman" w:hAnsi="Times New Roman"/>
          <w:b/>
          <w:bCs/>
          <w:caps/>
          <w:sz w:val="24"/>
          <w:szCs w:val="24"/>
        </w:rPr>
        <w:t>of</w:t>
      </w:r>
      <w:r>
        <w:rPr>
          <w:rFonts w:ascii="Times New Roman" w:hAnsi="Times New Roman"/>
          <w:b/>
          <w:bCs/>
          <w:i/>
          <w:iCs/>
          <w:caps/>
          <w:sz w:val="24"/>
          <w:szCs w:val="24"/>
        </w:rPr>
        <w:t xml:space="preserve"> </w:t>
      </w:r>
      <w:r>
        <w:rPr>
          <w:rFonts w:ascii="Times New Roman" w:hAnsi="Times New Roman"/>
          <w:b/>
          <w:bCs/>
          <w:caps/>
          <w:sz w:val="24"/>
          <w:szCs w:val="24"/>
        </w:rPr>
        <w:t>the ethanolic extract of</w:t>
      </w:r>
      <w:r>
        <w:rPr>
          <w:rFonts w:ascii="Times New Roman" w:hAnsi="Times New Roman"/>
          <w:b/>
          <w:bCs/>
          <w:i/>
          <w:iCs/>
          <w:caps/>
          <w:sz w:val="24"/>
          <w:szCs w:val="24"/>
        </w:rPr>
        <w:t xml:space="preserve"> </w:t>
      </w:r>
      <w:r>
        <w:rPr>
          <w:rFonts w:ascii="Times New Roman" w:hAnsi="Times New Roman"/>
          <w:b/>
          <w:bCs/>
          <w:i/>
          <w:iCs/>
          <w:caps/>
          <w:sz w:val="24"/>
          <w:szCs w:val="24"/>
        </w:rPr>
        <w:t>Trigonella foenum-graecum</w:t>
      </w:r>
      <w:r>
        <w:rPr>
          <w:rFonts w:ascii="Times New Roman" w:hAnsi="Times New Roman"/>
          <w:b/>
          <w:bCs/>
          <w:caps/>
          <w:sz w:val="24"/>
          <w:szCs w:val="24"/>
        </w:rPr>
        <w:t xml:space="preserve"> (fenugreek) seed</w:t>
      </w:r>
      <w:r>
        <w:rPr>
          <w:rFonts w:ascii="Times New Roman" w:hAnsi="Times New Roman"/>
          <w:b/>
          <w:bCs/>
          <w:caps/>
          <w:sz w:val="24"/>
          <w:szCs w:val="24"/>
        </w:rPr>
        <w:t xml:space="preserve">s </w:t>
      </w:r>
    </w:p>
    <w:p w:rsidR="00307CCA" w:rsidRDefault="00307CCA">
      <w:pPr>
        <w:spacing w:after="0" w:line="240" w:lineRule="auto"/>
        <w:jc w:val="both"/>
        <w:rPr>
          <w:rFonts w:ascii="Times New Roman" w:hAnsi="Times New Roman"/>
          <w:b/>
          <w:bCs/>
          <w:caps/>
          <w:sz w:val="24"/>
          <w:szCs w:val="24"/>
        </w:rPr>
      </w:pPr>
    </w:p>
    <w:p w:rsidR="00307CCA" w:rsidRDefault="00307CCA">
      <w:pPr>
        <w:spacing w:after="0" w:line="240" w:lineRule="auto"/>
        <w:jc w:val="both"/>
        <w:rPr>
          <w:rFonts w:ascii="Times New Roman" w:hAnsi="Times New Roman"/>
          <w:b/>
          <w:bCs/>
          <w:sz w:val="24"/>
          <w:szCs w:val="24"/>
        </w:rPr>
      </w:pPr>
    </w:p>
    <w:p w:rsidR="00307CCA" w:rsidRDefault="00307CCA">
      <w:pPr>
        <w:spacing w:after="0" w:line="240" w:lineRule="auto"/>
        <w:jc w:val="both"/>
        <w:rPr>
          <w:rFonts w:ascii="Times New Roman" w:hAnsi="Times New Roman"/>
          <w:sz w:val="24"/>
          <w:szCs w:val="24"/>
        </w:rPr>
      </w:pPr>
    </w:p>
    <w:p w:rsidR="00307CCA" w:rsidRDefault="00307CCA">
      <w:pPr>
        <w:spacing w:after="0" w:line="240" w:lineRule="auto"/>
        <w:jc w:val="both"/>
        <w:rPr>
          <w:rFonts w:ascii="Times New Roman" w:hAnsi="Times New Roman"/>
          <w:b/>
          <w:bCs/>
          <w:caps/>
          <w:sz w:val="24"/>
          <w:szCs w:val="24"/>
        </w:rPr>
      </w:pPr>
    </w:p>
    <w:p w:rsidR="00307CCA" w:rsidRDefault="00307CCA">
      <w:pPr>
        <w:spacing w:after="0" w:line="240" w:lineRule="auto"/>
        <w:jc w:val="both"/>
        <w:rPr>
          <w:rFonts w:ascii="Times New Roman" w:hAnsi="Times New Roman"/>
          <w:b/>
          <w:bCs/>
          <w:caps/>
          <w:sz w:val="24"/>
          <w:szCs w:val="24"/>
        </w:rPr>
      </w:pPr>
    </w:p>
    <w:p w:rsidR="00307CCA" w:rsidRDefault="00307CCA">
      <w:pPr>
        <w:spacing w:after="0" w:line="240" w:lineRule="auto"/>
        <w:jc w:val="center"/>
        <w:rPr>
          <w:rFonts w:ascii="Times New Roman" w:hAnsi="Times New Roman"/>
          <w:b/>
          <w:bCs/>
          <w:caps/>
          <w:sz w:val="24"/>
          <w:szCs w:val="24"/>
        </w:rPr>
      </w:pPr>
    </w:p>
    <w:p w:rsidR="00307CCA" w:rsidRDefault="00B01760">
      <w:pPr>
        <w:spacing w:after="0" w:line="240" w:lineRule="auto"/>
        <w:jc w:val="center"/>
        <w:rPr>
          <w:rFonts w:ascii="Times New Roman" w:hAnsi="Times New Roman"/>
          <w:b/>
          <w:bCs/>
          <w:caps/>
          <w:sz w:val="24"/>
          <w:szCs w:val="24"/>
        </w:rPr>
      </w:pPr>
      <w:r>
        <w:rPr>
          <w:rFonts w:ascii="Times New Roman" w:hAnsi="Times New Roman"/>
          <w:b/>
          <w:bCs/>
          <w:caps/>
          <w:sz w:val="24"/>
          <w:szCs w:val="24"/>
        </w:rPr>
        <w:t>Abstract</w:t>
      </w:r>
    </w:p>
    <w:p w:rsidR="00307CCA" w:rsidRDefault="00307CCA">
      <w:pPr>
        <w:spacing w:after="0" w:line="240" w:lineRule="auto"/>
        <w:jc w:val="center"/>
        <w:rPr>
          <w:rFonts w:ascii="Times New Roman" w:hAnsi="Times New Roman"/>
          <w:b/>
          <w:bCs/>
          <w:caps/>
          <w:sz w:val="24"/>
          <w:szCs w:val="24"/>
        </w:rPr>
      </w:pPr>
    </w:p>
    <w:p w:rsidR="00307CCA" w:rsidRDefault="00B01760">
      <w:pPr>
        <w:spacing w:after="0"/>
        <w:jc w:val="both"/>
        <w:rPr>
          <w:rFonts w:ascii="Times New Roman" w:hAnsi="Times New Roman"/>
          <w:sz w:val="24"/>
          <w:szCs w:val="24"/>
        </w:rPr>
      </w:pPr>
      <w:r>
        <w:rPr>
          <w:rFonts w:ascii="Times New Roman" w:hAnsi="Times New Roman"/>
          <w:sz w:val="24"/>
          <w:szCs w:val="24"/>
        </w:rPr>
        <w:t>Medicinal plan</w:t>
      </w:r>
      <w:r>
        <w:rPr>
          <w:rFonts w:ascii="Times New Roman" w:hAnsi="Times New Roman"/>
          <w:sz w:val="24"/>
          <w:szCs w:val="24"/>
        </w:rPr>
        <w:t xml:space="preserve">t serves as  a </w:t>
      </w:r>
      <w:r>
        <w:rPr>
          <w:rFonts w:ascii="Times New Roman" w:hAnsi="Times New Roman"/>
          <w:sz w:val="24"/>
          <w:szCs w:val="24"/>
        </w:rPr>
        <w:t xml:space="preserve">natural </w:t>
      </w:r>
      <w:r>
        <w:rPr>
          <w:rFonts w:ascii="Times New Roman" w:hAnsi="Times New Roman"/>
          <w:sz w:val="24"/>
          <w:szCs w:val="24"/>
        </w:rPr>
        <w:t xml:space="preserve">source of </w:t>
      </w:r>
      <w:r>
        <w:rPr>
          <w:rFonts w:ascii="Times New Roman" w:hAnsi="Times New Roman"/>
          <w:sz w:val="24"/>
          <w:szCs w:val="24"/>
        </w:rPr>
        <w:t xml:space="preserve">antioxidants that protect </w:t>
      </w:r>
      <w:r>
        <w:rPr>
          <w:rFonts w:ascii="Times New Roman" w:hAnsi="Times New Roman"/>
          <w:sz w:val="24"/>
          <w:szCs w:val="24"/>
        </w:rPr>
        <w:t>against oxidative stress and related pathologies.</w:t>
      </w:r>
      <w:r>
        <w:rPr>
          <w:rFonts w:ascii="Times New Roman" w:hAnsi="Times New Roman"/>
          <w:sz w:val="24"/>
          <w:szCs w:val="24"/>
        </w:rPr>
        <w:t xml:space="preserve"> </w:t>
      </w:r>
      <w:r>
        <w:rPr>
          <w:rFonts w:ascii="Times New Roman" w:hAnsi="Times New Roman"/>
          <w:i/>
          <w:iCs/>
          <w:sz w:val="24"/>
          <w:szCs w:val="24"/>
        </w:rPr>
        <w:t>Trigonella foenum-graecum L.</w:t>
      </w:r>
      <w:r>
        <w:rPr>
          <w:rFonts w:ascii="Times New Roman" w:hAnsi="Times New Roman"/>
          <w:sz w:val="24"/>
          <w:szCs w:val="24"/>
        </w:rPr>
        <w:t xml:space="preserve"> (fenugreek) is a medicinal plant that is known to possess antioxidant and anti-inflammatory properties due to their rich phytochemical c</w:t>
      </w:r>
      <w:r>
        <w:rPr>
          <w:rFonts w:ascii="Times New Roman" w:hAnsi="Times New Roman"/>
          <w:sz w:val="24"/>
          <w:szCs w:val="24"/>
        </w:rPr>
        <w:t>ompounds</w:t>
      </w:r>
      <w:r>
        <w:rPr>
          <w:rFonts w:ascii="Times New Roman" w:hAnsi="Times New Roman"/>
          <w:sz w:val="24"/>
          <w:szCs w:val="24"/>
        </w:rPr>
        <w:t xml:space="preserve">. </w:t>
      </w:r>
      <w:r>
        <w:rPr>
          <w:rFonts w:ascii="Times New Roman" w:hAnsi="Times New Roman"/>
          <w:sz w:val="24"/>
          <w:szCs w:val="24"/>
        </w:rPr>
        <w:t xml:space="preserve">This study investigated the phytochemical composition and </w:t>
      </w:r>
      <w:r>
        <w:rPr>
          <w:rFonts w:ascii="Times New Roman" w:hAnsi="Times New Roman"/>
          <w:i/>
          <w:iCs/>
          <w:sz w:val="24"/>
          <w:szCs w:val="24"/>
        </w:rPr>
        <w:t>in vitro</w:t>
      </w:r>
      <w:r>
        <w:rPr>
          <w:rFonts w:ascii="Times New Roman" w:hAnsi="Times New Roman"/>
          <w:sz w:val="24"/>
          <w:szCs w:val="24"/>
        </w:rPr>
        <w:t xml:space="preserve"> antioxidant potential of the ethanolic extract of </w:t>
      </w:r>
      <w:r>
        <w:rPr>
          <w:rFonts w:ascii="Times New Roman" w:hAnsi="Times New Roman"/>
          <w:i/>
          <w:iCs/>
          <w:sz w:val="24"/>
          <w:szCs w:val="24"/>
        </w:rPr>
        <w:t>Trigonella foenum-graecum</w:t>
      </w:r>
      <w:r>
        <w:rPr>
          <w:rFonts w:ascii="Times New Roman" w:hAnsi="Times New Roman"/>
          <w:sz w:val="24"/>
          <w:szCs w:val="24"/>
        </w:rPr>
        <w:t xml:space="preserve"> (fenugreek) seeds. The seeds were authenticated, dried, ground, and extracted with 70% ethanol. Qualitative and q</w:t>
      </w:r>
      <w:r>
        <w:rPr>
          <w:rFonts w:ascii="Times New Roman" w:hAnsi="Times New Roman"/>
          <w:sz w:val="24"/>
          <w:szCs w:val="24"/>
        </w:rPr>
        <w:t>uantitative phytochemical analyses were conducted using standard methods, while antioxidant activities were evaluated through nitric oxide (NO), 2,2-diphenyl-1-picrylhydrazyl (DPPH), and ferric reducing antioxidant power (FRAP) assays. Phytochemical screen</w:t>
      </w:r>
      <w:r>
        <w:rPr>
          <w:rFonts w:ascii="Times New Roman" w:hAnsi="Times New Roman"/>
          <w:sz w:val="24"/>
          <w:szCs w:val="24"/>
        </w:rPr>
        <w:t>ing revealed the presence of alkaloids, phenols, flavonoids, tannins, saponins, terpenoids, steroids, and cardiac glycosides, with flavonoids (5.51 ± 0.07 mg/g), phenols (4.61 ± 0.05 mg/g), and saponins (3.26 ± 0.04 mg/g) being abundant. These phytochemica</w:t>
      </w:r>
      <w:r>
        <w:rPr>
          <w:rFonts w:ascii="Times New Roman" w:hAnsi="Times New Roman"/>
          <w:sz w:val="24"/>
          <w:szCs w:val="24"/>
        </w:rPr>
        <w:t xml:space="preserve">ls are known to contribute to antioxidant and anti-inflammatory activities. The extract demonstrated concentration-dependent antioxidant activity in all assays. Nitric oxide scavenging ranged from 10.31 ± 0.07% to 61.58 ± 0.11% (IC₅₀ = 361.21 µg/mL), DPPH </w:t>
      </w:r>
      <w:r>
        <w:rPr>
          <w:rFonts w:ascii="Times New Roman" w:hAnsi="Times New Roman"/>
          <w:sz w:val="24"/>
          <w:szCs w:val="24"/>
        </w:rPr>
        <w:t>inhibition from 18.56 ± 0.12% to 70.39 ± 0.25% (IC₅₀ = 242.4 µg/mL), and FRAP activity from 3.32 ± 0.04% to 41.20 ± 0.14% (IC₅₀ = 505.8 µg/mL), compared with vitamin C standards that showed higher activity in each case. The extract showed concentration-dep</w:t>
      </w:r>
      <w:r>
        <w:rPr>
          <w:rFonts w:ascii="Times New Roman" w:hAnsi="Times New Roman"/>
          <w:sz w:val="24"/>
          <w:szCs w:val="24"/>
        </w:rPr>
        <w:t xml:space="preserve">endent radical scavenging effects, with NO inhibition ranging from 10.31 ± 0.07% to 61.58 ± 0.11% and an IC₅₀ value of 361.21 µg/mL compared to 156.75 µg/mL for vitamin C. </w:t>
      </w:r>
      <w:r>
        <w:rPr>
          <w:rFonts w:ascii="Times New Roman" w:hAnsi="Times New Roman"/>
          <w:sz w:val="24"/>
          <w:szCs w:val="24"/>
        </w:rPr>
        <w:t xml:space="preserve">The </w:t>
      </w:r>
      <w:r>
        <w:rPr>
          <w:rFonts w:ascii="Times New Roman" w:hAnsi="Times New Roman"/>
          <w:sz w:val="24"/>
          <w:szCs w:val="24"/>
        </w:rPr>
        <w:t xml:space="preserve">strong </w:t>
      </w:r>
      <w:r>
        <w:rPr>
          <w:rFonts w:ascii="Times New Roman" w:hAnsi="Times New Roman"/>
          <w:sz w:val="24"/>
          <w:szCs w:val="24"/>
        </w:rPr>
        <w:t xml:space="preserve">antioxidant activities observed in fenugreek seed </w:t>
      </w:r>
      <w:r>
        <w:rPr>
          <w:rFonts w:ascii="Times New Roman" w:hAnsi="Times New Roman"/>
          <w:sz w:val="24"/>
          <w:szCs w:val="24"/>
        </w:rPr>
        <w:t xml:space="preserve">extract </w:t>
      </w:r>
      <w:r>
        <w:rPr>
          <w:rFonts w:ascii="Times New Roman" w:hAnsi="Times New Roman"/>
          <w:sz w:val="24"/>
          <w:szCs w:val="24"/>
        </w:rPr>
        <w:t xml:space="preserve">are attributed </w:t>
      </w:r>
      <w:r>
        <w:rPr>
          <w:rFonts w:ascii="Times New Roman" w:hAnsi="Times New Roman"/>
          <w:sz w:val="24"/>
          <w:szCs w:val="24"/>
        </w:rPr>
        <w:t xml:space="preserve">to its high content of </w:t>
      </w:r>
      <w:r>
        <w:rPr>
          <w:rFonts w:ascii="Times New Roman" w:hAnsi="Times New Roman"/>
          <w:sz w:val="24"/>
          <w:szCs w:val="24"/>
        </w:rPr>
        <w:t>flavonoids, phenolics,and saponins</w:t>
      </w:r>
      <w:r>
        <w:rPr>
          <w:rFonts w:ascii="Times New Roman" w:hAnsi="Times New Roman"/>
          <w:sz w:val="24"/>
          <w:szCs w:val="24"/>
        </w:rPr>
        <w:t>. These findings support the potential application of fenugreek seed</w:t>
      </w:r>
      <w:r>
        <w:rPr>
          <w:rFonts w:ascii="Times New Roman" w:hAnsi="Times New Roman"/>
          <w:sz w:val="24"/>
          <w:szCs w:val="24"/>
        </w:rPr>
        <w:t>s</w:t>
      </w:r>
      <w:r>
        <w:rPr>
          <w:rFonts w:ascii="Times New Roman" w:hAnsi="Times New Roman"/>
          <w:sz w:val="24"/>
          <w:szCs w:val="24"/>
        </w:rPr>
        <w:t xml:space="preserve"> as a natural antioxidant source and provide a scientific insight for its use in nutraceutical and therapeutic formulations target</w:t>
      </w:r>
      <w:r>
        <w:rPr>
          <w:rFonts w:ascii="Times New Roman" w:hAnsi="Times New Roman"/>
          <w:sz w:val="24"/>
          <w:szCs w:val="24"/>
        </w:rPr>
        <w:t>ing oxidative stress–related disorders</w:t>
      </w:r>
      <w:r>
        <w:rPr>
          <w:rFonts w:ascii="Times New Roman" w:hAnsi="Times New Roman"/>
          <w:sz w:val="24"/>
          <w:szCs w:val="24"/>
        </w:rPr>
        <w:t xml:space="preserve"> such as hypothyroidism.</w:t>
      </w:r>
    </w:p>
    <w:p w:rsidR="00307CCA" w:rsidRDefault="00307CCA">
      <w:pPr>
        <w:spacing w:after="0" w:line="240" w:lineRule="auto"/>
        <w:jc w:val="both"/>
        <w:rPr>
          <w:rFonts w:ascii="Times New Roman" w:hAnsi="Times New Roman"/>
          <w:b/>
          <w:bCs/>
          <w:caps/>
          <w:sz w:val="24"/>
          <w:szCs w:val="24"/>
        </w:rPr>
      </w:pPr>
    </w:p>
    <w:p w:rsidR="00307CCA" w:rsidRDefault="00B01760">
      <w:pPr>
        <w:spacing w:after="0" w:line="240" w:lineRule="auto"/>
        <w:jc w:val="both"/>
        <w:rPr>
          <w:rFonts w:ascii="Times New Roman" w:hAnsi="Times New Roman"/>
          <w:b/>
          <w:bCs/>
          <w:caps/>
          <w:sz w:val="24"/>
          <w:szCs w:val="24"/>
        </w:rPr>
      </w:pPr>
      <w:r>
        <w:rPr>
          <w:rFonts w:ascii="Times New Roman" w:hAnsi="Times New Roman"/>
          <w:b/>
          <w:bCs/>
          <w:caps/>
          <w:sz w:val="24"/>
          <w:szCs w:val="24"/>
        </w:rPr>
        <w:t>Keywords:</w:t>
      </w:r>
    </w:p>
    <w:p w:rsidR="00307CCA" w:rsidRDefault="00B01760">
      <w:pPr>
        <w:spacing w:after="0" w:line="240" w:lineRule="auto"/>
        <w:jc w:val="both"/>
        <w:rPr>
          <w:rFonts w:ascii="Times New Roman" w:hAnsi="Times New Roman"/>
          <w:i/>
          <w:iCs/>
          <w:sz w:val="24"/>
          <w:szCs w:val="24"/>
        </w:rPr>
      </w:pPr>
      <w:r>
        <w:rPr>
          <w:rFonts w:ascii="Times New Roman" w:hAnsi="Times New Roman"/>
          <w:i/>
          <w:iCs/>
          <w:sz w:val="24"/>
          <w:szCs w:val="24"/>
        </w:rPr>
        <w:t>Trigonella foenum-graecum; phytochemicals; antioxidant activity; DPPH, nitric oxide; FRAP; fenugreek seed.</w:t>
      </w:r>
    </w:p>
    <w:p w:rsidR="00307CCA" w:rsidRDefault="00307CCA">
      <w:pPr>
        <w:spacing w:after="0" w:line="240" w:lineRule="auto"/>
        <w:jc w:val="both"/>
        <w:rPr>
          <w:rFonts w:ascii="Times New Roman" w:hAnsi="Times New Roman"/>
          <w:sz w:val="24"/>
          <w:szCs w:val="24"/>
        </w:rPr>
      </w:pPr>
    </w:p>
    <w:p w:rsidR="00307CCA" w:rsidRDefault="00B01760">
      <w:pPr>
        <w:spacing w:after="0" w:line="360" w:lineRule="auto"/>
        <w:jc w:val="both"/>
        <w:rPr>
          <w:rFonts w:ascii="Times New Roman" w:hAnsi="Times New Roman"/>
          <w:b/>
          <w:bCs/>
          <w:caps/>
          <w:sz w:val="24"/>
          <w:szCs w:val="24"/>
        </w:rPr>
      </w:pPr>
      <w:r>
        <w:rPr>
          <w:rFonts w:ascii="Times New Roman" w:hAnsi="Times New Roman"/>
          <w:b/>
          <w:bCs/>
          <w:caps/>
          <w:sz w:val="24"/>
          <w:szCs w:val="24"/>
        </w:rPr>
        <w:t>1. Introduction</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Medicinal plants </w:t>
      </w:r>
      <w:r>
        <w:rPr>
          <w:rFonts w:ascii="Times New Roman" w:hAnsi="Times New Roman"/>
          <w:sz w:val="24"/>
          <w:szCs w:val="24"/>
        </w:rPr>
        <w:t xml:space="preserve">is the </w:t>
      </w:r>
      <w:r>
        <w:rPr>
          <w:rFonts w:ascii="Times New Roman" w:hAnsi="Times New Roman"/>
          <w:sz w:val="24"/>
          <w:szCs w:val="24"/>
        </w:rPr>
        <w:t>source of bioactive compounds with</w:t>
      </w:r>
      <w:r>
        <w:rPr>
          <w:rFonts w:ascii="Times New Roman" w:hAnsi="Times New Roman"/>
          <w:sz w:val="24"/>
          <w:szCs w:val="24"/>
        </w:rPr>
        <w:t xml:space="preserve"> therapeutic and preventive potential against oxidative stress–related diseases. </w:t>
      </w:r>
      <w:r>
        <w:rPr>
          <w:rFonts w:ascii="Times New Roman" w:hAnsi="Times New Roman"/>
          <w:sz w:val="24"/>
          <w:szCs w:val="24"/>
        </w:rPr>
        <w:t>It has n</w:t>
      </w:r>
      <w:r>
        <w:rPr>
          <w:rFonts w:ascii="Times New Roman" w:hAnsi="Times New Roman"/>
          <w:sz w:val="24"/>
          <w:szCs w:val="24"/>
        </w:rPr>
        <w:t>atural antioxidants</w:t>
      </w:r>
      <w:r>
        <w:rPr>
          <w:rFonts w:ascii="Times New Roman" w:hAnsi="Times New Roman"/>
          <w:sz w:val="24"/>
          <w:szCs w:val="24"/>
        </w:rPr>
        <w:t xml:space="preserve"> that function </w:t>
      </w:r>
      <w:r>
        <w:rPr>
          <w:rFonts w:ascii="Times New Roman" w:hAnsi="Times New Roman"/>
          <w:sz w:val="24"/>
          <w:szCs w:val="24"/>
        </w:rPr>
        <w:t xml:space="preserve">by neutralizing free radicals and modulating reactive oxygen species, thereby preventing oxidative cellular injury” (Birben </w:t>
      </w:r>
      <w:r>
        <w:rPr>
          <w:rFonts w:ascii="Times New Roman" w:hAnsi="Times New Roman"/>
          <w:i/>
          <w:iCs/>
          <w:sz w:val="24"/>
          <w:szCs w:val="24"/>
        </w:rPr>
        <w:t>et al</w:t>
      </w:r>
      <w:r>
        <w:rPr>
          <w:rFonts w:ascii="Times New Roman" w:hAnsi="Times New Roman"/>
          <w:sz w:val="24"/>
          <w:szCs w:val="24"/>
        </w:rPr>
        <w:t>., 2</w:t>
      </w:r>
      <w:r>
        <w:rPr>
          <w:rFonts w:ascii="Times New Roman" w:hAnsi="Times New Roman"/>
          <w:sz w:val="24"/>
          <w:szCs w:val="24"/>
        </w:rPr>
        <w:t xml:space="preserve">012; Lobo </w:t>
      </w:r>
      <w:r>
        <w:rPr>
          <w:rFonts w:ascii="Times New Roman" w:hAnsi="Times New Roman"/>
          <w:i/>
          <w:iCs/>
          <w:sz w:val="24"/>
          <w:szCs w:val="24"/>
        </w:rPr>
        <w:t>et al</w:t>
      </w:r>
      <w:r>
        <w:rPr>
          <w:rFonts w:ascii="Times New Roman" w:hAnsi="Times New Roman"/>
          <w:sz w:val="24"/>
          <w:szCs w:val="24"/>
        </w:rPr>
        <w:t xml:space="preserve">., 2010). </w:t>
      </w:r>
      <w:r>
        <w:rPr>
          <w:rFonts w:ascii="Times New Roman" w:hAnsi="Times New Roman"/>
          <w:sz w:val="24"/>
          <w:szCs w:val="24"/>
        </w:rPr>
        <w:t xml:space="preserve">Recently, there is a rising focus in identifying safer and plant-derived alternatives due to the increasing </w:t>
      </w:r>
      <w:r>
        <w:rPr>
          <w:rFonts w:ascii="Times New Roman" w:hAnsi="Times New Roman"/>
          <w:sz w:val="24"/>
          <w:szCs w:val="24"/>
        </w:rPr>
        <w:t xml:space="preserve">limitations and toxicity concerns </w:t>
      </w:r>
      <w:r>
        <w:rPr>
          <w:rFonts w:ascii="Times New Roman" w:hAnsi="Times New Roman"/>
          <w:sz w:val="24"/>
          <w:szCs w:val="24"/>
        </w:rPr>
        <w:t xml:space="preserve">associated </w:t>
      </w:r>
      <w:r>
        <w:rPr>
          <w:rFonts w:ascii="Times New Roman" w:hAnsi="Times New Roman"/>
          <w:sz w:val="24"/>
          <w:szCs w:val="24"/>
        </w:rPr>
        <w:t>with synthetic antioxidants such as butylated hydroxytoluene (BHT) and butylat</w:t>
      </w:r>
      <w:r>
        <w:rPr>
          <w:rFonts w:ascii="Times New Roman" w:hAnsi="Times New Roman"/>
          <w:sz w:val="24"/>
          <w:szCs w:val="24"/>
        </w:rPr>
        <w:t>ed hydroxyanisole (BHA)</w:t>
      </w:r>
      <w:r>
        <w:rPr>
          <w:rFonts w:ascii="Times New Roman" w:hAnsi="Times New Roman"/>
          <w:sz w:val="24"/>
          <w:szCs w:val="24"/>
        </w:rPr>
        <w:t xml:space="preserve"> </w:t>
      </w:r>
      <w:r>
        <w:rPr>
          <w:rFonts w:ascii="Times New Roman" w:hAnsi="Times New Roman"/>
          <w:sz w:val="24"/>
          <w:szCs w:val="24"/>
        </w:rPr>
        <w:t>(Shahidi &amp; Ambigaipalan, 2015).</w:t>
      </w:r>
    </w:p>
    <w:p w:rsidR="00307CCA" w:rsidRDefault="00B01760">
      <w:pPr>
        <w:spacing w:after="0" w:line="360" w:lineRule="auto"/>
        <w:jc w:val="both"/>
        <w:rPr>
          <w:rFonts w:ascii="Times New Roman" w:hAnsi="Times New Roman"/>
          <w:sz w:val="24"/>
          <w:szCs w:val="24"/>
        </w:rPr>
      </w:pPr>
      <w:r>
        <w:rPr>
          <w:rFonts w:ascii="Times New Roman" w:hAnsi="Times New Roman"/>
          <w:i/>
          <w:iCs/>
          <w:sz w:val="24"/>
          <w:szCs w:val="24"/>
        </w:rPr>
        <w:t>Trigonella foenum-graecum L.</w:t>
      </w:r>
      <w:r>
        <w:rPr>
          <w:rFonts w:ascii="Times New Roman" w:hAnsi="Times New Roman"/>
          <w:sz w:val="24"/>
          <w:szCs w:val="24"/>
        </w:rPr>
        <w:t xml:space="preserve"> (fenugreek), a member of the Fabaceae family, is </w:t>
      </w:r>
      <w:r>
        <w:rPr>
          <w:rFonts w:ascii="Times New Roman" w:hAnsi="Times New Roman"/>
          <w:sz w:val="24"/>
          <w:szCs w:val="24"/>
        </w:rPr>
        <w:t xml:space="preserve">a </w:t>
      </w:r>
      <w:r>
        <w:rPr>
          <w:rFonts w:ascii="Times New Roman" w:hAnsi="Times New Roman"/>
          <w:sz w:val="24"/>
          <w:szCs w:val="24"/>
        </w:rPr>
        <w:t>medicinal plants that has attracted substantial scientific interest because of its wide variety of pharmacological effec</w:t>
      </w:r>
      <w:r>
        <w:rPr>
          <w:rFonts w:ascii="Times New Roman" w:hAnsi="Times New Roman"/>
          <w:sz w:val="24"/>
          <w:szCs w:val="24"/>
        </w:rPr>
        <w:t>ts, which include antidiabetic, anti-inflammatory, and antioxidant properties (Basch</w:t>
      </w:r>
      <w:r>
        <w:rPr>
          <w:rFonts w:ascii="Times New Roman" w:hAnsi="Times New Roman"/>
          <w:i/>
          <w:iCs/>
          <w:sz w:val="24"/>
          <w:szCs w:val="24"/>
        </w:rPr>
        <w:t xml:space="preserve"> et al</w:t>
      </w:r>
      <w:r>
        <w:rPr>
          <w:rFonts w:ascii="Times New Roman" w:hAnsi="Times New Roman"/>
          <w:sz w:val="24"/>
          <w:szCs w:val="24"/>
        </w:rPr>
        <w:t>., 2003; Meghwal &amp; Goswami, 2012). Fenugreek seeds are rich in diverse phytochemicals such as alkaloids, flavonoids, saponins, tannins, and phenolic compounds, contri</w:t>
      </w:r>
      <w:r>
        <w:rPr>
          <w:rFonts w:ascii="Times New Roman" w:hAnsi="Times New Roman"/>
          <w:sz w:val="24"/>
          <w:szCs w:val="24"/>
        </w:rPr>
        <w:t xml:space="preserve">buting to its potent biological activities (Acharya </w:t>
      </w:r>
      <w:r>
        <w:rPr>
          <w:rFonts w:ascii="Times New Roman" w:hAnsi="Times New Roman"/>
          <w:i/>
          <w:iCs/>
          <w:sz w:val="24"/>
          <w:szCs w:val="24"/>
        </w:rPr>
        <w:t>et al</w:t>
      </w:r>
      <w:r>
        <w:rPr>
          <w:rFonts w:ascii="Times New Roman" w:hAnsi="Times New Roman"/>
          <w:sz w:val="24"/>
          <w:szCs w:val="24"/>
        </w:rPr>
        <w:t>., 2006). These compounds are capable of donating electrons or hydrogen atoms, thereby neutralizing free radicals and protecting biomolecules such as lipids, proteins, and nucleic acids from oxidativ</w:t>
      </w:r>
      <w:r>
        <w:rPr>
          <w:rFonts w:ascii="Times New Roman" w:hAnsi="Times New Roman"/>
          <w:sz w:val="24"/>
          <w:szCs w:val="24"/>
        </w:rPr>
        <w:t xml:space="preserve">e injury (Kumar </w:t>
      </w:r>
      <w:r>
        <w:rPr>
          <w:rFonts w:ascii="Times New Roman" w:hAnsi="Times New Roman"/>
          <w:i/>
          <w:iCs/>
          <w:sz w:val="24"/>
          <w:szCs w:val="24"/>
        </w:rPr>
        <w:t>et al</w:t>
      </w:r>
      <w:r>
        <w:rPr>
          <w:rFonts w:ascii="Times New Roman" w:hAnsi="Times New Roman"/>
          <w:sz w:val="24"/>
          <w:szCs w:val="24"/>
        </w:rPr>
        <w:t>., 2017).</w:t>
      </w:r>
    </w:p>
    <w:p w:rsidR="00307CCA" w:rsidRDefault="00307CCA">
      <w:pPr>
        <w:spacing w:after="0" w:line="360" w:lineRule="auto"/>
        <w:jc w:val="both"/>
        <w:rPr>
          <w:rFonts w:ascii="Times New Roman" w:hAnsi="Times New Roman"/>
          <w:sz w:val="4"/>
          <w:szCs w:val="24"/>
        </w:rPr>
      </w:pP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 xml:space="preserve">Oxidative stress </w:t>
      </w:r>
      <w:r>
        <w:rPr>
          <w:rFonts w:ascii="Times New Roman" w:hAnsi="Times New Roman"/>
          <w:sz w:val="24"/>
          <w:szCs w:val="24"/>
        </w:rPr>
        <w:t>lead to an i</w:t>
      </w:r>
      <w:r>
        <w:rPr>
          <w:rFonts w:ascii="Times New Roman" w:hAnsi="Times New Roman"/>
          <w:sz w:val="24"/>
          <w:szCs w:val="24"/>
        </w:rPr>
        <w:t xml:space="preserve">mbalance between reactive oxygen species (ROS) production and antioxidant defenses. This results to the disruption of cellular homeostasis and the pathogenesis of chronic diseases including diabetes, cardiovascular disorders, neurodegeneration, and cancer </w:t>
      </w:r>
      <w:r>
        <w:rPr>
          <w:rFonts w:ascii="Times New Roman" w:hAnsi="Times New Roman"/>
          <w:sz w:val="24"/>
          <w:szCs w:val="24"/>
        </w:rPr>
        <w:t xml:space="preserve">(Halliwell &amp; Gutteridge, 2015). Hence, evaluation of the </w:t>
      </w:r>
      <w:r>
        <w:rPr>
          <w:rFonts w:ascii="Times New Roman" w:hAnsi="Times New Roman"/>
          <w:i/>
          <w:iCs/>
          <w:sz w:val="24"/>
          <w:szCs w:val="24"/>
        </w:rPr>
        <w:t>in vitro</w:t>
      </w:r>
      <w:r>
        <w:rPr>
          <w:rFonts w:ascii="Times New Roman" w:hAnsi="Times New Roman"/>
          <w:sz w:val="24"/>
          <w:szCs w:val="24"/>
        </w:rPr>
        <w:t xml:space="preserve"> antioxidant potential of plant extracts has become a fundamental step in drug discovery and nutraceutical research. Several assays, such as the DPPH (2,2-diphenyl-1-picrylhydrazyl) radical s</w:t>
      </w:r>
      <w:r>
        <w:rPr>
          <w:rFonts w:ascii="Times New Roman" w:hAnsi="Times New Roman"/>
          <w:sz w:val="24"/>
          <w:szCs w:val="24"/>
        </w:rPr>
        <w:t xml:space="preserve">cavenging assay, ferric reducing antioxidant power (FRAP), and Nitric oxide (NO) scavenging test, are widely used to quantify the radical-scavenging and reducing capacities of natural compounds (Thaipong </w:t>
      </w:r>
      <w:r>
        <w:rPr>
          <w:rFonts w:ascii="Times New Roman" w:hAnsi="Times New Roman"/>
          <w:i/>
          <w:sz w:val="24"/>
          <w:szCs w:val="24"/>
        </w:rPr>
        <w:t>et al.,</w:t>
      </w:r>
      <w:r>
        <w:rPr>
          <w:rFonts w:ascii="Times New Roman" w:hAnsi="Times New Roman"/>
          <w:sz w:val="24"/>
          <w:szCs w:val="24"/>
        </w:rPr>
        <w:t xml:space="preserve"> 2006).</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Some previous studies have showed the</w:t>
      </w:r>
      <w:r>
        <w:rPr>
          <w:rFonts w:ascii="Times New Roman" w:hAnsi="Times New Roman"/>
          <w:sz w:val="24"/>
          <w:szCs w:val="24"/>
        </w:rPr>
        <w:t xml:space="preserve"> strong antioxidant activities of fenugreek seed</w:t>
      </w:r>
      <w:r>
        <w:rPr>
          <w:rFonts w:ascii="Times New Roman" w:hAnsi="Times New Roman"/>
          <w:sz w:val="24"/>
          <w:szCs w:val="24"/>
        </w:rPr>
        <w:t xml:space="preserve">s </w:t>
      </w:r>
      <w:r>
        <w:rPr>
          <w:rFonts w:ascii="Times New Roman" w:hAnsi="Times New Roman"/>
          <w:sz w:val="24"/>
          <w:szCs w:val="24"/>
        </w:rPr>
        <w:t xml:space="preserve">extracts, which are mainly attributed to their high phenolic and flavonoid contents (Sowmya &amp; Rajyalakshmi, 1999; Dixit </w:t>
      </w:r>
      <w:r>
        <w:rPr>
          <w:rFonts w:ascii="Times New Roman" w:hAnsi="Times New Roman"/>
          <w:i/>
          <w:iCs/>
          <w:sz w:val="24"/>
          <w:szCs w:val="24"/>
        </w:rPr>
        <w:t>et al.</w:t>
      </w:r>
      <w:r>
        <w:rPr>
          <w:rFonts w:ascii="Times New Roman" w:hAnsi="Times New Roman"/>
          <w:sz w:val="24"/>
          <w:szCs w:val="24"/>
        </w:rPr>
        <w:t>, 2005). However, variations in solvent polarity, extraction temperature, and ph</w:t>
      </w:r>
      <w:r>
        <w:rPr>
          <w:rFonts w:ascii="Times New Roman" w:hAnsi="Times New Roman"/>
          <w:sz w:val="24"/>
          <w:szCs w:val="24"/>
        </w:rPr>
        <w:t xml:space="preserve">ytochemical composition can influence the efficiency of these bioactive compounds (Do </w:t>
      </w:r>
      <w:r>
        <w:rPr>
          <w:rFonts w:ascii="Times New Roman" w:hAnsi="Times New Roman"/>
          <w:i/>
          <w:iCs/>
          <w:sz w:val="24"/>
          <w:szCs w:val="24"/>
        </w:rPr>
        <w:t>et al</w:t>
      </w:r>
      <w:r>
        <w:rPr>
          <w:rFonts w:ascii="Times New Roman" w:hAnsi="Times New Roman"/>
          <w:sz w:val="24"/>
          <w:szCs w:val="24"/>
        </w:rPr>
        <w:t xml:space="preserve">., 2014). Ethanol is especially effective as an extraction solvent due to its </w:t>
      </w:r>
      <w:r>
        <w:rPr>
          <w:rFonts w:ascii="Times New Roman" w:hAnsi="Times New Roman"/>
          <w:sz w:val="24"/>
          <w:szCs w:val="24"/>
        </w:rPr>
        <w:lastRenderedPageBreak/>
        <w:t>ability to dissolve both polar and non-polar phytochemicals, which enhance the recovery</w:t>
      </w:r>
      <w:r>
        <w:rPr>
          <w:rFonts w:ascii="Times New Roman" w:hAnsi="Times New Roman"/>
          <w:sz w:val="24"/>
          <w:szCs w:val="24"/>
        </w:rPr>
        <w:t xml:space="preserve"> of antioxidants (Tiwari </w:t>
      </w:r>
      <w:r>
        <w:rPr>
          <w:rFonts w:ascii="Times New Roman" w:hAnsi="Times New Roman"/>
          <w:i/>
          <w:sz w:val="24"/>
          <w:szCs w:val="24"/>
        </w:rPr>
        <w:t>et al.,</w:t>
      </w:r>
      <w:r>
        <w:rPr>
          <w:rFonts w:ascii="Times New Roman" w:hAnsi="Times New Roman"/>
          <w:sz w:val="24"/>
          <w:szCs w:val="24"/>
        </w:rPr>
        <w:t xml:space="preserve"> 2011).</w:t>
      </w:r>
    </w:p>
    <w:p w:rsidR="00307CCA" w:rsidRDefault="00307CCA">
      <w:pPr>
        <w:spacing w:after="0" w:line="360" w:lineRule="auto"/>
        <w:jc w:val="both"/>
        <w:rPr>
          <w:rFonts w:ascii="Times New Roman" w:hAnsi="Times New Roman"/>
          <w:sz w:val="10"/>
          <w:szCs w:val="24"/>
        </w:rPr>
      </w:pP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 xml:space="preserve">Thus, the aim of this study is to </w:t>
      </w:r>
      <w:r>
        <w:rPr>
          <w:rFonts w:ascii="Times New Roman" w:hAnsi="Times New Roman"/>
          <w:sz w:val="24"/>
          <w:szCs w:val="24"/>
        </w:rPr>
        <w:t xml:space="preserve">investigate the </w:t>
      </w:r>
      <w:r>
        <w:rPr>
          <w:rFonts w:ascii="Times New Roman" w:hAnsi="Times New Roman"/>
          <w:sz w:val="24"/>
          <w:szCs w:val="24"/>
        </w:rPr>
        <w:t>phytochemicals</w:t>
      </w:r>
      <w:r>
        <w:rPr>
          <w:rFonts w:ascii="Times New Roman" w:hAnsi="Times New Roman"/>
          <w:sz w:val="24"/>
          <w:szCs w:val="24"/>
        </w:rPr>
        <w:t xml:space="preserve"> composition and </w:t>
      </w:r>
      <w:r>
        <w:rPr>
          <w:rFonts w:ascii="Times New Roman" w:hAnsi="Times New Roman"/>
          <w:i/>
          <w:iCs/>
          <w:sz w:val="24"/>
          <w:szCs w:val="24"/>
        </w:rPr>
        <w:t>in vitro</w:t>
      </w:r>
      <w:r>
        <w:rPr>
          <w:rFonts w:ascii="Times New Roman" w:hAnsi="Times New Roman"/>
          <w:sz w:val="24"/>
          <w:szCs w:val="24"/>
        </w:rPr>
        <w:t xml:space="preserve"> antioxidant </w:t>
      </w:r>
      <w:r>
        <w:rPr>
          <w:rFonts w:ascii="Times New Roman" w:hAnsi="Times New Roman"/>
          <w:sz w:val="24"/>
          <w:szCs w:val="24"/>
        </w:rPr>
        <w:t xml:space="preserve">potential </w:t>
      </w:r>
      <w:r>
        <w:rPr>
          <w:rFonts w:ascii="Times New Roman" w:hAnsi="Times New Roman"/>
          <w:sz w:val="24"/>
          <w:szCs w:val="24"/>
        </w:rPr>
        <w:t>of</w:t>
      </w:r>
      <w:r>
        <w:rPr>
          <w:rFonts w:ascii="Times New Roman" w:hAnsi="Times New Roman"/>
          <w:sz w:val="24"/>
          <w:szCs w:val="24"/>
        </w:rPr>
        <w:t xml:space="preserve"> the ethanolic extract of </w:t>
      </w:r>
      <w:r>
        <w:rPr>
          <w:rFonts w:ascii="Times New Roman" w:hAnsi="Times New Roman"/>
          <w:i/>
          <w:iCs/>
          <w:sz w:val="24"/>
          <w:szCs w:val="24"/>
        </w:rPr>
        <w:t>Trigonella foenum-graecum</w:t>
      </w:r>
      <w:r>
        <w:rPr>
          <w:rFonts w:ascii="Times New Roman" w:hAnsi="Times New Roman"/>
          <w:i/>
          <w:iCs/>
          <w:sz w:val="24"/>
          <w:szCs w:val="24"/>
        </w:rPr>
        <w:t xml:space="preserve"> (</w:t>
      </w:r>
      <w:r>
        <w:rPr>
          <w:rFonts w:ascii="Times New Roman" w:hAnsi="Times New Roman"/>
          <w:sz w:val="24"/>
          <w:szCs w:val="24"/>
        </w:rPr>
        <w:t xml:space="preserve">fenugreek) </w:t>
      </w:r>
      <w:r>
        <w:rPr>
          <w:rFonts w:ascii="Times New Roman" w:hAnsi="Times New Roman"/>
          <w:sz w:val="24"/>
          <w:szCs w:val="24"/>
        </w:rPr>
        <w:t>seed</w:t>
      </w:r>
      <w:r>
        <w:rPr>
          <w:rFonts w:ascii="Times New Roman" w:hAnsi="Times New Roman"/>
          <w:sz w:val="24"/>
          <w:szCs w:val="24"/>
        </w:rPr>
        <w:t xml:space="preserve">s </w:t>
      </w:r>
      <w:r>
        <w:rPr>
          <w:rFonts w:ascii="Times New Roman" w:hAnsi="Times New Roman"/>
          <w:sz w:val="24"/>
          <w:szCs w:val="24"/>
        </w:rPr>
        <w:t>using standard radical scavengi</w:t>
      </w:r>
      <w:r>
        <w:rPr>
          <w:rFonts w:ascii="Times New Roman" w:hAnsi="Times New Roman"/>
          <w:sz w:val="24"/>
          <w:szCs w:val="24"/>
        </w:rPr>
        <w:t>ng assays. The findings will provide a clear understanding into the potential of fenugreek as a natural source of antioxidants and its future application in the development of nutraceutical and therapeutic agents.</w:t>
      </w:r>
    </w:p>
    <w:p w:rsidR="00307CCA" w:rsidRDefault="00307CCA">
      <w:pPr>
        <w:spacing w:after="0" w:line="360" w:lineRule="auto"/>
        <w:jc w:val="both"/>
        <w:rPr>
          <w:rFonts w:ascii="Times New Roman" w:hAnsi="Times New Roman"/>
          <w:b/>
          <w:bCs/>
          <w:sz w:val="8"/>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2   MATERIALS AND METHODS</w:t>
      </w:r>
    </w:p>
    <w:p w:rsidR="00307CCA" w:rsidRDefault="00B01760">
      <w:pPr>
        <w:spacing w:after="0" w:line="360" w:lineRule="auto"/>
        <w:jc w:val="both"/>
        <w:rPr>
          <w:rFonts w:ascii="Times New Roman" w:hAnsi="Times New Roman"/>
          <w:sz w:val="24"/>
          <w:szCs w:val="24"/>
        </w:rPr>
      </w:pPr>
      <w:r>
        <w:rPr>
          <w:rFonts w:ascii="Times New Roman" w:hAnsi="Times New Roman"/>
          <w:b/>
          <w:bCs/>
          <w:caps/>
          <w:sz w:val="24"/>
          <w:szCs w:val="24"/>
        </w:rPr>
        <w:t>2.1 Instruments</w:t>
      </w:r>
      <w:r>
        <w:rPr>
          <w:rFonts w:ascii="Times New Roman" w:hAnsi="Times New Roman"/>
          <w:sz w:val="24"/>
          <w:szCs w:val="24"/>
        </w:rPr>
        <w:t xml:space="preserve"> </w:t>
      </w: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 xml:space="preserve">Table 1: </w:t>
      </w:r>
      <w:r>
        <w:rPr>
          <w:rFonts w:ascii="Times New Roman" w:hAnsi="Times New Roman"/>
          <w:sz w:val="24"/>
          <w:szCs w:val="24"/>
        </w:rPr>
        <w:t xml:space="preserve">List of Instruments Used in the Phytochemical and Antioxidant Analyses of </w:t>
      </w:r>
      <w:r>
        <w:rPr>
          <w:rFonts w:ascii="Times New Roman" w:hAnsi="Times New Roman"/>
          <w:i/>
          <w:sz w:val="24"/>
          <w:szCs w:val="24"/>
        </w:rPr>
        <w:t>Trigonella foenum-graecum</w:t>
      </w:r>
      <w:r>
        <w:rPr>
          <w:rFonts w:ascii="Times New Roman" w:hAnsi="Times New Roman"/>
          <w:sz w:val="24"/>
          <w:szCs w:val="24"/>
        </w:rPr>
        <w:t xml:space="preserve"> Seed Extract</w:t>
      </w:r>
    </w:p>
    <w:tbl>
      <w:tblPr>
        <w:tblW w:w="10743" w:type="dxa"/>
        <w:tblLook w:val="04A0" w:firstRow="1" w:lastRow="0" w:firstColumn="1" w:lastColumn="0" w:noHBand="0" w:noVBand="1"/>
      </w:tblPr>
      <w:tblGrid>
        <w:gridCol w:w="653"/>
        <w:gridCol w:w="3614"/>
        <w:gridCol w:w="2470"/>
        <w:gridCol w:w="4006"/>
      </w:tblGrid>
      <w:tr w:rsidR="00307CCA">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S/N</w:t>
            </w:r>
          </w:p>
        </w:tc>
        <w:tc>
          <w:tcPr>
            <w:tcW w:w="3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Instrument/Equipment</w:t>
            </w: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 xml:space="preserve">Model/Type </w:t>
            </w:r>
          </w:p>
        </w:tc>
        <w:tc>
          <w:tcPr>
            <w:tcW w:w="4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 xml:space="preserve">Manufacturer </w:t>
            </w:r>
          </w:p>
        </w:tc>
      </w:tr>
      <w:tr w:rsidR="00307CCA">
        <w:tc>
          <w:tcPr>
            <w:tcW w:w="6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1</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2</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3</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4</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5</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6</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7</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8</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9</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10</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11</w:t>
            </w:r>
          </w:p>
          <w:p w:rsidR="00307CCA" w:rsidRDefault="00307CCA">
            <w:pPr>
              <w:spacing w:after="0" w:line="240" w:lineRule="auto"/>
              <w:jc w:val="both"/>
              <w:rPr>
                <w:rFonts w:ascii="Times New Roman" w:hAnsi="Times New Roman"/>
                <w:sz w:val="24"/>
                <w:szCs w:val="24"/>
              </w:rPr>
            </w:pPr>
          </w:p>
          <w:p w:rsidR="00307CCA" w:rsidRDefault="00307CCA">
            <w:pPr>
              <w:spacing w:after="0" w:line="240" w:lineRule="auto"/>
              <w:jc w:val="both"/>
              <w:rPr>
                <w:rFonts w:ascii="Times New Roman" w:hAnsi="Times New Roman"/>
                <w:sz w:val="24"/>
                <w:szCs w:val="24"/>
              </w:rPr>
            </w:pPr>
          </w:p>
          <w:p w:rsidR="00307CCA" w:rsidRDefault="00307CCA">
            <w:pPr>
              <w:spacing w:after="0" w:line="240" w:lineRule="auto"/>
              <w:jc w:val="both"/>
              <w:rPr>
                <w:rFonts w:ascii="Times New Roman" w:hAnsi="Times New Roman"/>
                <w:sz w:val="24"/>
                <w:szCs w:val="24"/>
              </w:rPr>
            </w:pPr>
          </w:p>
          <w:p w:rsidR="00307CCA" w:rsidRDefault="00307CCA">
            <w:pPr>
              <w:spacing w:after="0" w:line="240" w:lineRule="auto"/>
              <w:jc w:val="both"/>
              <w:rPr>
                <w:rFonts w:ascii="Times New Roman" w:hAnsi="Times New Roman"/>
                <w:sz w:val="24"/>
                <w:szCs w:val="24"/>
              </w:rPr>
            </w:pPr>
          </w:p>
        </w:tc>
        <w:tc>
          <w:tcPr>
            <w:tcW w:w="3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Rotary Evaporator</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Electric Grinder</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 xml:space="preserve">Weighing </w:t>
            </w:r>
            <w:r>
              <w:rPr>
                <w:rFonts w:ascii="Times New Roman" w:hAnsi="Times New Roman"/>
                <w:sz w:val="24"/>
                <w:szCs w:val="24"/>
              </w:rPr>
              <w:t>Balance</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Spectrophotometer</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pH Meter</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 xml:space="preserve">Water Bath          </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 xml:space="preserve">Centrifuge </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 xml:space="preserve">Refrigerator </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 xml:space="preserve">Oven </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Whatman Filter Paper</w:t>
            </w:r>
          </w:p>
          <w:p w:rsidR="00307CCA" w:rsidRDefault="00B01760">
            <w:pPr>
              <w:spacing w:after="0" w:line="240" w:lineRule="auto"/>
              <w:rPr>
                <w:rFonts w:ascii="Times New Roman" w:hAnsi="Times New Roman"/>
                <w:sz w:val="24"/>
                <w:szCs w:val="24"/>
              </w:rPr>
            </w:pPr>
            <w:r>
              <w:rPr>
                <w:rFonts w:ascii="Times New Roman" w:hAnsi="Times New Roman"/>
                <w:sz w:val="24"/>
                <w:szCs w:val="24"/>
              </w:rPr>
              <w:t>Glassware (Beakers, Flasks, Cylinders etc.)</w:t>
            </w:r>
          </w:p>
          <w:p w:rsidR="00307CCA" w:rsidRDefault="00307CCA">
            <w:pPr>
              <w:spacing w:after="0" w:line="240" w:lineRule="auto"/>
              <w:jc w:val="both"/>
              <w:rPr>
                <w:rFonts w:ascii="Times New Roman" w:hAnsi="Times New Roman"/>
                <w:sz w:val="24"/>
                <w:szCs w:val="24"/>
              </w:rPr>
            </w:pPr>
          </w:p>
        </w:tc>
        <w:tc>
          <w:tcPr>
            <w:tcW w:w="24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307CCA">
            <w:pPr>
              <w:spacing w:after="0" w:line="240" w:lineRule="auto"/>
              <w:jc w:val="both"/>
              <w:rPr>
                <w:rFonts w:ascii="Times New Roman" w:hAnsi="Times New Roman"/>
                <w:sz w:val="24"/>
                <w:szCs w:val="24"/>
              </w:rPr>
            </w:pP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QBL-20B</w:t>
            </w:r>
            <w:r>
              <w:rPr>
                <w:rFonts w:ascii="Times New Roman" w:hAnsi="Times New Roman"/>
                <w:sz w:val="24"/>
                <w:szCs w:val="24"/>
              </w:rPr>
              <w:tab/>
            </w:r>
          </w:p>
          <w:p w:rsidR="00307CCA" w:rsidRDefault="00307CCA">
            <w:pPr>
              <w:spacing w:after="0" w:line="240" w:lineRule="auto"/>
              <w:jc w:val="both"/>
              <w:rPr>
                <w:rFonts w:ascii="Times New Roman" w:hAnsi="Times New Roman"/>
                <w:sz w:val="24"/>
                <w:szCs w:val="24"/>
              </w:rPr>
            </w:pP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SPM 721-2000</w:t>
            </w:r>
            <w:r>
              <w:rPr>
                <w:rFonts w:ascii="Times New Roman" w:hAnsi="Times New Roman"/>
                <w:sz w:val="24"/>
                <w:szCs w:val="24"/>
              </w:rPr>
              <w:tab/>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HI2211</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BKS-350</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80-2</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77305- 2060</w:t>
            </w:r>
            <w:r>
              <w:rPr>
                <w:rFonts w:ascii="Times New Roman" w:hAnsi="Times New Roman"/>
                <w:sz w:val="24"/>
                <w:szCs w:val="24"/>
              </w:rPr>
              <w:tab/>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DHG-9140A</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No. 1</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Borosilicate Type A</w:t>
            </w:r>
            <w:r>
              <w:rPr>
                <w:rFonts w:ascii="Times New Roman" w:hAnsi="Times New Roman"/>
                <w:sz w:val="24"/>
                <w:szCs w:val="24"/>
              </w:rPr>
              <w:tab/>
            </w:r>
          </w:p>
        </w:tc>
        <w:tc>
          <w:tcPr>
            <w:tcW w:w="40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 xml:space="preserve">Gallenkamp Germany </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QASA Electric Co. Ltd., China</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 xml:space="preserve">Gallenkamp England </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 xml:space="preserve">Bio-trust diagnostics USA </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Woonsocket, RI, USA</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Gallenkamp Germany</w:t>
            </w:r>
            <w:r>
              <w:rPr>
                <w:rFonts w:ascii="Times New Roman" w:hAnsi="Times New Roman"/>
                <w:sz w:val="24"/>
                <w:szCs w:val="24"/>
              </w:rPr>
              <w:tab/>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China</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rPr>
              <w:t xml:space="preserve">aier Thermocool </w:t>
            </w:r>
            <w:r>
              <w:rPr>
                <w:rFonts w:ascii="Times New Roman" w:hAnsi="Times New Roman"/>
                <w:sz w:val="24"/>
                <w:szCs w:val="24"/>
              </w:rPr>
              <w:t>China</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 xml:space="preserve">China </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 xml:space="preserve">Kimax USA </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 xml:space="preserve">Pyrex, </w:t>
            </w:r>
            <w:r>
              <w:rPr>
                <w:rFonts w:ascii="Times New Roman" w:hAnsi="Times New Roman"/>
                <w:sz w:val="24"/>
                <w:szCs w:val="24"/>
              </w:rPr>
              <w:tab/>
            </w:r>
            <w:r>
              <w:rPr>
                <w:rFonts w:ascii="Times New Roman" w:hAnsi="Times New Roman"/>
                <w:sz w:val="24"/>
                <w:szCs w:val="24"/>
              </w:rPr>
              <w:t xml:space="preserve">England </w:t>
            </w:r>
          </w:p>
        </w:tc>
      </w:tr>
    </w:tbl>
    <w:p w:rsidR="00307CCA" w:rsidRDefault="00307CCA">
      <w:pPr>
        <w:spacing w:after="0" w:line="240" w:lineRule="auto"/>
        <w:jc w:val="both"/>
        <w:rPr>
          <w:rFonts w:ascii="Times New Roman" w:hAnsi="Times New Roman"/>
          <w:b/>
          <w:bCs/>
          <w:sz w:val="24"/>
          <w:szCs w:val="24"/>
        </w:rPr>
      </w:pPr>
    </w:p>
    <w:p w:rsidR="00307CCA" w:rsidRDefault="00307CCA">
      <w:pPr>
        <w:spacing w:after="0" w:line="360" w:lineRule="auto"/>
        <w:jc w:val="both"/>
        <w:rPr>
          <w:rFonts w:ascii="Times New Roman" w:hAnsi="Times New Roman"/>
          <w:b/>
          <w:bCs/>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 xml:space="preserve">2.2 Chemicals/Reagents </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 xml:space="preserve">Chemicals and Reagents Used </w:t>
      </w:r>
      <w:r>
        <w:rPr>
          <w:rFonts w:ascii="Times New Roman" w:hAnsi="Times New Roman"/>
          <w:sz w:val="24"/>
          <w:szCs w:val="24"/>
        </w:rPr>
        <w:t>in the Phytochemical and Antioxidant Analys</w:t>
      </w:r>
      <w:r>
        <w:rPr>
          <w:rFonts w:ascii="Times New Roman" w:hAnsi="Times New Roman"/>
          <w:sz w:val="24"/>
          <w:szCs w:val="24"/>
        </w:rPr>
        <w:t xml:space="preserve">is for the ethanol extract of fenugreek </w:t>
      </w:r>
      <w:r>
        <w:rPr>
          <w:rFonts w:ascii="Times New Roman" w:hAnsi="Times New Roman"/>
          <w:sz w:val="24"/>
          <w:szCs w:val="24"/>
        </w:rPr>
        <w:t>Seed</w:t>
      </w:r>
      <w:r>
        <w:rPr>
          <w:rFonts w:ascii="Times New Roman" w:hAnsi="Times New Roman"/>
          <w:sz w:val="24"/>
          <w:szCs w:val="24"/>
        </w:rPr>
        <w:t xml:space="preserve">s </w:t>
      </w:r>
      <w:r>
        <w:rPr>
          <w:rFonts w:ascii="Times New Roman" w:hAnsi="Times New Roman"/>
          <w:sz w:val="24"/>
          <w:szCs w:val="24"/>
        </w:rPr>
        <w:t>include:</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Ethanol, hydrochloric acid (HCl), sulfuric acid (H₂SO₄), ammonium hydroxide (NH₄OH), sodium hydroxide (NaOH),</w:t>
      </w:r>
      <w:r>
        <w:rPr>
          <w:rFonts w:ascii="Times New Roman" w:hAnsi="Times New Roman"/>
          <w:sz w:val="24"/>
          <w:szCs w:val="24"/>
        </w:rPr>
        <w:t xml:space="preserve"> </w:t>
      </w:r>
      <w:r>
        <w:rPr>
          <w:rFonts w:ascii="Times New Roman" w:hAnsi="Times New Roman"/>
          <w:sz w:val="24"/>
          <w:szCs w:val="24"/>
        </w:rPr>
        <w:t>acetic anhydride, chloroform, folin–Ciocalteu re</w:t>
      </w:r>
      <w:r>
        <w:rPr>
          <w:rFonts w:ascii="Times New Roman" w:hAnsi="Times New Roman"/>
          <w:sz w:val="24"/>
          <w:szCs w:val="24"/>
        </w:rPr>
        <w:t>agent, sodium carbonate (Na₂CO₃), aluminum chloride (AlCl₃), potassium acetate (CH₃COOK), vanillin, diosgenin</w:t>
      </w:r>
      <w:r>
        <w:rPr>
          <w:rFonts w:hAnsi="Times New Roman"/>
          <w:sz w:val="24"/>
          <w:szCs w:val="24"/>
        </w:rPr>
        <w:t xml:space="preserve"> standard</w:t>
      </w:r>
      <w:r>
        <w:rPr>
          <w:rFonts w:ascii="Times New Roman" w:hAnsi="Times New Roman"/>
          <w:sz w:val="24"/>
          <w:szCs w:val="24"/>
        </w:rPr>
        <w:t>, tannic acid</w:t>
      </w:r>
      <w:r>
        <w:rPr>
          <w:rFonts w:hAnsi="Times New Roman"/>
          <w:sz w:val="24"/>
          <w:szCs w:val="24"/>
        </w:rPr>
        <w:t xml:space="preserve"> standard</w:t>
      </w:r>
      <w:r>
        <w:rPr>
          <w:rFonts w:ascii="Times New Roman" w:hAnsi="Times New Roman"/>
          <w:sz w:val="24"/>
          <w:szCs w:val="24"/>
        </w:rPr>
        <w:t>,</w:t>
      </w:r>
      <w:r>
        <w:rPr>
          <w:rFonts w:ascii="Times New Roman" w:hAnsi="Times New Roman"/>
          <w:sz w:val="24"/>
          <w:szCs w:val="24"/>
        </w:rPr>
        <w:t xml:space="preserve"> gallic acid</w:t>
      </w:r>
      <w:r>
        <w:rPr>
          <w:rFonts w:hAnsi="Times New Roman"/>
          <w:sz w:val="24"/>
          <w:szCs w:val="24"/>
        </w:rPr>
        <w:t xml:space="preserve"> standard</w:t>
      </w:r>
      <w:r>
        <w:rPr>
          <w:rFonts w:ascii="Times New Roman" w:hAnsi="Times New Roman"/>
          <w:sz w:val="24"/>
          <w:szCs w:val="24"/>
        </w:rPr>
        <w:t>, Quercetin</w:t>
      </w:r>
      <w:r>
        <w:rPr>
          <w:rFonts w:ascii="Times New Roman" w:hAnsi="Times New Roman"/>
          <w:sz w:val="24"/>
          <w:szCs w:val="24"/>
        </w:rPr>
        <w:t xml:space="preserve"> standard</w:t>
      </w:r>
      <w:r>
        <w:rPr>
          <w:rFonts w:ascii="Times New Roman" w:hAnsi="Times New Roman"/>
          <w:sz w:val="24"/>
          <w:szCs w:val="24"/>
        </w:rPr>
        <w:t xml:space="preserve">, Cholesterol </w:t>
      </w:r>
      <w:r>
        <w:rPr>
          <w:rFonts w:ascii="Times New Roman" w:hAnsi="Times New Roman"/>
          <w:sz w:val="24"/>
          <w:szCs w:val="24"/>
        </w:rPr>
        <w:lastRenderedPageBreak/>
        <w:t>standard, Ursolic acid standard,</w:t>
      </w:r>
      <w:r>
        <w:rPr>
          <w:rFonts w:hAnsi="Times New Roman"/>
          <w:sz w:val="24"/>
          <w:szCs w:val="24"/>
        </w:rPr>
        <w:t xml:space="preserve"> </w:t>
      </w:r>
      <w:r>
        <w:rPr>
          <w:rFonts w:ascii="Times New Roman" w:hAnsi="Times New Roman"/>
          <w:sz w:val="24"/>
          <w:szCs w:val="24"/>
        </w:rPr>
        <w:t>digoxin standard,</w:t>
      </w:r>
      <w:r>
        <w:rPr>
          <w:rFonts w:ascii="Times New Roman" w:hAnsi="Times New Roman"/>
          <w:sz w:val="24"/>
          <w:szCs w:val="24"/>
        </w:rPr>
        <w:t xml:space="preserve"> Vitamin C</w:t>
      </w:r>
      <w:r>
        <w:rPr>
          <w:rFonts w:ascii="Times New Roman" w:hAnsi="Times New Roman"/>
          <w:sz w:val="24"/>
          <w:szCs w:val="24"/>
        </w:rPr>
        <w:t xml:space="preserve">, </w:t>
      </w:r>
      <w:r>
        <w:rPr>
          <w:rFonts w:ascii="Times New Roman" w:hAnsi="Times New Roman"/>
          <w:sz w:val="24"/>
          <w:szCs w:val="24"/>
        </w:rPr>
        <w:t xml:space="preserve"> sodium nitroprusside, sulfanilamide, N-(1-naphthyl)ethylenediamine</w:t>
      </w:r>
      <w:r>
        <w:rPr>
          <w:rFonts w:ascii="Times New Roman" w:hAnsi="Times New Roman"/>
          <w:sz w:val="24"/>
          <w:szCs w:val="24"/>
        </w:rPr>
        <w:t xml:space="preserve"> </w:t>
      </w:r>
      <w:r>
        <w:rPr>
          <w:rFonts w:ascii="Times New Roman" w:hAnsi="Times New Roman"/>
          <w:sz w:val="24"/>
          <w:szCs w:val="24"/>
        </w:rPr>
        <w:t>dihydrochloride</w:t>
      </w:r>
      <w:r>
        <w:rPr>
          <w:rFonts w:ascii="Times New Roman" w:hAnsi="Times New Roman"/>
          <w:sz w:val="24"/>
          <w:szCs w:val="24"/>
        </w:rPr>
        <w:t xml:space="preserve"> </w:t>
      </w:r>
      <w:r>
        <w:rPr>
          <w:rFonts w:ascii="Times New Roman" w:hAnsi="Times New Roman"/>
          <w:sz w:val="24"/>
          <w:szCs w:val="24"/>
        </w:rPr>
        <w:t>(NED),</w:t>
      </w:r>
      <w:r>
        <w:rPr>
          <w:rFonts w:ascii="Times New Roman" w:hAnsi="Times New Roman"/>
          <w:sz w:val="24"/>
          <w:szCs w:val="24"/>
        </w:rPr>
        <w:t xml:space="preserve"> </w:t>
      </w:r>
      <w:r>
        <w:rPr>
          <w:rFonts w:ascii="Times New Roman" w:hAnsi="Times New Roman"/>
          <w:sz w:val="24"/>
          <w:szCs w:val="24"/>
        </w:rPr>
        <w:t>2,2-Diphenyl-1-picrylhydrazyl</w:t>
      </w:r>
      <w:r>
        <w:rPr>
          <w:rFonts w:ascii="Times New Roman" w:hAnsi="Times New Roman"/>
          <w:sz w:val="24"/>
          <w:szCs w:val="24"/>
        </w:rPr>
        <w:t xml:space="preserve"> (DPPH), </w:t>
      </w:r>
      <w:r>
        <w:rPr>
          <w:rFonts w:ascii="Times New Roman" w:hAnsi="Times New Roman"/>
          <w:sz w:val="24"/>
          <w:szCs w:val="24"/>
        </w:rPr>
        <w:t>ferric chloride</w:t>
      </w:r>
      <w:r>
        <w:rPr>
          <w:rFonts w:ascii="Times New Roman" w:hAnsi="Times New Roman"/>
          <w:sz w:val="24"/>
          <w:szCs w:val="24"/>
        </w:rPr>
        <w:t xml:space="preserve"> </w:t>
      </w:r>
      <w:r>
        <w:rPr>
          <w:rFonts w:ascii="Times New Roman" w:hAnsi="Times New Roman"/>
          <w:sz w:val="24"/>
          <w:szCs w:val="24"/>
        </w:rPr>
        <w:t>(FeCl₃), 2,4,6-tripyridyl-s-triazine (TPTZ), Sodium acetate trihydrate, and Distilled water.</w:t>
      </w:r>
    </w:p>
    <w:p w:rsidR="00307CCA" w:rsidRDefault="00307CCA">
      <w:pPr>
        <w:spacing w:after="0" w:line="360" w:lineRule="auto"/>
        <w:jc w:val="both"/>
        <w:rPr>
          <w:rFonts w:ascii="Times New Roman" w:hAnsi="Times New Roman"/>
          <w:b/>
          <w:bCs/>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2.3 Plant Mater</w:t>
      </w:r>
      <w:r>
        <w:rPr>
          <w:rFonts w:ascii="Times New Roman" w:hAnsi="Times New Roman"/>
          <w:b/>
          <w:bCs/>
          <w:sz w:val="24"/>
          <w:szCs w:val="24"/>
        </w:rPr>
        <w:t>ial Collection and Preparation</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 xml:space="preserve">Mature </w:t>
      </w:r>
      <w:r>
        <w:rPr>
          <w:rFonts w:ascii="Times New Roman" w:hAnsi="Times New Roman"/>
          <w:i/>
          <w:iCs/>
          <w:sz w:val="24"/>
          <w:szCs w:val="24"/>
        </w:rPr>
        <w:t xml:space="preserve">Trigonella foenum-graecum </w:t>
      </w:r>
      <w:r>
        <w:rPr>
          <w:rFonts w:ascii="Times New Roman" w:hAnsi="Times New Roman"/>
          <w:sz w:val="24"/>
          <w:szCs w:val="24"/>
        </w:rPr>
        <w:t>(fenugreek)</w:t>
      </w:r>
      <w:r>
        <w:rPr>
          <w:rFonts w:hAnsi="Times New Roman"/>
          <w:sz w:val="24"/>
          <w:szCs w:val="24"/>
        </w:rPr>
        <w:t xml:space="preserve"> seeds </w:t>
      </w:r>
      <w:r>
        <w:rPr>
          <w:rFonts w:ascii="Times New Roman" w:hAnsi="Times New Roman"/>
          <w:sz w:val="24"/>
          <w:szCs w:val="24"/>
        </w:rPr>
        <w:t>wa</w:t>
      </w:r>
      <w:r>
        <w:rPr>
          <w:rFonts w:hAnsi="Times New Roman"/>
          <w:sz w:val="24"/>
          <w:szCs w:val="24"/>
        </w:rPr>
        <w:t>s</w:t>
      </w:r>
      <w:r>
        <w:rPr>
          <w:rFonts w:ascii="Times New Roman" w:hAnsi="Times New Roman"/>
          <w:sz w:val="24"/>
          <w:szCs w:val="24"/>
        </w:rPr>
        <w:t xml:space="preserve"> purchased from a local market in Umuahia, Abia State and authenticated by a taxonomist in the Department of Plant Science, Michael Okpara University of Agriculture Umudik</w:t>
      </w:r>
      <w:r>
        <w:rPr>
          <w:rFonts w:ascii="Times New Roman" w:hAnsi="Times New Roman"/>
          <w:sz w:val="24"/>
          <w:szCs w:val="24"/>
        </w:rPr>
        <w:t>e, Abia State, where a voucher specimen was deposited. The seeds were washed, air-dried at room temperature (25 ± 2 °C) to remove impurities and moisture, then ground into fine powder using an electric grinder. To obtain a uniform particle size, the powder</w:t>
      </w:r>
      <w:r>
        <w:rPr>
          <w:rFonts w:ascii="Times New Roman" w:hAnsi="Times New Roman"/>
          <w:sz w:val="24"/>
          <w:szCs w:val="24"/>
        </w:rPr>
        <w:t>ed seeds were sieved through mesh, then stored in an airtight containers at 4 °C  until extraction.</w:t>
      </w:r>
    </w:p>
    <w:p w:rsidR="00307CCA" w:rsidRDefault="00307CCA">
      <w:pPr>
        <w:spacing w:after="0" w:line="360" w:lineRule="auto"/>
        <w:jc w:val="both"/>
        <w:rPr>
          <w:rFonts w:ascii="Times New Roman" w:hAnsi="Times New Roman"/>
          <w:sz w:val="24"/>
          <w:szCs w:val="24"/>
        </w:rPr>
      </w:pPr>
    </w:p>
    <w:p w:rsidR="00307CCA" w:rsidRDefault="0017343E">
      <w:pPr>
        <w:spacing w:after="0" w:line="360" w:lineRule="auto"/>
        <w:jc w:val="both"/>
        <w:rPr>
          <w:rFonts w:ascii="Times New Roman" w:hAnsi="Times New Roman"/>
          <w:b/>
          <w:bCs/>
          <w:sz w:val="24"/>
          <w:szCs w:val="24"/>
        </w:rPr>
      </w:pPr>
      <w:r w:rsidRPr="005039C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75" o:spid="_x0000_i1025" type="#_x0000_t75" style="width:234.35pt;height:106.55pt;visibility:visible;mso-wrap-style:square">
            <v:imagedata r:id="rId6" o:title=""/>
            <o:lock v:ext="edit" aspectratio="f"/>
          </v:shape>
        </w:pict>
      </w:r>
    </w:p>
    <w:p w:rsidR="00307CCA" w:rsidRDefault="00B01760">
      <w:pPr>
        <w:spacing w:after="0" w:line="360" w:lineRule="auto"/>
        <w:jc w:val="both"/>
        <w:rPr>
          <w:rFonts w:ascii="Times New Roman" w:hAnsi="Times New Roman"/>
          <w:b/>
          <w:bCs/>
          <w:sz w:val="24"/>
          <w:szCs w:val="24"/>
        </w:rPr>
      </w:pPr>
      <w:r>
        <w:rPr>
          <w:rFonts w:ascii="Times New Roman" w:hAnsi="Times New Roman"/>
          <w:b/>
          <w:bCs/>
          <w:sz w:val="24"/>
          <w:szCs w:val="24"/>
        </w:rPr>
        <w:t xml:space="preserve">Fig. 1. </w:t>
      </w:r>
      <w:r>
        <w:rPr>
          <w:rFonts w:ascii="Times New Roman" w:hAnsi="Times New Roman"/>
          <w:b/>
          <w:bCs/>
          <w:i/>
          <w:iCs/>
          <w:sz w:val="24"/>
          <w:szCs w:val="24"/>
        </w:rPr>
        <w:t>Trigonella foenum-graecum</w:t>
      </w:r>
      <w:r>
        <w:rPr>
          <w:rFonts w:ascii="Times New Roman" w:hAnsi="Times New Roman"/>
          <w:b/>
          <w:bCs/>
          <w:sz w:val="24"/>
          <w:szCs w:val="24"/>
        </w:rPr>
        <w:t xml:space="preserve"> (fenugreek) seed</w:t>
      </w:r>
    </w:p>
    <w:p w:rsidR="00307CCA" w:rsidRDefault="00307CCA">
      <w:pPr>
        <w:spacing w:after="0" w:line="360" w:lineRule="auto"/>
        <w:jc w:val="both"/>
        <w:rPr>
          <w:rFonts w:ascii="Times New Roman" w:hAnsi="Times New Roman"/>
          <w:b/>
          <w:bCs/>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2.4 Preparation of Ethanolic Extract</w:t>
      </w:r>
    </w:p>
    <w:p w:rsidR="00307CCA" w:rsidRDefault="00B01760">
      <w:pPr>
        <w:spacing w:after="0" w:line="360" w:lineRule="auto"/>
        <w:jc w:val="both"/>
        <w:rPr>
          <w:rFonts w:ascii="Times New Roman" w:hAnsi="Times New Roman"/>
          <w:sz w:val="24"/>
          <w:szCs w:val="24"/>
        </w:rPr>
      </w:pPr>
      <w:r>
        <w:rPr>
          <w:rFonts w:hAnsi="Times New Roman"/>
          <w:sz w:val="24"/>
          <w:szCs w:val="24"/>
        </w:rPr>
        <w:t>235 g</w:t>
      </w:r>
      <w:r>
        <w:rPr>
          <w:rFonts w:ascii="Times New Roman" w:hAnsi="Times New Roman"/>
          <w:sz w:val="24"/>
          <w:szCs w:val="24"/>
        </w:rPr>
        <w:t xml:space="preserve"> of the powdered</w:t>
      </w:r>
      <w:r>
        <w:rPr>
          <w:rFonts w:hAnsi="Times New Roman"/>
          <w:sz w:val="24"/>
          <w:szCs w:val="24"/>
        </w:rPr>
        <w:t xml:space="preserve"> fenugreek </w:t>
      </w:r>
      <w:r>
        <w:rPr>
          <w:rFonts w:ascii="Times New Roman" w:hAnsi="Times New Roman"/>
          <w:sz w:val="24"/>
          <w:szCs w:val="24"/>
        </w:rPr>
        <w:t>seed</w:t>
      </w:r>
      <w:r>
        <w:rPr>
          <w:rFonts w:hAnsi="Times New Roman"/>
          <w:sz w:val="24"/>
          <w:szCs w:val="24"/>
        </w:rPr>
        <w:t xml:space="preserve">s </w:t>
      </w:r>
      <w:r>
        <w:rPr>
          <w:rFonts w:ascii="Times New Roman" w:hAnsi="Times New Roman"/>
          <w:sz w:val="24"/>
          <w:szCs w:val="24"/>
        </w:rPr>
        <w:t xml:space="preserve">were soaked in </w:t>
      </w:r>
      <w:r>
        <w:rPr>
          <w:rFonts w:hAnsi="Times New Roman"/>
          <w:sz w:val="24"/>
          <w:szCs w:val="24"/>
        </w:rPr>
        <w:t xml:space="preserve">1 </w:t>
      </w:r>
      <w:r>
        <w:rPr>
          <w:rFonts w:ascii="Times New Roman" w:hAnsi="Times New Roman"/>
          <w:sz w:val="24"/>
          <w:szCs w:val="24"/>
        </w:rPr>
        <w:t xml:space="preserve">L of 70% </w:t>
      </w:r>
      <w:r>
        <w:rPr>
          <w:rFonts w:ascii="Times New Roman" w:hAnsi="Times New Roman"/>
          <w:sz w:val="24"/>
          <w:szCs w:val="24"/>
        </w:rPr>
        <w:t>ethanol for 72 hours with occasional shaking. The extract was filtered using Whatman No. 1 filter paper and concentrated using a rotary evaporator</w:t>
      </w:r>
      <w:r>
        <w:rPr>
          <w:rFonts w:hAnsi="Times New Roman"/>
          <w:sz w:val="24"/>
          <w:szCs w:val="24"/>
        </w:rPr>
        <w:t xml:space="preserve"> </w:t>
      </w:r>
      <w:r>
        <w:rPr>
          <w:rFonts w:ascii="Times New Roman" w:hAnsi="Times New Roman"/>
          <w:sz w:val="24"/>
          <w:szCs w:val="24"/>
        </w:rPr>
        <w:t>under reduced pressure at 40 °C. The concentrated extract was air-dried to remove residual solvent, weighed t</w:t>
      </w:r>
      <w:r>
        <w:rPr>
          <w:rFonts w:ascii="Times New Roman" w:hAnsi="Times New Roman"/>
          <w:sz w:val="24"/>
          <w:szCs w:val="24"/>
        </w:rPr>
        <w:t>o determine extractive yield, and stored at 4 °C in an amber glass container until further analysis.</w:t>
      </w:r>
    </w:p>
    <w:p w:rsidR="00307CCA" w:rsidRDefault="00307CCA">
      <w:pPr>
        <w:spacing w:after="0" w:line="360" w:lineRule="auto"/>
        <w:jc w:val="both"/>
        <w:rPr>
          <w:rFonts w:hAnsi="Times New Roman"/>
          <w:sz w:val="24"/>
          <w:szCs w:val="24"/>
        </w:rPr>
      </w:pPr>
    </w:p>
    <w:p w:rsidR="00307CCA" w:rsidRDefault="00B01760">
      <w:pPr>
        <w:spacing w:after="0" w:line="360" w:lineRule="auto"/>
        <w:jc w:val="both"/>
        <w:rPr>
          <w:rFonts w:ascii="Times New Roman" w:hAnsi="Times New Roman"/>
          <w:sz w:val="24"/>
          <w:szCs w:val="24"/>
        </w:rPr>
      </w:pPr>
      <w:r>
        <w:rPr>
          <w:rFonts w:hAnsi="Times New Roman"/>
          <w:sz w:val="24"/>
          <w:szCs w:val="24"/>
        </w:rPr>
        <w:t>Weight of the extract obtained= 5.92 g</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The Percentage yield</w:t>
      </w:r>
      <w:r w:rsidR="0017343E">
        <w:rPr>
          <w:noProof/>
        </w:rPr>
        <w:pict>
          <v:line id="Image1" o:spid="_x0000_s1029" style="position:absolute;left:0;text-align:left;flip:y;z-index:1;visibility:visible;mso-wrap-style:square;mso-wrap-distance-left:0;mso-wrap-distance-top:0;mso-wrap-distance-right:0;mso-wrap-distance-bottom:0;mso-position-horizontal:absolute;mso-position-horizontal-relative:page;mso-position-vertical:absolute;mso-position-vertical-relative:page" from="191.4pt,151.9pt" to="317pt,1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DbV6gEAAOsDAAAOAAAAZHJzL2Uyb0RvYy54bWysU0tv2zAMvg/YfxB0X+wYSB9GnB6aZRhQ&#10;bAG67c7oYQvTC5IaJ/9+lJxmzdrDMMwHgRQ/fyQ/Usu7g9FkL0JUznZ0PqspEZY5rmzf0e/fNh9u&#10;KIkJLAftrOjoUUR6t3r/bjn6VjRucJqLQJDExnb0HR1S8m1VRTYIA3HmvLAYlC4YSOiGvuIBRmQ3&#10;umrq+qoaXeA+OCZixNv1FKSrwi+lYOmrlFEkojuKtaVyhnLu8lmtltD2Afyg2KkM+IcqDCiLSc9U&#10;a0hAnoJ6RWUUCy46mWbMmcpJqZgoPWA38/qPbh4H8KL0guJEf5Yp/j9a9mW/DURxnF3dXFNiweCU&#10;PhvoxTyLM/rYIubebkNujx3so39w7GfEWHURzE70E+wggyFSK/8DeYsu2Ck5FNmPZ9nFIRGGl/PF&#10;7aJuFpQwjM1vm+YmZ66gzTQ5qw8xfRLOkGx0VCubVYEW9g8xTdBnSL6OTiu+UVoXJ/S7ex3IHnAD&#10;NuU7sV/AtCUjJm+ua9wSBriJUkNC03jUJtq+JLz4Jb5kvirfW8y5sjXEYaqgMGQYtME9WV6sQQD/&#10;aDlJR4/iW3woNFdjBKdEC3xX2SrIBEr/DRLF0/Y0oWkoeTw7x4/bkAXLHm5UUfm0/XllX/oF9fuN&#10;rn4BAAD//wMAUEsDBBQABgAIAAAAIQDsc5I63wAAAAsBAAAPAAAAZHJzL2Rvd25yZXYueG1sTI/N&#10;TsMwEITvSLyDtUjcqNOkhCiNU6FKFYceECkPsI03P2psR7HThrdne4Lb7O5o9ptit5hBXGnyvbMK&#10;1qsIBNna6d62Cr5Ph5cMhA9oNQ7OkoIf8rArHx8KzLW72S+6VqEVHGJ9jgq6EMZcSl93ZNCv3EiW&#10;b42bDAYep1bqCW8cbgYZR1EqDfaWP3Q40r6j+lLNRsHUbN4+1g1KNx/i17Eyx8+9PCr1/LS8b0EE&#10;WsKfGe74jA4lM53dbLUXg4Ikixk9sIgSFuxIkw23O983aQayLOT/DuUvAAAA//8DAFBLAQItABQA&#10;BgAIAAAAIQC2gziS/gAAAOEBAAATAAAAAAAAAAAAAAAAAAAAAABbQ29udGVudF9UeXBlc10ueG1s&#10;UEsBAi0AFAAGAAgAAAAhADj9If/WAAAAlAEAAAsAAAAAAAAAAAAAAAAALwEAAF9yZWxzLy5yZWxz&#10;UEsBAi0AFAAGAAgAAAAhAOvwNtXqAQAA6wMAAA4AAAAAAAAAAAAAAAAALgIAAGRycy9lMm9Eb2Mu&#10;eG1sUEsBAi0AFAAGAAgAAAAhAOxzkjrfAAAACwEAAA8AAAAAAAAAAAAAAAAARAQAAGRycy9kb3du&#10;cmV2LnhtbFBLBQYAAAAABAAEAPMAAABQBQAAAAA=&#10;" filled="t" strokecolor="#666" strokeweight="1pt">
            <o:lock v:ext="edit" shapetype="f"/>
            <w10:wrap anchorx="page" anchory="page"/>
          </v:line>
        </w:pict>
      </w:r>
      <w:r>
        <w:rPr>
          <w:rFonts w:ascii="Times New Roman" w:hAnsi="Times New Roman"/>
          <w:sz w:val="24"/>
          <w:szCs w:val="24"/>
        </w:rPr>
        <w:t xml:space="preserve"> = weight of the extract   ×  100</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                                   Weight of the powdered se</w:t>
      </w:r>
      <w:r>
        <w:rPr>
          <w:rFonts w:ascii="Times New Roman" w:hAnsi="Times New Roman"/>
          <w:sz w:val="24"/>
          <w:szCs w:val="24"/>
        </w:rPr>
        <w:t xml:space="preserve">eds </w:t>
      </w:r>
    </w:p>
    <w:p w:rsidR="00307CCA" w:rsidRDefault="00307CCA">
      <w:pPr>
        <w:spacing w:after="0" w:line="360" w:lineRule="auto"/>
        <w:jc w:val="both"/>
        <w:rPr>
          <w:rFonts w:ascii="Times New Roman" w:hAnsi="Times New Roman"/>
          <w:b/>
          <w:bCs/>
          <w:sz w:val="24"/>
          <w:szCs w:val="24"/>
        </w:rPr>
      </w:pPr>
    </w:p>
    <w:p w:rsidR="00307CCA" w:rsidRDefault="00B01760">
      <w:pPr>
        <w:spacing w:after="0" w:line="360" w:lineRule="auto"/>
        <w:jc w:val="both"/>
        <w:rPr>
          <w:rFonts w:ascii="Times New Roman" w:hAnsi="Times New Roman"/>
          <w:b/>
          <w:bCs/>
          <w:sz w:val="24"/>
          <w:szCs w:val="24"/>
        </w:rPr>
      </w:pPr>
      <w:r>
        <w:rPr>
          <w:rFonts w:ascii="Times New Roman" w:hAnsi="Times New Roman"/>
          <w:b/>
          <w:bCs/>
          <w:sz w:val="24"/>
          <w:szCs w:val="24"/>
        </w:rPr>
        <w:t>2.5 Qualitative Phytochemical Screening</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 xml:space="preserve">Qualitative phytochemical screening for </w:t>
      </w:r>
      <w:r>
        <w:rPr>
          <w:rFonts w:ascii="Times New Roman" w:hAnsi="Times New Roman"/>
          <w:i/>
          <w:iCs/>
          <w:sz w:val="24"/>
          <w:szCs w:val="24"/>
        </w:rPr>
        <w:t>Trigonella foenum-graecum</w:t>
      </w:r>
      <w:r>
        <w:rPr>
          <w:rFonts w:ascii="Times New Roman" w:hAnsi="Times New Roman"/>
          <w:sz w:val="24"/>
          <w:szCs w:val="24"/>
        </w:rPr>
        <w:t xml:space="preserve"> seed extract was performed using the standard methods described by Harborne (1998) and Trease and Evans (2002) to detect the presence of major s</w:t>
      </w:r>
      <w:r>
        <w:rPr>
          <w:rFonts w:ascii="Times New Roman" w:hAnsi="Times New Roman"/>
          <w:sz w:val="24"/>
          <w:szCs w:val="24"/>
        </w:rPr>
        <w:t>econdary metabolites such as alkaloids, phenols, flavonoids, tannins, saponins, steroids, terpenoids, and cardiac glycosides.</w:t>
      </w:r>
    </w:p>
    <w:p w:rsidR="00307CCA" w:rsidRDefault="00307CCA">
      <w:pPr>
        <w:spacing w:after="0" w:line="360" w:lineRule="auto"/>
        <w:jc w:val="both"/>
        <w:rPr>
          <w:rFonts w:ascii="Times New Roman" w:hAnsi="Times New Roman"/>
          <w:b/>
          <w:bCs/>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2.5.1 Test for Alkaloids</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 xml:space="preserve">2 mL of the </w:t>
      </w:r>
      <w:r>
        <w:rPr>
          <w:rFonts w:ascii="Times New Roman" w:hAnsi="Times New Roman"/>
          <w:sz w:val="24"/>
          <w:szCs w:val="24"/>
        </w:rPr>
        <w:t xml:space="preserve">fenugreek </w:t>
      </w:r>
      <w:r>
        <w:rPr>
          <w:rFonts w:ascii="Times New Roman" w:hAnsi="Times New Roman"/>
          <w:sz w:val="24"/>
          <w:szCs w:val="24"/>
        </w:rPr>
        <w:t xml:space="preserve">extract was treated with 1% hydrochloric acid, filtered, and </w:t>
      </w:r>
      <w:r>
        <w:rPr>
          <w:rFonts w:ascii="Times New Roman" w:hAnsi="Times New Roman"/>
          <w:sz w:val="24"/>
          <w:szCs w:val="24"/>
        </w:rPr>
        <w:t xml:space="preserve">separated </w:t>
      </w:r>
      <w:r>
        <w:rPr>
          <w:rFonts w:ascii="Times New Roman" w:hAnsi="Times New Roman"/>
          <w:sz w:val="24"/>
          <w:szCs w:val="24"/>
        </w:rPr>
        <w:t>into two po</w:t>
      </w:r>
      <w:r>
        <w:rPr>
          <w:rFonts w:ascii="Times New Roman" w:hAnsi="Times New Roman"/>
          <w:sz w:val="24"/>
          <w:szCs w:val="24"/>
        </w:rPr>
        <w:t xml:space="preserve">rtions. </w:t>
      </w:r>
      <w:r>
        <w:rPr>
          <w:rFonts w:ascii="Times New Roman" w:hAnsi="Times New Roman"/>
          <w:sz w:val="24"/>
          <w:szCs w:val="24"/>
        </w:rPr>
        <w:t xml:space="preserve">Potassium </w:t>
      </w:r>
      <w:r>
        <w:rPr>
          <w:rFonts w:ascii="Times New Roman" w:hAnsi="Times New Roman"/>
          <w:sz w:val="24"/>
          <w:szCs w:val="24"/>
        </w:rPr>
        <w:t>mercuric iodide</w:t>
      </w:r>
      <w:r>
        <w:rPr>
          <w:rFonts w:ascii="Times New Roman" w:hAnsi="Times New Roman"/>
          <w:sz w:val="24"/>
          <w:szCs w:val="24"/>
        </w:rPr>
        <w:t xml:space="preserve"> </w:t>
      </w:r>
      <w:r>
        <w:rPr>
          <w:rFonts w:ascii="Times New Roman" w:hAnsi="Times New Roman"/>
          <w:sz w:val="24"/>
          <w:szCs w:val="24"/>
        </w:rPr>
        <w:t>was added to one portion, and</w:t>
      </w:r>
      <w:r>
        <w:rPr>
          <w:rFonts w:ascii="Times New Roman" w:hAnsi="Times New Roman"/>
          <w:sz w:val="24"/>
          <w:szCs w:val="24"/>
        </w:rPr>
        <w:t xml:space="preserve"> </w:t>
      </w:r>
      <w:r>
        <w:rPr>
          <w:rFonts w:ascii="Times New Roman" w:hAnsi="Times New Roman"/>
          <w:sz w:val="24"/>
          <w:szCs w:val="24"/>
        </w:rPr>
        <w:t>iodine in potassium iodide to the other. The formation of a cream or reddish-brown precipitate indicated the presence of alkaloids.</w:t>
      </w:r>
    </w:p>
    <w:p w:rsidR="00307CCA" w:rsidRDefault="00307CCA">
      <w:pPr>
        <w:spacing w:after="0" w:line="360" w:lineRule="auto"/>
        <w:jc w:val="both"/>
        <w:rPr>
          <w:rFonts w:ascii="Times New Roman" w:hAnsi="Times New Roman"/>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2.5.2 Test for Phenols and Tannins</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Small drops of the extract was mixed with 1% ferric chloride (FeCl₃) solution. The appearance of a blue-green or dark coloration confirmed the presence of phenolic compounds and tannins.</w:t>
      </w:r>
    </w:p>
    <w:p w:rsidR="00307CCA" w:rsidRDefault="00307CCA">
      <w:pPr>
        <w:spacing w:after="0" w:line="360" w:lineRule="auto"/>
        <w:jc w:val="both"/>
        <w:rPr>
          <w:rFonts w:ascii="Times New Roman" w:hAnsi="Times New Roman"/>
          <w:b/>
          <w:bCs/>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2.5.3 Test for Flavonoids</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 xml:space="preserve">A small portion of 10% sodium hydroxide was </w:t>
      </w:r>
      <w:r>
        <w:rPr>
          <w:rFonts w:ascii="Times New Roman" w:hAnsi="Times New Roman"/>
          <w:sz w:val="24"/>
          <w:szCs w:val="24"/>
        </w:rPr>
        <w:t xml:space="preserve">mixed  in 2 mL of the </w:t>
      </w:r>
      <w:r>
        <w:rPr>
          <w:rFonts w:ascii="Times New Roman" w:hAnsi="Times New Roman"/>
          <w:sz w:val="24"/>
          <w:szCs w:val="24"/>
        </w:rPr>
        <w:t>extract, followed by the addition of dilute hydrochloric acid. The disappearance of the intense yellow coloration upon acidification indicated the presence of flavonoids.</w:t>
      </w:r>
    </w:p>
    <w:p w:rsidR="00307CCA" w:rsidRDefault="00307CCA">
      <w:pPr>
        <w:spacing w:after="0" w:line="360" w:lineRule="auto"/>
        <w:jc w:val="both"/>
        <w:rPr>
          <w:rFonts w:ascii="Times New Roman" w:hAnsi="Times New Roman"/>
          <w:b/>
          <w:bCs/>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2.5.4 Test for Sap</w:t>
      </w:r>
      <w:r>
        <w:rPr>
          <w:rFonts w:ascii="Times New Roman" w:hAnsi="Times New Roman"/>
          <w:b/>
          <w:bCs/>
          <w:sz w:val="24"/>
          <w:szCs w:val="24"/>
        </w:rPr>
        <w:t>onins</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 xml:space="preserve"> mL of extract was diluted in 10 mL of distilled water and shaked vigorously for 15 minutes in a graduated cylinder. Persistent foam lasting more than 10 minutes indicated the presence of saponins.</w:t>
      </w:r>
    </w:p>
    <w:p w:rsidR="00307CCA" w:rsidRDefault="00307CCA">
      <w:pPr>
        <w:spacing w:after="0" w:line="360" w:lineRule="auto"/>
        <w:jc w:val="both"/>
        <w:rPr>
          <w:rFonts w:ascii="Times New Roman" w:hAnsi="Times New Roman"/>
          <w:b/>
          <w:bCs/>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2.5.5 Test for Steroids and Terpenoids</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The Lieberm</w:t>
      </w:r>
      <w:r>
        <w:rPr>
          <w:rFonts w:ascii="Times New Roman" w:hAnsi="Times New Roman"/>
          <w:sz w:val="24"/>
          <w:szCs w:val="24"/>
        </w:rPr>
        <w:t>ann–Burchard reaction was used. 1 mL of chloroform and a small portion of acetic anhydride were added to</w:t>
      </w:r>
      <w:r>
        <w:rPr>
          <w:rFonts w:ascii="Times New Roman" w:hAnsi="Times New Roman"/>
          <w:sz w:val="24"/>
          <w:szCs w:val="24"/>
        </w:rPr>
        <w:t xml:space="preserve"> 2 </w:t>
      </w:r>
      <w:r>
        <w:rPr>
          <w:rFonts w:ascii="Times New Roman" w:hAnsi="Times New Roman"/>
          <w:sz w:val="24"/>
          <w:szCs w:val="24"/>
        </w:rPr>
        <w:t xml:space="preserve">mL of the extract, then concentrated sulfuric acid was carefully added. </w:t>
      </w:r>
      <w:r>
        <w:rPr>
          <w:rFonts w:ascii="Times New Roman" w:hAnsi="Times New Roman"/>
          <w:sz w:val="24"/>
          <w:szCs w:val="24"/>
        </w:rPr>
        <w:lastRenderedPageBreak/>
        <w:t>The appearance of a greenish-blue color indicated steroids, while reddish-bro</w:t>
      </w:r>
      <w:r>
        <w:rPr>
          <w:rFonts w:ascii="Times New Roman" w:hAnsi="Times New Roman"/>
          <w:sz w:val="24"/>
          <w:szCs w:val="24"/>
        </w:rPr>
        <w:t>wn coloration denoted terpenoids.</w:t>
      </w:r>
    </w:p>
    <w:p w:rsidR="00307CCA" w:rsidRDefault="00307CCA">
      <w:pPr>
        <w:spacing w:after="0" w:line="360" w:lineRule="auto"/>
        <w:jc w:val="both"/>
        <w:rPr>
          <w:rFonts w:ascii="Times New Roman" w:hAnsi="Times New Roman"/>
          <w:b/>
          <w:bCs/>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2.5.6 Test for Cardiac Glycosides</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 xml:space="preserve">The Keller–Killiani test was performed by mixing </w:t>
      </w:r>
      <w:r>
        <w:rPr>
          <w:rFonts w:ascii="Times New Roman" w:hAnsi="Times New Roman"/>
          <w:sz w:val="24"/>
          <w:szCs w:val="24"/>
        </w:rPr>
        <w:t>2</w:t>
      </w:r>
      <w:r>
        <w:rPr>
          <w:rFonts w:ascii="Times New Roman" w:hAnsi="Times New Roman"/>
          <w:sz w:val="24"/>
          <w:szCs w:val="24"/>
        </w:rPr>
        <w:t xml:space="preserve"> mL of extract in 1 mL of glacial acetic acid containing a drop of FeCl₃, then the addition of 1 mL concentrated H₂SO₄ along the wall of </w:t>
      </w:r>
      <w:r>
        <w:rPr>
          <w:rFonts w:ascii="Times New Roman" w:hAnsi="Times New Roman"/>
          <w:sz w:val="24"/>
          <w:szCs w:val="24"/>
        </w:rPr>
        <w:t>the test tube. The appearance of a brown ring at the interface indicated the presence of cardiac glycosides.</w:t>
      </w:r>
    </w:p>
    <w:p w:rsidR="00307CCA" w:rsidRDefault="00307CCA">
      <w:pPr>
        <w:spacing w:after="0" w:line="360" w:lineRule="auto"/>
        <w:jc w:val="both"/>
        <w:rPr>
          <w:rFonts w:ascii="Times New Roman" w:hAnsi="Times New Roman"/>
          <w:b/>
          <w:bCs/>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2.6 Quantitative Phytochemical Analysis</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Quantitative determinations of the detected secondary metabolites were</w:t>
      </w:r>
      <w:r>
        <w:rPr>
          <w:rFonts w:ascii="Times New Roman" w:hAnsi="Times New Roman"/>
          <w:sz w:val="24"/>
          <w:szCs w:val="24"/>
        </w:rPr>
        <w:t xml:space="preserve"> done following the </w:t>
      </w:r>
      <w:r>
        <w:rPr>
          <w:rFonts w:ascii="Times New Roman" w:hAnsi="Times New Roman"/>
          <w:sz w:val="24"/>
          <w:szCs w:val="24"/>
        </w:rPr>
        <w:t>spectrophotometr</w:t>
      </w:r>
      <w:r>
        <w:rPr>
          <w:rFonts w:ascii="Times New Roman" w:hAnsi="Times New Roman"/>
          <w:sz w:val="24"/>
          <w:szCs w:val="24"/>
        </w:rPr>
        <w:t xml:space="preserve">ic and gravimetric procedures. </w:t>
      </w:r>
    </w:p>
    <w:p w:rsidR="00307CCA" w:rsidRDefault="00307CCA">
      <w:pPr>
        <w:spacing w:after="0" w:line="360" w:lineRule="auto"/>
        <w:jc w:val="both"/>
        <w:rPr>
          <w:rFonts w:ascii="Times New Roman" w:hAnsi="Times New Roman"/>
          <w:b/>
          <w:bCs/>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2.6.1 Determination of Alkaloid Content</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rPr>
        <w:t>gravimetric method described by Harborne (1998) was used</w:t>
      </w:r>
      <w:r>
        <w:rPr>
          <w:rFonts w:ascii="Times New Roman" w:hAnsi="Times New Roman"/>
          <w:sz w:val="24"/>
          <w:szCs w:val="24"/>
        </w:rPr>
        <w:t xml:space="preserve"> to determine the alkaloids content. </w:t>
      </w:r>
      <w:r>
        <w:rPr>
          <w:rFonts w:ascii="Times New Roman" w:hAnsi="Times New Roman"/>
          <w:sz w:val="24"/>
          <w:szCs w:val="24"/>
        </w:rPr>
        <w:t>5 g of</w:t>
      </w:r>
      <w:r>
        <w:rPr>
          <w:rFonts w:ascii="Times New Roman" w:hAnsi="Times New Roman"/>
          <w:sz w:val="24"/>
          <w:szCs w:val="24"/>
        </w:rPr>
        <w:t xml:space="preserve"> the </w:t>
      </w:r>
      <w:r>
        <w:rPr>
          <w:rFonts w:ascii="Times New Roman" w:hAnsi="Times New Roman"/>
          <w:sz w:val="24"/>
          <w:szCs w:val="24"/>
        </w:rPr>
        <w:t xml:space="preserve">powdered seeds were extracted with 10% acetic acid in ethanol for 4 hours. </w:t>
      </w:r>
      <w:r>
        <w:rPr>
          <w:rFonts w:ascii="Times New Roman" w:hAnsi="Times New Roman"/>
          <w:sz w:val="24"/>
          <w:szCs w:val="24"/>
        </w:rPr>
        <w:t xml:space="preserve">The extract was concentrated to one-quarter of its volume and precipitated with concentrated ammonium hydroxide. The resulting precipitate was filtered, washed with dilute ammonia, dried at 80 °C, and then weighed. </w:t>
      </w:r>
    </w:p>
    <w:p w:rsidR="00307CCA" w:rsidRDefault="00307CCA">
      <w:pPr>
        <w:spacing w:after="0" w:line="360" w:lineRule="auto"/>
        <w:jc w:val="both"/>
        <w:rPr>
          <w:rFonts w:ascii="Times New Roman" w:hAnsi="Times New Roman"/>
          <w:b/>
          <w:bCs/>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2.6.2 Determination of Total Phenolic C</w:t>
      </w:r>
      <w:r>
        <w:rPr>
          <w:rFonts w:ascii="Times New Roman" w:hAnsi="Times New Roman"/>
          <w:b/>
          <w:bCs/>
          <w:sz w:val="24"/>
          <w:szCs w:val="24"/>
        </w:rPr>
        <w:t>ontent</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Total phenolic content was estimated using the Folin–Ciocalteu method (Singleton &amp; Rossi, 1965). 1 mL of the extract  was added in 2.5 mL of 10% Folin–Ciocalteu reagent and 2 mL of 7.5% Na₂CO₃ solution. It was then incubated in the dark for 30 minut</w:t>
      </w:r>
      <w:r>
        <w:rPr>
          <w:rFonts w:ascii="Times New Roman" w:hAnsi="Times New Roman"/>
          <w:sz w:val="24"/>
          <w:szCs w:val="24"/>
        </w:rPr>
        <w:t>es, absorbance was measured at 765 nm.</w:t>
      </w:r>
    </w:p>
    <w:p w:rsidR="00307CCA" w:rsidRDefault="00307CCA">
      <w:pPr>
        <w:spacing w:after="0" w:line="360" w:lineRule="auto"/>
        <w:jc w:val="both"/>
        <w:rPr>
          <w:rFonts w:ascii="Times New Roman" w:hAnsi="Times New Roman"/>
          <w:b/>
          <w:bCs/>
          <w:sz w:val="12"/>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2.6.3 Determination of Total Flavonoid Content</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 xml:space="preserve">The aluminum chloride colorimetric method (Chang </w:t>
      </w:r>
      <w:r>
        <w:rPr>
          <w:rFonts w:ascii="Times New Roman" w:hAnsi="Times New Roman"/>
          <w:i/>
          <w:iCs/>
          <w:sz w:val="24"/>
          <w:szCs w:val="24"/>
        </w:rPr>
        <w:t>et a</w:t>
      </w:r>
      <w:r>
        <w:rPr>
          <w:rFonts w:ascii="Times New Roman" w:hAnsi="Times New Roman"/>
          <w:sz w:val="24"/>
          <w:szCs w:val="24"/>
        </w:rPr>
        <w:t xml:space="preserve">l., 2002) was used. </w:t>
      </w:r>
      <w:r>
        <w:rPr>
          <w:rFonts w:ascii="Times New Roman" w:hAnsi="Times New Roman"/>
          <w:sz w:val="24"/>
          <w:szCs w:val="24"/>
        </w:rPr>
        <w:t>2</w:t>
      </w:r>
      <w:r>
        <w:rPr>
          <w:rFonts w:ascii="Times New Roman" w:hAnsi="Times New Roman"/>
          <w:sz w:val="24"/>
          <w:szCs w:val="24"/>
        </w:rPr>
        <w:t xml:space="preserve"> mL of extract was </w:t>
      </w:r>
      <w:r>
        <w:rPr>
          <w:rFonts w:ascii="Times New Roman" w:hAnsi="Times New Roman"/>
          <w:sz w:val="24"/>
          <w:szCs w:val="24"/>
        </w:rPr>
        <w:t xml:space="preserve">mixed </w:t>
      </w:r>
      <w:r>
        <w:rPr>
          <w:rFonts w:ascii="Times New Roman" w:hAnsi="Times New Roman"/>
          <w:sz w:val="24"/>
          <w:szCs w:val="24"/>
        </w:rPr>
        <w:t xml:space="preserve">in 1 mL of 10% AlCl₃ and 1 mL of 1 M potassium acetate, made up to 5 </w:t>
      </w:r>
      <w:r>
        <w:rPr>
          <w:rFonts w:ascii="Times New Roman" w:hAnsi="Times New Roman"/>
          <w:sz w:val="24"/>
          <w:szCs w:val="24"/>
        </w:rPr>
        <w:t>mL with distilled water, and incubated for 30 minutes at room temperature. Absorbance was recorded at 415 nm</w:t>
      </w:r>
      <w:r>
        <w:rPr>
          <w:rFonts w:ascii="Times New Roman" w:hAnsi="Times New Roman"/>
          <w:sz w:val="24"/>
          <w:szCs w:val="24"/>
        </w:rPr>
        <w:t>.</w:t>
      </w:r>
    </w:p>
    <w:p w:rsidR="00307CCA" w:rsidRDefault="00307CCA">
      <w:pPr>
        <w:spacing w:after="0" w:line="360" w:lineRule="auto"/>
        <w:jc w:val="both"/>
        <w:rPr>
          <w:rFonts w:ascii="Times New Roman" w:hAnsi="Times New Roman"/>
          <w:b/>
          <w:bCs/>
          <w:sz w:val="10"/>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2.6.4 Determination of Total Saponin Content</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lastRenderedPageBreak/>
        <w:t>The vanillin–sulfuric acid method (Obadoni &amp; Ochuko, 2001) was</w:t>
      </w:r>
      <w:r>
        <w:rPr>
          <w:rFonts w:ascii="Times New Roman" w:hAnsi="Times New Roman"/>
          <w:sz w:val="24"/>
          <w:szCs w:val="24"/>
        </w:rPr>
        <w:t xml:space="preserve"> employed</w:t>
      </w:r>
      <w:r>
        <w:rPr>
          <w:rFonts w:ascii="Times New Roman" w:hAnsi="Times New Roman"/>
          <w:sz w:val="24"/>
          <w:szCs w:val="24"/>
        </w:rPr>
        <w:t xml:space="preserve">. </w:t>
      </w:r>
      <w:r>
        <w:rPr>
          <w:rFonts w:ascii="Times New Roman" w:hAnsi="Times New Roman"/>
          <w:sz w:val="24"/>
          <w:szCs w:val="24"/>
        </w:rPr>
        <w:t>Where 2</w:t>
      </w:r>
      <w:r>
        <w:rPr>
          <w:rFonts w:ascii="Times New Roman" w:hAnsi="Times New Roman"/>
          <w:sz w:val="24"/>
          <w:szCs w:val="24"/>
        </w:rPr>
        <w:t xml:space="preserve"> mL of extract was m</w:t>
      </w:r>
      <w:r>
        <w:rPr>
          <w:rFonts w:ascii="Times New Roman" w:hAnsi="Times New Roman"/>
          <w:sz w:val="24"/>
          <w:szCs w:val="24"/>
        </w:rPr>
        <w:t>ixed in 0.25 mL of 8% vanillin in ethanol and 2.5 mL of 72% sulfuric acid, incubated at 60 °C for 10 minutes, cooled, and measured at 544 nm.</w:t>
      </w:r>
    </w:p>
    <w:p w:rsidR="00307CCA" w:rsidRDefault="00307CCA">
      <w:pPr>
        <w:spacing w:after="0" w:line="360" w:lineRule="auto"/>
        <w:jc w:val="both"/>
        <w:rPr>
          <w:rFonts w:ascii="Times New Roman" w:hAnsi="Times New Roman"/>
          <w:b/>
          <w:bCs/>
          <w:sz w:val="10"/>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2.6.5 Determination of Tannin Content</w:t>
      </w:r>
    </w:p>
    <w:p w:rsidR="00307CCA" w:rsidRDefault="00B01760">
      <w:pPr>
        <w:spacing w:after="0" w:line="360" w:lineRule="auto"/>
        <w:jc w:val="both"/>
        <w:rPr>
          <w:rFonts w:ascii="Times New Roman" w:hAnsi="Times New Roman"/>
          <w:b/>
          <w:bCs/>
          <w:sz w:val="24"/>
          <w:szCs w:val="24"/>
        </w:rPr>
      </w:pPr>
      <w:r>
        <w:rPr>
          <w:rFonts w:ascii="Times New Roman" w:hAnsi="Times New Roman"/>
          <w:sz w:val="24"/>
          <w:szCs w:val="24"/>
        </w:rPr>
        <w:t>Tannin concentration was determined using the Folin</w:t>
      </w:r>
      <w:r>
        <w:rPr>
          <w:rFonts w:ascii="Times New Roman" w:hAnsi="Times New Roman"/>
          <w:sz w:val="24"/>
          <w:szCs w:val="24"/>
        </w:rPr>
        <w:t xml:space="preserve">–Denis method (AOAC, 2016). </w:t>
      </w:r>
      <w:r>
        <w:rPr>
          <w:rFonts w:ascii="Times New Roman" w:hAnsi="Times New Roman"/>
          <w:sz w:val="24"/>
          <w:szCs w:val="24"/>
        </w:rPr>
        <w:t>2</w:t>
      </w:r>
      <w:r>
        <w:rPr>
          <w:rFonts w:ascii="Times New Roman" w:hAnsi="Times New Roman"/>
          <w:sz w:val="24"/>
          <w:szCs w:val="24"/>
        </w:rPr>
        <w:t xml:space="preserve"> mL of extract was added in 0.5 mL Folin–Denis reagent and 1 mL of 7.5% Na₂CO₃ solution. Absorbance was read at 760 nm after 30 minutes. </w:t>
      </w:r>
    </w:p>
    <w:p w:rsidR="00307CCA" w:rsidRDefault="00307CCA">
      <w:pPr>
        <w:spacing w:after="0" w:line="360" w:lineRule="auto"/>
        <w:jc w:val="both"/>
        <w:rPr>
          <w:rFonts w:ascii="Times New Roman" w:hAnsi="Times New Roman"/>
          <w:b/>
          <w:bCs/>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2.6.6 Determination of Steroids, Terpenoids, and Cardiac Glycosides</w:t>
      </w:r>
    </w:p>
    <w:p w:rsidR="00307CCA" w:rsidRDefault="00B01760">
      <w:pPr>
        <w:spacing w:after="0" w:line="360" w:lineRule="auto"/>
        <w:jc w:val="both"/>
        <w:rPr>
          <w:rFonts w:ascii="Times New Roman" w:hAnsi="Times New Roman"/>
          <w:sz w:val="12"/>
          <w:szCs w:val="24"/>
        </w:rPr>
      </w:pPr>
      <w:r>
        <w:rPr>
          <w:rFonts w:ascii="Times New Roman" w:hAnsi="Times New Roman"/>
          <w:sz w:val="24"/>
          <w:szCs w:val="24"/>
        </w:rPr>
        <w:t>Quantification of st</w:t>
      </w:r>
      <w:r>
        <w:rPr>
          <w:rFonts w:ascii="Times New Roman" w:hAnsi="Times New Roman"/>
          <w:sz w:val="24"/>
          <w:szCs w:val="24"/>
        </w:rPr>
        <w:t xml:space="preserve">eroids, terpenoids, and cardiac glycosides was performed using colorimetric methods as described by Edeoga </w:t>
      </w:r>
      <w:r>
        <w:rPr>
          <w:rFonts w:ascii="Times New Roman" w:hAnsi="Times New Roman"/>
          <w:i/>
          <w:iCs/>
          <w:sz w:val="24"/>
          <w:szCs w:val="24"/>
        </w:rPr>
        <w:t>et al.</w:t>
      </w:r>
      <w:r>
        <w:rPr>
          <w:rFonts w:ascii="Times New Roman" w:hAnsi="Times New Roman"/>
          <w:sz w:val="24"/>
          <w:szCs w:val="24"/>
        </w:rPr>
        <w:t xml:space="preserve"> (2005). The absorbances were measured at 540 nm, 550 nm, and 495 nm</w:t>
      </w:r>
      <w:r>
        <w:rPr>
          <w:rFonts w:ascii="Times New Roman" w:hAnsi="Times New Roman"/>
          <w:sz w:val="24"/>
          <w:szCs w:val="24"/>
        </w:rPr>
        <w:t>.</w:t>
      </w:r>
    </w:p>
    <w:p w:rsidR="00307CCA" w:rsidRDefault="00307CCA">
      <w:pPr>
        <w:spacing w:after="0" w:line="360" w:lineRule="auto"/>
        <w:jc w:val="both"/>
        <w:rPr>
          <w:rFonts w:ascii="Times New Roman" w:hAnsi="Times New Roman"/>
          <w:b/>
          <w:bCs/>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2.7 Nitric Oxide Radical Scavenging Assay</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In this analysis, the method d</w:t>
      </w:r>
      <w:r>
        <w:rPr>
          <w:rFonts w:ascii="Times New Roman" w:hAnsi="Times New Roman"/>
          <w:sz w:val="24"/>
          <w:szCs w:val="24"/>
        </w:rPr>
        <w:t>escribed by Green</w:t>
      </w:r>
      <w:r>
        <w:rPr>
          <w:rFonts w:ascii="Times New Roman" w:hAnsi="Times New Roman"/>
          <w:i/>
          <w:iCs/>
          <w:sz w:val="24"/>
          <w:szCs w:val="24"/>
        </w:rPr>
        <w:t xml:space="preserve"> et al</w:t>
      </w:r>
      <w:r>
        <w:rPr>
          <w:rFonts w:ascii="Times New Roman" w:hAnsi="Times New Roman"/>
          <w:sz w:val="24"/>
          <w:szCs w:val="24"/>
        </w:rPr>
        <w:t>. (1982) was adopted with slight modifications. Where, 1 mL of sodium nitroprusside (10 mM) in phosphate-buffered saline (pH 7.4) was mixed with 1 mL of extract at varying concentrations and incubated at 25°C for 150 minutes. After i</w:t>
      </w:r>
      <w:r>
        <w:rPr>
          <w:rFonts w:ascii="Times New Roman" w:hAnsi="Times New Roman"/>
          <w:sz w:val="24"/>
          <w:szCs w:val="24"/>
        </w:rPr>
        <w:t>ncubation, 1 mL of Griess reagent (1% sulfanilamide and 0.1% NED in 2% phosphoric acid) was added. The absorbance was measured at 546 nm against a blank. The percentage inhibition of nitric oxide was calculated using the formula:</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NO scavenging (%) = A</w:t>
      </w:r>
      <w:r>
        <w:rPr>
          <w:rFonts w:ascii="Times New Roman" w:hAnsi="Times New Roman"/>
          <w:sz w:val="24"/>
          <w:szCs w:val="24"/>
          <w:vertAlign w:val="subscript"/>
        </w:rPr>
        <w:t>contr</w:t>
      </w:r>
      <w:r>
        <w:rPr>
          <w:rFonts w:ascii="Times New Roman" w:hAnsi="Times New Roman"/>
          <w:sz w:val="24"/>
          <w:szCs w:val="24"/>
          <w:vertAlign w:val="subscript"/>
        </w:rPr>
        <w:t xml:space="preserve">ol </w:t>
      </w:r>
      <w:r>
        <w:rPr>
          <w:rFonts w:ascii="Times New Roman" w:hAnsi="Times New Roman"/>
          <w:sz w:val="24"/>
          <w:szCs w:val="24"/>
        </w:rPr>
        <w:t>- A</w:t>
      </w:r>
      <w:r>
        <w:rPr>
          <w:rFonts w:ascii="Times New Roman" w:hAnsi="Times New Roman"/>
          <w:sz w:val="24"/>
          <w:szCs w:val="24"/>
          <w:vertAlign w:val="subscript"/>
        </w:rPr>
        <w:t>sample</w:t>
      </w:r>
      <w:r>
        <w:rPr>
          <w:rFonts w:ascii="Times New Roman" w:hAnsi="Times New Roman"/>
          <w:sz w:val="24"/>
          <w:szCs w:val="24"/>
        </w:rPr>
        <w:t xml:space="preserve">  × 100</w:t>
      </w:r>
    </w:p>
    <w:p w:rsidR="00307CCA" w:rsidRDefault="00B01760">
      <w:pPr>
        <w:spacing w:after="0" w:line="240" w:lineRule="auto"/>
        <w:jc w:val="both"/>
        <w:rPr>
          <w:rFonts w:ascii="Times New Roman" w:hAnsi="Times New Roman"/>
          <w:sz w:val="24"/>
          <w:szCs w:val="24"/>
        </w:rPr>
      </w:pPr>
      <w:r>
        <w:rPr>
          <w:rFonts w:ascii="Times New Roman" w:hAnsi="Times New Roman"/>
          <w:noProof/>
          <w:sz w:val="24"/>
          <w:szCs w:val="24"/>
          <w:lang w:eastAsia="en-US"/>
        </w:rPr>
        <w:pict>
          <v:shapetype id="_x0000_m1028" coordsize="21600,21600" o:spt="32" o:oned="t" path="m,l21600,21600e" filled="t">
            <v:path arrowok="t" fillok="f" o:connecttype="none"/>
            <o:lock v:ext="edit" shapetype="t"/>
          </v:shapetype>
        </w:pict>
      </w:r>
      <w:r>
        <w:rPr>
          <w:rFonts w:ascii="Times New Roman" w:hAnsi="Times New Roman"/>
          <w:noProof/>
          <w:sz w:val="24"/>
          <w:szCs w:val="24"/>
          <w:lang w:eastAsia="en-US"/>
        </w:rPr>
        <w:pict>
          <v:shape id="1029" o:spid="_x0000_s1027" type="#_x0000_m1028" style="position:absolute;left:0;text-align:left;margin-left:105.8pt;margin-top:.9pt;width:78.25pt;height:0;z-index:3;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sz w:val="24"/>
          <w:szCs w:val="24"/>
        </w:rPr>
        <w:t xml:space="preserve">                                           A</w:t>
      </w:r>
      <w:r>
        <w:rPr>
          <w:rFonts w:ascii="Times New Roman" w:hAnsi="Times New Roman"/>
          <w:sz w:val="24"/>
          <w:szCs w:val="24"/>
          <w:vertAlign w:val="subscript"/>
        </w:rPr>
        <w:t xml:space="preserve">control </w:t>
      </w:r>
    </w:p>
    <w:p w:rsidR="00307CCA" w:rsidRDefault="00307CCA">
      <w:pPr>
        <w:spacing w:after="0" w:line="360" w:lineRule="auto"/>
        <w:jc w:val="both"/>
        <w:rPr>
          <w:rFonts w:ascii="Times New Roman" w:hAnsi="Times New Roman"/>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2.8 DPPH Radical Scavenging Assay</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The DPPH radical scavenging activity was determined</w:t>
      </w:r>
      <w:r>
        <w:rPr>
          <w:rFonts w:ascii="Times New Roman" w:hAnsi="Times New Roman"/>
          <w:sz w:val="24"/>
          <w:szCs w:val="24"/>
        </w:rPr>
        <w:t xml:space="preserve"> in line with </w:t>
      </w:r>
      <w:r>
        <w:rPr>
          <w:rFonts w:ascii="Times New Roman" w:hAnsi="Times New Roman"/>
          <w:sz w:val="24"/>
          <w:szCs w:val="24"/>
        </w:rPr>
        <w:t xml:space="preserve">Brand-Williams </w:t>
      </w:r>
      <w:r>
        <w:rPr>
          <w:rFonts w:ascii="Times New Roman" w:hAnsi="Times New Roman"/>
          <w:i/>
          <w:iCs/>
          <w:sz w:val="24"/>
          <w:szCs w:val="24"/>
        </w:rPr>
        <w:t xml:space="preserve">et al. </w:t>
      </w:r>
      <w:r>
        <w:rPr>
          <w:rFonts w:ascii="Times New Roman" w:hAnsi="Times New Roman"/>
          <w:sz w:val="24"/>
          <w:szCs w:val="24"/>
        </w:rPr>
        <w:t>(1995)</w:t>
      </w:r>
      <w:r>
        <w:rPr>
          <w:rFonts w:ascii="Times New Roman" w:hAnsi="Times New Roman"/>
          <w:sz w:val="24"/>
          <w:szCs w:val="24"/>
        </w:rPr>
        <w:t>. Where</w:t>
      </w:r>
      <w:r>
        <w:rPr>
          <w:rFonts w:ascii="Times New Roman" w:hAnsi="Times New Roman"/>
          <w:sz w:val="24"/>
          <w:szCs w:val="24"/>
        </w:rPr>
        <w:t xml:space="preserve"> 1 mL aliquot of 0.1 mM DPPH solution in methanol was</w:t>
      </w:r>
      <w:r>
        <w:rPr>
          <w:rFonts w:ascii="Times New Roman" w:hAnsi="Times New Roman"/>
          <w:sz w:val="24"/>
          <w:szCs w:val="24"/>
        </w:rPr>
        <w:t xml:space="preserve"> added in 2</w:t>
      </w:r>
      <w:r>
        <w:rPr>
          <w:rFonts w:ascii="Times New Roman" w:hAnsi="Times New Roman"/>
          <w:sz w:val="24"/>
          <w:szCs w:val="24"/>
        </w:rPr>
        <w:t xml:space="preserve"> mL of extract at different concentrations and incubated in the dark for 30 minutes. The absorbance was read at 517 nm using spectrophotometer. Vitamin C served as the reference antioxidant. T</w:t>
      </w:r>
      <w:r>
        <w:rPr>
          <w:rFonts w:ascii="Times New Roman" w:hAnsi="Times New Roman"/>
          <w:sz w:val="24"/>
          <w:szCs w:val="24"/>
        </w:rPr>
        <w:t>he scavenging activity was expressed as:</w:t>
      </w:r>
    </w:p>
    <w:p w:rsidR="00307CCA" w:rsidRDefault="00B01760">
      <w:pPr>
        <w:spacing w:after="0" w:line="240" w:lineRule="auto"/>
        <w:jc w:val="both"/>
        <w:rPr>
          <w:rFonts w:ascii="Times New Roman" w:hAnsi="Times New Roman"/>
          <w:sz w:val="24"/>
          <w:szCs w:val="24"/>
        </w:rPr>
      </w:pPr>
      <w:r>
        <w:rPr>
          <w:rFonts w:ascii="Times New Roman" w:hAnsi="Times New Roman"/>
          <w:noProof/>
          <w:sz w:val="24"/>
          <w:szCs w:val="24"/>
          <w:lang w:eastAsia="en-US"/>
        </w:rPr>
        <w:pict>
          <v:shape id="1030" o:spid="_x0000_s1026" type="#_x0000_m1028" style="position:absolute;left:0;text-align:left;margin-left:119.75pt;margin-top:15.45pt;width:78.25pt;height:0;z-index:4;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sz w:val="24"/>
          <w:szCs w:val="24"/>
        </w:rPr>
        <w:t>DPPH scavenging (%) = A</w:t>
      </w:r>
      <w:r>
        <w:rPr>
          <w:rFonts w:ascii="Times New Roman" w:hAnsi="Times New Roman"/>
          <w:sz w:val="24"/>
          <w:szCs w:val="24"/>
          <w:vertAlign w:val="subscript"/>
        </w:rPr>
        <w:t>control</w:t>
      </w:r>
      <w:r>
        <w:rPr>
          <w:rFonts w:ascii="Times New Roman" w:hAnsi="Times New Roman"/>
          <w:sz w:val="24"/>
          <w:szCs w:val="24"/>
        </w:rPr>
        <w:t xml:space="preserve"> - A</w:t>
      </w:r>
      <w:r>
        <w:rPr>
          <w:rFonts w:ascii="Times New Roman" w:hAnsi="Times New Roman"/>
          <w:sz w:val="24"/>
          <w:szCs w:val="24"/>
          <w:vertAlign w:val="subscript"/>
        </w:rPr>
        <w:t>sample</w:t>
      </w:r>
      <w:r>
        <w:rPr>
          <w:rFonts w:ascii="Times New Roman" w:hAnsi="Times New Roman"/>
          <w:sz w:val="24"/>
          <w:szCs w:val="24"/>
        </w:rPr>
        <w:t xml:space="preserve"> × 100                                            </w:t>
      </w:r>
    </w:p>
    <w:p w:rsidR="00307CCA" w:rsidRDefault="00B01760">
      <w:pPr>
        <w:spacing w:after="0" w:line="240" w:lineRule="auto"/>
        <w:jc w:val="both"/>
        <w:rPr>
          <w:rFonts w:ascii="Times New Roman" w:hAnsi="Times New Roman"/>
          <w:sz w:val="24"/>
          <w:szCs w:val="24"/>
        </w:rPr>
      </w:pPr>
      <w:r>
        <w:rPr>
          <w:rFonts w:ascii="Times New Roman" w:hAnsi="Times New Roman"/>
          <w:sz w:val="24"/>
          <w:szCs w:val="24"/>
        </w:rPr>
        <w:t xml:space="preserve">                                                   A</w:t>
      </w:r>
      <w:r>
        <w:rPr>
          <w:rFonts w:ascii="Times New Roman" w:hAnsi="Times New Roman"/>
          <w:sz w:val="24"/>
          <w:szCs w:val="24"/>
          <w:vertAlign w:val="subscript"/>
        </w:rPr>
        <w:t>control</w:t>
      </w:r>
    </w:p>
    <w:p w:rsidR="00307CCA" w:rsidRDefault="00307CCA">
      <w:pPr>
        <w:spacing w:after="0" w:line="360" w:lineRule="auto"/>
        <w:jc w:val="both"/>
        <w:rPr>
          <w:rFonts w:ascii="Times New Roman" w:hAnsi="Times New Roman"/>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lastRenderedPageBreak/>
        <w:t>2.9 Ferric Reducing Antioxidant Power (FRAP) Assay</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The reducin</w:t>
      </w:r>
      <w:r>
        <w:rPr>
          <w:rFonts w:ascii="Times New Roman" w:hAnsi="Times New Roman"/>
          <w:sz w:val="24"/>
          <w:szCs w:val="24"/>
        </w:rPr>
        <w:t xml:space="preserve">g power of the extract was estimated using the method of Benzie and Strain (1996). The FRAP reagent was freshly prepared by mixing acetate buffer (300 mM, pH 3.6), TPTZ (10 mM in 40 mM HCl), and ferric chloride (20 mM) in a 10:1:1 ratio. One milliliter of </w:t>
      </w:r>
      <w:r>
        <w:rPr>
          <w:rFonts w:ascii="Times New Roman" w:hAnsi="Times New Roman"/>
          <w:sz w:val="24"/>
          <w:szCs w:val="24"/>
        </w:rPr>
        <w:t>the extract was added to 2 mL of the FRAP reagent and incubated at 37°C for 30 minutes. Absorbance was measured at 593 nm. Increased absorbance indicated higher reducing power.</w:t>
      </w:r>
    </w:p>
    <w:p w:rsidR="00307CCA" w:rsidRDefault="00307CCA">
      <w:pPr>
        <w:spacing w:after="0" w:line="360" w:lineRule="auto"/>
        <w:jc w:val="both"/>
        <w:rPr>
          <w:rFonts w:ascii="Times New Roman" w:hAnsi="Times New Roman"/>
          <w:b/>
          <w:bCs/>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2.10 Statistical Analysis</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All assays were performed in triplicate, and results</w:t>
      </w:r>
      <w:r>
        <w:rPr>
          <w:rFonts w:ascii="Times New Roman" w:hAnsi="Times New Roman"/>
          <w:sz w:val="24"/>
          <w:szCs w:val="24"/>
        </w:rPr>
        <w:t xml:space="preserve"> were expressed as mean ± standard error of the mean (SEM). Data were analyzed using one-way analysis of variance (ANOVA) followed by Tukey’s post hoc test to determine significant differences between concentrations. Statistical significance was accepted a</w:t>
      </w:r>
      <w:r>
        <w:rPr>
          <w:rFonts w:ascii="Times New Roman" w:hAnsi="Times New Roman"/>
          <w:sz w:val="24"/>
          <w:szCs w:val="24"/>
        </w:rPr>
        <w:t xml:space="preserve">t p &lt; 0.05. </w:t>
      </w:r>
    </w:p>
    <w:p w:rsidR="00307CCA" w:rsidRDefault="00307CCA">
      <w:pPr>
        <w:spacing w:after="0" w:line="360" w:lineRule="auto"/>
        <w:jc w:val="both"/>
        <w:rPr>
          <w:rFonts w:ascii="Times New Roman" w:hAnsi="Times New Roman"/>
          <w:b/>
          <w:bCs/>
          <w:caps/>
          <w:sz w:val="24"/>
          <w:szCs w:val="24"/>
        </w:rPr>
      </w:pPr>
    </w:p>
    <w:p w:rsidR="00307CCA" w:rsidRDefault="00307CCA">
      <w:pPr>
        <w:spacing w:after="0" w:line="360" w:lineRule="auto"/>
        <w:jc w:val="both"/>
        <w:rPr>
          <w:rFonts w:ascii="Times New Roman" w:hAnsi="Times New Roman"/>
          <w:b/>
          <w:bCs/>
          <w:caps/>
          <w:sz w:val="24"/>
          <w:szCs w:val="24"/>
        </w:rPr>
      </w:pPr>
    </w:p>
    <w:p w:rsidR="00307CCA" w:rsidRDefault="00307CCA">
      <w:pPr>
        <w:spacing w:after="0" w:line="360" w:lineRule="auto"/>
        <w:jc w:val="both"/>
        <w:rPr>
          <w:rFonts w:ascii="Times New Roman" w:hAnsi="Times New Roman"/>
          <w:b/>
          <w:bCs/>
          <w:caps/>
          <w:sz w:val="24"/>
          <w:szCs w:val="24"/>
        </w:rPr>
      </w:pPr>
    </w:p>
    <w:p w:rsidR="00307CCA" w:rsidRDefault="00307CCA">
      <w:pPr>
        <w:spacing w:after="0" w:line="360" w:lineRule="auto"/>
        <w:jc w:val="both"/>
        <w:rPr>
          <w:rFonts w:ascii="Times New Roman" w:hAnsi="Times New Roman"/>
          <w:b/>
          <w:bCs/>
          <w:caps/>
          <w:sz w:val="24"/>
          <w:szCs w:val="24"/>
        </w:rPr>
      </w:pPr>
    </w:p>
    <w:p w:rsidR="00307CCA" w:rsidRDefault="00307CCA">
      <w:pPr>
        <w:spacing w:after="0" w:line="360" w:lineRule="auto"/>
        <w:jc w:val="both"/>
        <w:rPr>
          <w:rFonts w:ascii="Times New Roman" w:hAnsi="Times New Roman"/>
          <w:b/>
          <w:bCs/>
          <w:caps/>
          <w:sz w:val="24"/>
          <w:szCs w:val="24"/>
        </w:rPr>
      </w:pPr>
    </w:p>
    <w:p w:rsidR="00307CCA" w:rsidRDefault="00307CCA">
      <w:pPr>
        <w:spacing w:after="0" w:line="360" w:lineRule="auto"/>
        <w:jc w:val="both"/>
        <w:rPr>
          <w:rFonts w:ascii="Times New Roman" w:hAnsi="Times New Roman"/>
          <w:b/>
          <w:bCs/>
          <w:caps/>
          <w:sz w:val="24"/>
          <w:szCs w:val="24"/>
        </w:rPr>
      </w:pPr>
    </w:p>
    <w:p w:rsidR="00307CCA" w:rsidRDefault="00307CCA">
      <w:pPr>
        <w:spacing w:after="0" w:line="360" w:lineRule="auto"/>
        <w:jc w:val="both"/>
        <w:rPr>
          <w:rFonts w:ascii="Times New Roman" w:hAnsi="Times New Roman"/>
          <w:b/>
          <w:bCs/>
          <w:caps/>
          <w:sz w:val="24"/>
          <w:szCs w:val="24"/>
        </w:rPr>
      </w:pPr>
    </w:p>
    <w:p w:rsidR="00307CCA" w:rsidRDefault="00307CCA">
      <w:pPr>
        <w:spacing w:after="0" w:line="360" w:lineRule="auto"/>
        <w:jc w:val="both"/>
        <w:rPr>
          <w:rFonts w:ascii="Times New Roman" w:hAnsi="Times New Roman"/>
          <w:b/>
          <w:bCs/>
          <w:caps/>
          <w:sz w:val="24"/>
          <w:szCs w:val="24"/>
        </w:rPr>
      </w:pPr>
    </w:p>
    <w:p w:rsidR="00307CCA" w:rsidRDefault="00307CCA">
      <w:pPr>
        <w:spacing w:after="0" w:line="360" w:lineRule="auto"/>
        <w:jc w:val="both"/>
        <w:rPr>
          <w:rFonts w:ascii="Times New Roman" w:hAnsi="Times New Roman"/>
          <w:b/>
          <w:bCs/>
          <w:caps/>
          <w:sz w:val="24"/>
          <w:szCs w:val="24"/>
        </w:rPr>
      </w:pPr>
    </w:p>
    <w:p w:rsidR="00307CCA" w:rsidRDefault="00307CCA">
      <w:pPr>
        <w:spacing w:after="0" w:line="360" w:lineRule="auto"/>
        <w:jc w:val="both"/>
        <w:rPr>
          <w:rFonts w:ascii="Times New Roman" w:hAnsi="Times New Roman"/>
          <w:b/>
          <w:bCs/>
          <w:caps/>
          <w:sz w:val="24"/>
          <w:szCs w:val="24"/>
        </w:rPr>
      </w:pPr>
    </w:p>
    <w:p w:rsidR="00307CCA" w:rsidRDefault="00307CCA">
      <w:pPr>
        <w:spacing w:after="0" w:line="360" w:lineRule="auto"/>
        <w:jc w:val="both"/>
        <w:rPr>
          <w:rFonts w:ascii="Times New Roman" w:hAnsi="Times New Roman"/>
          <w:b/>
          <w:bCs/>
          <w:caps/>
          <w:sz w:val="24"/>
          <w:szCs w:val="24"/>
        </w:rPr>
      </w:pPr>
    </w:p>
    <w:p w:rsidR="00307CCA" w:rsidRDefault="00307CCA">
      <w:pPr>
        <w:spacing w:after="0" w:line="360" w:lineRule="auto"/>
        <w:jc w:val="both"/>
        <w:rPr>
          <w:rFonts w:ascii="Times New Roman" w:hAnsi="Times New Roman"/>
          <w:b/>
          <w:bCs/>
          <w:caps/>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caps/>
          <w:sz w:val="24"/>
          <w:szCs w:val="24"/>
        </w:rPr>
        <w:t xml:space="preserve">3. Results and Discussion </w:t>
      </w:r>
    </w:p>
    <w:p w:rsidR="00307CCA" w:rsidRDefault="00307CCA">
      <w:pPr>
        <w:spacing w:after="0" w:line="360" w:lineRule="auto"/>
        <w:jc w:val="both"/>
        <w:rPr>
          <w:rFonts w:ascii="Times New Roman" w:eastAsia="Calibri" w:hAnsi="Times New Roman"/>
          <w:b/>
          <w:bCs/>
          <w:sz w:val="24"/>
          <w:szCs w:val="24"/>
          <w:lang w:eastAsia="en-US"/>
        </w:rPr>
      </w:pPr>
    </w:p>
    <w:p w:rsidR="00307CCA" w:rsidRDefault="00B01760">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Table 2. Showed the Qualitative and Quantitative Phytochemical Composition of Trigonella foenum-graecum seed ethanolic extract.</w:t>
      </w:r>
    </w:p>
    <w:tbl>
      <w:tblPr>
        <w:tblW w:w="0" w:type="auto"/>
        <w:tblLook w:val="04A0" w:firstRow="1" w:lastRow="0" w:firstColumn="1" w:lastColumn="0" w:noHBand="0" w:noVBand="1"/>
      </w:tblPr>
      <w:tblGrid>
        <w:gridCol w:w="3116"/>
        <w:gridCol w:w="1919"/>
        <w:gridCol w:w="1980"/>
      </w:tblGrid>
      <w:tr w:rsidR="00307CCA">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Phytochemical parameter</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Qualitative</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Quantitative (mg/g)</w:t>
            </w:r>
          </w:p>
        </w:tc>
      </w:tr>
      <w:tr w:rsidR="00307CCA">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 xml:space="preserve">Alkaloids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 xml:space="preserve">1.94 </w:t>
            </w:r>
            <w:r>
              <w:rPr>
                <w:rFonts w:ascii="Times New Roman" w:eastAsia="Calibri" w:hAnsi="Times New Roman"/>
                <w:sz w:val="24"/>
                <w:szCs w:val="24"/>
                <w:lang w:eastAsia="en-US"/>
              </w:rPr>
              <w:t>± 0.04</w:t>
            </w:r>
          </w:p>
        </w:tc>
      </w:tr>
      <w:tr w:rsidR="00307CCA">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lastRenderedPageBreak/>
              <w:t xml:space="preserve">Phenols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4.61 ± 0.05</w:t>
            </w:r>
          </w:p>
        </w:tc>
      </w:tr>
      <w:tr w:rsidR="00307CCA">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 xml:space="preserve">Terpenoids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0.95 ± 0.02</w:t>
            </w:r>
          </w:p>
        </w:tc>
      </w:tr>
      <w:tr w:rsidR="00307CCA">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 xml:space="preserve">Cardiac glycosides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0.25 ± 0.03</w:t>
            </w:r>
          </w:p>
        </w:tc>
      </w:tr>
      <w:tr w:rsidR="00307CCA">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 xml:space="preserve">Steroids </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0.18 ± 0.01</w:t>
            </w:r>
          </w:p>
        </w:tc>
      </w:tr>
      <w:tr w:rsidR="00307CCA">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Saponins</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3.26 ± 0.04</w:t>
            </w:r>
          </w:p>
        </w:tc>
      </w:tr>
      <w:tr w:rsidR="00307CCA">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Flavonoids</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5.51 ± 0.07</w:t>
            </w:r>
          </w:p>
        </w:tc>
      </w:tr>
      <w:tr w:rsidR="00307CCA">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Tannins</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1.19 ± 0.03</w:t>
            </w:r>
          </w:p>
        </w:tc>
      </w:tr>
    </w:tbl>
    <w:p w:rsidR="00307CCA" w:rsidRDefault="00307CCA">
      <w:pPr>
        <w:spacing w:after="0" w:line="360" w:lineRule="auto"/>
        <w:jc w:val="both"/>
        <w:rPr>
          <w:rFonts w:ascii="Times New Roman" w:hAnsi="Times New Roman"/>
          <w:sz w:val="24"/>
          <w:szCs w:val="24"/>
        </w:rPr>
      </w:pPr>
    </w:p>
    <w:p w:rsidR="00307CCA" w:rsidRDefault="00B01760">
      <w:pPr>
        <w:spacing w:after="0" w:line="360" w:lineRule="auto"/>
        <w:jc w:val="both"/>
        <w:rPr>
          <w:rFonts w:ascii="Times New Roman" w:hAnsi="Times New Roman"/>
          <w:b/>
          <w:bCs/>
          <w:sz w:val="24"/>
          <w:szCs w:val="24"/>
        </w:rPr>
      </w:pPr>
      <w:r>
        <w:rPr>
          <w:rFonts w:ascii="Times New Roman" w:hAnsi="Times New Roman"/>
          <w:b/>
          <w:bCs/>
          <w:sz w:val="24"/>
          <w:szCs w:val="24"/>
        </w:rPr>
        <w:t xml:space="preserve">The degree of occurrence was expressed as “+” which </w:t>
      </w:r>
      <w:r>
        <w:rPr>
          <w:rFonts w:ascii="Times New Roman" w:hAnsi="Times New Roman"/>
          <w:b/>
          <w:bCs/>
          <w:sz w:val="24"/>
          <w:szCs w:val="24"/>
        </w:rPr>
        <w:t>indicates moderate presence and “++” strong presence. It was determined based on the color intensity and persistence of reactions during standard phytochemical tests, reflecting the relative abundance of each constituent.</w:t>
      </w:r>
    </w:p>
    <w:p w:rsidR="00307CCA" w:rsidRDefault="00307CCA">
      <w:pPr>
        <w:spacing w:after="0" w:line="360" w:lineRule="auto"/>
        <w:jc w:val="both"/>
        <w:rPr>
          <w:rFonts w:ascii="Times New Roman" w:hAnsi="Times New Roman"/>
          <w:b/>
          <w:bCs/>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3.1 Qualitative Phytochemical Scr</w:t>
      </w:r>
      <w:r>
        <w:rPr>
          <w:rFonts w:ascii="Times New Roman" w:hAnsi="Times New Roman"/>
          <w:b/>
          <w:bCs/>
          <w:sz w:val="24"/>
          <w:szCs w:val="24"/>
        </w:rPr>
        <w:t>eening</w:t>
      </w: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T</w:t>
      </w:r>
      <w:r>
        <w:rPr>
          <w:rFonts w:ascii="Times New Roman" w:hAnsi="Times New Roman"/>
          <w:b/>
          <w:bCs/>
          <w:sz w:val="24"/>
          <w:szCs w:val="24"/>
        </w:rPr>
        <w:t>able 2;</w:t>
      </w:r>
      <w:r>
        <w:rPr>
          <w:rFonts w:ascii="Times New Roman" w:hAnsi="Times New Roman"/>
          <w:sz w:val="24"/>
          <w:szCs w:val="24"/>
        </w:rPr>
        <w:t xml:space="preserve"> </w:t>
      </w:r>
      <w:r>
        <w:rPr>
          <w:rFonts w:ascii="Times New Roman" w:hAnsi="Times New Roman"/>
          <w:sz w:val="24"/>
          <w:szCs w:val="24"/>
        </w:rPr>
        <w:t>showed the presence of various classes of bioactive compounds, which  include alkaloids, phenols, terpenoids, cardiac glycosides, steroids, saponins, flavonoids, and tannins</w:t>
      </w:r>
      <w:r>
        <w:rPr>
          <w:rFonts w:ascii="Times New Roman" w:hAnsi="Times New Roman"/>
          <w:sz w:val="24"/>
          <w:szCs w:val="24"/>
        </w:rPr>
        <w:t>. The qualitative analysis of ethanolic extract of  fenugreek seeds revealed strong presence (++) for flavonoids, phenols, and saponins. This suggest that the phytochemicals are abundant and possess potent antioxidant and anti-inflammatory properties, whic</w:t>
      </w:r>
      <w:r>
        <w:rPr>
          <w:rFonts w:ascii="Times New Roman" w:hAnsi="Times New Roman"/>
          <w:sz w:val="24"/>
          <w:szCs w:val="24"/>
        </w:rPr>
        <w:t xml:space="preserve">h may contribute to the plant’s traditional medicinal use (Kumar </w:t>
      </w:r>
      <w:r>
        <w:rPr>
          <w:rFonts w:ascii="Times New Roman" w:hAnsi="Times New Roman"/>
          <w:i/>
          <w:iCs/>
          <w:sz w:val="24"/>
          <w:szCs w:val="24"/>
        </w:rPr>
        <w:t>et al,</w:t>
      </w:r>
      <w:r>
        <w:rPr>
          <w:rFonts w:ascii="Times New Roman" w:hAnsi="Times New Roman"/>
          <w:sz w:val="24"/>
          <w:szCs w:val="24"/>
        </w:rPr>
        <w:t xml:space="preserve"> 2021). Flavonoids and phenols act as natural free radical scavengers, while saponins are reported to exhibit immunomodulatory and cholesterol-lowering effects and  membrane-stabilizati</w:t>
      </w:r>
      <w:r>
        <w:rPr>
          <w:rFonts w:ascii="Times New Roman" w:hAnsi="Times New Roman"/>
          <w:sz w:val="24"/>
          <w:szCs w:val="24"/>
        </w:rPr>
        <w:t>ng activities (Ghosh &amp; Das, 2022).</w:t>
      </w:r>
    </w:p>
    <w:p w:rsidR="00307CCA" w:rsidRDefault="00307CCA">
      <w:pPr>
        <w:spacing w:after="0" w:line="360" w:lineRule="auto"/>
        <w:jc w:val="both"/>
        <w:rPr>
          <w:rFonts w:ascii="Times New Roman" w:hAnsi="Times New Roman"/>
          <w:sz w:val="24"/>
          <w:szCs w:val="24"/>
        </w:rPr>
      </w:pPr>
    </w:p>
    <w:p w:rsidR="00307CCA" w:rsidRDefault="00B01760">
      <w:pPr>
        <w:spacing w:after="0" w:line="360" w:lineRule="auto"/>
        <w:jc w:val="both"/>
      </w:pPr>
      <w:r>
        <w:rPr>
          <w:rFonts w:ascii="Times New Roman" w:hAnsi="Times New Roman"/>
          <w:sz w:val="24"/>
          <w:szCs w:val="24"/>
        </w:rPr>
        <w:t>The moderate presence (“+”) of alkaloids, tannins, terpenoids, steroids, and cardiac glycosides indicates that these compounds are present in trace amounts but may still contribute synergistically to the extract’s pharma</w:t>
      </w:r>
      <w:r>
        <w:rPr>
          <w:rFonts w:ascii="Times New Roman" w:hAnsi="Times New Roman"/>
          <w:sz w:val="24"/>
          <w:szCs w:val="24"/>
        </w:rPr>
        <w:t xml:space="preserve">cological activity. Alkaloids are  responsible for physiological and therapeutic effects, which include anti-inflammatory, neuroprotective and analgesic properties (Singh </w:t>
      </w:r>
      <w:r>
        <w:rPr>
          <w:rFonts w:ascii="Times New Roman" w:hAnsi="Times New Roman"/>
          <w:i/>
          <w:iCs/>
          <w:sz w:val="24"/>
          <w:szCs w:val="24"/>
        </w:rPr>
        <w:t>et al</w:t>
      </w:r>
      <w:r>
        <w:rPr>
          <w:rFonts w:ascii="Times New Roman" w:hAnsi="Times New Roman"/>
          <w:sz w:val="24"/>
          <w:szCs w:val="24"/>
        </w:rPr>
        <w:t>., 2019). Tannins and terpenoids are known for their antimicrobial, wound-healin</w:t>
      </w:r>
      <w:r>
        <w:rPr>
          <w:rFonts w:ascii="Times New Roman" w:hAnsi="Times New Roman"/>
          <w:sz w:val="24"/>
          <w:szCs w:val="24"/>
        </w:rPr>
        <w:t xml:space="preserve">g  and antioxidant actions (Yadav </w:t>
      </w:r>
      <w:r>
        <w:rPr>
          <w:rFonts w:ascii="Times New Roman" w:hAnsi="Times New Roman"/>
          <w:i/>
          <w:iCs/>
          <w:sz w:val="24"/>
          <w:szCs w:val="24"/>
        </w:rPr>
        <w:t>et al.,</w:t>
      </w:r>
      <w:r>
        <w:rPr>
          <w:rFonts w:ascii="Times New Roman" w:hAnsi="Times New Roman"/>
          <w:sz w:val="24"/>
          <w:szCs w:val="24"/>
        </w:rPr>
        <w:t xml:space="preserve"> 2020), while the presence of cardiac glycosides and steroids supports the potential cardiovascular and hormonal benefits attributed to fenugreek (Olawale</w:t>
      </w:r>
      <w:r>
        <w:rPr>
          <w:rFonts w:ascii="Times New Roman" w:hAnsi="Times New Roman"/>
          <w:i/>
          <w:iCs/>
          <w:sz w:val="24"/>
          <w:szCs w:val="24"/>
        </w:rPr>
        <w:t xml:space="preserve"> et al</w:t>
      </w:r>
      <w:r>
        <w:rPr>
          <w:rFonts w:ascii="Times New Roman" w:hAnsi="Times New Roman"/>
          <w:sz w:val="24"/>
          <w:szCs w:val="24"/>
        </w:rPr>
        <w:t xml:space="preserve">., 2022). </w:t>
      </w:r>
      <w:r>
        <w:rPr>
          <w:rFonts w:ascii="Times New Roman" w:hAnsi="Times New Roman"/>
          <w:sz w:val="24"/>
          <w:szCs w:val="24"/>
        </w:rPr>
        <w:t>These findings is consistent with previous st</w:t>
      </w:r>
      <w:r>
        <w:rPr>
          <w:rFonts w:ascii="Times New Roman" w:hAnsi="Times New Roman"/>
          <w:sz w:val="24"/>
          <w:szCs w:val="24"/>
        </w:rPr>
        <w:t xml:space="preserve">udies </w:t>
      </w:r>
      <w:r>
        <w:rPr>
          <w:rFonts w:ascii="Times New Roman" w:hAnsi="Times New Roman"/>
          <w:sz w:val="24"/>
          <w:szCs w:val="24"/>
        </w:rPr>
        <w:lastRenderedPageBreak/>
        <w:t xml:space="preserve">that showed similar phytochemical profiles in fenugreek seeds (Patel </w:t>
      </w:r>
      <w:r>
        <w:rPr>
          <w:rFonts w:ascii="Times New Roman" w:hAnsi="Times New Roman"/>
          <w:i/>
          <w:iCs/>
          <w:sz w:val="24"/>
          <w:szCs w:val="24"/>
        </w:rPr>
        <w:t>et al</w:t>
      </w:r>
      <w:r>
        <w:rPr>
          <w:rFonts w:ascii="Times New Roman" w:hAnsi="Times New Roman"/>
          <w:sz w:val="24"/>
          <w:szCs w:val="24"/>
        </w:rPr>
        <w:t>., 2019; Kumar &amp; Gupta, 2020).</w:t>
      </w:r>
    </w:p>
    <w:p w:rsidR="00307CCA" w:rsidRDefault="00B01760">
      <w:pPr>
        <w:spacing w:after="0" w:line="360" w:lineRule="auto"/>
        <w:jc w:val="both"/>
        <w:rPr>
          <w:rFonts w:ascii="Times New Roman" w:hAnsi="Times New Roman"/>
          <w:sz w:val="24"/>
          <w:szCs w:val="24"/>
        </w:rPr>
      </w:pPr>
      <w:r>
        <w:t>The qualitative results confirm that Trigonella foenum-graecum seeds contain a wide spectrum of bioactive constituents, supporting its long-stand</w:t>
      </w:r>
      <w:r>
        <w:t>ing use in traditional medicine for managing oxidative stress, inflammation, and metabolic disorders.</w:t>
      </w:r>
    </w:p>
    <w:p w:rsidR="00307CCA" w:rsidRDefault="00307CCA">
      <w:pPr>
        <w:spacing w:after="0" w:line="360" w:lineRule="auto"/>
        <w:jc w:val="both"/>
        <w:rPr>
          <w:rFonts w:ascii="Times New Roman" w:hAnsi="Times New Roman"/>
          <w:b/>
          <w:bCs/>
          <w:sz w:val="24"/>
          <w:szCs w:val="24"/>
        </w:rPr>
      </w:pPr>
    </w:p>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3.2 Quantitative Phytochemical Composition</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The quantitative phytochemical co</w:t>
      </w:r>
      <w:r>
        <w:rPr>
          <w:rFonts w:ascii="Times New Roman" w:hAnsi="Times New Roman"/>
          <w:sz w:val="24"/>
          <w:szCs w:val="24"/>
        </w:rPr>
        <w:t xml:space="preserve">mpounds </w:t>
      </w:r>
      <w:r>
        <w:rPr>
          <w:rFonts w:ascii="Times New Roman" w:hAnsi="Times New Roman"/>
          <w:sz w:val="24"/>
          <w:szCs w:val="24"/>
        </w:rPr>
        <w:t>of the ethanolic extract</w:t>
      </w:r>
      <w:r>
        <w:rPr>
          <w:rFonts w:ascii="Times New Roman" w:hAnsi="Times New Roman"/>
          <w:sz w:val="24"/>
          <w:szCs w:val="24"/>
        </w:rPr>
        <w:t xml:space="preserve"> of  fenugreek seeds </w:t>
      </w:r>
      <w:r>
        <w:rPr>
          <w:rFonts w:ascii="Times New Roman" w:hAnsi="Times New Roman"/>
          <w:sz w:val="24"/>
          <w:szCs w:val="24"/>
        </w:rPr>
        <w:t>is presented in Table 2.</w:t>
      </w:r>
      <w:r>
        <w:rPr>
          <w:rFonts w:ascii="Times New Roman" w:hAnsi="Times New Roman"/>
          <w:sz w:val="24"/>
          <w:szCs w:val="24"/>
        </w:rPr>
        <w:t xml:space="preserve"> The concentrations of the various phytochemicals (mg/g dry weight) is in descending order:</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Flavonoids (5.51 ± 0.08) &gt; Phenols (4.61 ± 0.05) &gt; Saponins (3.26 ± 0.04) &gt; Alkaloids (1.94 ± 0.04) &gt; Tannins (1.19 ± 0.03) &gt; Terpenoids (0.95 ± 0.02) &gt; Cardiac gly</w:t>
      </w:r>
      <w:r>
        <w:rPr>
          <w:rFonts w:ascii="Times New Roman" w:hAnsi="Times New Roman"/>
          <w:sz w:val="24"/>
          <w:szCs w:val="24"/>
        </w:rPr>
        <w:t>cosides (0.25 ± 0.03) &gt; Steroids (0.18 ± 0.01).</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Statistical analysis showed significant differences (p &lt; 0.05) among the phytochemical groups. The relatively low standard deviations indicate the reliability and reproducibility of the triplicate determinati</w:t>
      </w:r>
      <w:r>
        <w:rPr>
          <w:rFonts w:ascii="Times New Roman" w:hAnsi="Times New Roman"/>
          <w:sz w:val="24"/>
          <w:szCs w:val="24"/>
        </w:rPr>
        <w:t>ons.</w:t>
      </w:r>
    </w:p>
    <w:p w:rsidR="00307CCA" w:rsidRDefault="00307CCA">
      <w:pPr>
        <w:spacing w:after="0" w:line="360" w:lineRule="auto"/>
        <w:jc w:val="both"/>
        <w:rPr>
          <w:rFonts w:ascii="Times New Roman" w:hAnsi="Times New Roman"/>
          <w:b/>
          <w:bCs/>
          <w:sz w:val="24"/>
          <w:szCs w:val="24"/>
        </w:rPr>
      </w:pPr>
    </w:p>
    <w:p w:rsidR="00307CCA" w:rsidRDefault="00B01760">
      <w:pPr>
        <w:spacing w:after="0" w:line="360" w:lineRule="auto"/>
        <w:jc w:val="both"/>
        <w:rPr>
          <w:rFonts w:ascii="Times New Roman" w:hAnsi="Times New Roman"/>
          <w:b/>
          <w:bCs/>
          <w:sz w:val="24"/>
          <w:szCs w:val="24"/>
        </w:rPr>
      </w:pPr>
      <w:r>
        <w:rPr>
          <w:rFonts w:ascii="Times New Roman" w:hAnsi="Times New Roman"/>
          <w:b/>
          <w:bCs/>
          <w:sz w:val="24"/>
          <w:szCs w:val="24"/>
        </w:rPr>
        <w:t>3.3 Discussion on Phytochemical Levels</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 xml:space="preserve">The high flavonoid and phenolic contents found in the ethanolic extract particularly significant because these compounds are naturally potent antioxidants that is capable of donating hydrogen atoms or electrons </w:t>
      </w:r>
      <w:r>
        <w:rPr>
          <w:rFonts w:ascii="Times New Roman" w:hAnsi="Times New Roman"/>
          <w:sz w:val="24"/>
          <w:szCs w:val="24"/>
        </w:rPr>
        <w:t xml:space="preserve">to neutralize reactive oxygen species (ROS) (Pisoschi &amp; Pop, 2015). Flavonoids are also known to exhibit metal-chelating and anti-inflammatory activities, which  supports the modulation of oxidative stress and inflammation in biological systems (Middleton </w:t>
      </w:r>
      <w:r>
        <w:rPr>
          <w:rFonts w:ascii="Times New Roman" w:hAnsi="Times New Roman"/>
          <w:i/>
          <w:iCs/>
          <w:sz w:val="24"/>
          <w:szCs w:val="24"/>
        </w:rPr>
        <w:t>et al</w:t>
      </w:r>
      <w:r>
        <w:rPr>
          <w:rFonts w:ascii="Times New Roman" w:hAnsi="Times New Roman"/>
          <w:sz w:val="24"/>
          <w:szCs w:val="24"/>
        </w:rPr>
        <w:t>., 2000).</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 xml:space="preserve">However, phenolic compounds act as reducing agents, free radical scavengers, and singlet oxygen quenchers (Shahidi &amp; Ambigaipalan, 2015). Their presence in large amounts in T. foenum-graecum may underlie the plant’s observed antioxidant and </w:t>
      </w:r>
      <w:r>
        <w:rPr>
          <w:rFonts w:ascii="Times New Roman" w:hAnsi="Times New Roman"/>
          <w:sz w:val="24"/>
          <w:szCs w:val="24"/>
        </w:rPr>
        <w:t xml:space="preserve">hepatoprotective potentials in other experimental models (Ahmad </w:t>
      </w:r>
      <w:r>
        <w:rPr>
          <w:rFonts w:ascii="Times New Roman" w:hAnsi="Times New Roman"/>
          <w:i/>
          <w:iCs/>
          <w:sz w:val="24"/>
          <w:szCs w:val="24"/>
        </w:rPr>
        <w:t>et al</w:t>
      </w:r>
      <w:r>
        <w:rPr>
          <w:rFonts w:ascii="Times New Roman" w:hAnsi="Times New Roman"/>
          <w:sz w:val="24"/>
          <w:szCs w:val="24"/>
        </w:rPr>
        <w:t>., 2020).</w:t>
      </w:r>
    </w:p>
    <w:p w:rsidR="00307CCA" w:rsidRDefault="00307CCA">
      <w:pPr>
        <w:spacing w:after="0" w:line="360" w:lineRule="auto"/>
        <w:jc w:val="both"/>
        <w:rPr>
          <w:rFonts w:ascii="Times New Roman" w:hAnsi="Times New Roman"/>
          <w:sz w:val="6"/>
          <w:szCs w:val="24"/>
        </w:rPr>
      </w:pP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Saponins were also detected in significant amount (3.26 ± 0.04 mg/g). These compounds are surface-active glycosides that contribute to the immune-modulatory and hypocholesterol</w:t>
      </w:r>
      <w:r>
        <w:rPr>
          <w:rFonts w:ascii="Times New Roman" w:hAnsi="Times New Roman"/>
          <w:sz w:val="24"/>
          <w:szCs w:val="24"/>
        </w:rPr>
        <w:t>emic properties of fenugreek seeds (Srinivasan, 2006). Saponins have also been linked to membrane-</w:t>
      </w:r>
      <w:r>
        <w:rPr>
          <w:rFonts w:ascii="Times New Roman" w:hAnsi="Times New Roman"/>
          <w:sz w:val="24"/>
          <w:szCs w:val="24"/>
        </w:rPr>
        <w:lastRenderedPageBreak/>
        <w:t>stabilizing and anti-inflammatory effects, which may be beneficial in attenuating tissue damage during inflammation.</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The presence of alkaloids (1.94 ± 0.04 mg</w:t>
      </w:r>
      <w:r>
        <w:rPr>
          <w:rFonts w:ascii="Times New Roman" w:hAnsi="Times New Roman"/>
          <w:sz w:val="24"/>
          <w:szCs w:val="24"/>
        </w:rPr>
        <w:t xml:space="preserve">/g) indicates potential pharmacological activity, as alkaloids are known to possess analgesic, anti-inflammatory, and antimicrobial properties (Tiwari </w:t>
      </w:r>
      <w:r>
        <w:rPr>
          <w:rFonts w:ascii="Times New Roman" w:hAnsi="Times New Roman"/>
          <w:i/>
          <w:iCs/>
          <w:sz w:val="24"/>
          <w:szCs w:val="24"/>
        </w:rPr>
        <w:t>et al.</w:t>
      </w:r>
      <w:r>
        <w:rPr>
          <w:rFonts w:ascii="Times New Roman" w:hAnsi="Times New Roman"/>
          <w:sz w:val="24"/>
          <w:szCs w:val="24"/>
        </w:rPr>
        <w:t>, 2011). Similarly, tannins, though present in moderate quantities (1.19 ± 0.03 mg/g), are astringe</w:t>
      </w:r>
      <w:r>
        <w:rPr>
          <w:rFonts w:ascii="Times New Roman" w:hAnsi="Times New Roman"/>
          <w:sz w:val="24"/>
          <w:szCs w:val="24"/>
        </w:rPr>
        <w:t>nt polyphenols that can complex with proteins and form protective barriers against oxidative damage.</w:t>
      </w:r>
    </w:p>
    <w:p w:rsidR="00307CCA" w:rsidRDefault="00307CCA">
      <w:pPr>
        <w:spacing w:after="0" w:line="360" w:lineRule="auto"/>
        <w:jc w:val="both"/>
        <w:rPr>
          <w:rFonts w:ascii="Times New Roman" w:hAnsi="Times New Roman"/>
          <w:sz w:val="6"/>
          <w:szCs w:val="24"/>
        </w:rPr>
      </w:pP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Steroids and terpenoids, though relatively low in concentration, are also significant because they serve as precursors for various hormones and exhibit st</w:t>
      </w:r>
      <w:r>
        <w:rPr>
          <w:rFonts w:ascii="Times New Roman" w:hAnsi="Times New Roman"/>
          <w:sz w:val="24"/>
          <w:szCs w:val="24"/>
        </w:rPr>
        <w:t>rong anti-inflammatory and cytotoxic properties (Ferguson, 1956). The presence of cardiac glycosides, even in trace amounts, indicates possible cardiotonic effects associated with T. foenum-graecum (Evans, 2002).</w:t>
      </w:r>
    </w:p>
    <w:p w:rsidR="00307CCA" w:rsidRDefault="00307CCA">
      <w:pPr>
        <w:spacing w:after="0" w:line="360" w:lineRule="auto"/>
        <w:jc w:val="both"/>
        <w:rPr>
          <w:rFonts w:ascii="Times New Roman" w:eastAsia="Calibri" w:hAnsi="Times New Roman"/>
          <w:b/>
          <w:bCs/>
          <w:sz w:val="24"/>
          <w:szCs w:val="24"/>
          <w:lang w:eastAsia="en-US"/>
        </w:rPr>
      </w:pPr>
    </w:p>
    <w:p w:rsidR="00307CCA" w:rsidRDefault="00307CCA">
      <w:pPr>
        <w:spacing w:after="0" w:line="360" w:lineRule="auto"/>
        <w:jc w:val="both"/>
        <w:rPr>
          <w:rFonts w:ascii="Times New Roman" w:eastAsia="Calibri" w:hAnsi="Times New Roman"/>
          <w:b/>
          <w:bCs/>
          <w:sz w:val="24"/>
          <w:szCs w:val="24"/>
          <w:lang w:eastAsia="en-US"/>
        </w:rPr>
      </w:pPr>
    </w:p>
    <w:p w:rsidR="00307CCA" w:rsidRDefault="00307CCA">
      <w:pPr>
        <w:spacing w:after="0" w:line="360" w:lineRule="auto"/>
        <w:jc w:val="both"/>
        <w:rPr>
          <w:rFonts w:ascii="Times New Roman" w:eastAsia="Calibri" w:hAnsi="Times New Roman"/>
          <w:b/>
          <w:bCs/>
          <w:sz w:val="24"/>
          <w:szCs w:val="24"/>
          <w:lang w:eastAsia="en-US"/>
        </w:rPr>
      </w:pPr>
    </w:p>
    <w:p w:rsidR="00307CCA" w:rsidRDefault="00307CCA">
      <w:pPr>
        <w:spacing w:after="0" w:line="360" w:lineRule="auto"/>
        <w:jc w:val="both"/>
        <w:rPr>
          <w:rFonts w:ascii="Times New Roman" w:eastAsia="Calibri" w:hAnsi="Times New Roman"/>
          <w:b/>
          <w:bCs/>
          <w:sz w:val="24"/>
          <w:szCs w:val="24"/>
          <w:lang w:eastAsia="en-US"/>
        </w:rPr>
      </w:pPr>
    </w:p>
    <w:p w:rsidR="00307CCA" w:rsidRDefault="00307CCA">
      <w:pPr>
        <w:spacing w:after="0" w:line="360" w:lineRule="auto"/>
        <w:jc w:val="both"/>
        <w:rPr>
          <w:rFonts w:ascii="Times New Roman" w:eastAsia="Calibri" w:hAnsi="Times New Roman"/>
          <w:b/>
          <w:bCs/>
          <w:sz w:val="24"/>
          <w:szCs w:val="24"/>
          <w:lang w:eastAsia="en-US"/>
        </w:rPr>
      </w:pPr>
    </w:p>
    <w:p w:rsidR="00307CCA" w:rsidRDefault="00307CCA">
      <w:pPr>
        <w:spacing w:after="0" w:line="360" w:lineRule="auto"/>
        <w:jc w:val="both"/>
        <w:rPr>
          <w:rFonts w:ascii="Times New Roman" w:eastAsia="Calibri" w:hAnsi="Times New Roman"/>
          <w:b/>
          <w:bCs/>
          <w:sz w:val="24"/>
          <w:szCs w:val="24"/>
          <w:lang w:eastAsia="en-US"/>
        </w:rPr>
      </w:pPr>
    </w:p>
    <w:p w:rsidR="00307CCA" w:rsidRDefault="00307CCA">
      <w:pPr>
        <w:spacing w:after="0" w:line="360" w:lineRule="auto"/>
        <w:jc w:val="both"/>
        <w:rPr>
          <w:rFonts w:ascii="Times New Roman" w:eastAsia="Calibri" w:hAnsi="Times New Roman"/>
          <w:b/>
          <w:bCs/>
          <w:sz w:val="24"/>
          <w:szCs w:val="24"/>
          <w:lang w:eastAsia="en-US"/>
        </w:rPr>
      </w:pPr>
    </w:p>
    <w:p w:rsidR="00307CCA" w:rsidRDefault="00307CCA">
      <w:pPr>
        <w:spacing w:after="0" w:line="360" w:lineRule="auto"/>
        <w:jc w:val="both"/>
        <w:rPr>
          <w:rFonts w:ascii="Times New Roman" w:eastAsia="Calibri" w:hAnsi="Times New Roman"/>
          <w:b/>
          <w:bCs/>
          <w:sz w:val="24"/>
          <w:szCs w:val="24"/>
          <w:lang w:eastAsia="en-US"/>
        </w:rPr>
      </w:pPr>
    </w:p>
    <w:p w:rsidR="00307CCA" w:rsidRDefault="00307CCA">
      <w:pPr>
        <w:spacing w:after="0" w:line="360" w:lineRule="auto"/>
        <w:jc w:val="both"/>
        <w:rPr>
          <w:rFonts w:ascii="Times New Roman" w:eastAsia="Calibri" w:hAnsi="Times New Roman"/>
          <w:b/>
          <w:bCs/>
          <w:sz w:val="24"/>
          <w:szCs w:val="24"/>
          <w:lang w:eastAsia="en-US"/>
        </w:rPr>
      </w:pPr>
    </w:p>
    <w:p w:rsidR="00307CCA" w:rsidRDefault="00307CCA">
      <w:pPr>
        <w:spacing w:after="0" w:line="360" w:lineRule="auto"/>
        <w:jc w:val="both"/>
        <w:rPr>
          <w:rFonts w:ascii="Times New Roman" w:eastAsia="Calibri" w:hAnsi="Times New Roman"/>
          <w:b/>
          <w:bCs/>
          <w:sz w:val="24"/>
          <w:szCs w:val="24"/>
          <w:lang w:eastAsia="en-US"/>
        </w:rPr>
      </w:pPr>
    </w:p>
    <w:p w:rsidR="00307CCA" w:rsidRDefault="00307CCA">
      <w:pPr>
        <w:spacing w:after="0" w:line="360" w:lineRule="auto"/>
        <w:jc w:val="both"/>
        <w:rPr>
          <w:rFonts w:ascii="Times New Roman" w:eastAsia="Calibri" w:hAnsi="Times New Roman"/>
          <w:b/>
          <w:bCs/>
          <w:sz w:val="24"/>
          <w:szCs w:val="24"/>
          <w:lang w:eastAsia="en-US"/>
        </w:rPr>
      </w:pPr>
    </w:p>
    <w:p w:rsidR="00307CCA" w:rsidRDefault="00B01760">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Table 3. Nitric Oxide (NO) Radic</w:t>
      </w:r>
      <w:r>
        <w:rPr>
          <w:rFonts w:ascii="Times New Roman" w:eastAsia="Calibri" w:hAnsi="Times New Roman"/>
          <w:b/>
          <w:bCs/>
          <w:sz w:val="24"/>
          <w:szCs w:val="24"/>
          <w:lang w:eastAsia="en-US"/>
        </w:rPr>
        <w:t>al Scavenging Activity</w:t>
      </w:r>
    </w:p>
    <w:tbl>
      <w:tblPr>
        <w:tblW w:w="0" w:type="auto"/>
        <w:tblLook w:val="04A0" w:firstRow="1" w:lastRow="0" w:firstColumn="1" w:lastColumn="0" w:noHBand="0" w:noVBand="1"/>
      </w:tblPr>
      <w:tblGrid>
        <w:gridCol w:w="1752"/>
        <w:gridCol w:w="2130"/>
        <w:gridCol w:w="2132"/>
      </w:tblGrid>
      <w:tr w:rsidR="00307CCA">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Concentration (µg/mL)</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eastAsia="Calibri" w:hAnsi="Times New Roman"/>
                <w:b/>
                <w:bCs/>
                <w:sz w:val="24"/>
                <w:szCs w:val="24"/>
                <w:lang w:eastAsia="en-US"/>
              </w:rPr>
            </w:pPr>
            <w:r>
              <w:rPr>
                <w:rFonts w:ascii="Times New Roman" w:eastAsia="Calibri" w:hAnsi="Times New Roman"/>
                <w:b/>
                <w:bCs/>
                <w:sz w:val="24"/>
                <w:szCs w:val="24"/>
                <w:lang w:eastAsia="en-US"/>
              </w:rPr>
              <w:t>Extract</w:t>
            </w:r>
          </w:p>
          <w:p w:rsidR="00307CCA" w:rsidRDefault="00B01760">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(%Inhibition, Mean ± SEM)</w:t>
            </w:r>
          </w:p>
        </w:tc>
        <w:tc>
          <w:tcPr>
            <w:tcW w:w="2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eastAsia="Calibri" w:hAnsi="Times New Roman"/>
                <w:b/>
                <w:bCs/>
                <w:sz w:val="24"/>
                <w:szCs w:val="24"/>
                <w:lang w:eastAsia="en-US"/>
              </w:rPr>
            </w:pPr>
            <w:r>
              <w:rPr>
                <w:rFonts w:ascii="Times New Roman" w:eastAsia="Calibri" w:hAnsi="Times New Roman"/>
                <w:b/>
                <w:bCs/>
                <w:sz w:val="24"/>
                <w:szCs w:val="24"/>
                <w:lang w:eastAsia="en-US"/>
              </w:rPr>
              <w:t>Vitamin C</w:t>
            </w:r>
          </w:p>
          <w:p w:rsidR="00307CCA" w:rsidRDefault="00B01760">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(%Inhibition, Mean ± SEM)</w:t>
            </w:r>
          </w:p>
        </w:tc>
      </w:tr>
      <w:tr w:rsidR="00307CCA">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50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10.31 ± 0.07</w:t>
            </w:r>
            <w:r>
              <w:rPr>
                <w:rFonts w:ascii="Times New Roman" w:eastAsia="Calibri" w:hAnsi="Times New Roman"/>
                <w:sz w:val="24"/>
                <w:szCs w:val="24"/>
                <w:vertAlign w:val="superscript"/>
                <w:lang w:eastAsia="en-US"/>
              </w:rPr>
              <w:t>d</w:t>
            </w:r>
          </w:p>
        </w:tc>
        <w:tc>
          <w:tcPr>
            <w:tcW w:w="2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21.24 ± 0.54</w:t>
            </w:r>
            <w:r>
              <w:rPr>
                <w:rFonts w:ascii="Times New Roman" w:eastAsia="Calibri" w:hAnsi="Times New Roman"/>
                <w:sz w:val="24"/>
                <w:szCs w:val="24"/>
                <w:vertAlign w:val="superscript"/>
                <w:lang w:eastAsia="en-US"/>
              </w:rPr>
              <w:t>c</w:t>
            </w:r>
            <w:r>
              <w:rPr>
                <w:rFonts w:ascii="Times New Roman" w:eastAsia="Calibri" w:hAnsi="Times New Roman"/>
                <w:sz w:val="24"/>
                <w:szCs w:val="24"/>
                <w:lang w:eastAsia="en-US"/>
              </w:rPr>
              <w:t xml:space="preserve"> </w:t>
            </w:r>
          </w:p>
        </w:tc>
      </w:tr>
      <w:tr w:rsidR="00307CCA">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100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20.06 ± 0.07</w:t>
            </w:r>
            <w:r>
              <w:rPr>
                <w:rFonts w:ascii="Times New Roman" w:eastAsia="Calibri" w:hAnsi="Times New Roman"/>
                <w:sz w:val="24"/>
                <w:szCs w:val="24"/>
                <w:vertAlign w:val="superscript"/>
                <w:lang w:eastAsia="en-US"/>
              </w:rPr>
              <w:t xml:space="preserve">c </w:t>
            </w:r>
          </w:p>
        </w:tc>
        <w:tc>
          <w:tcPr>
            <w:tcW w:w="2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36.43 ± 0.51</w:t>
            </w:r>
            <w:r>
              <w:rPr>
                <w:rFonts w:ascii="Times New Roman" w:eastAsia="Calibri" w:hAnsi="Times New Roman"/>
                <w:sz w:val="24"/>
                <w:szCs w:val="24"/>
                <w:vertAlign w:val="superscript"/>
                <w:lang w:eastAsia="en-US"/>
              </w:rPr>
              <w:t>b</w:t>
            </w:r>
          </w:p>
        </w:tc>
      </w:tr>
      <w:tr w:rsidR="00307CCA">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200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39.90 ± 0.22</w:t>
            </w:r>
            <w:r>
              <w:rPr>
                <w:rFonts w:ascii="Times New Roman" w:eastAsia="Calibri" w:hAnsi="Times New Roman"/>
                <w:sz w:val="24"/>
                <w:szCs w:val="24"/>
                <w:vertAlign w:val="superscript"/>
                <w:lang w:eastAsia="en-US"/>
              </w:rPr>
              <w:t>b</w:t>
            </w:r>
          </w:p>
        </w:tc>
        <w:tc>
          <w:tcPr>
            <w:tcW w:w="2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60.34 ± 0.35</w:t>
            </w:r>
            <w:r>
              <w:rPr>
                <w:rFonts w:ascii="Times New Roman" w:eastAsia="Calibri" w:hAnsi="Times New Roman"/>
                <w:sz w:val="24"/>
                <w:szCs w:val="24"/>
                <w:vertAlign w:val="superscript"/>
                <w:lang w:eastAsia="en-US"/>
              </w:rPr>
              <w:t>a</w:t>
            </w:r>
          </w:p>
        </w:tc>
      </w:tr>
      <w:tr w:rsidR="00307CCA">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400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52.43 ± 0.20</w:t>
            </w:r>
            <w:r>
              <w:rPr>
                <w:rFonts w:ascii="Times New Roman" w:eastAsia="Calibri" w:hAnsi="Times New Roman"/>
                <w:sz w:val="24"/>
                <w:szCs w:val="24"/>
                <w:vertAlign w:val="superscript"/>
                <w:lang w:eastAsia="en-US"/>
              </w:rPr>
              <w:t>a</w:t>
            </w:r>
          </w:p>
        </w:tc>
        <w:tc>
          <w:tcPr>
            <w:tcW w:w="2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70.78 ± 0.25</w:t>
            </w:r>
            <w:r>
              <w:rPr>
                <w:rFonts w:ascii="Times New Roman" w:eastAsia="Calibri" w:hAnsi="Times New Roman"/>
                <w:sz w:val="24"/>
                <w:szCs w:val="24"/>
                <w:vertAlign w:val="superscript"/>
                <w:lang w:eastAsia="en-US"/>
              </w:rPr>
              <w:t>a</w:t>
            </w:r>
          </w:p>
        </w:tc>
      </w:tr>
      <w:tr w:rsidR="00307CCA">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lastRenderedPageBreak/>
              <w:t>800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61.58 ± 0.11</w:t>
            </w:r>
            <w:r>
              <w:rPr>
                <w:rFonts w:ascii="Times New Roman" w:eastAsia="Calibri" w:hAnsi="Times New Roman"/>
                <w:sz w:val="24"/>
                <w:szCs w:val="24"/>
                <w:vertAlign w:val="superscript"/>
                <w:lang w:eastAsia="en-US"/>
              </w:rPr>
              <w:t>a</w:t>
            </w:r>
          </w:p>
        </w:tc>
        <w:tc>
          <w:tcPr>
            <w:tcW w:w="2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78.94 ± 0.75</w:t>
            </w:r>
            <w:r>
              <w:rPr>
                <w:rFonts w:ascii="Times New Roman" w:eastAsia="Calibri" w:hAnsi="Times New Roman"/>
                <w:sz w:val="24"/>
                <w:szCs w:val="24"/>
                <w:vertAlign w:val="superscript"/>
                <w:lang w:eastAsia="en-US"/>
              </w:rPr>
              <w:t>a</w:t>
            </w:r>
          </w:p>
        </w:tc>
      </w:tr>
      <w:tr w:rsidR="00307CCA">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IC</w:t>
            </w:r>
            <w:r>
              <w:rPr>
                <w:rFonts w:ascii="Times New Roman" w:hAnsi="Times New Roman"/>
                <w:b/>
                <w:bCs/>
                <w:sz w:val="24"/>
                <w:szCs w:val="24"/>
                <w:vertAlign w:val="subscript"/>
              </w:rPr>
              <w:t>50</w:t>
            </w:r>
            <w:r>
              <w:rPr>
                <w:rFonts w:ascii="Times New Roman" w:hAnsi="Times New Roman"/>
                <w:b/>
                <w:bCs/>
                <w:sz w:val="24"/>
                <w:szCs w:val="24"/>
              </w:rPr>
              <w:t xml:space="preserve"> (µg/mL)</w:t>
            </w:r>
            <w:r>
              <w:rPr>
                <w:rFonts w:ascii="Times New Roman" w:hAnsi="Times New Roman"/>
                <w:sz w:val="24"/>
                <w:szCs w:val="24"/>
              </w:rPr>
              <w:t xml:space="preserve"> </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b/>
                <w:bCs/>
                <w:sz w:val="24"/>
                <w:szCs w:val="24"/>
              </w:rPr>
            </w:pPr>
            <w:r>
              <w:rPr>
                <w:rFonts w:ascii="Times New Roman" w:hAnsi="Times New Roman"/>
                <w:b/>
                <w:bCs/>
                <w:sz w:val="24"/>
                <w:szCs w:val="24"/>
              </w:rPr>
              <w:t>361.21</w:t>
            </w:r>
          </w:p>
        </w:tc>
        <w:tc>
          <w:tcPr>
            <w:tcW w:w="2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b/>
                <w:bCs/>
                <w:sz w:val="24"/>
                <w:szCs w:val="24"/>
              </w:rPr>
            </w:pPr>
            <w:r>
              <w:rPr>
                <w:rFonts w:ascii="Times New Roman" w:hAnsi="Times New Roman"/>
                <w:b/>
                <w:bCs/>
                <w:sz w:val="24"/>
                <w:szCs w:val="24"/>
              </w:rPr>
              <w:t>156.75</w:t>
            </w:r>
          </w:p>
        </w:tc>
      </w:tr>
    </w:tbl>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 xml:space="preserve">Values represent mean ± SEM (n = 3). Different superscript letters (a–d) within the same column indicate significant differences (p &lt; 0.05) </w:t>
      </w:r>
    </w:p>
    <w:p w:rsidR="00307CCA" w:rsidRDefault="00307CCA">
      <w:pPr>
        <w:spacing w:after="0" w:line="360" w:lineRule="auto"/>
        <w:jc w:val="both"/>
        <w:rPr>
          <w:rFonts w:ascii="Times New Roman" w:hAnsi="Times New Roman"/>
          <w:sz w:val="24"/>
          <w:szCs w:val="24"/>
        </w:rPr>
      </w:pPr>
    </w:p>
    <w:p w:rsidR="00307CCA" w:rsidRDefault="00B01760">
      <w:pPr>
        <w:spacing w:line="360" w:lineRule="auto"/>
        <w:jc w:val="both"/>
        <w:rPr>
          <w:rFonts w:ascii="Times New Roman" w:hAnsi="Times New Roman"/>
          <w:b/>
          <w:bCs/>
          <w:sz w:val="24"/>
          <w:szCs w:val="24"/>
        </w:rPr>
      </w:pPr>
      <w:r>
        <w:rPr>
          <w:b/>
          <w:bCs/>
          <w:sz w:val="24"/>
          <w:szCs w:val="24"/>
        </w:rPr>
        <w:t>3.4 Nitric Oxide (NO) Radical Scavenging Activity</w:t>
      </w:r>
    </w:p>
    <w:p w:rsidR="00307CCA" w:rsidRDefault="00B01760">
      <w:pPr>
        <w:spacing w:line="360" w:lineRule="auto"/>
        <w:jc w:val="both"/>
        <w:rPr>
          <w:rFonts w:ascii="Times New Roman" w:hAnsi="Times New Roman"/>
          <w:sz w:val="24"/>
          <w:szCs w:val="24"/>
        </w:rPr>
      </w:pPr>
      <w:r>
        <w:rPr>
          <w:sz w:val="24"/>
          <w:szCs w:val="24"/>
        </w:rPr>
        <w:t xml:space="preserve">Nitric oxide is a reactive nitrogen species that, at high concentrations, contributes to oxidative and inflammatory injury in biological systems (Lobo </w:t>
      </w:r>
      <w:r>
        <w:rPr>
          <w:i/>
          <w:iCs/>
          <w:sz w:val="24"/>
          <w:szCs w:val="24"/>
        </w:rPr>
        <w:t>et al.</w:t>
      </w:r>
      <w:r>
        <w:rPr>
          <w:sz w:val="24"/>
          <w:szCs w:val="24"/>
        </w:rPr>
        <w:t xml:space="preserve">, 2010). The nitric oxide (NO) radical scavenging assay was carried out to evaluate the ability of </w:t>
      </w:r>
      <w:r>
        <w:rPr>
          <w:sz w:val="24"/>
          <w:szCs w:val="24"/>
        </w:rPr>
        <w:t xml:space="preserve">the ethanolic extract of </w:t>
      </w:r>
      <w:r>
        <w:rPr>
          <w:i/>
          <w:iCs/>
          <w:sz w:val="24"/>
          <w:szCs w:val="24"/>
        </w:rPr>
        <w:t xml:space="preserve">Trigonella foenum-graecum </w:t>
      </w:r>
      <w:r>
        <w:rPr>
          <w:sz w:val="24"/>
          <w:szCs w:val="24"/>
        </w:rPr>
        <w:t xml:space="preserve">seed to inhibit or neutralize nitric oxide radicals. </w:t>
      </w:r>
    </w:p>
    <w:p w:rsidR="00307CCA" w:rsidRDefault="00B01760">
      <w:pPr>
        <w:spacing w:line="360" w:lineRule="auto"/>
        <w:jc w:val="both"/>
        <w:rPr>
          <w:rFonts w:ascii="Times New Roman" w:hAnsi="Times New Roman"/>
          <w:sz w:val="24"/>
          <w:szCs w:val="24"/>
        </w:rPr>
      </w:pPr>
      <w:r>
        <w:rPr>
          <w:sz w:val="24"/>
          <w:szCs w:val="24"/>
        </w:rPr>
        <w:t xml:space="preserve">In this results, the extract showed an increase concentration-dependent in NO scavenging activity, which indicates the presence of bioactive compounds </w:t>
      </w:r>
      <w:r>
        <w:rPr>
          <w:sz w:val="24"/>
          <w:szCs w:val="24"/>
        </w:rPr>
        <w:t>capable of scavenging reactive species. The extract demonstrated moderate inhibition of 10.31 ± 0.07% at 50 µg/mL, which increased progressively to 61.58 ± 0.11% at 800 µg/mL. This progessive increase suggests that higher concentrations of the extract enha</w:t>
      </w:r>
      <w:r>
        <w:rPr>
          <w:sz w:val="24"/>
          <w:szCs w:val="24"/>
        </w:rPr>
        <w:t>nce its capacity to scavenge nitric oxide radicals, possibly as a result of the combined antioxidant effects of phenolic compounds, flavonoids, and saponins.</w:t>
      </w:r>
    </w:p>
    <w:p w:rsidR="00307CCA" w:rsidRDefault="00B01760">
      <w:pPr>
        <w:spacing w:line="360" w:lineRule="auto"/>
        <w:jc w:val="both"/>
        <w:rPr>
          <w:rFonts w:ascii="Times New Roman" w:hAnsi="Times New Roman"/>
          <w:sz w:val="24"/>
          <w:szCs w:val="24"/>
        </w:rPr>
      </w:pPr>
      <w:r>
        <w:rPr>
          <w:sz w:val="24"/>
          <w:szCs w:val="24"/>
        </w:rPr>
        <w:t>While Vitamin C comparably showed significant increase in scavenging activity at all tested concen</w:t>
      </w:r>
      <w:r>
        <w:rPr>
          <w:sz w:val="24"/>
          <w:szCs w:val="24"/>
        </w:rPr>
        <w:t>trations (21.24 ± 0.54% to 78.94 ± 0.75%), which confirms its strong radical-quenching potential. The calculated IC₅₀ values for the extract were 361.21 µg/mL and for Vitamin C 156.75µg/mL, suggesting that the extract possesses moderate but effective antio</w:t>
      </w:r>
      <w:r>
        <w:rPr>
          <w:sz w:val="24"/>
          <w:szCs w:val="24"/>
        </w:rPr>
        <w:t>xidant activity. Therefore for the extract to achieve more than 50% inhibition at higher concentrations highlights its biologically relevant antioxidative capacity.</w:t>
      </w:r>
    </w:p>
    <w:p w:rsidR="00307CCA" w:rsidRDefault="00B01760">
      <w:pPr>
        <w:spacing w:line="360" w:lineRule="auto"/>
        <w:jc w:val="both"/>
        <w:rPr>
          <w:rFonts w:ascii="Times New Roman" w:hAnsi="Times New Roman"/>
          <w:sz w:val="24"/>
          <w:szCs w:val="24"/>
        </w:rPr>
      </w:pPr>
      <w:r>
        <w:rPr>
          <w:sz w:val="24"/>
          <w:szCs w:val="24"/>
        </w:rPr>
        <w:t>These results agree with the findings of previous studies of Kaviarasan</w:t>
      </w:r>
      <w:r>
        <w:rPr>
          <w:i/>
          <w:iCs/>
          <w:sz w:val="24"/>
          <w:szCs w:val="24"/>
        </w:rPr>
        <w:t xml:space="preserve"> et al.</w:t>
      </w:r>
      <w:r>
        <w:rPr>
          <w:sz w:val="24"/>
          <w:szCs w:val="24"/>
        </w:rPr>
        <w:t xml:space="preserve"> (2007). They</w:t>
      </w:r>
      <w:r>
        <w:rPr>
          <w:sz w:val="24"/>
          <w:szCs w:val="24"/>
        </w:rPr>
        <w:t xml:space="preserve"> reported that ethanolic extracts of </w:t>
      </w:r>
      <w:r>
        <w:rPr>
          <w:i/>
          <w:iCs/>
          <w:sz w:val="24"/>
          <w:szCs w:val="24"/>
        </w:rPr>
        <w:t>Trigonella foenum-graecum</w:t>
      </w:r>
      <w:r>
        <w:rPr>
          <w:sz w:val="24"/>
          <w:szCs w:val="24"/>
        </w:rPr>
        <w:t xml:space="preserve"> seeds inhibit nitric oxide production in a dose-dependent manner due to  polyphenols and flavonoids presence. The same applies to Devi </w:t>
      </w:r>
      <w:r>
        <w:rPr>
          <w:i/>
          <w:iCs/>
          <w:sz w:val="24"/>
          <w:szCs w:val="24"/>
        </w:rPr>
        <w:t>et al.</w:t>
      </w:r>
      <w:r>
        <w:rPr>
          <w:sz w:val="24"/>
          <w:szCs w:val="24"/>
        </w:rPr>
        <w:t xml:space="preserve"> (2016) and Sowmya and Rajyalakshmi (1999) observed </w:t>
      </w:r>
      <w:r>
        <w:rPr>
          <w:sz w:val="24"/>
          <w:szCs w:val="24"/>
        </w:rPr>
        <w:t xml:space="preserve">comparable results, attributing the activity to phenolic antioxidants and alkaloids in fenugreek seeds. The </w:t>
      </w:r>
      <w:r>
        <w:rPr>
          <w:sz w:val="24"/>
          <w:szCs w:val="24"/>
        </w:rPr>
        <w:lastRenderedPageBreak/>
        <w:t>flavonoids identified in fenugreek, such as quercetin and orientin, are known to act as effective metal chelators and nitric oxide scavengers (Dixit</w:t>
      </w:r>
      <w:r>
        <w:rPr>
          <w:sz w:val="24"/>
          <w:szCs w:val="24"/>
        </w:rPr>
        <w:t xml:space="preserve"> </w:t>
      </w:r>
      <w:r>
        <w:rPr>
          <w:i/>
          <w:iCs/>
          <w:sz w:val="24"/>
          <w:szCs w:val="24"/>
        </w:rPr>
        <w:t>et al</w:t>
      </w:r>
      <w:r>
        <w:rPr>
          <w:sz w:val="24"/>
          <w:szCs w:val="24"/>
        </w:rPr>
        <w:t>., 2005).</w:t>
      </w:r>
    </w:p>
    <w:p w:rsidR="00307CCA" w:rsidRDefault="00B01760">
      <w:pPr>
        <w:spacing w:line="360" w:lineRule="auto"/>
        <w:jc w:val="both"/>
        <w:rPr>
          <w:rFonts w:ascii="Times New Roman" w:hAnsi="Times New Roman"/>
          <w:sz w:val="24"/>
          <w:szCs w:val="24"/>
        </w:rPr>
      </w:pPr>
      <w:r>
        <w:rPr>
          <w:sz w:val="24"/>
          <w:szCs w:val="24"/>
        </w:rPr>
        <w:t>Nitric oxide plays a dual role in physiological systems—it is beneficial at normal levels but becomes harmful when overproduced, as it reacts with superoxide radicals to form peroxynitrite, a highly reactive oxidant (Halliwell &amp; Gutteridge,</w:t>
      </w:r>
      <w:r>
        <w:rPr>
          <w:sz w:val="24"/>
          <w:szCs w:val="24"/>
        </w:rPr>
        <w:t xml:space="preserve"> 2015). Therefore, the reduction of nitric oxide by the fenugreek extract suggests a potential protective effect against oxidative stress–related conditions such as hypothyroidism, cardiovascular disorders, and diabetes.</w:t>
      </w:r>
    </w:p>
    <w:p w:rsidR="00307CCA" w:rsidRDefault="00307CCA">
      <w:pPr>
        <w:rPr>
          <w:rFonts w:ascii="Times New Roman" w:hAnsi="Times New Roman"/>
          <w:sz w:val="24"/>
          <w:szCs w:val="24"/>
        </w:rPr>
      </w:pPr>
    </w:p>
    <w:p w:rsidR="00307CCA" w:rsidRDefault="00307CCA">
      <w:pPr>
        <w:spacing w:after="0" w:line="360" w:lineRule="auto"/>
        <w:jc w:val="both"/>
        <w:rPr>
          <w:rFonts w:ascii="Times New Roman" w:eastAsia="Calibri" w:hAnsi="Times New Roman"/>
          <w:b/>
          <w:bCs/>
          <w:sz w:val="24"/>
          <w:szCs w:val="24"/>
          <w:lang w:eastAsia="en-US"/>
        </w:rPr>
      </w:pPr>
    </w:p>
    <w:p w:rsidR="00307CCA" w:rsidRDefault="00307CCA">
      <w:pPr>
        <w:spacing w:after="0" w:line="360" w:lineRule="auto"/>
        <w:jc w:val="both"/>
        <w:rPr>
          <w:rFonts w:ascii="Times New Roman" w:eastAsia="Calibri" w:hAnsi="Times New Roman"/>
          <w:b/>
          <w:bCs/>
          <w:sz w:val="24"/>
          <w:szCs w:val="24"/>
          <w:lang w:eastAsia="en-US"/>
        </w:rPr>
      </w:pPr>
    </w:p>
    <w:p w:rsidR="00307CCA" w:rsidRDefault="00307CCA">
      <w:pPr>
        <w:spacing w:after="0" w:line="360" w:lineRule="auto"/>
        <w:jc w:val="both"/>
        <w:rPr>
          <w:rFonts w:ascii="Times New Roman" w:eastAsia="Calibri" w:hAnsi="Times New Roman"/>
          <w:b/>
          <w:bCs/>
          <w:sz w:val="24"/>
          <w:szCs w:val="24"/>
          <w:lang w:eastAsia="en-US"/>
        </w:rPr>
      </w:pPr>
    </w:p>
    <w:p w:rsidR="00307CCA" w:rsidRDefault="00307CCA">
      <w:pPr>
        <w:spacing w:after="0" w:line="360" w:lineRule="auto"/>
        <w:jc w:val="both"/>
        <w:rPr>
          <w:rFonts w:ascii="Times New Roman" w:eastAsia="Calibri" w:hAnsi="Times New Roman"/>
          <w:b/>
          <w:bCs/>
          <w:sz w:val="24"/>
          <w:szCs w:val="24"/>
          <w:lang w:eastAsia="en-US"/>
        </w:rPr>
      </w:pPr>
    </w:p>
    <w:p w:rsidR="00307CCA" w:rsidRDefault="00307CCA">
      <w:pPr>
        <w:spacing w:after="0" w:line="360" w:lineRule="auto"/>
        <w:jc w:val="both"/>
        <w:rPr>
          <w:rFonts w:ascii="Times New Roman" w:eastAsia="Calibri" w:hAnsi="Times New Roman"/>
          <w:b/>
          <w:bCs/>
          <w:sz w:val="24"/>
          <w:szCs w:val="24"/>
          <w:lang w:eastAsia="en-US"/>
        </w:rPr>
      </w:pPr>
    </w:p>
    <w:p w:rsidR="00307CCA" w:rsidRDefault="00307CCA">
      <w:pPr>
        <w:spacing w:after="0" w:line="360" w:lineRule="auto"/>
        <w:jc w:val="both"/>
        <w:rPr>
          <w:rFonts w:ascii="Times New Roman" w:eastAsia="Calibri" w:hAnsi="Times New Roman"/>
          <w:b/>
          <w:bCs/>
          <w:sz w:val="24"/>
          <w:szCs w:val="24"/>
          <w:lang w:eastAsia="en-US"/>
        </w:rPr>
      </w:pPr>
    </w:p>
    <w:p w:rsidR="00307CCA" w:rsidRDefault="00307CCA">
      <w:pPr>
        <w:spacing w:after="0" w:line="360" w:lineRule="auto"/>
        <w:jc w:val="both"/>
        <w:rPr>
          <w:rFonts w:ascii="Times New Roman" w:eastAsia="Calibri" w:hAnsi="Times New Roman"/>
          <w:b/>
          <w:bCs/>
          <w:sz w:val="24"/>
          <w:szCs w:val="24"/>
          <w:lang w:eastAsia="en-US"/>
        </w:rPr>
      </w:pPr>
    </w:p>
    <w:p w:rsidR="00307CCA" w:rsidRDefault="00307CCA">
      <w:pPr>
        <w:spacing w:after="0" w:line="360" w:lineRule="auto"/>
        <w:jc w:val="both"/>
        <w:rPr>
          <w:rFonts w:ascii="Times New Roman" w:eastAsia="Calibri" w:hAnsi="Times New Roman"/>
          <w:b/>
          <w:bCs/>
          <w:sz w:val="24"/>
          <w:szCs w:val="24"/>
          <w:lang w:eastAsia="en-US"/>
        </w:rPr>
      </w:pPr>
    </w:p>
    <w:p w:rsidR="00307CCA" w:rsidRDefault="00307CCA">
      <w:pPr>
        <w:spacing w:after="0" w:line="360" w:lineRule="auto"/>
        <w:jc w:val="both"/>
        <w:rPr>
          <w:rFonts w:ascii="Times New Roman" w:eastAsia="Calibri" w:hAnsi="Times New Roman"/>
          <w:b/>
          <w:bCs/>
          <w:sz w:val="24"/>
          <w:szCs w:val="24"/>
          <w:lang w:eastAsia="en-US"/>
        </w:rPr>
      </w:pPr>
    </w:p>
    <w:p w:rsidR="00307CCA" w:rsidRDefault="00B01760">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 xml:space="preserve">Table 4. DPPH Radical </w:t>
      </w:r>
      <w:r>
        <w:rPr>
          <w:rFonts w:ascii="Times New Roman" w:eastAsia="Calibri" w:hAnsi="Times New Roman"/>
          <w:b/>
          <w:bCs/>
          <w:sz w:val="24"/>
          <w:szCs w:val="24"/>
          <w:lang w:eastAsia="en-US"/>
        </w:rPr>
        <w:t>Scavenging Activity</w:t>
      </w:r>
    </w:p>
    <w:tbl>
      <w:tblPr>
        <w:tblW w:w="0" w:type="auto"/>
        <w:tblLook w:val="04A0" w:firstRow="1" w:lastRow="0" w:firstColumn="1" w:lastColumn="0" w:noHBand="0" w:noVBand="1"/>
      </w:tblPr>
      <w:tblGrid>
        <w:gridCol w:w="1752"/>
        <w:gridCol w:w="2173"/>
        <w:gridCol w:w="2061"/>
      </w:tblGrid>
      <w:tr w:rsidR="00307CCA">
        <w:trPr>
          <w:trHeight w:val="910"/>
        </w:trPr>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240" w:lineRule="auto"/>
              <w:jc w:val="both"/>
              <w:rPr>
                <w:rFonts w:ascii="Times New Roman" w:hAnsi="Times New Roman"/>
                <w:sz w:val="24"/>
                <w:szCs w:val="24"/>
              </w:rPr>
            </w:pPr>
            <w:r>
              <w:rPr>
                <w:rFonts w:ascii="Times New Roman" w:eastAsia="Calibri" w:hAnsi="Times New Roman"/>
                <w:b/>
                <w:bCs/>
                <w:sz w:val="24"/>
                <w:szCs w:val="24"/>
                <w:lang w:eastAsia="en-US"/>
              </w:rPr>
              <w:t>Concentration (µg/mL)</w:t>
            </w:r>
          </w:p>
        </w:tc>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240" w:lineRule="auto"/>
              <w:jc w:val="both"/>
              <w:rPr>
                <w:rFonts w:ascii="Times New Roman" w:hAnsi="Times New Roman"/>
                <w:sz w:val="24"/>
                <w:szCs w:val="24"/>
              </w:rPr>
            </w:pPr>
            <w:r>
              <w:rPr>
                <w:rFonts w:ascii="Times New Roman" w:eastAsia="Calibri" w:hAnsi="Times New Roman"/>
                <w:b/>
                <w:bCs/>
                <w:sz w:val="24"/>
                <w:szCs w:val="24"/>
                <w:lang w:eastAsia="en-US"/>
              </w:rPr>
              <w:t>Extract (%Inhibition, Mean ± SEM)</w:t>
            </w:r>
          </w:p>
        </w:tc>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240" w:lineRule="auto"/>
              <w:rPr>
                <w:rFonts w:ascii="Times New Roman" w:hAnsi="Times New Roman"/>
                <w:sz w:val="24"/>
                <w:szCs w:val="24"/>
              </w:rPr>
            </w:pPr>
            <w:r>
              <w:rPr>
                <w:rFonts w:ascii="Times New Roman" w:eastAsia="Calibri" w:hAnsi="Times New Roman"/>
                <w:b/>
                <w:bCs/>
                <w:sz w:val="24"/>
                <w:szCs w:val="24"/>
                <w:lang w:eastAsia="en-US"/>
              </w:rPr>
              <w:t>Vitamin C (%Inhibition, Mean ± SEM)</w:t>
            </w:r>
          </w:p>
        </w:tc>
      </w:tr>
      <w:tr w:rsidR="00307CCA">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t>50</w:t>
            </w:r>
          </w:p>
        </w:tc>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18.56 ± 0.12</w:t>
            </w:r>
            <w:r>
              <w:rPr>
                <w:rFonts w:ascii="Times New Roman" w:eastAsia="Calibri" w:hAnsi="Times New Roman"/>
                <w:sz w:val="24"/>
                <w:szCs w:val="24"/>
                <w:vertAlign w:val="superscript"/>
                <w:lang w:eastAsia="en-US"/>
              </w:rPr>
              <w:t>e</w:t>
            </w:r>
          </w:p>
        </w:tc>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30.93 ± 0.32</w:t>
            </w:r>
            <w:r>
              <w:rPr>
                <w:rFonts w:ascii="Times New Roman" w:eastAsia="Calibri" w:hAnsi="Times New Roman"/>
                <w:sz w:val="24"/>
                <w:szCs w:val="24"/>
                <w:vertAlign w:val="superscript"/>
                <w:lang w:eastAsia="en-US"/>
              </w:rPr>
              <w:t>d</w:t>
            </w:r>
          </w:p>
        </w:tc>
      </w:tr>
      <w:tr w:rsidR="00307CCA">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100</w:t>
            </w:r>
          </w:p>
        </w:tc>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27.74 ± 0.09</w:t>
            </w:r>
            <w:r>
              <w:rPr>
                <w:rFonts w:ascii="Times New Roman" w:eastAsia="Calibri" w:hAnsi="Times New Roman"/>
                <w:sz w:val="24"/>
                <w:szCs w:val="24"/>
                <w:vertAlign w:val="superscript"/>
                <w:lang w:eastAsia="en-US"/>
              </w:rPr>
              <w:t>d</w:t>
            </w:r>
          </w:p>
        </w:tc>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49.81 ± 0.07</w:t>
            </w:r>
            <w:r>
              <w:rPr>
                <w:rFonts w:ascii="Times New Roman" w:eastAsia="Calibri" w:hAnsi="Times New Roman"/>
                <w:sz w:val="24"/>
                <w:szCs w:val="24"/>
                <w:vertAlign w:val="superscript"/>
                <w:lang w:eastAsia="en-US"/>
              </w:rPr>
              <w:t>c</w:t>
            </w:r>
          </w:p>
        </w:tc>
      </w:tr>
      <w:tr w:rsidR="00307CCA">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200</w:t>
            </w:r>
          </w:p>
        </w:tc>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40.13 ± 0.15</w:t>
            </w:r>
            <w:r>
              <w:rPr>
                <w:rFonts w:ascii="Times New Roman" w:eastAsia="Calibri" w:hAnsi="Times New Roman"/>
                <w:sz w:val="24"/>
                <w:szCs w:val="24"/>
                <w:vertAlign w:val="superscript"/>
                <w:lang w:eastAsia="en-US"/>
              </w:rPr>
              <w:t>c</w:t>
            </w:r>
          </w:p>
        </w:tc>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61.37 ± 0.09</w:t>
            </w:r>
            <w:r>
              <w:rPr>
                <w:rFonts w:ascii="Times New Roman" w:eastAsia="Calibri" w:hAnsi="Times New Roman"/>
                <w:sz w:val="24"/>
                <w:szCs w:val="24"/>
                <w:vertAlign w:val="superscript"/>
                <w:lang w:eastAsia="en-US"/>
              </w:rPr>
              <w:t>b</w:t>
            </w:r>
          </w:p>
        </w:tc>
      </w:tr>
      <w:tr w:rsidR="00307CCA">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400</w:t>
            </w:r>
          </w:p>
        </w:tc>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55.98 ± 0.33</w:t>
            </w:r>
            <w:r>
              <w:rPr>
                <w:rFonts w:ascii="Times New Roman" w:eastAsia="Calibri" w:hAnsi="Times New Roman"/>
                <w:sz w:val="24"/>
                <w:szCs w:val="24"/>
                <w:vertAlign w:val="superscript"/>
                <w:lang w:eastAsia="en-US"/>
              </w:rPr>
              <w:t>b</w:t>
            </w:r>
          </w:p>
        </w:tc>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68.99 ± 0.21</w:t>
            </w:r>
            <w:r>
              <w:rPr>
                <w:rFonts w:ascii="Times New Roman" w:eastAsia="Calibri" w:hAnsi="Times New Roman"/>
                <w:sz w:val="24"/>
                <w:szCs w:val="24"/>
                <w:vertAlign w:val="superscript"/>
                <w:lang w:eastAsia="en-US"/>
              </w:rPr>
              <w:t>a</w:t>
            </w:r>
          </w:p>
        </w:tc>
      </w:tr>
      <w:tr w:rsidR="00307CCA">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800</w:t>
            </w:r>
          </w:p>
        </w:tc>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 xml:space="preserve">70.39 ± </w:t>
            </w:r>
            <w:r>
              <w:rPr>
                <w:rFonts w:ascii="Times New Roman" w:eastAsia="Calibri" w:hAnsi="Times New Roman"/>
                <w:sz w:val="24"/>
                <w:szCs w:val="24"/>
                <w:lang w:eastAsia="en-US"/>
              </w:rPr>
              <w:t>0.25</w:t>
            </w:r>
            <w:r>
              <w:rPr>
                <w:rFonts w:ascii="Times New Roman" w:eastAsia="Calibri" w:hAnsi="Times New Roman"/>
                <w:sz w:val="24"/>
                <w:szCs w:val="24"/>
                <w:vertAlign w:val="superscript"/>
                <w:lang w:eastAsia="en-US"/>
              </w:rPr>
              <w:t>a</w:t>
            </w:r>
          </w:p>
        </w:tc>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82.66 ± 0.16</w:t>
            </w:r>
            <w:r>
              <w:rPr>
                <w:rFonts w:ascii="Times New Roman" w:eastAsia="Calibri" w:hAnsi="Times New Roman"/>
                <w:sz w:val="24"/>
                <w:szCs w:val="24"/>
                <w:vertAlign w:val="superscript"/>
                <w:lang w:eastAsia="en-US"/>
              </w:rPr>
              <w:t>a</w:t>
            </w:r>
          </w:p>
        </w:tc>
      </w:tr>
      <w:tr w:rsidR="00307CCA">
        <w:tc>
          <w:tcPr>
            <w:tcW w:w="17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hAnsi="Times New Roman"/>
                <w:b/>
                <w:bCs/>
                <w:sz w:val="24"/>
                <w:szCs w:val="24"/>
              </w:rPr>
              <w:t>IC</w:t>
            </w:r>
            <w:r>
              <w:rPr>
                <w:rFonts w:ascii="Times New Roman" w:hAnsi="Times New Roman"/>
                <w:b/>
                <w:bCs/>
                <w:sz w:val="24"/>
                <w:szCs w:val="24"/>
                <w:vertAlign w:val="subscript"/>
              </w:rPr>
              <w:t>50</w:t>
            </w:r>
            <w:r>
              <w:rPr>
                <w:rFonts w:ascii="Times New Roman" w:hAnsi="Times New Roman"/>
                <w:b/>
                <w:bCs/>
                <w:sz w:val="24"/>
                <w:szCs w:val="24"/>
              </w:rPr>
              <w:t xml:space="preserve"> (µg/mL)</w:t>
            </w:r>
          </w:p>
        </w:tc>
        <w:tc>
          <w:tcPr>
            <w:tcW w:w="21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b/>
                <w:bCs/>
                <w:sz w:val="24"/>
                <w:szCs w:val="24"/>
              </w:rPr>
            </w:pPr>
            <w:r>
              <w:rPr>
                <w:rFonts w:ascii="Times New Roman" w:hAnsi="Times New Roman"/>
                <w:b/>
                <w:bCs/>
                <w:sz w:val="24"/>
                <w:szCs w:val="24"/>
              </w:rPr>
              <w:t>242.4</w:t>
            </w:r>
          </w:p>
        </w:tc>
        <w:tc>
          <w:tcPr>
            <w:tcW w:w="2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b/>
                <w:bCs/>
                <w:sz w:val="24"/>
                <w:szCs w:val="24"/>
              </w:rPr>
            </w:pPr>
            <w:r>
              <w:rPr>
                <w:rFonts w:ascii="Times New Roman" w:hAnsi="Times New Roman"/>
                <w:b/>
                <w:bCs/>
                <w:sz w:val="24"/>
                <w:szCs w:val="24"/>
              </w:rPr>
              <w:t>132.6</w:t>
            </w:r>
          </w:p>
        </w:tc>
      </w:tr>
    </w:tbl>
    <w:p w:rsidR="00307CCA" w:rsidRDefault="00307CCA">
      <w:pPr>
        <w:spacing w:after="0" w:line="360" w:lineRule="auto"/>
        <w:jc w:val="both"/>
        <w:rPr>
          <w:rFonts w:ascii="Times New Roman" w:hAnsi="Times New Roman"/>
          <w:sz w:val="24"/>
          <w:szCs w:val="24"/>
        </w:rPr>
      </w:pPr>
    </w:p>
    <w:p w:rsidR="00307CCA" w:rsidRDefault="00B01760">
      <w:pPr>
        <w:spacing w:after="0" w:line="360" w:lineRule="auto"/>
        <w:jc w:val="both"/>
        <w:rPr>
          <w:rFonts w:ascii="Times New Roman" w:hAnsi="Times New Roman"/>
          <w:b/>
          <w:bCs/>
          <w:sz w:val="24"/>
          <w:szCs w:val="24"/>
        </w:rPr>
      </w:pPr>
      <w:r>
        <w:rPr>
          <w:rFonts w:ascii="Times New Roman" w:hAnsi="Times New Roman"/>
          <w:b/>
          <w:bCs/>
          <w:sz w:val="24"/>
          <w:szCs w:val="24"/>
        </w:rPr>
        <w:t>3.5 DPPH Radical Scavenging Activity</w:t>
      </w:r>
    </w:p>
    <w:p w:rsidR="00307CCA" w:rsidRDefault="00B01760">
      <w:pPr>
        <w:spacing w:line="360" w:lineRule="auto"/>
        <w:jc w:val="both"/>
        <w:rPr>
          <w:rFonts w:ascii="Times New Roman" w:hAnsi="Times New Roman"/>
          <w:sz w:val="24"/>
          <w:szCs w:val="24"/>
        </w:rPr>
      </w:pPr>
      <w:r>
        <w:rPr>
          <w:sz w:val="24"/>
          <w:szCs w:val="24"/>
        </w:rPr>
        <w:lastRenderedPageBreak/>
        <w:t>The 2,2-diphenyl-1-picrylhydrazyl (DPPH) assay measures the ability of antioxidants to donate hydrogen atoms or electrons to neutralize the stable DPPH free radical, which</w:t>
      </w:r>
      <w:r>
        <w:rPr>
          <w:sz w:val="24"/>
          <w:szCs w:val="24"/>
        </w:rPr>
        <w:t xml:space="preserve"> is visually observed by a color change from deep violet to pale yellow. It is the most simple and reliable method majorly used to evaluate the free radical scavenging activity of plant extract.</w:t>
      </w:r>
    </w:p>
    <w:p w:rsidR="00307CCA" w:rsidRDefault="00B01760">
      <w:pPr>
        <w:spacing w:line="360" w:lineRule="auto"/>
        <w:jc w:val="both"/>
        <w:rPr>
          <w:rFonts w:ascii="Times New Roman" w:hAnsi="Times New Roman"/>
          <w:sz w:val="24"/>
          <w:szCs w:val="24"/>
        </w:rPr>
      </w:pPr>
      <w:r>
        <w:rPr>
          <w:sz w:val="24"/>
          <w:szCs w:val="24"/>
        </w:rPr>
        <w:t>The results revealed that the ethanol extract of fenugreek se</w:t>
      </w:r>
      <w:r>
        <w:rPr>
          <w:sz w:val="24"/>
          <w:szCs w:val="24"/>
        </w:rPr>
        <w:t>eds showed a concentration-dependent increase in DPPH radical scavenging activity. At a low concentration 50 µg/mL, the extract showed 18.56 ± 0.12% inhibition, and steadily increase to 70.39 ± 0.25% at 800 µg/mL, which indicates a strong relationship betw</w:t>
      </w:r>
      <w:r>
        <w:rPr>
          <w:sz w:val="24"/>
          <w:szCs w:val="24"/>
        </w:rPr>
        <w:t>een concentration and radical quenching ability. While Vitamin C, significantly increased across all concentrations, ranging from 30.93 ± 0.32% to 82.66 ± 0.16%. The IC₅₀ values 242.4 µg/mL for the extract and 132.6 µg/mL for Vitamin C indicate that the ex</w:t>
      </w:r>
      <w:r>
        <w:rPr>
          <w:sz w:val="24"/>
          <w:szCs w:val="24"/>
        </w:rPr>
        <w:t>tract possesses substantial, though lower, radical scavenging potency compared with Vitamin C. A lower IC₅₀ value indicates stronger antioxidant activity; thus, while Vitamin C demonstrated stronger activity, the extract’s IC₅₀ value still showed an effect</w:t>
      </w:r>
      <w:r>
        <w:rPr>
          <w:sz w:val="24"/>
          <w:szCs w:val="24"/>
        </w:rPr>
        <w:t>ive antioxidant potential within the biologically active range for plant phenolics.</w:t>
      </w:r>
    </w:p>
    <w:p w:rsidR="00307CCA" w:rsidRDefault="00B01760">
      <w:pPr>
        <w:spacing w:line="360" w:lineRule="auto"/>
        <w:jc w:val="both"/>
        <w:rPr>
          <w:rFonts w:ascii="Times New Roman" w:hAnsi="Times New Roman"/>
          <w:sz w:val="24"/>
          <w:szCs w:val="24"/>
        </w:rPr>
      </w:pPr>
      <w:r>
        <w:rPr>
          <w:sz w:val="24"/>
          <w:szCs w:val="24"/>
        </w:rPr>
        <w:t>The observed antioxidant potential of the fenugreek extract may be due to its rich compound of flavonoids, phenolic compounds, and saponins, which are known to donate hydro</w:t>
      </w:r>
      <w:r>
        <w:rPr>
          <w:sz w:val="24"/>
          <w:szCs w:val="24"/>
        </w:rPr>
        <w:t xml:space="preserve">gen atoms to stabilize free radicals. Previous studies by Kaviarasan </w:t>
      </w:r>
      <w:r>
        <w:rPr>
          <w:i/>
          <w:iCs/>
          <w:sz w:val="24"/>
          <w:szCs w:val="24"/>
        </w:rPr>
        <w:t>et al</w:t>
      </w:r>
      <w:r>
        <w:rPr>
          <w:sz w:val="24"/>
          <w:szCs w:val="24"/>
        </w:rPr>
        <w:t xml:space="preserve">. (2007), Dixit </w:t>
      </w:r>
      <w:r>
        <w:rPr>
          <w:i/>
          <w:iCs/>
          <w:sz w:val="24"/>
          <w:szCs w:val="24"/>
        </w:rPr>
        <w:t>et al.</w:t>
      </w:r>
      <w:r>
        <w:rPr>
          <w:sz w:val="24"/>
          <w:szCs w:val="24"/>
        </w:rPr>
        <w:t xml:space="preserve"> (2005), and Devi </w:t>
      </w:r>
      <w:r>
        <w:rPr>
          <w:i/>
          <w:iCs/>
          <w:sz w:val="24"/>
          <w:szCs w:val="24"/>
        </w:rPr>
        <w:t>et al.</w:t>
      </w:r>
      <w:r>
        <w:rPr>
          <w:sz w:val="24"/>
          <w:szCs w:val="24"/>
        </w:rPr>
        <w:t xml:space="preserve"> (2016) have also revealed that ethanol and methanol extracts of fenugreek seeds show significant DPPH scavenging activity due to these </w:t>
      </w:r>
      <w:r>
        <w:rPr>
          <w:sz w:val="24"/>
          <w:szCs w:val="24"/>
        </w:rPr>
        <w:t>bioactive constituents. These compounds interrupt the chain propagation of lipid peroxidation and prevent oxidative degradation of biomolecules (Sowmya &amp; Rajyalakshmi, 2018).</w:t>
      </w:r>
    </w:p>
    <w:p w:rsidR="00307CCA" w:rsidRDefault="00B01760">
      <w:pPr>
        <w:spacing w:line="360" w:lineRule="auto"/>
        <w:jc w:val="both"/>
        <w:rPr>
          <w:rFonts w:ascii="Times New Roman" w:hAnsi="Times New Roman"/>
          <w:sz w:val="24"/>
          <w:szCs w:val="24"/>
        </w:rPr>
      </w:pPr>
      <w:r>
        <w:rPr>
          <w:sz w:val="24"/>
          <w:szCs w:val="24"/>
        </w:rPr>
        <w:t>From the results, the strong DPPH scavenging ability observed supports the tradit</w:t>
      </w:r>
      <w:r>
        <w:rPr>
          <w:sz w:val="24"/>
          <w:szCs w:val="24"/>
        </w:rPr>
        <w:t>ional medicinal use of</w:t>
      </w:r>
      <w:r>
        <w:rPr>
          <w:i/>
          <w:iCs/>
          <w:sz w:val="24"/>
          <w:szCs w:val="24"/>
        </w:rPr>
        <w:t xml:space="preserve"> Trigonella foenum-graecum I</w:t>
      </w:r>
      <w:r>
        <w:rPr>
          <w:sz w:val="24"/>
          <w:szCs w:val="24"/>
        </w:rPr>
        <w:t xml:space="preserve"> (fenugreek) seeds in managing oxidative stress–related disorders. </w:t>
      </w:r>
    </w:p>
    <w:p w:rsidR="00307CCA" w:rsidRDefault="00B01760">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Table 5. Ferric Reducing Antioxidant Power (FRAP)</w:t>
      </w:r>
    </w:p>
    <w:tbl>
      <w:tblPr>
        <w:tblW w:w="0" w:type="auto"/>
        <w:tblLook w:val="04A0" w:firstRow="1" w:lastRow="0" w:firstColumn="1" w:lastColumn="0" w:noHBand="0" w:noVBand="1"/>
      </w:tblPr>
      <w:tblGrid>
        <w:gridCol w:w="1696"/>
        <w:gridCol w:w="2130"/>
        <w:gridCol w:w="2199"/>
      </w:tblGrid>
      <w:tr w:rsidR="00307CCA">
        <w:trPr>
          <w:trHeight w:val="910"/>
        </w:trPr>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Concentration (µg/mL)</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b/>
                <w:bCs/>
                <w:sz w:val="24"/>
                <w:szCs w:val="24"/>
                <w:lang w:eastAsia="en-US"/>
              </w:rPr>
              <w:t xml:space="preserve">Extract (%Inhibition, </w:t>
            </w:r>
            <w:r>
              <w:rPr>
                <w:rFonts w:ascii="Times New Roman" w:eastAsia="Calibri" w:hAnsi="Times New Roman"/>
                <w:b/>
                <w:bCs/>
                <w:sz w:val="24"/>
                <w:szCs w:val="24"/>
                <w:lang w:eastAsia="en-US"/>
              </w:rPr>
              <w:lastRenderedPageBreak/>
              <w:t>Mean ± SEM)</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rPr>
                <w:rFonts w:ascii="Times New Roman" w:hAnsi="Times New Roman"/>
                <w:sz w:val="24"/>
                <w:szCs w:val="24"/>
              </w:rPr>
            </w:pPr>
            <w:r>
              <w:rPr>
                <w:rFonts w:ascii="Times New Roman" w:eastAsia="Calibri" w:hAnsi="Times New Roman"/>
                <w:b/>
                <w:bCs/>
                <w:sz w:val="24"/>
                <w:szCs w:val="24"/>
                <w:lang w:eastAsia="en-US"/>
              </w:rPr>
              <w:lastRenderedPageBreak/>
              <w:t xml:space="preserve">Vitamin C (%Inhibition, </w:t>
            </w:r>
            <w:r>
              <w:rPr>
                <w:rFonts w:ascii="Times New Roman" w:eastAsia="Calibri" w:hAnsi="Times New Roman"/>
                <w:b/>
                <w:bCs/>
                <w:sz w:val="24"/>
                <w:szCs w:val="24"/>
                <w:lang w:eastAsia="en-US"/>
              </w:rPr>
              <w:lastRenderedPageBreak/>
              <w:t>Mean ± S</w:t>
            </w:r>
            <w:r>
              <w:rPr>
                <w:rFonts w:ascii="Times New Roman" w:eastAsia="Calibri" w:hAnsi="Times New Roman"/>
                <w:b/>
                <w:bCs/>
                <w:sz w:val="24"/>
                <w:szCs w:val="24"/>
                <w:lang w:eastAsia="en-US"/>
              </w:rPr>
              <w:t>EM)</w:t>
            </w:r>
          </w:p>
        </w:tc>
      </w:tr>
      <w:tr w:rsidR="00307CCA">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eastAsia="Calibri" w:hAnsi="Times New Roman"/>
                <w:sz w:val="24"/>
                <w:szCs w:val="24"/>
                <w:lang w:eastAsia="en-US"/>
              </w:rPr>
              <w:lastRenderedPageBreak/>
              <w:t>50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3.32 ± 0.04</w:t>
            </w:r>
            <w:r>
              <w:rPr>
                <w:rFonts w:ascii="Times New Roman" w:eastAsia="Calibri" w:hAnsi="Times New Roman"/>
                <w:sz w:val="24"/>
                <w:szCs w:val="24"/>
                <w:vertAlign w:val="superscript"/>
                <w:lang w:eastAsia="en-US"/>
              </w:rPr>
              <w:t>e</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12.41 ± 0.06</w:t>
            </w:r>
            <w:r>
              <w:rPr>
                <w:rFonts w:ascii="Times New Roman" w:eastAsia="Calibri" w:hAnsi="Times New Roman"/>
                <w:sz w:val="24"/>
                <w:szCs w:val="24"/>
                <w:vertAlign w:val="superscript"/>
                <w:lang w:eastAsia="en-US"/>
              </w:rPr>
              <w:t>e</w:t>
            </w:r>
          </w:p>
        </w:tc>
      </w:tr>
      <w:tr w:rsidR="00307CCA">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100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8.43 ± 0.17</w:t>
            </w:r>
            <w:r>
              <w:rPr>
                <w:rFonts w:ascii="Times New Roman" w:eastAsia="Calibri" w:hAnsi="Times New Roman"/>
                <w:sz w:val="24"/>
                <w:szCs w:val="24"/>
                <w:vertAlign w:val="superscript"/>
                <w:lang w:eastAsia="en-US"/>
              </w:rPr>
              <w:t>d</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21.62 ± 0.16</w:t>
            </w:r>
            <w:r>
              <w:rPr>
                <w:rFonts w:ascii="Times New Roman" w:eastAsia="Calibri" w:hAnsi="Times New Roman"/>
                <w:sz w:val="24"/>
                <w:szCs w:val="24"/>
                <w:vertAlign w:val="superscript"/>
                <w:lang w:eastAsia="en-US"/>
              </w:rPr>
              <w:t>d</w:t>
            </w:r>
          </w:p>
        </w:tc>
      </w:tr>
      <w:tr w:rsidR="00307CCA">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200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17.83 ± 0.05</w:t>
            </w:r>
            <w:r>
              <w:rPr>
                <w:rFonts w:ascii="Times New Roman" w:eastAsia="Calibri" w:hAnsi="Times New Roman"/>
                <w:sz w:val="24"/>
                <w:szCs w:val="24"/>
                <w:vertAlign w:val="superscript"/>
                <w:lang w:eastAsia="en-US"/>
              </w:rPr>
              <w:t>c</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39.06 ± 0.21</w:t>
            </w:r>
            <w:r>
              <w:rPr>
                <w:rFonts w:ascii="Times New Roman" w:eastAsia="Calibri" w:hAnsi="Times New Roman"/>
                <w:sz w:val="24"/>
                <w:szCs w:val="24"/>
                <w:vertAlign w:val="superscript"/>
                <w:lang w:eastAsia="en-US"/>
              </w:rPr>
              <w:t>c</w:t>
            </w:r>
          </w:p>
        </w:tc>
      </w:tr>
      <w:tr w:rsidR="00307CCA">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400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26.67 ± 0.13</w:t>
            </w:r>
            <w:r>
              <w:rPr>
                <w:rFonts w:ascii="Times New Roman" w:eastAsia="Calibri" w:hAnsi="Times New Roman"/>
                <w:sz w:val="24"/>
                <w:szCs w:val="24"/>
                <w:vertAlign w:val="superscript"/>
                <w:lang w:eastAsia="en-US"/>
              </w:rPr>
              <w:t>b</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48.77 ± 0.51</w:t>
            </w:r>
            <w:r>
              <w:rPr>
                <w:rFonts w:ascii="Times New Roman" w:eastAsia="Calibri" w:hAnsi="Times New Roman"/>
                <w:sz w:val="24"/>
                <w:szCs w:val="24"/>
                <w:vertAlign w:val="superscript"/>
                <w:lang w:eastAsia="en-US"/>
              </w:rPr>
              <w:t>b</w:t>
            </w:r>
          </w:p>
        </w:tc>
      </w:tr>
      <w:tr w:rsidR="00307CCA">
        <w:trPr>
          <w:trHeight w:val="582"/>
        </w:trPr>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800</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41.20 ± 0.14</w:t>
            </w:r>
            <w:r>
              <w:rPr>
                <w:rFonts w:ascii="Times New Roman" w:eastAsia="Calibri" w:hAnsi="Times New Roman"/>
                <w:sz w:val="24"/>
                <w:szCs w:val="24"/>
                <w:vertAlign w:val="superscript"/>
                <w:lang w:eastAsia="en-US"/>
              </w:rPr>
              <w:t>a</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sz w:val="24"/>
                <w:szCs w:val="24"/>
                <w:vertAlign w:val="superscript"/>
              </w:rPr>
            </w:pPr>
            <w:r>
              <w:rPr>
                <w:rFonts w:ascii="Times New Roman" w:eastAsia="Calibri" w:hAnsi="Times New Roman"/>
                <w:sz w:val="24"/>
                <w:szCs w:val="24"/>
                <w:lang w:eastAsia="en-US"/>
              </w:rPr>
              <w:t>65.41 ± 0.28</w:t>
            </w:r>
            <w:r>
              <w:rPr>
                <w:rFonts w:ascii="Times New Roman" w:eastAsia="Calibri" w:hAnsi="Times New Roman"/>
                <w:sz w:val="24"/>
                <w:szCs w:val="24"/>
                <w:vertAlign w:val="superscript"/>
                <w:lang w:eastAsia="en-US"/>
              </w:rPr>
              <w:t>a</w:t>
            </w:r>
          </w:p>
        </w:tc>
      </w:tr>
      <w:tr w:rsidR="00307CCA">
        <w:trPr>
          <w:trHeight w:val="582"/>
        </w:trPr>
        <w:tc>
          <w:tcPr>
            <w:tcW w:w="16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b/>
                <w:bCs/>
                <w:sz w:val="24"/>
                <w:szCs w:val="24"/>
              </w:rPr>
            </w:pPr>
            <w:r>
              <w:rPr>
                <w:rFonts w:ascii="Times New Roman" w:hAnsi="Times New Roman"/>
                <w:b/>
                <w:bCs/>
                <w:sz w:val="24"/>
                <w:szCs w:val="24"/>
              </w:rPr>
              <w:t>IC50 (µg/mL)</w:t>
            </w:r>
          </w:p>
        </w:tc>
        <w:tc>
          <w:tcPr>
            <w:tcW w:w="2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b/>
                <w:bCs/>
                <w:sz w:val="24"/>
                <w:szCs w:val="24"/>
              </w:rPr>
            </w:pPr>
            <w:r>
              <w:rPr>
                <w:rFonts w:ascii="Times New Roman" w:hAnsi="Times New Roman"/>
                <w:b/>
                <w:bCs/>
                <w:sz w:val="24"/>
                <w:szCs w:val="24"/>
              </w:rPr>
              <w:t>505.8</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07CCA" w:rsidRDefault="00B01760">
            <w:pPr>
              <w:spacing w:after="0" w:line="360" w:lineRule="auto"/>
              <w:jc w:val="both"/>
              <w:rPr>
                <w:rFonts w:ascii="Times New Roman" w:hAnsi="Times New Roman"/>
                <w:b/>
                <w:bCs/>
                <w:sz w:val="24"/>
                <w:szCs w:val="24"/>
              </w:rPr>
            </w:pPr>
            <w:r>
              <w:rPr>
                <w:rFonts w:ascii="Times New Roman" w:hAnsi="Times New Roman"/>
                <w:b/>
                <w:bCs/>
                <w:sz w:val="24"/>
                <w:szCs w:val="24"/>
              </w:rPr>
              <w:t>265.2</w:t>
            </w:r>
          </w:p>
        </w:tc>
      </w:tr>
    </w:tbl>
    <w:p w:rsidR="00307CCA" w:rsidRDefault="00307CCA">
      <w:pPr>
        <w:spacing w:after="0" w:line="360" w:lineRule="auto"/>
        <w:jc w:val="both"/>
        <w:rPr>
          <w:rFonts w:ascii="Times New Roman" w:hAnsi="Times New Roman"/>
          <w:sz w:val="24"/>
          <w:szCs w:val="24"/>
        </w:rPr>
      </w:pPr>
    </w:p>
    <w:p w:rsidR="00307CCA" w:rsidRDefault="00B01760">
      <w:pPr>
        <w:spacing w:after="0" w:line="360" w:lineRule="auto"/>
        <w:jc w:val="both"/>
        <w:rPr>
          <w:rFonts w:ascii="Times New Roman" w:hAnsi="Times New Roman"/>
          <w:b/>
          <w:bCs/>
          <w:sz w:val="24"/>
          <w:szCs w:val="24"/>
        </w:rPr>
      </w:pPr>
      <w:r>
        <w:rPr>
          <w:rFonts w:ascii="Times New Roman" w:hAnsi="Times New Roman"/>
          <w:b/>
          <w:bCs/>
          <w:sz w:val="24"/>
          <w:szCs w:val="24"/>
        </w:rPr>
        <w:t>3.6 Ferric Reducing Antioxidant Power (FRAP)</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 xml:space="preserve">The ferric reducing antioxidant power (FRAP ) assay is an indicator of a compound’s redox potential and overall antioxidant strength. It measures the ability of antioxidants to donate electrons or hydrogen atoms, thereby converting ferric ions (Fe³⁺) into </w:t>
      </w:r>
      <w:r>
        <w:rPr>
          <w:rFonts w:ascii="Times New Roman" w:hAnsi="Times New Roman"/>
          <w:sz w:val="24"/>
          <w:szCs w:val="24"/>
        </w:rPr>
        <w:t xml:space="preserve">ferrous ions (Fe²⁺). </w:t>
      </w:r>
    </w:p>
    <w:p w:rsidR="00307CCA" w:rsidRDefault="00B01760">
      <w:pPr>
        <w:spacing w:line="360" w:lineRule="auto"/>
        <w:jc w:val="both"/>
        <w:rPr>
          <w:sz w:val="24"/>
          <w:szCs w:val="24"/>
        </w:rPr>
      </w:pPr>
      <w:r>
        <w:rPr>
          <w:sz w:val="24"/>
          <w:szCs w:val="24"/>
        </w:rPr>
        <w:t>In this study, the ethanolic extract of Trigonella foenum-graecum seeds revealed a concentration-dependent increase in ferric ion-reducing capacity, suggesting the presence of effective reducing agents within the extract. At low conce</w:t>
      </w:r>
      <w:r>
        <w:rPr>
          <w:sz w:val="24"/>
          <w:szCs w:val="24"/>
        </w:rPr>
        <w:t xml:space="preserve">ntrations (50–200 µg/mL), the extract showed relatively weak activity compared with Vitamin C. However, a notable increase in reducing power was observed at higher concentrations 400–800 µg/mL, where the percentage reduction increased from 3.32 ± 0.04% to </w:t>
      </w:r>
      <w:r>
        <w:rPr>
          <w:sz w:val="24"/>
          <w:szCs w:val="24"/>
        </w:rPr>
        <w:t>41.20 ± 0.14%. This pattern implies that the phenolic and flavonoid components of the extract are primarily responsible for the observed redox activity. While Vitamin C increased significantly in ferric-reducing ability at all concentrations, with values r</w:t>
      </w:r>
      <w:r>
        <w:rPr>
          <w:sz w:val="24"/>
          <w:szCs w:val="24"/>
        </w:rPr>
        <w:t>anging from 12.41 ± 0.06% to 65.41 ± 0.28%, underscoring its well-known antioxidant potency. The IC₅₀ value for the extract (505.8 µg/mL) was higher than that of Vitamin C (265.2 µg/mL), which indicates lower reducing potency but also showed that the extra</w:t>
      </w:r>
      <w:r>
        <w:rPr>
          <w:sz w:val="24"/>
          <w:szCs w:val="24"/>
        </w:rPr>
        <w:t xml:space="preserve">ct is an effective natural antioxidant source. This finding agree with previous study of Siddhuraju and Becker (2007), they reported that the methanolic extract of </w:t>
      </w:r>
      <w:r>
        <w:rPr>
          <w:i/>
          <w:iCs/>
          <w:sz w:val="24"/>
          <w:szCs w:val="24"/>
        </w:rPr>
        <w:t>T. foenum-graecum</w:t>
      </w:r>
      <w:r>
        <w:rPr>
          <w:sz w:val="24"/>
          <w:szCs w:val="24"/>
        </w:rPr>
        <w:t xml:space="preserve"> seeds demonstrated moderate reducing ability due to its total phenolic content.  These results also align with the findings of Balakrishnan </w:t>
      </w:r>
      <w:r>
        <w:rPr>
          <w:i/>
          <w:iCs/>
          <w:sz w:val="24"/>
          <w:szCs w:val="24"/>
        </w:rPr>
        <w:t xml:space="preserve">et al </w:t>
      </w:r>
      <w:r>
        <w:rPr>
          <w:sz w:val="24"/>
          <w:szCs w:val="24"/>
        </w:rPr>
        <w:t xml:space="preserve">(2021), they revealed that similar FRAP activity </w:t>
      </w:r>
      <w:r>
        <w:rPr>
          <w:sz w:val="24"/>
          <w:szCs w:val="24"/>
        </w:rPr>
        <w:lastRenderedPageBreak/>
        <w:t>in fenugreek and related Fabaceae species, attributing the e</w:t>
      </w:r>
      <w:r>
        <w:rPr>
          <w:sz w:val="24"/>
          <w:szCs w:val="24"/>
        </w:rPr>
        <w:t>ffect to the high phenolic and flavonoid content</w:t>
      </w:r>
    </w:p>
    <w:p w:rsidR="00307CCA" w:rsidRDefault="00B01760">
      <w:pPr>
        <w:spacing w:line="360" w:lineRule="auto"/>
        <w:jc w:val="both"/>
        <w:rPr>
          <w:rFonts w:ascii="Times New Roman" w:hAnsi="Times New Roman"/>
          <w:sz w:val="24"/>
          <w:szCs w:val="24"/>
        </w:rPr>
      </w:pPr>
      <w:r>
        <w:rPr>
          <w:sz w:val="24"/>
          <w:szCs w:val="24"/>
        </w:rPr>
        <w:t>From the results, the ferric-reducing activity observed can be attributed to the ability of these phytochemicals to donate electrons, terminate free radical chain reactions, and stabilize reactive oxygen spe</w:t>
      </w:r>
      <w:r>
        <w:rPr>
          <w:sz w:val="24"/>
          <w:szCs w:val="24"/>
        </w:rPr>
        <w:t>cies (ROS). This finding further supports the traditional use of fenugreek in managing oxidative stress–related disorders such as inflammation, diabetes, and cardiovascular diseases.</w:t>
      </w:r>
    </w:p>
    <w:p w:rsidR="00307CCA" w:rsidRDefault="00B01760">
      <w:pPr>
        <w:spacing w:after="0" w:line="360" w:lineRule="auto"/>
        <w:jc w:val="both"/>
        <w:rPr>
          <w:rFonts w:ascii="Times New Roman" w:hAnsi="Times New Roman"/>
          <w:b/>
          <w:bCs/>
          <w:sz w:val="24"/>
          <w:szCs w:val="24"/>
        </w:rPr>
      </w:pPr>
      <w:r>
        <w:rPr>
          <w:rFonts w:ascii="Times New Roman" w:hAnsi="Times New Roman"/>
          <w:b/>
          <w:bCs/>
          <w:sz w:val="24"/>
          <w:szCs w:val="24"/>
        </w:rPr>
        <w:t>3.7 Conclusion</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 xml:space="preserve">This </w:t>
      </w:r>
      <w:r>
        <w:rPr>
          <w:rFonts w:ascii="Times New Roman" w:hAnsi="Times New Roman"/>
          <w:sz w:val="24"/>
          <w:szCs w:val="24"/>
        </w:rPr>
        <w:t xml:space="preserve">study demonstrate that the ethanolic extract of </w:t>
      </w:r>
      <w:r>
        <w:rPr>
          <w:rFonts w:ascii="Times New Roman" w:hAnsi="Times New Roman"/>
          <w:i/>
          <w:iCs/>
          <w:sz w:val="24"/>
          <w:szCs w:val="24"/>
        </w:rPr>
        <w:t>Trigo</w:t>
      </w:r>
      <w:r>
        <w:rPr>
          <w:rFonts w:ascii="Times New Roman" w:hAnsi="Times New Roman"/>
          <w:i/>
          <w:iCs/>
          <w:sz w:val="24"/>
          <w:szCs w:val="24"/>
        </w:rPr>
        <w:t>nella foenum-graecum</w:t>
      </w:r>
      <w:r>
        <w:rPr>
          <w:rFonts w:ascii="Times New Roman" w:hAnsi="Times New Roman"/>
          <w:sz w:val="24"/>
          <w:szCs w:val="24"/>
        </w:rPr>
        <w:t xml:space="preserve"> seeds is rich in bioactive phytochemicals, particularly flavonoids, phenols, and saponins, which significantly contribute to its antioxidant potency. The extract effectively scavenged nitric oxide and DPPH radicals and exhibited strong</w:t>
      </w:r>
      <w:r>
        <w:rPr>
          <w:rFonts w:ascii="Times New Roman" w:hAnsi="Times New Roman"/>
          <w:sz w:val="24"/>
          <w:szCs w:val="24"/>
        </w:rPr>
        <w:t xml:space="preserve"> ferric-reducing power in a concentration-dependent manner, indicating robust free-radical-quenching and electron-donating capabilities. These findings validate the traditional use of fenugreek in managing oxidative stress and suggest its potential as a va</w:t>
      </w:r>
      <w:r>
        <w:rPr>
          <w:rFonts w:ascii="Times New Roman" w:hAnsi="Times New Roman"/>
          <w:sz w:val="24"/>
          <w:szCs w:val="24"/>
        </w:rPr>
        <w:t xml:space="preserve">luable source of natural antioxidants for pharmaceutical and nutraceutical applications. </w:t>
      </w:r>
    </w:p>
    <w:p w:rsidR="00307CCA" w:rsidRDefault="00307CCA">
      <w:pPr>
        <w:spacing w:after="0" w:line="360" w:lineRule="auto"/>
        <w:jc w:val="both"/>
        <w:rPr>
          <w:rFonts w:ascii="Times New Roman" w:hAnsi="Times New Roman"/>
          <w:sz w:val="24"/>
          <w:szCs w:val="24"/>
        </w:rPr>
      </w:pPr>
    </w:p>
    <w:p w:rsidR="00307CCA" w:rsidRDefault="00307CCA">
      <w:pPr>
        <w:spacing w:after="0" w:line="360" w:lineRule="auto"/>
        <w:jc w:val="both"/>
        <w:rPr>
          <w:rFonts w:ascii="Times New Roman" w:hAnsi="Times New Roman"/>
          <w:sz w:val="24"/>
          <w:szCs w:val="24"/>
        </w:rPr>
      </w:pPr>
    </w:p>
    <w:p w:rsidR="00307CCA" w:rsidRDefault="00307CCA">
      <w:pPr>
        <w:spacing w:after="0" w:line="360" w:lineRule="auto"/>
        <w:jc w:val="both"/>
        <w:rPr>
          <w:rFonts w:ascii="Times New Roman" w:hAnsi="Times New Roman"/>
          <w:b/>
          <w:bCs/>
          <w:caps/>
          <w:sz w:val="24"/>
          <w:szCs w:val="24"/>
        </w:rPr>
      </w:pPr>
    </w:p>
    <w:p w:rsidR="00307CCA" w:rsidRDefault="00B01760">
      <w:pPr>
        <w:spacing w:after="0" w:line="360" w:lineRule="auto"/>
        <w:jc w:val="both"/>
        <w:rPr>
          <w:rFonts w:ascii="Times New Roman" w:hAnsi="Times New Roman"/>
          <w:b/>
          <w:bCs/>
          <w:sz w:val="24"/>
          <w:szCs w:val="24"/>
        </w:rPr>
      </w:pPr>
      <w:r>
        <w:rPr>
          <w:rFonts w:ascii="Times New Roman" w:hAnsi="Times New Roman"/>
          <w:b/>
          <w:bCs/>
          <w:caps/>
          <w:sz w:val="24"/>
          <w:szCs w:val="24"/>
        </w:rPr>
        <w:t>Consent</w:t>
      </w:r>
      <w:r>
        <w:rPr>
          <w:rFonts w:ascii="Times New Roman" w:hAnsi="Times New Roman"/>
          <w:b/>
          <w:bCs/>
          <w:sz w:val="24"/>
          <w:szCs w:val="24"/>
        </w:rPr>
        <w:t xml:space="preserve"> </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 xml:space="preserve">It is not applicable </w:t>
      </w:r>
    </w:p>
    <w:p w:rsidR="00307CCA" w:rsidRDefault="00307CCA">
      <w:pPr>
        <w:spacing w:after="0" w:line="360" w:lineRule="auto"/>
        <w:jc w:val="both"/>
        <w:rPr>
          <w:rFonts w:ascii="Times New Roman" w:hAnsi="Times New Roman"/>
          <w:b/>
          <w:bCs/>
          <w:caps/>
          <w:sz w:val="24"/>
          <w:szCs w:val="24"/>
        </w:rPr>
      </w:pPr>
    </w:p>
    <w:p w:rsidR="00307CCA" w:rsidRDefault="00B01760">
      <w:pPr>
        <w:spacing w:after="0" w:line="360" w:lineRule="auto"/>
        <w:jc w:val="both"/>
        <w:rPr>
          <w:rFonts w:ascii="Times New Roman" w:hAnsi="Times New Roman"/>
          <w:b/>
          <w:bCs/>
          <w:caps/>
          <w:sz w:val="24"/>
          <w:szCs w:val="24"/>
        </w:rPr>
      </w:pPr>
      <w:r>
        <w:rPr>
          <w:rFonts w:ascii="Times New Roman" w:hAnsi="Times New Roman"/>
          <w:b/>
          <w:bCs/>
          <w:caps/>
          <w:sz w:val="24"/>
          <w:szCs w:val="24"/>
        </w:rPr>
        <w:t xml:space="preserve">Ethical Approval </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 xml:space="preserve">It is not applicable </w:t>
      </w:r>
    </w:p>
    <w:p w:rsidR="00307CCA" w:rsidRDefault="00307CCA">
      <w:pPr>
        <w:spacing w:after="0" w:line="360" w:lineRule="auto"/>
        <w:jc w:val="both"/>
        <w:rPr>
          <w:rFonts w:ascii="Times New Roman" w:hAnsi="Times New Roman"/>
          <w:b/>
          <w:bCs/>
          <w:caps/>
          <w:sz w:val="24"/>
          <w:szCs w:val="24"/>
        </w:rPr>
      </w:pPr>
    </w:p>
    <w:p w:rsidR="00307CCA" w:rsidRDefault="00307CCA">
      <w:pPr>
        <w:spacing w:after="0" w:line="360" w:lineRule="auto"/>
        <w:jc w:val="both"/>
        <w:rPr>
          <w:rFonts w:ascii="Times New Roman" w:hAnsi="Times New Roman"/>
          <w:b/>
          <w:bCs/>
          <w:caps/>
          <w:sz w:val="24"/>
          <w:szCs w:val="24"/>
        </w:rPr>
      </w:pPr>
    </w:p>
    <w:p w:rsidR="00307CCA" w:rsidRDefault="00B01760">
      <w:pPr>
        <w:spacing w:after="0" w:line="360" w:lineRule="auto"/>
        <w:jc w:val="both"/>
        <w:rPr>
          <w:rFonts w:ascii="Times New Roman" w:hAnsi="Times New Roman"/>
          <w:b/>
          <w:bCs/>
          <w:caps/>
          <w:sz w:val="24"/>
          <w:szCs w:val="24"/>
        </w:rPr>
      </w:pPr>
      <w:r>
        <w:rPr>
          <w:rFonts w:ascii="Times New Roman" w:hAnsi="Times New Roman"/>
          <w:b/>
          <w:bCs/>
          <w:caps/>
          <w:sz w:val="24"/>
          <w:szCs w:val="24"/>
        </w:rPr>
        <w:t>Competing interest</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 xml:space="preserve">Author have declared, no existence of interest competition </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 xml:space="preserve">COMPETING </w:t>
      </w:r>
      <w:r>
        <w:rPr>
          <w:rFonts w:ascii="Times New Roman" w:hAnsi="Times New Roman"/>
          <w:sz w:val="24"/>
          <w:szCs w:val="24"/>
        </w:rPr>
        <w:t>INTERESTS DISCLAIMER:</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rsidR="00251FD6" w:rsidRDefault="00251FD6">
      <w:pPr>
        <w:spacing w:after="0" w:line="360" w:lineRule="auto"/>
        <w:jc w:val="both"/>
        <w:rPr>
          <w:rFonts w:ascii="Times New Roman" w:hAnsi="Times New Roman"/>
          <w:sz w:val="24"/>
          <w:szCs w:val="24"/>
        </w:rPr>
      </w:pPr>
    </w:p>
    <w:p w:rsidR="00251FD6" w:rsidRDefault="00251FD6" w:rsidP="00251FD6">
      <w:r>
        <w:rPr>
          <w:b/>
          <w:bCs/>
        </w:rPr>
        <w:t>Author Contributions</w:t>
      </w:r>
    </w:p>
    <w:p w:rsidR="00251FD6" w:rsidRDefault="00251FD6" w:rsidP="00251FD6">
      <w:r>
        <w:rPr>
          <w:b/>
          <w:bCs/>
          <w:i/>
          <w:iCs/>
        </w:rPr>
        <w:t>ACC and CSO: Conceptualization, experimental design, supervision, manuscript drafting, correspondence and result interpretation. Author CIN profead the study design. FCA: Methodology and laboratory analysis. CVE and USA: Statistical analysis and validation. OFU: Data analysis, and reference formatting. IBO: Sample preparation and literature review. All authors read and approved the final manuscript.</w:t>
      </w:r>
    </w:p>
    <w:p w:rsidR="00251FD6" w:rsidRDefault="00251FD6">
      <w:pPr>
        <w:spacing w:after="0" w:line="360" w:lineRule="auto"/>
        <w:jc w:val="both"/>
        <w:rPr>
          <w:rFonts w:ascii="Times New Roman" w:hAnsi="Times New Roman"/>
          <w:sz w:val="24"/>
          <w:szCs w:val="24"/>
        </w:rPr>
      </w:pPr>
    </w:p>
    <w:p w:rsidR="00307CCA" w:rsidRDefault="00B01760">
      <w:pPr>
        <w:rPr>
          <w:rFonts w:eastAsia="Calibri"/>
          <w:kern w:val="2"/>
          <w:highlight w:val="yellow"/>
        </w:rPr>
      </w:pPr>
      <w:bookmarkStart w:id="0" w:name="_Hlk197682619"/>
      <w:bookmarkStart w:id="1" w:name="_Hlk180402183"/>
      <w:bookmarkStart w:id="2" w:name="_Hlk183680988"/>
      <w:r>
        <w:rPr>
          <w:rFonts w:eastAsia="Calibri"/>
          <w:kern w:val="2"/>
          <w:highlight w:val="yellow"/>
        </w:rPr>
        <w:t xml:space="preserve">Disclaimer (Artificial </w:t>
      </w:r>
      <w:r>
        <w:rPr>
          <w:rFonts w:eastAsia="Calibri"/>
          <w:kern w:val="2"/>
          <w:highlight w:val="yellow"/>
        </w:rPr>
        <w:t>intelligence)</w:t>
      </w:r>
    </w:p>
    <w:p w:rsidR="00307CCA" w:rsidRDefault="00B01760">
      <w:pPr>
        <w:rPr>
          <w:rFonts w:eastAsia="Calibri"/>
          <w:kern w:val="2"/>
          <w:highlight w:val="yellow"/>
        </w:rPr>
      </w:pPr>
      <w:r>
        <w:rPr>
          <w:rFonts w:eastAsia="Calibri"/>
          <w:kern w:val="2"/>
          <w:highlight w:val="yellow"/>
        </w:rPr>
        <w:t xml:space="preserve">Option 1: </w:t>
      </w:r>
    </w:p>
    <w:p w:rsidR="00307CCA" w:rsidRDefault="00B01760">
      <w:pPr>
        <w:rPr>
          <w:rFonts w:eastAsia="Calibri"/>
          <w:kern w:val="2"/>
          <w:highlight w:val="yellow"/>
        </w:rPr>
      </w:pPr>
      <w:r>
        <w:rPr>
          <w:rFonts w:eastAsia="Calibri"/>
          <w:kern w:val="2"/>
          <w:highlight w:val="yellow"/>
        </w:rPr>
        <w:t xml:space="preserve">Author(s) hereby declare that NO generative AI technologies such as Large Language Models (ChatGPT, COPILOT, etc.) and text-to-image generators have been used during the writing or editing of this manuscript. </w:t>
      </w:r>
    </w:p>
    <w:p w:rsidR="00307CCA" w:rsidRDefault="00B01760">
      <w:pPr>
        <w:rPr>
          <w:rFonts w:eastAsia="Calibri"/>
          <w:kern w:val="2"/>
          <w:highlight w:val="yellow"/>
        </w:rPr>
      </w:pPr>
      <w:r>
        <w:rPr>
          <w:rFonts w:eastAsia="Calibri"/>
          <w:kern w:val="2"/>
          <w:highlight w:val="yellow"/>
        </w:rPr>
        <w:t xml:space="preserve">Option 2: </w:t>
      </w:r>
    </w:p>
    <w:p w:rsidR="00307CCA" w:rsidRDefault="00B01760">
      <w:pPr>
        <w:rPr>
          <w:rFonts w:eastAsia="Calibri"/>
          <w:kern w:val="2"/>
          <w:highlight w:val="yellow"/>
        </w:rPr>
      </w:pPr>
      <w:r>
        <w:rPr>
          <w:rFonts w:eastAsia="Calibri"/>
          <w:kern w:val="2"/>
          <w:highlight w:val="yellow"/>
        </w:rPr>
        <w:t xml:space="preserve">Author(s) </w:t>
      </w:r>
      <w:r>
        <w:rPr>
          <w:rFonts w:eastAsia="Calibri"/>
          <w:kern w:val="2"/>
          <w:highlight w:val="yellow"/>
        </w:rPr>
        <w:t>hereby declare that generative AI technologies such as Large Language Models, etc. have been used during the writing or editing of manuscripts. This explanation will include the name, version, model, and source of the generative AI technology and as well a</w:t>
      </w:r>
      <w:r>
        <w:rPr>
          <w:rFonts w:eastAsia="Calibri"/>
          <w:kern w:val="2"/>
          <w:highlight w:val="yellow"/>
        </w:rPr>
        <w:t>s all input prompts provided to the generative AI technology</w:t>
      </w:r>
    </w:p>
    <w:p w:rsidR="00307CCA" w:rsidRDefault="00B01760">
      <w:pPr>
        <w:rPr>
          <w:rFonts w:eastAsia="Calibri"/>
          <w:kern w:val="2"/>
          <w:highlight w:val="yellow"/>
        </w:rPr>
      </w:pPr>
      <w:r>
        <w:rPr>
          <w:rFonts w:eastAsia="Calibri"/>
          <w:kern w:val="2"/>
          <w:highlight w:val="yellow"/>
        </w:rPr>
        <w:t>Details of the AI usage are given below:</w:t>
      </w:r>
    </w:p>
    <w:p w:rsidR="00307CCA" w:rsidRDefault="00B01760">
      <w:pPr>
        <w:rPr>
          <w:rFonts w:eastAsia="Calibri"/>
          <w:kern w:val="2"/>
          <w:highlight w:val="yellow"/>
        </w:rPr>
      </w:pPr>
      <w:r>
        <w:rPr>
          <w:rFonts w:eastAsia="Calibri"/>
          <w:kern w:val="2"/>
          <w:highlight w:val="yellow"/>
        </w:rPr>
        <w:t>1.</w:t>
      </w:r>
    </w:p>
    <w:p w:rsidR="00307CCA" w:rsidRDefault="00B01760">
      <w:pPr>
        <w:rPr>
          <w:rFonts w:eastAsia="Calibri"/>
          <w:kern w:val="2"/>
          <w:highlight w:val="yellow"/>
        </w:rPr>
      </w:pPr>
      <w:r>
        <w:rPr>
          <w:rFonts w:eastAsia="Calibri"/>
          <w:kern w:val="2"/>
          <w:highlight w:val="yellow"/>
        </w:rPr>
        <w:t>2.</w:t>
      </w:r>
    </w:p>
    <w:p w:rsidR="00307CCA" w:rsidRDefault="00B01760">
      <w:pPr>
        <w:rPr>
          <w:rFonts w:eastAsia="Calibri"/>
          <w:kern w:val="2"/>
        </w:rPr>
      </w:pPr>
      <w:bookmarkStart w:id="3" w:name="_Hlk197682629"/>
      <w:bookmarkEnd w:id="0"/>
      <w:r>
        <w:rPr>
          <w:rFonts w:eastAsia="Calibri"/>
          <w:kern w:val="2"/>
          <w:highlight w:val="yellow"/>
        </w:rPr>
        <w:t>3.</w:t>
      </w:r>
    </w:p>
    <w:bookmarkEnd w:id="1"/>
    <w:bookmarkEnd w:id="2"/>
    <w:bookmarkEnd w:id="3"/>
    <w:p w:rsidR="00307CCA" w:rsidRDefault="00307CCA">
      <w:pPr>
        <w:spacing w:after="0" w:line="360" w:lineRule="auto"/>
        <w:jc w:val="both"/>
        <w:rPr>
          <w:rFonts w:ascii="Times New Roman" w:hAnsi="Times New Roman"/>
          <w:b/>
          <w:bCs/>
          <w:caps/>
          <w:sz w:val="24"/>
          <w:szCs w:val="24"/>
        </w:rPr>
      </w:pPr>
    </w:p>
    <w:p w:rsidR="00307CCA" w:rsidRDefault="00307CCA">
      <w:pPr>
        <w:spacing w:after="0" w:line="360" w:lineRule="auto"/>
        <w:jc w:val="both"/>
        <w:rPr>
          <w:rFonts w:ascii="Times New Roman" w:hAnsi="Times New Roman"/>
          <w:b/>
          <w:bCs/>
          <w:caps/>
          <w:sz w:val="24"/>
          <w:szCs w:val="24"/>
        </w:rPr>
      </w:pPr>
    </w:p>
    <w:p w:rsidR="00307CCA" w:rsidRDefault="00B01760">
      <w:pPr>
        <w:spacing w:after="0" w:line="360" w:lineRule="auto"/>
        <w:jc w:val="center"/>
        <w:rPr>
          <w:rFonts w:ascii="Times New Roman" w:hAnsi="Times New Roman"/>
          <w:b/>
          <w:bCs/>
          <w:caps/>
          <w:sz w:val="24"/>
          <w:szCs w:val="24"/>
        </w:rPr>
      </w:pPr>
      <w:r>
        <w:rPr>
          <w:rFonts w:ascii="Times New Roman" w:hAnsi="Times New Roman"/>
          <w:b/>
          <w:bCs/>
          <w:caps/>
          <w:sz w:val="24"/>
          <w:szCs w:val="24"/>
        </w:rPr>
        <w:t>References</w:t>
      </w:r>
    </w:p>
    <w:p w:rsidR="00307CCA" w:rsidRDefault="00307CCA">
      <w:pPr>
        <w:spacing w:after="0" w:line="240" w:lineRule="auto"/>
        <w:ind w:left="720" w:hanging="720"/>
        <w:jc w:val="both"/>
        <w:rPr>
          <w:rFonts w:ascii="Times New Roman" w:hAnsi="Times New Roman"/>
          <w:sz w:val="24"/>
          <w:szCs w:val="24"/>
        </w:rPr>
      </w:pP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Acharya, S. N., Thomas, J. E., &amp; Basu, S. K. (2006). Fenugreek (Trigonella foenum-graecum L.)—An old crop for new uses. </w:t>
      </w:r>
      <w:r>
        <w:rPr>
          <w:rFonts w:ascii="Times New Roman" w:hAnsi="Times New Roman"/>
          <w:i/>
          <w:iCs/>
          <w:sz w:val="24"/>
          <w:szCs w:val="24"/>
        </w:rPr>
        <w:t>Herbal Gram</w:t>
      </w:r>
      <w:r>
        <w:rPr>
          <w:rFonts w:ascii="Times New Roman" w:hAnsi="Times New Roman"/>
          <w:i/>
          <w:iCs/>
          <w:sz w:val="24"/>
          <w:szCs w:val="24"/>
        </w:rPr>
        <w:t>,</w:t>
      </w:r>
      <w:r>
        <w:rPr>
          <w:rFonts w:ascii="Times New Roman" w:hAnsi="Times New Roman"/>
          <w:sz w:val="24"/>
          <w:szCs w:val="24"/>
        </w:rPr>
        <w:t xml:space="preserve"> 71(Fall), 34–46.</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lastRenderedPageBreak/>
        <w:t xml:space="preserve">Ahmad, A., Alghamdi, S. S., Mahmood, K., &amp; Afzal, M. (2020). Fenugreek (Trigonella foenum-graecum L.) seed: A review of its phytochemistry and pharmacological profile. </w:t>
      </w:r>
      <w:r>
        <w:rPr>
          <w:rFonts w:ascii="Times New Roman" w:hAnsi="Times New Roman"/>
          <w:i/>
          <w:iCs/>
          <w:sz w:val="24"/>
          <w:szCs w:val="24"/>
        </w:rPr>
        <w:t>Phytotherapy Research</w:t>
      </w:r>
      <w:r>
        <w:rPr>
          <w:rFonts w:ascii="Times New Roman" w:hAnsi="Times New Roman"/>
          <w:sz w:val="24"/>
          <w:szCs w:val="24"/>
        </w:rPr>
        <w:t>, 34(2), 260–278. https://doi.org/10.1002/ptr.65</w:t>
      </w:r>
      <w:r>
        <w:rPr>
          <w:rFonts w:ascii="Times New Roman" w:hAnsi="Times New Roman"/>
          <w:sz w:val="24"/>
          <w:szCs w:val="24"/>
        </w:rPr>
        <w:t>32</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Association of Official Analytical Chemists (AOAC). (2016). Official Methods of Analysis (20th ed.). AO</w:t>
      </w:r>
      <w:r>
        <w:rPr>
          <w:rFonts w:ascii="Times New Roman" w:hAnsi="Times New Roman"/>
          <w:i/>
          <w:iCs/>
          <w:sz w:val="24"/>
          <w:szCs w:val="24"/>
        </w:rPr>
        <w:t>AC International.</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Balakrishnan, R., Natarajan, S., &amp; Shanmugasundaram, P. (2021). Comparative evaluation of antioxidant activities in selected Fabacea</w:t>
      </w:r>
      <w:r>
        <w:rPr>
          <w:rFonts w:ascii="Times New Roman" w:hAnsi="Times New Roman"/>
          <w:sz w:val="24"/>
          <w:szCs w:val="24"/>
        </w:rPr>
        <w:t xml:space="preserve">e species. </w:t>
      </w:r>
      <w:r>
        <w:rPr>
          <w:rFonts w:ascii="Times New Roman" w:hAnsi="Times New Roman"/>
          <w:i/>
          <w:iCs/>
          <w:sz w:val="24"/>
          <w:szCs w:val="24"/>
        </w:rPr>
        <w:t xml:space="preserve">Journal of Applied Pharmaceutical Science, </w:t>
      </w:r>
      <w:r>
        <w:rPr>
          <w:rFonts w:ascii="Times New Roman" w:hAnsi="Times New Roman"/>
          <w:sz w:val="24"/>
          <w:szCs w:val="24"/>
        </w:rPr>
        <w:t>11(6), 89–96. https://doi.org/10.7324/JAPS.2021.110611</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Basch, E., Ulbricht, C., Kuo, G., Szapary, P., &amp; Smith, M. (2003). Therapeutic applications of fenugreek. </w:t>
      </w:r>
      <w:r>
        <w:rPr>
          <w:rFonts w:ascii="Times New Roman" w:hAnsi="Times New Roman"/>
          <w:i/>
          <w:iCs/>
          <w:sz w:val="24"/>
          <w:szCs w:val="24"/>
        </w:rPr>
        <w:t>Alternative Medicine Review</w:t>
      </w:r>
      <w:r>
        <w:rPr>
          <w:rFonts w:ascii="Times New Roman" w:hAnsi="Times New Roman"/>
          <w:sz w:val="24"/>
          <w:szCs w:val="24"/>
        </w:rPr>
        <w:t>, 8(1), 20–27.</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Benzie, I. F. F., &amp; Strain, J. J. (1996). The ferric reducing ability of plasma (FRAP) as a measure of “antioxidant power”: The FRAP assay. </w:t>
      </w:r>
      <w:r>
        <w:rPr>
          <w:rFonts w:ascii="Times New Roman" w:hAnsi="Times New Roman"/>
          <w:i/>
          <w:iCs/>
          <w:sz w:val="24"/>
          <w:szCs w:val="24"/>
        </w:rPr>
        <w:t>Analytical Biochemistry,</w:t>
      </w:r>
      <w:r>
        <w:rPr>
          <w:rFonts w:ascii="Times New Roman" w:hAnsi="Times New Roman"/>
          <w:sz w:val="24"/>
          <w:szCs w:val="24"/>
        </w:rPr>
        <w:t xml:space="preserve"> 239(1), 70–76. https://doi.org/10.1006/abio.1996.0292</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Birben, E., Sahiner, U. M., Sackesen</w:t>
      </w:r>
      <w:r>
        <w:rPr>
          <w:rFonts w:ascii="Times New Roman" w:hAnsi="Times New Roman"/>
          <w:sz w:val="24"/>
          <w:szCs w:val="24"/>
        </w:rPr>
        <w:t xml:space="preserve">, C., Erzurum, S., &amp; Kalayci, O. (2012). Oxidative stress and antioxidant defense. </w:t>
      </w:r>
      <w:r>
        <w:rPr>
          <w:rFonts w:ascii="Times New Roman" w:hAnsi="Times New Roman"/>
          <w:i/>
          <w:iCs/>
          <w:sz w:val="24"/>
          <w:szCs w:val="24"/>
        </w:rPr>
        <w:t>World Allergy Organization Journal</w:t>
      </w:r>
      <w:r>
        <w:rPr>
          <w:rFonts w:ascii="Times New Roman" w:hAnsi="Times New Roman"/>
          <w:sz w:val="24"/>
          <w:szCs w:val="24"/>
        </w:rPr>
        <w:t>, 5(1), 9–19. https://doi.org/10.1097/WOX.0b013e3182439613</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Brand-Williams, W., Cuvelier, M. E., &amp; Berset</w:t>
      </w:r>
      <w:r>
        <w:rPr>
          <w:rFonts w:ascii="Times New Roman" w:hAnsi="Times New Roman"/>
          <w:sz w:val="24"/>
          <w:szCs w:val="24"/>
        </w:rPr>
        <w:t xml:space="preserve">, C. (1995). Use of a free radical method to evaluate antioxidant activity. LWT – </w:t>
      </w:r>
      <w:r>
        <w:rPr>
          <w:rFonts w:ascii="Times New Roman" w:hAnsi="Times New Roman"/>
          <w:i/>
          <w:iCs/>
          <w:sz w:val="24"/>
          <w:szCs w:val="24"/>
        </w:rPr>
        <w:t>Food Science and Technology,</w:t>
      </w:r>
      <w:r>
        <w:rPr>
          <w:rFonts w:ascii="Times New Roman" w:hAnsi="Times New Roman"/>
          <w:sz w:val="24"/>
          <w:szCs w:val="24"/>
        </w:rPr>
        <w:t xml:space="preserve"> 28(1), 25–30. https://doi.org/10.1016/S0023-6438(95)80008-5</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Chang, C. C., Yang, M. H., Wen, H. M., &amp; Chern, J. C. (2002). Estimation of total fla</w:t>
      </w:r>
      <w:r>
        <w:rPr>
          <w:rFonts w:ascii="Times New Roman" w:hAnsi="Times New Roman"/>
          <w:sz w:val="24"/>
          <w:szCs w:val="24"/>
        </w:rPr>
        <w:t xml:space="preserve">vonoid content in propolis by two complementary colorimetric methods. </w:t>
      </w:r>
      <w:r>
        <w:rPr>
          <w:rFonts w:ascii="Times New Roman" w:hAnsi="Times New Roman"/>
          <w:i/>
          <w:iCs/>
          <w:sz w:val="24"/>
          <w:szCs w:val="24"/>
        </w:rPr>
        <w:t xml:space="preserve">Journal of Food and Drug Analysis, </w:t>
      </w:r>
      <w:r>
        <w:rPr>
          <w:rFonts w:ascii="Times New Roman" w:hAnsi="Times New Roman"/>
          <w:sz w:val="24"/>
          <w:szCs w:val="24"/>
        </w:rPr>
        <w:t>10(3), 178–182.</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Devi, R., Jain, S. C., &amp; Bhattacharya, S. (2016). Evaluation of antioxidant activity of fenugreek seed extract. </w:t>
      </w:r>
      <w:r>
        <w:rPr>
          <w:rFonts w:ascii="Times New Roman" w:hAnsi="Times New Roman"/>
          <w:i/>
          <w:iCs/>
          <w:sz w:val="24"/>
          <w:szCs w:val="24"/>
        </w:rPr>
        <w:t>International Journal o</w:t>
      </w:r>
      <w:r>
        <w:rPr>
          <w:rFonts w:ascii="Times New Roman" w:hAnsi="Times New Roman"/>
          <w:i/>
          <w:iCs/>
          <w:sz w:val="24"/>
          <w:szCs w:val="24"/>
        </w:rPr>
        <w:t>f Pharmaceutical Sciences and Research,</w:t>
      </w:r>
      <w:r>
        <w:rPr>
          <w:rFonts w:ascii="Times New Roman" w:hAnsi="Times New Roman"/>
          <w:sz w:val="24"/>
          <w:szCs w:val="24"/>
        </w:rPr>
        <w:t xml:space="preserve"> 7(2), 836–842.</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Dixit, P., Ghaskadbi, S., Mohan, H., &amp; Devasagayam, T. P. A. (2005). Antioxidant properties of germinated fenugreek seeds. </w:t>
      </w:r>
      <w:r>
        <w:rPr>
          <w:rFonts w:ascii="Times New Roman" w:hAnsi="Times New Roman"/>
          <w:i/>
          <w:iCs/>
          <w:sz w:val="24"/>
          <w:szCs w:val="24"/>
        </w:rPr>
        <w:t xml:space="preserve">Phytotherapy Research, </w:t>
      </w:r>
      <w:r>
        <w:rPr>
          <w:rFonts w:ascii="Times New Roman" w:hAnsi="Times New Roman"/>
          <w:sz w:val="24"/>
          <w:szCs w:val="24"/>
        </w:rPr>
        <w:t>19(11), 977–983. https://doi.org/10.1002/ptr.1769</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Do, Q. D., Angkawijaya, A. E., Tran-Nguyen, P. L., Huynh, L. H., Soetaredjo, F. E., Ismadji, S., &amp; Ju, Y. H. (2014). Effect of extraction solvent on total phenol content, total flavonoid </w:t>
      </w:r>
      <w:r>
        <w:rPr>
          <w:rFonts w:ascii="Times New Roman" w:hAnsi="Times New Roman"/>
          <w:sz w:val="24"/>
          <w:szCs w:val="24"/>
        </w:rPr>
        <w:lastRenderedPageBreak/>
        <w:t>content, and antioxidant activity of Limnophila aromatica.</w:t>
      </w:r>
      <w:r>
        <w:rPr>
          <w:rFonts w:ascii="Times New Roman" w:hAnsi="Times New Roman"/>
          <w:i/>
          <w:iCs/>
          <w:sz w:val="24"/>
          <w:szCs w:val="24"/>
        </w:rPr>
        <w:t xml:space="preserve"> Journal of</w:t>
      </w:r>
      <w:r>
        <w:rPr>
          <w:rFonts w:ascii="Times New Roman" w:hAnsi="Times New Roman"/>
          <w:i/>
          <w:iCs/>
          <w:sz w:val="24"/>
          <w:szCs w:val="24"/>
        </w:rPr>
        <w:t xml:space="preserve"> Food and Drug Analysis</w:t>
      </w:r>
      <w:r>
        <w:rPr>
          <w:rFonts w:ascii="Times New Roman" w:hAnsi="Times New Roman"/>
          <w:sz w:val="24"/>
          <w:szCs w:val="24"/>
        </w:rPr>
        <w:t>, 22(3), 296–302. https://doi.org/10.1016/j.jfda.2013.11.001</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Edeoga, H. O., Okwu, D. E., &amp; Mbaebie, B. O. (2005). Phytochemical constituents of some Nigerian medicinal plants. </w:t>
      </w:r>
      <w:r>
        <w:rPr>
          <w:rFonts w:ascii="Times New Roman" w:hAnsi="Times New Roman"/>
          <w:i/>
          <w:iCs/>
          <w:sz w:val="24"/>
          <w:szCs w:val="24"/>
        </w:rPr>
        <w:t>African Journal of Biotechnology</w:t>
      </w:r>
      <w:r>
        <w:rPr>
          <w:rFonts w:ascii="Times New Roman" w:hAnsi="Times New Roman"/>
          <w:sz w:val="24"/>
          <w:szCs w:val="24"/>
        </w:rPr>
        <w:t>, 4(7), 685–688. https://</w:t>
      </w:r>
      <w:r>
        <w:rPr>
          <w:rFonts w:ascii="Times New Roman" w:hAnsi="Times New Roman"/>
          <w:sz w:val="24"/>
          <w:szCs w:val="24"/>
        </w:rPr>
        <w:t>doi.org/10.5897/AJB2005.000-3127</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Evans, W. C. (2002). Trease and Evans’ </w:t>
      </w:r>
      <w:r>
        <w:rPr>
          <w:rFonts w:ascii="Times New Roman" w:hAnsi="Times New Roman"/>
          <w:i/>
          <w:iCs/>
          <w:sz w:val="24"/>
          <w:szCs w:val="24"/>
        </w:rPr>
        <w:t>Pharmacognosy</w:t>
      </w:r>
      <w:r>
        <w:rPr>
          <w:rFonts w:ascii="Times New Roman" w:hAnsi="Times New Roman"/>
          <w:sz w:val="24"/>
          <w:szCs w:val="24"/>
        </w:rPr>
        <w:t xml:space="preserve"> (15th ed.). W. B. Saunders.</w:t>
      </w:r>
    </w:p>
    <w:p w:rsidR="00307CCA" w:rsidRDefault="00B01760">
      <w:pPr>
        <w:spacing w:after="0" w:line="360" w:lineRule="auto"/>
        <w:jc w:val="both"/>
        <w:rPr>
          <w:rFonts w:ascii="Times New Roman" w:hAnsi="Times New Roman"/>
          <w:sz w:val="24"/>
          <w:szCs w:val="24"/>
        </w:rPr>
      </w:pPr>
      <w:r>
        <w:rPr>
          <w:rFonts w:ascii="Times New Roman" w:hAnsi="Times New Roman"/>
          <w:sz w:val="24"/>
          <w:szCs w:val="24"/>
        </w:rPr>
        <w:t>Ferguson, N. M. (1956).</w:t>
      </w:r>
      <w:r>
        <w:rPr>
          <w:rFonts w:ascii="Times New Roman" w:hAnsi="Times New Roman"/>
          <w:i/>
          <w:iCs/>
          <w:sz w:val="24"/>
          <w:szCs w:val="24"/>
        </w:rPr>
        <w:t xml:space="preserve"> A Textbook of Pharmacognosy</w:t>
      </w:r>
      <w:r>
        <w:rPr>
          <w:rFonts w:ascii="Times New Roman" w:hAnsi="Times New Roman"/>
          <w:sz w:val="24"/>
          <w:szCs w:val="24"/>
        </w:rPr>
        <w:t xml:space="preserve"> (2nd ed.). MacMillan Company.</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Ghosh, S., &amp; Das, S. (2022). Bioactive potential of saponins</w:t>
      </w:r>
      <w:r>
        <w:rPr>
          <w:rFonts w:ascii="Times New Roman" w:hAnsi="Times New Roman"/>
          <w:sz w:val="24"/>
          <w:szCs w:val="24"/>
        </w:rPr>
        <w:t xml:space="preserve"> from medicinal plants: Pharmacological and nutraceutical significance. </w:t>
      </w:r>
      <w:r>
        <w:rPr>
          <w:rFonts w:ascii="Times New Roman" w:hAnsi="Times New Roman"/>
          <w:i/>
          <w:iCs/>
          <w:sz w:val="24"/>
          <w:szCs w:val="24"/>
        </w:rPr>
        <w:t>Frontiers in Pharmacology</w:t>
      </w:r>
      <w:r>
        <w:rPr>
          <w:rFonts w:ascii="Times New Roman" w:hAnsi="Times New Roman"/>
          <w:sz w:val="24"/>
          <w:szCs w:val="24"/>
        </w:rPr>
        <w:t>, 13, 876342.</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Green, L. C., Wagner, D. A., Glogowski, J., Skipper, P. L., Wishnok, J. S., &amp; Tannenbaum, S. R. (1982). Analysis of nitrate, nitrite, and [15N]ni</w:t>
      </w:r>
      <w:r>
        <w:rPr>
          <w:rFonts w:ascii="Times New Roman" w:hAnsi="Times New Roman"/>
          <w:sz w:val="24"/>
          <w:szCs w:val="24"/>
        </w:rPr>
        <w:t xml:space="preserve">trate in biological fluids. </w:t>
      </w:r>
      <w:r>
        <w:rPr>
          <w:rFonts w:ascii="Times New Roman" w:hAnsi="Times New Roman"/>
          <w:i/>
          <w:iCs/>
          <w:sz w:val="24"/>
          <w:szCs w:val="24"/>
        </w:rPr>
        <w:t>Analytical Biochemistry,</w:t>
      </w:r>
      <w:r>
        <w:rPr>
          <w:rFonts w:ascii="Times New Roman" w:hAnsi="Times New Roman"/>
          <w:sz w:val="24"/>
          <w:szCs w:val="24"/>
        </w:rPr>
        <w:t xml:space="preserve"> 126(1), 131–138. https://doi.org/10.1016/0003-2697(82)90118-X.</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Halliwell, B., &amp; Gutteridge, J. M. C. (2015). Free radicals in biology and medicine (5th ed.). </w:t>
      </w:r>
      <w:r>
        <w:rPr>
          <w:rFonts w:ascii="Times New Roman" w:hAnsi="Times New Roman"/>
          <w:i/>
          <w:iCs/>
          <w:sz w:val="24"/>
          <w:szCs w:val="24"/>
        </w:rPr>
        <w:t>Oxford University Press</w:t>
      </w:r>
      <w:r>
        <w:rPr>
          <w:rFonts w:ascii="Times New Roman" w:hAnsi="Times New Roman"/>
          <w:sz w:val="24"/>
          <w:szCs w:val="24"/>
        </w:rPr>
        <w:t>.</w:t>
      </w:r>
    </w:p>
    <w:p w:rsidR="00307CCA" w:rsidRDefault="00B01760">
      <w:pPr>
        <w:spacing w:after="0" w:line="360" w:lineRule="auto"/>
        <w:ind w:left="720" w:hanging="720"/>
        <w:jc w:val="both"/>
        <w:rPr>
          <w:rFonts w:ascii="Times New Roman" w:hAnsi="Times New Roman"/>
          <w:i/>
          <w:iCs/>
          <w:sz w:val="24"/>
          <w:szCs w:val="24"/>
        </w:rPr>
      </w:pPr>
      <w:r>
        <w:rPr>
          <w:rFonts w:ascii="Times New Roman" w:hAnsi="Times New Roman"/>
          <w:sz w:val="24"/>
          <w:szCs w:val="24"/>
        </w:rPr>
        <w:t>Harborne, J. B. (199</w:t>
      </w:r>
      <w:r>
        <w:rPr>
          <w:rFonts w:ascii="Times New Roman" w:hAnsi="Times New Roman"/>
          <w:sz w:val="24"/>
          <w:szCs w:val="24"/>
        </w:rPr>
        <w:t xml:space="preserve">8). Phytochemical methods: A guide to modern techniques of plant analysis (3rd ed.). </w:t>
      </w:r>
      <w:r>
        <w:rPr>
          <w:rFonts w:ascii="Times New Roman" w:hAnsi="Times New Roman"/>
          <w:i/>
          <w:iCs/>
          <w:sz w:val="24"/>
          <w:szCs w:val="24"/>
        </w:rPr>
        <w:t>Chapman and Hall.</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Kaviarasan, S., Naik, G. H., Gangabhagirathi, R., Anuradha, C. V., &amp; Priyadarsini, K. I. (2007). In vitro studies on antioxidant properties of fenugreek </w:t>
      </w:r>
      <w:r>
        <w:rPr>
          <w:rFonts w:ascii="Times New Roman" w:hAnsi="Times New Roman"/>
          <w:sz w:val="24"/>
          <w:szCs w:val="24"/>
        </w:rPr>
        <w:t>(</w:t>
      </w:r>
      <w:r>
        <w:rPr>
          <w:rFonts w:ascii="Times New Roman" w:hAnsi="Times New Roman"/>
          <w:i/>
          <w:iCs/>
          <w:sz w:val="24"/>
          <w:szCs w:val="24"/>
        </w:rPr>
        <w:t>Trigonella foenum-graecum</w:t>
      </w:r>
      <w:r>
        <w:rPr>
          <w:rFonts w:ascii="Times New Roman" w:hAnsi="Times New Roman"/>
          <w:sz w:val="24"/>
          <w:szCs w:val="24"/>
        </w:rPr>
        <w:t xml:space="preserve">) seeds. </w:t>
      </w:r>
      <w:r>
        <w:rPr>
          <w:rFonts w:ascii="Times New Roman" w:hAnsi="Times New Roman"/>
          <w:i/>
          <w:iCs/>
          <w:sz w:val="24"/>
          <w:szCs w:val="24"/>
        </w:rPr>
        <w:t>Food Chemistry</w:t>
      </w:r>
      <w:r>
        <w:rPr>
          <w:rFonts w:ascii="Times New Roman" w:hAnsi="Times New Roman"/>
          <w:sz w:val="24"/>
          <w:szCs w:val="24"/>
        </w:rPr>
        <w:t>, 103(1), 31–37.</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Kumar, S., Sharma, A., &amp; Singh, R. (2021). Phytochemical composition and antioxidant potential of fenugreek (</w:t>
      </w:r>
      <w:r>
        <w:rPr>
          <w:rFonts w:ascii="Times New Roman" w:hAnsi="Times New Roman"/>
          <w:i/>
          <w:iCs/>
          <w:sz w:val="24"/>
          <w:szCs w:val="24"/>
        </w:rPr>
        <w:t>Trigonella foenum-graecum L.</w:t>
      </w:r>
      <w:r>
        <w:rPr>
          <w:rFonts w:ascii="Times New Roman" w:hAnsi="Times New Roman"/>
          <w:sz w:val="24"/>
          <w:szCs w:val="24"/>
        </w:rPr>
        <w:t xml:space="preserve">) extracts. </w:t>
      </w:r>
      <w:r>
        <w:rPr>
          <w:rFonts w:ascii="Times New Roman" w:hAnsi="Times New Roman"/>
          <w:i/>
          <w:iCs/>
          <w:sz w:val="24"/>
          <w:szCs w:val="24"/>
        </w:rPr>
        <w:t>Journal of Food Biochemistry</w:t>
      </w:r>
      <w:r>
        <w:rPr>
          <w:rFonts w:ascii="Times New Roman" w:hAnsi="Times New Roman"/>
          <w:sz w:val="24"/>
          <w:szCs w:val="24"/>
        </w:rPr>
        <w:t>, 45(6), e137</w:t>
      </w:r>
      <w:r>
        <w:rPr>
          <w:rFonts w:ascii="Times New Roman" w:hAnsi="Times New Roman"/>
          <w:sz w:val="24"/>
          <w:szCs w:val="24"/>
        </w:rPr>
        <w:t>15.</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Kumar, P., &amp; Gupta, V. K. (2020). Phytochemical and pharmacological profile of </w:t>
      </w:r>
      <w:r>
        <w:rPr>
          <w:rFonts w:ascii="Times New Roman" w:hAnsi="Times New Roman"/>
          <w:i/>
          <w:iCs/>
          <w:sz w:val="24"/>
          <w:szCs w:val="24"/>
        </w:rPr>
        <w:t>Trigonella foenum-graecum</w:t>
      </w:r>
      <w:r>
        <w:rPr>
          <w:rFonts w:ascii="Times New Roman" w:hAnsi="Times New Roman"/>
          <w:sz w:val="24"/>
          <w:szCs w:val="24"/>
        </w:rPr>
        <w:t xml:space="preserve">: A review. </w:t>
      </w:r>
      <w:r>
        <w:rPr>
          <w:rFonts w:ascii="Times New Roman" w:hAnsi="Times New Roman"/>
          <w:i/>
          <w:iCs/>
          <w:sz w:val="24"/>
          <w:szCs w:val="24"/>
        </w:rPr>
        <w:t xml:space="preserve">International Journal of Chemical Studies, </w:t>
      </w:r>
      <w:r>
        <w:rPr>
          <w:rFonts w:ascii="Times New Roman" w:hAnsi="Times New Roman"/>
          <w:sz w:val="24"/>
          <w:szCs w:val="24"/>
        </w:rPr>
        <w:t>8(1), 310–316.</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Kumar, S., Pandey, A. K., &amp; Singh, A. (2017). Antioxidant and free radical sca</w:t>
      </w:r>
      <w:r>
        <w:rPr>
          <w:rFonts w:ascii="Times New Roman" w:hAnsi="Times New Roman"/>
          <w:sz w:val="24"/>
          <w:szCs w:val="24"/>
        </w:rPr>
        <w:t xml:space="preserve">venging activities of phenolic and flavonoid compounds: A review. </w:t>
      </w:r>
      <w:r>
        <w:rPr>
          <w:rFonts w:ascii="Times New Roman" w:hAnsi="Times New Roman"/>
          <w:i/>
          <w:iCs/>
          <w:sz w:val="24"/>
          <w:szCs w:val="24"/>
        </w:rPr>
        <w:t xml:space="preserve">Journal of Plant Biochemistry and Physiology, </w:t>
      </w:r>
      <w:r>
        <w:rPr>
          <w:rFonts w:ascii="Times New Roman" w:hAnsi="Times New Roman"/>
          <w:sz w:val="24"/>
          <w:szCs w:val="24"/>
        </w:rPr>
        <w:t>5(3), 218–227. https://doi.org/10.4172/2329-9029.1000218</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Lobo, V., Patil, A., Phatak, A., &amp; Chandra, N. (2010). Free radicals, antioxidants and </w:t>
      </w:r>
      <w:r>
        <w:rPr>
          <w:rFonts w:ascii="Times New Roman" w:hAnsi="Times New Roman"/>
          <w:sz w:val="24"/>
          <w:szCs w:val="24"/>
        </w:rPr>
        <w:t xml:space="preserve">functional foods: Impact on human health. </w:t>
      </w:r>
      <w:r>
        <w:rPr>
          <w:rFonts w:ascii="Times New Roman" w:hAnsi="Times New Roman"/>
          <w:i/>
          <w:iCs/>
          <w:sz w:val="24"/>
          <w:szCs w:val="24"/>
        </w:rPr>
        <w:t>Pharmacognosy Reviews,</w:t>
      </w:r>
      <w:r>
        <w:rPr>
          <w:rFonts w:ascii="Times New Roman" w:hAnsi="Times New Roman"/>
          <w:sz w:val="24"/>
          <w:szCs w:val="24"/>
        </w:rPr>
        <w:t xml:space="preserve"> 4(8), 118–126. https://doi.org/10.4103/0973-7847.70902</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lastRenderedPageBreak/>
        <w:t>Meghwal, M., &amp; Goswami, T. K. (2012). A review on the functional properties, nutritional content, medicinal utilization and potential ap</w:t>
      </w:r>
      <w:r>
        <w:rPr>
          <w:rFonts w:ascii="Times New Roman" w:hAnsi="Times New Roman"/>
          <w:sz w:val="24"/>
          <w:szCs w:val="24"/>
        </w:rPr>
        <w:t xml:space="preserve">plication of fenugreek. </w:t>
      </w:r>
      <w:r>
        <w:rPr>
          <w:rFonts w:ascii="Times New Roman" w:hAnsi="Times New Roman"/>
          <w:i/>
          <w:iCs/>
          <w:sz w:val="24"/>
          <w:szCs w:val="24"/>
        </w:rPr>
        <w:t xml:space="preserve">Journal of Food Processing &amp; Technology, </w:t>
      </w:r>
      <w:r>
        <w:rPr>
          <w:rFonts w:ascii="Times New Roman" w:hAnsi="Times New Roman"/>
          <w:sz w:val="24"/>
          <w:szCs w:val="24"/>
        </w:rPr>
        <w:t>3(9), 181. https://doi.org/10.4172/2157-7110.1000181</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Middleton, E., Kandaswami, C., &amp; Theoharides, T. C. (2000). The effects of plant flavonoids on mammalian cells: Implications for inflammat</w:t>
      </w:r>
      <w:r>
        <w:rPr>
          <w:rFonts w:ascii="Times New Roman" w:hAnsi="Times New Roman"/>
          <w:sz w:val="24"/>
          <w:szCs w:val="24"/>
        </w:rPr>
        <w:t xml:space="preserve">ion, heart disease, and cancer. </w:t>
      </w:r>
      <w:r>
        <w:rPr>
          <w:rFonts w:ascii="Times New Roman" w:hAnsi="Times New Roman"/>
          <w:i/>
          <w:iCs/>
          <w:sz w:val="24"/>
          <w:szCs w:val="24"/>
        </w:rPr>
        <w:t>Pharmacological Reviews,</w:t>
      </w:r>
      <w:r>
        <w:rPr>
          <w:rFonts w:ascii="Times New Roman" w:hAnsi="Times New Roman"/>
          <w:sz w:val="24"/>
          <w:szCs w:val="24"/>
        </w:rPr>
        <w:t xml:space="preserve"> 52(4), 673–751.</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Obadoni, B. O., &amp; Ochuko, P. O. (2001). Phytochemical studies and comparative efficacy of the crude extracts of some haemostatic plants in Edo and Delta States of Nigeria. </w:t>
      </w:r>
      <w:r>
        <w:rPr>
          <w:rFonts w:ascii="Times New Roman" w:hAnsi="Times New Roman"/>
          <w:i/>
          <w:iCs/>
          <w:sz w:val="24"/>
          <w:szCs w:val="24"/>
        </w:rPr>
        <w:t xml:space="preserve">Global Journal of Pure and Applied Sciences, </w:t>
      </w:r>
      <w:r>
        <w:rPr>
          <w:rFonts w:ascii="Times New Roman" w:hAnsi="Times New Roman"/>
          <w:sz w:val="24"/>
          <w:szCs w:val="24"/>
        </w:rPr>
        <w:t>8(2), 203–208. https://doi.org/10.4314/gjpas.v8i2.16033</w:t>
      </w:r>
      <w:r>
        <w:rPr>
          <w:rFonts w:ascii="Times New Roman" w:hAnsi="Times New Roman"/>
          <w:sz w:val="24"/>
          <w:szCs w:val="24"/>
        </w:rPr>
        <w:t>.</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Olawale, F., Adewale, A., &amp; Ajayi, O. (2022). Cardioprotective and endocrine-modulating effects of fenugreek seed extract in experimental models. BMC </w:t>
      </w:r>
      <w:r>
        <w:rPr>
          <w:rFonts w:ascii="Times New Roman" w:hAnsi="Times New Roman"/>
          <w:i/>
          <w:iCs/>
          <w:sz w:val="24"/>
          <w:szCs w:val="24"/>
        </w:rPr>
        <w:t>Comp</w:t>
      </w:r>
      <w:r>
        <w:rPr>
          <w:rFonts w:ascii="Times New Roman" w:hAnsi="Times New Roman"/>
          <w:i/>
          <w:iCs/>
          <w:sz w:val="24"/>
          <w:szCs w:val="24"/>
        </w:rPr>
        <w:t>lementary Medicine and Therapies</w:t>
      </w:r>
      <w:r>
        <w:rPr>
          <w:rFonts w:ascii="Times New Roman" w:hAnsi="Times New Roman"/>
          <w:sz w:val="24"/>
          <w:szCs w:val="24"/>
        </w:rPr>
        <w:t>, 22(1), 49.</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Patel, D., Desai, S., &amp; Patel, N. (2019). Phytochemical screening and antioxidant activity of fenugreek (Trigonella foenum-graecum) seeds. </w:t>
      </w:r>
      <w:r>
        <w:rPr>
          <w:rFonts w:ascii="Times New Roman" w:hAnsi="Times New Roman"/>
          <w:i/>
          <w:iCs/>
          <w:sz w:val="24"/>
          <w:szCs w:val="24"/>
        </w:rPr>
        <w:t>International Journal of Pharmaceutical Sciences and Research,</w:t>
      </w:r>
      <w:r>
        <w:rPr>
          <w:rFonts w:ascii="Times New Roman" w:hAnsi="Times New Roman"/>
          <w:sz w:val="24"/>
          <w:szCs w:val="24"/>
        </w:rPr>
        <w:t xml:space="preserve"> 10(7), 33</w:t>
      </w:r>
      <w:r>
        <w:rPr>
          <w:rFonts w:ascii="Times New Roman" w:hAnsi="Times New Roman"/>
          <w:sz w:val="24"/>
          <w:szCs w:val="24"/>
        </w:rPr>
        <w:t>42–3348. https://doi.org/10.13040/IJPSR.0975-8232.10(7).3342-48</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Pisoschi, A. M., &amp; Pop, A. (2015). The role of antioxidants in the chemistry of oxidative stress: A review. </w:t>
      </w:r>
      <w:r>
        <w:rPr>
          <w:rFonts w:ascii="Times New Roman" w:hAnsi="Times New Roman"/>
          <w:i/>
          <w:iCs/>
          <w:sz w:val="24"/>
          <w:szCs w:val="24"/>
        </w:rPr>
        <w:t xml:space="preserve">European Journal of Medicinal Chemistry, </w:t>
      </w:r>
      <w:r>
        <w:rPr>
          <w:rFonts w:ascii="Times New Roman" w:hAnsi="Times New Roman"/>
          <w:sz w:val="24"/>
          <w:szCs w:val="24"/>
        </w:rPr>
        <w:t>97, 55–74. https://doi.org/10.1016/j.ejmech</w:t>
      </w:r>
      <w:r>
        <w:rPr>
          <w:rFonts w:ascii="Times New Roman" w:hAnsi="Times New Roman"/>
          <w:sz w:val="24"/>
          <w:szCs w:val="24"/>
        </w:rPr>
        <w:t>.2015.04.040</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Shahidi, F., &amp; Ambigaipalan, P. (2015). Phenolics and polyphenolics in foods, beverages and spices: Antioxidant activity and health effects – A review. </w:t>
      </w:r>
      <w:r>
        <w:rPr>
          <w:rFonts w:ascii="Times New Roman" w:hAnsi="Times New Roman"/>
          <w:i/>
          <w:iCs/>
          <w:sz w:val="24"/>
          <w:szCs w:val="24"/>
        </w:rPr>
        <w:t>Journal of Functional Foods</w:t>
      </w:r>
      <w:r>
        <w:rPr>
          <w:rFonts w:ascii="Times New Roman" w:hAnsi="Times New Roman"/>
          <w:sz w:val="24"/>
          <w:szCs w:val="24"/>
        </w:rPr>
        <w:t>, 18(B), 820–897. https://doi.org/10.1016/j.jff.2015.06.018</w:t>
      </w:r>
    </w:p>
    <w:p w:rsidR="00307CCA" w:rsidRDefault="00B01760">
      <w:pPr>
        <w:spacing w:after="0" w:line="360" w:lineRule="auto"/>
        <w:ind w:left="720" w:hanging="720"/>
        <w:jc w:val="both"/>
        <w:rPr>
          <w:rFonts w:ascii="Times New Roman" w:hAnsi="Times New Roman"/>
          <w:sz w:val="24"/>
          <w:szCs w:val="24"/>
        </w:rPr>
      </w:pPr>
      <w:r>
        <w:t>Sidd</w:t>
      </w:r>
      <w:r>
        <w:t xml:space="preserve">huraju, P., &amp; Becker, K. (2007). The antioxidant and free radical scavenging activities of processed cowpea (Vigna unguiculata) and </w:t>
      </w:r>
      <w:r>
        <w:rPr>
          <w:i/>
          <w:iCs/>
        </w:rPr>
        <w:t>Trigonella foenum-graecum</w:t>
      </w:r>
      <w:r>
        <w:t xml:space="preserve"> seeds. </w:t>
      </w:r>
      <w:r>
        <w:rPr>
          <w:i/>
          <w:iCs/>
        </w:rPr>
        <w:t xml:space="preserve">Food Chemistry, </w:t>
      </w:r>
      <w:r>
        <w:t>101(1), 10–19.</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Singh, R., Tiwari, S., &amp; Tripathi, S. (2019). Biological sig</w:t>
      </w:r>
      <w:r>
        <w:rPr>
          <w:rFonts w:ascii="Times New Roman" w:hAnsi="Times New Roman"/>
          <w:sz w:val="24"/>
          <w:szCs w:val="24"/>
        </w:rPr>
        <w:t>nificance of alkaloids in plant defense and human health</w:t>
      </w:r>
      <w:r>
        <w:rPr>
          <w:rFonts w:ascii="Times New Roman" w:hAnsi="Times New Roman"/>
          <w:i/>
          <w:iCs/>
          <w:sz w:val="24"/>
          <w:szCs w:val="24"/>
        </w:rPr>
        <w:t>. Plant Science Today</w:t>
      </w:r>
      <w:r>
        <w:rPr>
          <w:rFonts w:ascii="Times New Roman" w:hAnsi="Times New Roman"/>
          <w:sz w:val="24"/>
          <w:szCs w:val="24"/>
        </w:rPr>
        <w:t>, 6(4), 373–379.</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Sowmya, P., &amp; Rajyalakshmi, P. (1999). Hypocholesterolemic effect of germinated fenugreek seeds in human subjects. </w:t>
      </w:r>
      <w:r>
        <w:rPr>
          <w:rFonts w:ascii="Times New Roman" w:hAnsi="Times New Roman"/>
          <w:i/>
          <w:iCs/>
          <w:sz w:val="24"/>
          <w:szCs w:val="24"/>
        </w:rPr>
        <w:t xml:space="preserve">Plant Foods for Human Nutrition, </w:t>
      </w:r>
      <w:r>
        <w:rPr>
          <w:rFonts w:ascii="Times New Roman" w:hAnsi="Times New Roman"/>
          <w:sz w:val="24"/>
          <w:szCs w:val="24"/>
        </w:rPr>
        <w:t xml:space="preserve">53(4), </w:t>
      </w:r>
      <w:r>
        <w:rPr>
          <w:rFonts w:ascii="Times New Roman" w:hAnsi="Times New Roman"/>
          <w:sz w:val="24"/>
          <w:szCs w:val="24"/>
        </w:rPr>
        <w:t>359–365. https://doi.org/10.1023/A:1008044215851</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lastRenderedPageBreak/>
        <w:t xml:space="preserve">Sowmya, P., &amp; Rajyalakshmi, P. (2018). Antioxidant and lipid-lowering potential of fenugreek (Trigonella foenum-graecum) seeds. </w:t>
      </w:r>
      <w:r>
        <w:rPr>
          <w:rFonts w:ascii="Times New Roman" w:hAnsi="Times New Roman"/>
          <w:i/>
          <w:iCs/>
          <w:sz w:val="24"/>
          <w:szCs w:val="24"/>
        </w:rPr>
        <w:t xml:space="preserve">Journal of Medicinal Food, </w:t>
      </w:r>
      <w:r>
        <w:rPr>
          <w:rFonts w:ascii="Times New Roman" w:hAnsi="Times New Roman"/>
          <w:sz w:val="24"/>
          <w:szCs w:val="24"/>
        </w:rPr>
        <w:t>21(10), 1002–1009. https://doi.org/10.1089/jmf.2018.</w:t>
      </w:r>
      <w:r>
        <w:rPr>
          <w:rFonts w:ascii="Times New Roman" w:hAnsi="Times New Roman"/>
          <w:sz w:val="24"/>
          <w:szCs w:val="24"/>
        </w:rPr>
        <w:t>0010</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Srinivasan, K. (2006). Fenugreek (Trigonella foenum-graecum): A review of its diverse physiological effects. </w:t>
      </w:r>
      <w:r>
        <w:rPr>
          <w:rFonts w:ascii="Times New Roman" w:hAnsi="Times New Roman"/>
          <w:i/>
          <w:iCs/>
          <w:sz w:val="24"/>
          <w:szCs w:val="24"/>
        </w:rPr>
        <w:t xml:space="preserve">Critical Reviews in Food Science and Nutrition, </w:t>
      </w:r>
      <w:r>
        <w:rPr>
          <w:rFonts w:ascii="Times New Roman" w:hAnsi="Times New Roman"/>
          <w:sz w:val="24"/>
          <w:szCs w:val="24"/>
        </w:rPr>
        <w:t>46(6), 507–512. https://doi.org/10.1080/10408390500295464</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Thaipong, K., Boonprakob, U., Crosby</w:t>
      </w:r>
      <w:r>
        <w:rPr>
          <w:rFonts w:ascii="Times New Roman" w:hAnsi="Times New Roman"/>
          <w:sz w:val="24"/>
          <w:szCs w:val="24"/>
        </w:rPr>
        <w:t xml:space="preserve">, K., Cisneros-Zevallos, L., &amp; Byrne, D. H. (2006). Comparison of ABTS, DPPH, FRAP, and ORAC assays for estimating antioxidant activity from guava fruit extracts. </w:t>
      </w:r>
      <w:r>
        <w:rPr>
          <w:rFonts w:ascii="Times New Roman" w:hAnsi="Times New Roman"/>
          <w:i/>
          <w:iCs/>
          <w:sz w:val="24"/>
          <w:szCs w:val="24"/>
        </w:rPr>
        <w:t xml:space="preserve">Journal of Food Composition and Analysis, </w:t>
      </w:r>
      <w:r>
        <w:rPr>
          <w:rFonts w:ascii="Times New Roman" w:hAnsi="Times New Roman"/>
          <w:sz w:val="24"/>
          <w:szCs w:val="24"/>
        </w:rPr>
        <w:t>19(6–7), 669–675. https://doi.org/10.1016/j.jfca.20</w:t>
      </w:r>
      <w:r>
        <w:rPr>
          <w:rFonts w:ascii="Times New Roman" w:hAnsi="Times New Roman"/>
          <w:sz w:val="24"/>
          <w:szCs w:val="24"/>
        </w:rPr>
        <w:t>06.01.003</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Tiwari, P., Kumar, B., Kaur, M., Kaur, G., &amp; Kaur, H. (2011). Phytochemical screening and extraction: A review. </w:t>
      </w:r>
      <w:r>
        <w:rPr>
          <w:rFonts w:ascii="Times New Roman" w:hAnsi="Times New Roman"/>
          <w:i/>
          <w:iCs/>
          <w:sz w:val="24"/>
          <w:szCs w:val="24"/>
        </w:rPr>
        <w:t>International Pharmaceutica Sciencia</w:t>
      </w:r>
      <w:r>
        <w:rPr>
          <w:rFonts w:ascii="Times New Roman" w:hAnsi="Times New Roman"/>
          <w:sz w:val="24"/>
          <w:szCs w:val="24"/>
        </w:rPr>
        <w:t>, 1(1), 98–106.</w:t>
      </w:r>
    </w:p>
    <w:p w:rsidR="00307CCA" w:rsidRDefault="00B01760">
      <w:pPr>
        <w:spacing w:after="0" w:line="360" w:lineRule="auto"/>
        <w:ind w:left="720" w:hanging="720"/>
        <w:jc w:val="both"/>
        <w:rPr>
          <w:rFonts w:ascii="Times New Roman" w:hAnsi="Times New Roman"/>
          <w:sz w:val="24"/>
          <w:szCs w:val="24"/>
        </w:rPr>
      </w:pPr>
      <w:r>
        <w:rPr>
          <w:rFonts w:ascii="Times New Roman" w:hAnsi="Times New Roman"/>
          <w:sz w:val="24"/>
          <w:szCs w:val="24"/>
        </w:rPr>
        <w:t>Yadav, D. K., Singh, N., &amp; Sharma, P. (2020). Tannins and terpenoids: Natural anti</w:t>
      </w:r>
      <w:r>
        <w:rPr>
          <w:rFonts w:ascii="Times New Roman" w:hAnsi="Times New Roman"/>
          <w:sz w:val="24"/>
          <w:szCs w:val="24"/>
        </w:rPr>
        <w:t xml:space="preserve">oxidants with health-promoting potential. </w:t>
      </w:r>
      <w:r>
        <w:rPr>
          <w:rFonts w:ascii="Times New Roman" w:hAnsi="Times New Roman"/>
          <w:i/>
          <w:iCs/>
          <w:sz w:val="24"/>
          <w:szCs w:val="24"/>
        </w:rPr>
        <w:t>Current Research in Food Science</w:t>
      </w:r>
      <w:r>
        <w:rPr>
          <w:rFonts w:ascii="Times New Roman" w:hAnsi="Times New Roman"/>
          <w:sz w:val="24"/>
          <w:szCs w:val="24"/>
        </w:rPr>
        <w:t>, 3, 36–44</w:t>
      </w:r>
      <w:bookmarkStart w:id="4" w:name="_GoBack"/>
      <w:bookmarkEnd w:id="4"/>
    </w:p>
    <w:sectPr w:rsidR="00307CCA">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760" w:rsidRDefault="00B01760">
      <w:pPr>
        <w:spacing w:after="0" w:line="240" w:lineRule="auto"/>
      </w:pPr>
      <w:r>
        <w:separator/>
      </w:r>
    </w:p>
  </w:endnote>
  <w:endnote w:type="continuationSeparator" w:id="0">
    <w:p w:rsidR="00B01760" w:rsidRDefault="00B01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CCA" w:rsidRDefault="00307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CCA" w:rsidRDefault="00307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760" w:rsidRDefault="00B01760">
      <w:pPr>
        <w:spacing w:after="0" w:line="240" w:lineRule="auto"/>
      </w:pPr>
      <w:r>
        <w:separator/>
      </w:r>
    </w:p>
  </w:footnote>
  <w:footnote w:type="continuationSeparator" w:id="0">
    <w:p w:rsidR="00B01760" w:rsidRDefault="00B01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CCA" w:rsidRDefault="00B017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CCA" w:rsidRDefault="00B017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1;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CCA" w:rsidRDefault="00B017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3;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oNotDisplayPageBoundaries/>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7CCA"/>
    <w:rsid w:val="0017343E"/>
    <w:rsid w:val="00251FD6"/>
    <w:rsid w:val="00307CCA"/>
    <w:rsid w:val="00B01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rules v:ext="edit">
        <o:r id="V:Rule1" type="connector" idref="#_x0000_m1028"/>
      </o:rules>
    </o:shapelayout>
  </w:shapeDefaults>
  <w:decimalSymbol w:val="."/>
  <w:listSeparator w:val=","/>
  <w14:docId w14:val="507090AA"/>
  <w15:docId w15:val="{18DDD615-FF55-4AB2-9EDA-92033D10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pPr>
    <w:rPr>
      <w:rFonts w:ascii="Times New Roman" w:hAnsi="Times New Roman"/>
    </w:rPr>
  </w:style>
  <w:style w:type="character" w:styleId="Hyperlink">
    <w:name w:val="Hyperlink"/>
    <w:uiPriority w:val="99"/>
    <w:rPr>
      <w:color w:val="0000FF"/>
      <w:u w:val="single"/>
    </w:rPr>
  </w:style>
  <w:style w:type="character" w:customStyle="1" w:styleId="UnresolvedMention1">
    <w:name w:val="Unresolved Mention1"/>
    <w:uiPriority w:val="99"/>
    <w:rPr>
      <w:color w:val="605E5C"/>
      <w:shd w:val="clear" w:color="auto" w:fill="E1DFD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5675</Words>
  <Characters>32348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KJ5</dc:creator>
  <cp:lastModifiedBy>SDI 1186</cp:lastModifiedBy>
  <cp:revision>22</cp:revision>
  <dcterms:created xsi:type="dcterms:W3CDTF">2025-10-15T18:17:00Z</dcterms:created>
  <dcterms:modified xsi:type="dcterms:W3CDTF">2025-10-24T06:43:00Z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4abb0f0057544975aea0e0e4f21451c3</vt:lpwstr>
  </property>
</Properties>
</file>