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157EF" w14:textId="77777777" w:rsidR="00FE6B25" w:rsidRPr="00FE6B25" w:rsidRDefault="00FE6B25" w:rsidP="00FE6B25">
      <w:pPr>
        <w:pStyle w:val="Title"/>
        <w:jc w:val="both"/>
        <w:rPr>
          <w:rFonts w:ascii="Arial" w:hAnsi="Arial" w:cs="Arial"/>
          <w:bCs/>
          <w:i/>
          <w:iCs/>
          <w:u w:val="single"/>
        </w:rPr>
      </w:pPr>
      <w:r w:rsidRPr="00FE6B25">
        <w:rPr>
          <w:rFonts w:ascii="Arial" w:hAnsi="Arial" w:cs="Arial"/>
          <w:bCs/>
          <w:i/>
          <w:iCs/>
          <w:u w:val="single"/>
        </w:rPr>
        <w:t>Minireview Article</w:t>
      </w:r>
    </w:p>
    <w:p w14:paraId="698A7E8F" w14:textId="77777777" w:rsidR="00754C9A" w:rsidRDefault="00754C9A" w:rsidP="00441B6F">
      <w:pPr>
        <w:pStyle w:val="Title"/>
        <w:spacing w:after="0"/>
        <w:jc w:val="both"/>
        <w:rPr>
          <w:rFonts w:ascii="Arial" w:hAnsi="Arial" w:cs="Arial"/>
        </w:rPr>
      </w:pPr>
    </w:p>
    <w:p w14:paraId="01262B8A" w14:textId="4DE65453" w:rsidR="00163BC4" w:rsidRPr="00163BC4" w:rsidRDefault="00000F63" w:rsidP="00441B6F">
      <w:pPr>
        <w:pStyle w:val="Author"/>
        <w:spacing w:line="240" w:lineRule="auto"/>
        <w:rPr>
          <w:rFonts w:ascii="Arial" w:hAnsi="Arial" w:cs="Arial"/>
          <w:bCs/>
          <w:iCs/>
          <w:kern w:val="28"/>
          <w:sz w:val="36"/>
        </w:rPr>
      </w:pPr>
      <w:r>
        <w:rPr>
          <w:rFonts w:ascii="Arial" w:hAnsi="Arial" w:cs="Arial"/>
          <w:bCs/>
          <w:iCs/>
          <w:kern w:val="28"/>
          <w:sz w:val="36"/>
        </w:rPr>
        <w:t>Agroforestry Adoption and Climate Change Resilience in the Philippines: Smallholder Farmers’ Knowledge, Adaptation Strategies, and Mitigation Linkages</w:t>
      </w:r>
    </w:p>
    <w:p w14:paraId="3060FCB7" w14:textId="77777777" w:rsidR="00A258C3" w:rsidRPr="00790ADA" w:rsidRDefault="00A258C3" w:rsidP="00441B6F">
      <w:pPr>
        <w:pStyle w:val="Author"/>
        <w:spacing w:line="240" w:lineRule="auto"/>
        <w:jc w:val="both"/>
        <w:rPr>
          <w:rFonts w:ascii="Arial" w:hAnsi="Arial" w:cs="Arial"/>
          <w:sz w:val="36"/>
        </w:rPr>
      </w:pPr>
    </w:p>
    <w:p w14:paraId="0EFC5DF5" w14:textId="3C9FC8F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2AD349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C7D7755" w14:textId="77777777" w:rsidTr="001E44FE">
        <w:tc>
          <w:tcPr>
            <w:tcW w:w="9576" w:type="dxa"/>
            <w:shd w:val="clear" w:color="auto" w:fill="F2F2F2"/>
          </w:tcPr>
          <w:p w14:paraId="7FEC6F79" w14:textId="38089F87" w:rsidR="00D8088D" w:rsidRPr="001931E0" w:rsidRDefault="00392E93" w:rsidP="008A3446">
            <w:pPr>
              <w:pStyle w:val="Body"/>
              <w:rPr>
                <w:rFonts w:ascii="Arial" w:eastAsia="Calibri" w:hAnsi="Arial" w:cs="Arial"/>
              </w:rPr>
            </w:pPr>
            <w:r w:rsidRPr="00392E93">
              <w:rPr>
                <w:rFonts w:ascii="Arial" w:eastAsia="Calibri" w:hAnsi="Arial" w:cs="Arial"/>
              </w:rPr>
              <w:t>Agroforestry plays an increasingly important role in strengthening climate resilience among smallholder farmers in the Philippines. This mini-review synthesizes recent evidence on farmers’ awareness, attitudes, and adaptation practices, emphasizing agroforestry’s dual role as both an adaptation and mitigation strategy under changing climatic conditions. Following the PRISMA 2020 framework, eighteen studies (six from the Philippines and twelve international) published between 2015 and 2025 were analyzed. Results indicate that agroforestry increases soil organic carbon by 10–20%, enhances crop yields by 15–23%, and sequesters up to 250 t CO</w:t>
            </w:r>
            <w:r w:rsidRPr="00392E93">
              <w:rPr>
                <w:rFonts w:ascii="Cambria Math" w:eastAsia="Calibri" w:hAnsi="Cambria Math" w:cs="Cambria Math"/>
              </w:rPr>
              <w:t>₂</w:t>
            </w:r>
            <w:r w:rsidRPr="00392E93">
              <w:rPr>
                <w:rFonts w:ascii="Arial" w:eastAsia="Calibri" w:hAnsi="Arial" w:cs="Arial"/>
              </w:rPr>
              <w:t xml:space="preserve"> ha</w:t>
            </w:r>
            <w:r w:rsidRPr="00392E93">
              <w:rPr>
                <w:rFonts w:ascii="Cambria Math" w:eastAsia="Calibri" w:hAnsi="Cambria Math" w:cs="Cambria Math"/>
              </w:rPr>
              <w:t>⁻</w:t>
            </w:r>
            <w:r w:rsidRPr="00392E93">
              <w:rPr>
                <w:rFonts w:ascii="Arial" w:eastAsia="Calibri" w:hAnsi="Arial" w:cs="Arial"/>
              </w:rPr>
              <w:t>¹ compared with monocropping systems. Beyond ecological gains, these systems promote livelihood stability, biodiversity conservation, and ecosystem restoration. However, adoption among smallholders remains constrained by financial, institutional, and technical barriers. Strengthening indigenous knowledge integration, gender inclusion, and policy support can enhance the contribution of agroforestry to national adaptation and mitigation objectives. Overall, the review concludes that agroforestry represents a viable, nature-based pathway for building climate-resilient farming systems and advancing the Philippines’ sustainable development goals.</w:t>
            </w:r>
          </w:p>
        </w:tc>
      </w:tr>
    </w:tbl>
    <w:p w14:paraId="6457D3D0" w14:textId="77777777" w:rsidR="00636EB2" w:rsidRDefault="00636EB2" w:rsidP="00441B6F">
      <w:pPr>
        <w:pStyle w:val="Body"/>
        <w:spacing w:after="0"/>
        <w:rPr>
          <w:rFonts w:ascii="Arial" w:hAnsi="Arial" w:cs="Arial"/>
          <w:i/>
        </w:rPr>
      </w:pPr>
    </w:p>
    <w:p w14:paraId="5DA907B0" w14:textId="2840866C" w:rsidR="0024282C" w:rsidRPr="00622C85" w:rsidRDefault="00A24E7E" w:rsidP="00441B6F">
      <w:pPr>
        <w:pStyle w:val="Body"/>
        <w:spacing w:after="0"/>
        <w:rPr>
          <w:rFonts w:ascii="Arial" w:hAnsi="Arial" w:cs="Arial"/>
          <w:i/>
        </w:rPr>
      </w:pPr>
      <w:r>
        <w:rPr>
          <w:rFonts w:ascii="Arial" w:hAnsi="Arial" w:cs="Arial"/>
          <w:i/>
        </w:rPr>
        <w:t xml:space="preserve">Keywords: </w:t>
      </w:r>
      <w:r w:rsidR="00622C85">
        <w:rPr>
          <w:rFonts w:ascii="Arial" w:hAnsi="Arial" w:cs="Arial"/>
          <w:i/>
        </w:rPr>
        <w:t xml:space="preserve">adaptation, agroforestry, climate </w:t>
      </w:r>
      <w:r w:rsidR="00392E93">
        <w:rPr>
          <w:rFonts w:ascii="Arial" w:hAnsi="Arial" w:cs="Arial"/>
          <w:i/>
        </w:rPr>
        <w:t>resilienc</w:t>
      </w:r>
      <w:r w:rsidR="00622C85">
        <w:rPr>
          <w:rFonts w:ascii="Arial" w:hAnsi="Arial" w:cs="Arial"/>
          <w:i/>
        </w:rPr>
        <w:t>e, mitigation, Philippines</w:t>
      </w:r>
    </w:p>
    <w:p w14:paraId="3898D32A" w14:textId="77777777" w:rsidR="00505F06" w:rsidRPr="00A24E7E" w:rsidRDefault="00505F06" w:rsidP="00441B6F">
      <w:pPr>
        <w:pStyle w:val="Body"/>
        <w:spacing w:after="0"/>
        <w:rPr>
          <w:rFonts w:ascii="Arial" w:hAnsi="Arial" w:cs="Arial"/>
          <w:i/>
        </w:rPr>
      </w:pPr>
    </w:p>
    <w:p w14:paraId="59E9BF22" w14:textId="32A4EE7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7566320" w14:textId="77777777" w:rsidR="00790ADA" w:rsidRPr="00FB3A86" w:rsidRDefault="00790ADA" w:rsidP="00441B6F">
      <w:pPr>
        <w:pStyle w:val="AbstHead"/>
        <w:spacing w:after="0"/>
        <w:jc w:val="both"/>
        <w:rPr>
          <w:rFonts w:ascii="Arial" w:hAnsi="Arial" w:cs="Arial"/>
        </w:rPr>
      </w:pPr>
    </w:p>
    <w:p w14:paraId="592D096B" w14:textId="6E61818C" w:rsidR="00F16DFA" w:rsidRPr="00F16DFA" w:rsidRDefault="00F16DFA" w:rsidP="00F16DFA">
      <w:pPr>
        <w:pStyle w:val="Body"/>
        <w:rPr>
          <w:rFonts w:ascii="Arial" w:hAnsi="Arial" w:cs="Arial"/>
          <w:lang w:val="en-PH"/>
        </w:rPr>
      </w:pPr>
      <w:r w:rsidRPr="00F16DFA">
        <w:rPr>
          <w:rFonts w:ascii="Arial" w:hAnsi="Arial" w:cs="Arial"/>
          <w:lang w:val="en-PH"/>
        </w:rPr>
        <w:t>Climate change has become one of the greatest challenges of our time, reshaping ecosystems, economies, and livelihoods across the globe. For millions of smallholder farmers, the crisis is a daily reality. In the Philippines, where agriculture remains the backbone of rural life, changing rainfall patterns, prolonged droughts, and increasingly destructive typhoons threaten food security and community resilience (Evangelista, Cruz, &amp; Lasco, 2016; Verchot et al., 2007).</w:t>
      </w:r>
    </w:p>
    <w:p w14:paraId="399ABE22" w14:textId="4B9A030A" w:rsidR="00F16DFA" w:rsidRPr="00F16DFA" w:rsidRDefault="00F16DFA" w:rsidP="00F16DFA">
      <w:pPr>
        <w:pStyle w:val="Body"/>
        <w:rPr>
          <w:rFonts w:ascii="Arial" w:hAnsi="Arial" w:cs="Arial"/>
          <w:lang w:val="en-PH"/>
        </w:rPr>
      </w:pPr>
      <w:r w:rsidRPr="00F16DFA">
        <w:rPr>
          <w:rFonts w:ascii="Arial" w:hAnsi="Arial" w:cs="Arial"/>
          <w:lang w:val="en-PH"/>
        </w:rPr>
        <w:t>Amid these challenges, agroforestry</w:t>
      </w:r>
      <w:r>
        <w:rPr>
          <w:rFonts w:ascii="Arial" w:hAnsi="Arial" w:cs="Arial"/>
          <w:lang w:val="en-PH"/>
        </w:rPr>
        <w:t xml:space="preserve"> </w:t>
      </w:r>
      <w:r w:rsidRPr="00F16DFA">
        <w:rPr>
          <w:rFonts w:ascii="Arial" w:hAnsi="Arial" w:cs="Arial"/>
          <w:lang w:val="en-PH"/>
        </w:rPr>
        <w:t>the intentional integration of trees, crops, and sometimes livestock</w:t>
      </w:r>
      <w:r>
        <w:rPr>
          <w:rFonts w:ascii="Arial" w:hAnsi="Arial" w:cs="Arial"/>
          <w:lang w:val="en-PH"/>
        </w:rPr>
        <w:t xml:space="preserve"> </w:t>
      </w:r>
      <w:r w:rsidRPr="00F16DFA">
        <w:rPr>
          <w:rFonts w:ascii="Arial" w:hAnsi="Arial" w:cs="Arial"/>
          <w:lang w:val="en-PH"/>
        </w:rPr>
        <w:t xml:space="preserve">has emerged as a nature-based solution that strengthens both livelihoods and ecosystems. This system enhances soil fertility, conserves water, stabilizes microclimates, and sequesters carbon, making it a promising approach for climate adaptation and mitigation (Lasco, Delfino, &amp; </w:t>
      </w:r>
      <w:proofErr w:type="spellStart"/>
      <w:r w:rsidRPr="00F16DFA">
        <w:rPr>
          <w:rFonts w:ascii="Arial" w:hAnsi="Arial" w:cs="Arial"/>
          <w:lang w:val="en-PH"/>
        </w:rPr>
        <w:t>Espaldon</w:t>
      </w:r>
      <w:proofErr w:type="spellEnd"/>
      <w:r w:rsidRPr="00F16DFA">
        <w:rPr>
          <w:rFonts w:ascii="Arial" w:hAnsi="Arial" w:cs="Arial"/>
          <w:lang w:val="en-PH"/>
        </w:rPr>
        <w:t xml:space="preserve">, 2014; Abebaw, </w:t>
      </w:r>
      <w:proofErr w:type="spellStart"/>
      <w:r w:rsidRPr="00F16DFA">
        <w:rPr>
          <w:rFonts w:ascii="Arial" w:hAnsi="Arial" w:cs="Arial"/>
          <w:lang w:val="en-PH"/>
        </w:rPr>
        <w:t>Yeshiwas</w:t>
      </w:r>
      <w:proofErr w:type="spellEnd"/>
      <w:r w:rsidRPr="00F16DFA">
        <w:rPr>
          <w:rFonts w:ascii="Arial" w:hAnsi="Arial" w:cs="Arial"/>
          <w:lang w:val="en-PH"/>
        </w:rPr>
        <w:t>, &amp; Feleke, 2025).</w:t>
      </w:r>
    </w:p>
    <w:p w14:paraId="55FC7974" w14:textId="5C4D1389" w:rsidR="00F16DFA" w:rsidRPr="00F16DFA" w:rsidRDefault="00F16DFA" w:rsidP="00F16DFA">
      <w:pPr>
        <w:pStyle w:val="Body"/>
        <w:rPr>
          <w:rFonts w:ascii="Arial" w:hAnsi="Arial" w:cs="Arial"/>
          <w:lang w:val="en-PH"/>
        </w:rPr>
      </w:pPr>
      <w:r w:rsidRPr="00F16DFA">
        <w:rPr>
          <w:rFonts w:ascii="Arial" w:hAnsi="Arial" w:cs="Arial"/>
          <w:lang w:val="en-PH"/>
        </w:rPr>
        <w:t xml:space="preserve">Traditional systems such as the muyong-payoh of the Cordilleras and swidden-based farming in Mindanao illustrate how tree–crop integration is deeply rooted in Filipino ecological knowledge and culture (Lasco &amp; </w:t>
      </w:r>
      <w:proofErr w:type="spellStart"/>
      <w:r w:rsidRPr="00F16DFA">
        <w:rPr>
          <w:rFonts w:ascii="Arial" w:hAnsi="Arial" w:cs="Arial"/>
          <w:lang w:val="en-PH"/>
        </w:rPr>
        <w:t>Pulhin</w:t>
      </w:r>
      <w:proofErr w:type="spellEnd"/>
      <w:r w:rsidRPr="00F16DFA">
        <w:rPr>
          <w:rFonts w:ascii="Arial" w:hAnsi="Arial" w:cs="Arial"/>
          <w:lang w:val="en-PH"/>
        </w:rPr>
        <w:t xml:space="preserve">, 2003; Lasco, Delfino, &amp; </w:t>
      </w:r>
      <w:proofErr w:type="spellStart"/>
      <w:r w:rsidRPr="00F16DFA">
        <w:rPr>
          <w:rFonts w:ascii="Arial" w:hAnsi="Arial" w:cs="Arial"/>
          <w:lang w:val="en-PH"/>
        </w:rPr>
        <w:t>Espaldon</w:t>
      </w:r>
      <w:proofErr w:type="spellEnd"/>
      <w:r w:rsidRPr="00F16DFA">
        <w:rPr>
          <w:rFonts w:ascii="Arial" w:hAnsi="Arial" w:cs="Arial"/>
          <w:lang w:val="en-PH"/>
        </w:rPr>
        <w:t xml:space="preserve">, 2014). In </w:t>
      </w:r>
      <w:r w:rsidRPr="00F16DFA">
        <w:rPr>
          <w:rFonts w:ascii="Arial" w:hAnsi="Arial" w:cs="Arial"/>
          <w:lang w:val="en-PH"/>
        </w:rPr>
        <w:lastRenderedPageBreak/>
        <w:t>Mindanao, intergenerational differences in local ecological knowledge are evident</w:t>
      </w:r>
      <w:r>
        <w:rPr>
          <w:rFonts w:ascii="Arial" w:hAnsi="Arial" w:cs="Arial"/>
          <w:lang w:val="en-PH"/>
        </w:rPr>
        <w:t xml:space="preserve"> </w:t>
      </w:r>
      <w:r w:rsidRPr="00F16DFA">
        <w:rPr>
          <w:rFonts w:ascii="Arial" w:hAnsi="Arial" w:cs="Arial"/>
          <w:lang w:val="en-PH"/>
        </w:rPr>
        <w:t>older farmers rely on experiential learning while younger farmers increasingly depend on institutional training and modern extension services (Galang &amp; Vaughter, 2020).</w:t>
      </w:r>
    </w:p>
    <w:p w14:paraId="2362D498" w14:textId="2A7933D7" w:rsidR="00F16DFA" w:rsidRPr="00F16DFA" w:rsidRDefault="00F16DFA" w:rsidP="00F16DFA">
      <w:pPr>
        <w:pStyle w:val="Body"/>
        <w:rPr>
          <w:rFonts w:ascii="Arial" w:hAnsi="Arial" w:cs="Arial"/>
          <w:lang w:val="en-PH"/>
        </w:rPr>
      </w:pPr>
      <w:r w:rsidRPr="00F16DFA">
        <w:rPr>
          <w:rFonts w:ascii="Arial" w:hAnsi="Arial" w:cs="Arial"/>
          <w:lang w:val="en-PH"/>
        </w:rPr>
        <w:t xml:space="preserve">Despite the long-standing presence of agroforestry in rural communities, adoption among smallholder farmers remains inconsistent and poorly understood. Studies have explored specific cases of adoption and local adaptation (Evangelista et al., 2016; Landicho, </w:t>
      </w:r>
      <w:proofErr w:type="spellStart"/>
      <w:r w:rsidRPr="00F16DFA">
        <w:rPr>
          <w:rFonts w:ascii="Arial" w:hAnsi="Arial" w:cs="Arial"/>
          <w:lang w:val="en-PH"/>
        </w:rPr>
        <w:t>Paelmo</w:t>
      </w:r>
      <w:proofErr w:type="spellEnd"/>
      <w:r w:rsidRPr="00F16DFA">
        <w:rPr>
          <w:rFonts w:ascii="Arial" w:hAnsi="Arial" w:cs="Arial"/>
          <w:lang w:val="en-PH"/>
        </w:rPr>
        <w:t>, De Luna, &amp; Visco, 2016), but few have synthesized how farmers’ knowledge, attitudes, and socio-economic factors interact with agroforestry’s dual role in both adaptation and mitigation. This represents a significant gap in understanding how agroforestry contributes to the Philippines’ climate resilience goals.</w:t>
      </w:r>
    </w:p>
    <w:p w14:paraId="0079F25A" w14:textId="21829ACB" w:rsidR="00622C85" w:rsidRDefault="00F16DFA" w:rsidP="00F16DFA">
      <w:pPr>
        <w:pStyle w:val="Body"/>
        <w:spacing w:after="0"/>
        <w:rPr>
          <w:rFonts w:ascii="Arial" w:hAnsi="Arial" w:cs="Arial"/>
          <w:lang w:val="en-PH"/>
        </w:rPr>
      </w:pPr>
      <w:r w:rsidRPr="00F16DFA">
        <w:rPr>
          <w:rFonts w:ascii="Arial" w:hAnsi="Arial" w:cs="Arial"/>
          <w:lang w:val="en-PH"/>
        </w:rPr>
        <w:t>To address this gap, this mini-review synthesizes evidence from six peer-reviewed studies on agroforestry adoption, adaptation strategies, and climate mitigation linkages among Filipino smallholder farmers. Using an adapted PRISMA framework, the review identifies patterns in farmers’ perceptions and practices, examines how these practices enhance both adaptation and mitigation outcomes, and highlights policy and research gaps for promoting climate-resilient livelihoods.</w:t>
      </w:r>
    </w:p>
    <w:p w14:paraId="11B2D765" w14:textId="77777777" w:rsidR="00F16DFA" w:rsidRPr="00FB3A86" w:rsidRDefault="00F16DFA" w:rsidP="00F16DFA">
      <w:pPr>
        <w:pStyle w:val="Body"/>
        <w:spacing w:after="0"/>
        <w:rPr>
          <w:rFonts w:ascii="Arial" w:hAnsi="Arial" w:cs="Arial"/>
        </w:rPr>
      </w:pPr>
    </w:p>
    <w:p w14:paraId="31736BF8" w14:textId="3EF4241A" w:rsidR="007F7B32" w:rsidRDefault="00902823" w:rsidP="00441B6F">
      <w:pPr>
        <w:pStyle w:val="AbstHead"/>
        <w:spacing w:after="0"/>
        <w:jc w:val="both"/>
        <w:rPr>
          <w:rFonts w:ascii="Arial" w:hAnsi="Arial" w:cs="Arial"/>
        </w:rPr>
      </w:pPr>
      <w:r>
        <w:rPr>
          <w:rFonts w:ascii="Arial" w:hAnsi="Arial" w:cs="Arial"/>
        </w:rPr>
        <w:t xml:space="preserve">2. </w:t>
      </w:r>
      <w:r w:rsidR="00181318">
        <w:rPr>
          <w:rFonts w:ascii="Arial" w:hAnsi="Arial" w:cs="Arial"/>
        </w:rPr>
        <w:t>STUDY SELECTION AND METHODOLOGY</w:t>
      </w:r>
    </w:p>
    <w:p w14:paraId="3401C6C3" w14:textId="77777777" w:rsidR="00790ADA" w:rsidRPr="00FB3A86" w:rsidRDefault="00790ADA" w:rsidP="00441B6F">
      <w:pPr>
        <w:pStyle w:val="AbstHead"/>
        <w:spacing w:after="0"/>
        <w:jc w:val="both"/>
        <w:rPr>
          <w:rFonts w:ascii="Arial" w:hAnsi="Arial" w:cs="Arial"/>
        </w:rPr>
      </w:pPr>
    </w:p>
    <w:p w14:paraId="0CB914B8" w14:textId="602C58A6" w:rsidR="0068753D" w:rsidRPr="0068753D" w:rsidRDefault="0068753D" w:rsidP="0068753D">
      <w:pPr>
        <w:pStyle w:val="Body"/>
        <w:rPr>
          <w:rFonts w:ascii="Arial" w:hAnsi="Arial" w:cs="Arial"/>
        </w:rPr>
      </w:pPr>
      <w:r w:rsidRPr="0068753D">
        <w:rPr>
          <w:rFonts w:ascii="Arial" w:hAnsi="Arial" w:cs="Arial"/>
        </w:rPr>
        <w:t>This mini-review followed a structured and transparent approach to identify, select, and analyze peer-reviewed studies on agroforestry adoption and climate resilience among smallholder farmers in the Philippines. While the paper does not collect new field data, it applies a systematic review framework to ensure the reliability and reproducibility of findings.</w:t>
      </w:r>
    </w:p>
    <w:p w14:paraId="0191EDB0" w14:textId="2051BA77" w:rsidR="0068753D" w:rsidRPr="0068753D" w:rsidRDefault="0068753D" w:rsidP="0068753D">
      <w:pPr>
        <w:pStyle w:val="Body"/>
        <w:rPr>
          <w:rFonts w:ascii="Arial" w:hAnsi="Arial" w:cs="Arial"/>
          <w:b/>
          <w:bCs/>
        </w:rPr>
      </w:pPr>
      <w:r w:rsidRPr="0068753D">
        <w:rPr>
          <w:rFonts w:ascii="Arial" w:hAnsi="Arial" w:cs="Arial"/>
          <w:b/>
          <w:bCs/>
        </w:rPr>
        <w:t>2.1 Review Scope and Rationale</w:t>
      </w:r>
    </w:p>
    <w:p w14:paraId="0F0037F2" w14:textId="5A0EE9B2" w:rsidR="0068753D" w:rsidRPr="0068753D" w:rsidRDefault="0068753D" w:rsidP="0068753D">
      <w:pPr>
        <w:pStyle w:val="Body"/>
        <w:rPr>
          <w:rFonts w:ascii="Arial" w:hAnsi="Arial" w:cs="Arial"/>
        </w:rPr>
      </w:pPr>
      <w:r w:rsidRPr="0068753D">
        <w:rPr>
          <w:rFonts w:ascii="Arial" w:hAnsi="Arial" w:cs="Arial"/>
        </w:rPr>
        <w:t>The review focused on literature that examines how agroforestry contributes to smallholder farmers’ climate adaptation and mitigation in the Philippine context. Studies from comparable tropical regions were also included to provide cross-country insights and strengthen interpretation. The emphasis was on understanding the human dimensions of agroforestry</w:t>
      </w:r>
      <w:r>
        <w:rPr>
          <w:rFonts w:ascii="Arial" w:hAnsi="Arial" w:cs="Arial"/>
        </w:rPr>
        <w:t xml:space="preserve"> </w:t>
      </w:r>
      <w:r w:rsidRPr="0068753D">
        <w:rPr>
          <w:rFonts w:ascii="Arial" w:hAnsi="Arial" w:cs="Arial"/>
        </w:rPr>
        <w:t>knowledge, attitudes, adoption behavior, and livelihood outcomes</w:t>
      </w:r>
      <w:r>
        <w:rPr>
          <w:rFonts w:ascii="Arial" w:hAnsi="Arial" w:cs="Arial"/>
        </w:rPr>
        <w:t xml:space="preserve"> </w:t>
      </w:r>
      <w:r w:rsidRPr="0068753D">
        <w:rPr>
          <w:rFonts w:ascii="Arial" w:hAnsi="Arial" w:cs="Arial"/>
        </w:rPr>
        <w:t>rather than purely biophysical measurements.</w:t>
      </w:r>
    </w:p>
    <w:p w14:paraId="4CD3346B" w14:textId="644F39B4" w:rsidR="0068753D" w:rsidRDefault="0068753D" w:rsidP="0068753D">
      <w:pPr>
        <w:pStyle w:val="Body"/>
        <w:rPr>
          <w:rFonts w:ascii="Arial" w:hAnsi="Arial" w:cs="Arial"/>
          <w:b/>
          <w:bCs/>
        </w:rPr>
      </w:pPr>
      <w:r w:rsidRPr="0068753D">
        <w:rPr>
          <w:rFonts w:ascii="Arial" w:hAnsi="Arial" w:cs="Arial"/>
          <w:b/>
          <w:bCs/>
        </w:rPr>
        <w:t>2.2 Data Sources and Search Strategy</w:t>
      </w:r>
    </w:p>
    <w:p w14:paraId="4B977AFF" w14:textId="54643698" w:rsidR="00BD0E12" w:rsidRPr="00BD0E12" w:rsidRDefault="00BD0E12" w:rsidP="00BD0E12">
      <w:pPr>
        <w:pStyle w:val="Body"/>
        <w:rPr>
          <w:rFonts w:ascii="Arial" w:hAnsi="Arial" w:cs="Arial"/>
        </w:rPr>
      </w:pPr>
      <w:r w:rsidRPr="00BD0E12">
        <w:rPr>
          <w:rFonts w:ascii="Arial" w:hAnsi="Arial" w:cs="Arial"/>
        </w:rPr>
        <w:t>Relevant studies were retrieved between August and October 2025 using four academic databases: Scopus, Web of Science, Google Scholar, and ScienceDirect. The following Boolean search string was applied:</w:t>
      </w:r>
    </w:p>
    <w:p w14:paraId="48F5327F" w14:textId="72D9C614" w:rsidR="00BD0E12" w:rsidRPr="00BD0E12" w:rsidRDefault="00BD0E12" w:rsidP="00BD0E12">
      <w:pPr>
        <w:pStyle w:val="Body"/>
        <w:rPr>
          <w:rFonts w:ascii="Arial" w:hAnsi="Arial" w:cs="Arial"/>
        </w:rPr>
      </w:pPr>
      <w:r w:rsidRPr="00BD0E12">
        <w:rPr>
          <w:rFonts w:ascii="Arial" w:hAnsi="Arial" w:cs="Arial"/>
        </w:rPr>
        <w:t>("agroforestry" OR "tree-based farming") AND ("climate change" OR "adaptation" OR "mitigation") AND ("Philippines" OR "smallholder farmers").</w:t>
      </w:r>
    </w:p>
    <w:p w14:paraId="125DFA88" w14:textId="6C262AA6" w:rsidR="00BD0E12" w:rsidRDefault="00BD0E12" w:rsidP="00BD0E12">
      <w:pPr>
        <w:pStyle w:val="Body"/>
        <w:rPr>
          <w:rFonts w:ascii="Arial" w:hAnsi="Arial" w:cs="Arial"/>
        </w:rPr>
      </w:pPr>
      <w:r w:rsidRPr="00BD0E12">
        <w:rPr>
          <w:rFonts w:ascii="Arial" w:hAnsi="Arial" w:cs="Arial"/>
        </w:rPr>
        <w:t>This strategy ensured inclusion of peer-reviewed articles that discussed agroforestry’s role in climate change adaptation and mitigation among smallholder farmers in the Philippines</w:t>
      </w:r>
      <w:r>
        <w:rPr>
          <w:rFonts w:ascii="Arial" w:hAnsi="Arial" w:cs="Arial"/>
        </w:rPr>
        <w:t>.</w:t>
      </w:r>
    </w:p>
    <w:p w14:paraId="009C113E" w14:textId="5223D529" w:rsidR="00BD0E12" w:rsidRDefault="00BD0E12" w:rsidP="00BD0E12">
      <w:pPr>
        <w:pStyle w:val="Body"/>
        <w:rPr>
          <w:rFonts w:ascii="Arial" w:hAnsi="Arial" w:cs="Arial"/>
        </w:rPr>
      </w:pPr>
    </w:p>
    <w:p w14:paraId="11B568F2" w14:textId="2E8B913D" w:rsidR="00BD0E12" w:rsidRDefault="00BD0E12" w:rsidP="00BD0E12">
      <w:pPr>
        <w:pStyle w:val="Body"/>
        <w:rPr>
          <w:rFonts w:ascii="Arial" w:hAnsi="Arial" w:cs="Arial"/>
        </w:rPr>
      </w:pPr>
    </w:p>
    <w:p w14:paraId="27529B0D" w14:textId="6840722B" w:rsidR="00BD0E12" w:rsidRDefault="00BD0E12" w:rsidP="00BD0E12">
      <w:pPr>
        <w:pStyle w:val="Body"/>
        <w:rPr>
          <w:rFonts w:ascii="Arial" w:hAnsi="Arial" w:cs="Arial"/>
        </w:rPr>
      </w:pPr>
    </w:p>
    <w:p w14:paraId="4D766A13" w14:textId="77777777" w:rsidR="000B319F" w:rsidRDefault="000B319F" w:rsidP="00BD0E12">
      <w:pPr>
        <w:pStyle w:val="Body"/>
        <w:rPr>
          <w:rFonts w:ascii="Arial" w:hAnsi="Arial" w:cs="Arial"/>
        </w:rPr>
      </w:pPr>
    </w:p>
    <w:p w14:paraId="17BC67A6" w14:textId="77777777" w:rsidR="000B319F" w:rsidRDefault="000B319F" w:rsidP="00BD0E12">
      <w:pPr>
        <w:pStyle w:val="Body"/>
        <w:rPr>
          <w:rFonts w:ascii="Arial" w:hAnsi="Arial" w:cs="Arial"/>
        </w:rPr>
      </w:pPr>
    </w:p>
    <w:p w14:paraId="21B1B847" w14:textId="77777777" w:rsidR="000B319F" w:rsidRDefault="000B319F" w:rsidP="00BD0E12">
      <w:pPr>
        <w:pStyle w:val="Body"/>
        <w:rPr>
          <w:rFonts w:ascii="Arial" w:hAnsi="Arial" w:cs="Arial"/>
        </w:rPr>
      </w:pPr>
    </w:p>
    <w:p w14:paraId="224929AC" w14:textId="0B68CA5E" w:rsidR="00BD0E12" w:rsidRDefault="000B319F" w:rsidP="00BD0E12">
      <w:pPr>
        <w:pStyle w:val="Body"/>
        <w:rPr>
          <w:rFonts w:ascii="Arial" w:hAnsi="Arial" w:cs="Arial"/>
        </w:rPr>
      </w:pPr>
      <w:r>
        <w:rPr>
          <w:rFonts w:ascii="Arial" w:hAnsi="Arial" w:cs="Arial"/>
          <w:noProof/>
        </w:rPr>
        <w:drawing>
          <wp:anchor distT="0" distB="0" distL="114300" distR="114300" simplePos="0" relativeHeight="251658240" behindDoc="0" locked="0" layoutInCell="1" allowOverlap="1" wp14:anchorId="2841F4FB" wp14:editId="2F3458CD">
            <wp:simplePos x="0" y="0"/>
            <wp:positionH relativeFrom="column">
              <wp:posOffset>913130</wp:posOffset>
            </wp:positionH>
            <wp:positionV relativeFrom="paragraph">
              <wp:posOffset>-537845</wp:posOffset>
            </wp:positionV>
            <wp:extent cx="3674533" cy="5511800"/>
            <wp:effectExtent l="0" t="0" r="2540" b="0"/>
            <wp:wrapNone/>
            <wp:docPr id="778292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2117" name="Picture 778292117"/>
                    <pic:cNvPicPr/>
                  </pic:nvPicPr>
                  <pic:blipFill>
                    <a:blip r:embed="rId8"/>
                    <a:stretch>
                      <a:fillRect/>
                    </a:stretch>
                  </pic:blipFill>
                  <pic:spPr>
                    <a:xfrm>
                      <a:off x="0" y="0"/>
                      <a:ext cx="3674533" cy="5511800"/>
                    </a:xfrm>
                    <a:prstGeom prst="rect">
                      <a:avLst/>
                    </a:prstGeom>
                  </pic:spPr>
                </pic:pic>
              </a:graphicData>
            </a:graphic>
          </wp:anchor>
        </w:drawing>
      </w:r>
    </w:p>
    <w:p w14:paraId="33D3853C" w14:textId="77777777" w:rsidR="00BD0E12" w:rsidRDefault="00BD0E12" w:rsidP="00BD0E12">
      <w:pPr>
        <w:pStyle w:val="Body"/>
        <w:rPr>
          <w:rFonts w:ascii="Arial" w:hAnsi="Arial" w:cs="Arial"/>
        </w:rPr>
      </w:pPr>
    </w:p>
    <w:p w14:paraId="43431DE8" w14:textId="77777777" w:rsidR="00BD0E12" w:rsidRDefault="00BD0E12" w:rsidP="00BD0E12">
      <w:pPr>
        <w:pStyle w:val="Body"/>
        <w:rPr>
          <w:rFonts w:ascii="Arial" w:hAnsi="Arial" w:cs="Arial"/>
        </w:rPr>
      </w:pPr>
    </w:p>
    <w:p w14:paraId="635F2677" w14:textId="77777777" w:rsidR="00BD0E12" w:rsidRDefault="00BD0E12" w:rsidP="00BD0E12">
      <w:pPr>
        <w:pStyle w:val="Body"/>
        <w:rPr>
          <w:rFonts w:ascii="Arial" w:hAnsi="Arial" w:cs="Arial"/>
        </w:rPr>
      </w:pPr>
    </w:p>
    <w:p w14:paraId="21E66DBB" w14:textId="77777777" w:rsidR="00BD0E12" w:rsidRDefault="00BD0E12" w:rsidP="00BD0E12">
      <w:pPr>
        <w:pStyle w:val="Body"/>
        <w:rPr>
          <w:rFonts w:ascii="Arial" w:hAnsi="Arial" w:cs="Arial"/>
        </w:rPr>
      </w:pPr>
    </w:p>
    <w:p w14:paraId="16297C25" w14:textId="77777777" w:rsidR="00BD0E12" w:rsidRDefault="00BD0E12" w:rsidP="00BD0E12">
      <w:pPr>
        <w:pStyle w:val="Body"/>
        <w:rPr>
          <w:rFonts w:ascii="Arial" w:hAnsi="Arial" w:cs="Arial"/>
        </w:rPr>
      </w:pPr>
    </w:p>
    <w:p w14:paraId="3122EB0B" w14:textId="77777777" w:rsidR="00BD0E12" w:rsidRDefault="00BD0E12" w:rsidP="00BD0E12">
      <w:pPr>
        <w:pStyle w:val="Body"/>
        <w:rPr>
          <w:rFonts w:ascii="Arial" w:hAnsi="Arial" w:cs="Arial"/>
        </w:rPr>
      </w:pPr>
    </w:p>
    <w:p w14:paraId="47234A31" w14:textId="77777777" w:rsidR="00BD0E12" w:rsidRDefault="00BD0E12" w:rsidP="00BD0E12">
      <w:pPr>
        <w:pStyle w:val="Body"/>
        <w:rPr>
          <w:rFonts w:ascii="Arial" w:hAnsi="Arial" w:cs="Arial"/>
        </w:rPr>
      </w:pPr>
    </w:p>
    <w:p w14:paraId="0CFBE491" w14:textId="77777777" w:rsidR="00BD0E12" w:rsidRDefault="00BD0E12" w:rsidP="00BD0E12">
      <w:pPr>
        <w:pStyle w:val="Body"/>
        <w:rPr>
          <w:rFonts w:ascii="Arial" w:hAnsi="Arial" w:cs="Arial"/>
        </w:rPr>
      </w:pPr>
    </w:p>
    <w:p w14:paraId="5910D7AF" w14:textId="77777777" w:rsidR="00BD0E12" w:rsidRDefault="00BD0E12" w:rsidP="00BD0E12">
      <w:pPr>
        <w:pStyle w:val="Body"/>
        <w:rPr>
          <w:rFonts w:ascii="Arial" w:hAnsi="Arial" w:cs="Arial"/>
        </w:rPr>
      </w:pPr>
    </w:p>
    <w:p w14:paraId="0A73716D" w14:textId="77777777" w:rsidR="00BD0E12" w:rsidRDefault="00BD0E12" w:rsidP="00BD0E12">
      <w:pPr>
        <w:pStyle w:val="Body"/>
        <w:rPr>
          <w:rFonts w:ascii="Arial" w:hAnsi="Arial" w:cs="Arial"/>
        </w:rPr>
      </w:pPr>
    </w:p>
    <w:p w14:paraId="020E2810" w14:textId="77777777" w:rsidR="00BD0E12" w:rsidRDefault="00BD0E12" w:rsidP="00BD0E12">
      <w:pPr>
        <w:pStyle w:val="Body"/>
        <w:rPr>
          <w:rFonts w:ascii="Arial" w:hAnsi="Arial" w:cs="Arial"/>
        </w:rPr>
      </w:pPr>
    </w:p>
    <w:p w14:paraId="1365C2CA" w14:textId="77777777" w:rsidR="00BD0E12" w:rsidRDefault="00BD0E12" w:rsidP="00BD0E12">
      <w:pPr>
        <w:pStyle w:val="Body"/>
        <w:rPr>
          <w:rFonts w:ascii="Arial" w:hAnsi="Arial" w:cs="Arial"/>
        </w:rPr>
      </w:pPr>
    </w:p>
    <w:p w14:paraId="72F5BC63" w14:textId="77777777" w:rsidR="00BD0E12" w:rsidRDefault="00BD0E12" w:rsidP="00BD0E12">
      <w:pPr>
        <w:pStyle w:val="Body"/>
        <w:rPr>
          <w:rFonts w:ascii="Arial" w:hAnsi="Arial" w:cs="Arial"/>
        </w:rPr>
      </w:pPr>
    </w:p>
    <w:p w14:paraId="04A00C30" w14:textId="77777777" w:rsidR="00BD0E12" w:rsidRDefault="00BD0E12" w:rsidP="00BD0E12">
      <w:pPr>
        <w:pStyle w:val="Body"/>
        <w:rPr>
          <w:rFonts w:ascii="Arial" w:hAnsi="Arial" w:cs="Arial"/>
        </w:rPr>
      </w:pPr>
    </w:p>
    <w:p w14:paraId="241A7EEE" w14:textId="77777777" w:rsidR="00BD0E12" w:rsidRDefault="00BD0E12" w:rsidP="00BD0E12">
      <w:pPr>
        <w:pStyle w:val="Body"/>
        <w:rPr>
          <w:rFonts w:ascii="Arial" w:hAnsi="Arial" w:cs="Arial"/>
        </w:rPr>
      </w:pPr>
    </w:p>
    <w:p w14:paraId="1868660E" w14:textId="77777777" w:rsidR="00BD0E12" w:rsidRDefault="00BD0E12" w:rsidP="00BD0E12">
      <w:pPr>
        <w:pStyle w:val="Body"/>
        <w:rPr>
          <w:rFonts w:ascii="Arial" w:hAnsi="Arial" w:cs="Arial"/>
        </w:rPr>
      </w:pPr>
    </w:p>
    <w:p w14:paraId="78E579EC" w14:textId="434097EC" w:rsidR="00BD0E12" w:rsidRPr="00BD0E12" w:rsidRDefault="00BD0E12" w:rsidP="00BD0E12">
      <w:pPr>
        <w:pStyle w:val="Body"/>
        <w:rPr>
          <w:rFonts w:ascii="Arial" w:hAnsi="Arial" w:cs="Arial"/>
          <w:b/>
          <w:bCs/>
        </w:rPr>
      </w:pPr>
      <w:r w:rsidRPr="00BD0E12">
        <w:rPr>
          <w:rFonts w:ascii="Arial" w:hAnsi="Arial" w:cs="Arial"/>
          <w:b/>
          <w:bCs/>
        </w:rPr>
        <w:t>Figure 1</w:t>
      </w:r>
      <w:r>
        <w:rPr>
          <w:rFonts w:ascii="Arial" w:hAnsi="Arial" w:cs="Arial"/>
          <w:b/>
          <w:bCs/>
        </w:rPr>
        <w:t>.</w:t>
      </w:r>
      <w:r w:rsidRPr="00BD0E12">
        <w:rPr>
          <w:rFonts w:ascii="Arial" w:hAnsi="Arial" w:cs="Arial"/>
          <w:b/>
          <w:bCs/>
        </w:rPr>
        <w:t xml:space="preserve"> </w:t>
      </w:r>
      <w:r>
        <w:rPr>
          <w:rFonts w:ascii="Arial" w:hAnsi="Arial" w:cs="Arial"/>
          <w:b/>
          <w:bCs/>
        </w:rPr>
        <w:t>P</w:t>
      </w:r>
      <w:r w:rsidRPr="00BD0E12">
        <w:rPr>
          <w:rFonts w:ascii="Arial" w:hAnsi="Arial" w:cs="Arial"/>
          <w:b/>
          <w:bCs/>
        </w:rPr>
        <w:t>resents the PRISMA flow diagram illustrating the process of identifying, screening, and selecting the studies included in this review.</w:t>
      </w:r>
    </w:p>
    <w:p w14:paraId="4C996EA9" w14:textId="4F08742E" w:rsidR="0068753D" w:rsidRPr="0068753D" w:rsidRDefault="0068753D" w:rsidP="00BD0E12">
      <w:pPr>
        <w:pStyle w:val="Body"/>
        <w:rPr>
          <w:rFonts w:ascii="Arial" w:hAnsi="Arial" w:cs="Arial"/>
          <w:b/>
          <w:bCs/>
        </w:rPr>
      </w:pPr>
      <w:r w:rsidRPr="0068753D">
        <w:rPr>
          <w:rFonts w:ascii="Arial" w:hAnsi="Arial" w:cs="Arial"/>
          <w:b/>
          <w:bCs/>
        </w:rPr>
        <w:t>2.3 Inclusion and Exclusion Criteria</w:t>
      </w:r>
    </w:p>
    <w:p w14:paraId="20357C20" w14:textId="64BC29EB" w:rsidR="0068753D" w:rsidRPr="0068753D" w:rsidRDefault="0068753D" w:rsidP="0068753D">
      <w:pPr>
        <w:pStyle w:val="Body"/>
        <w:rPr>
          <w:rFonts w:ascii="Arial" w:hAnsi="Arial" w:cs="Arial"/>
        </w:rPr>
      </w:pPr>
      <w:r w:rsidRPr="0068753D">
        <w:rPr>
          <w:rFonts w:ascii="Arial" w:hAnsi="Arial" w:cs="Arial"/>
        </w:rPr>
        <w:t>Studies were screened based on the following criteria:</w:t>
      </w:r>
    </w:p>
    <w:p w14:paraId="5614DBFE" w14:textId="21C0FDAA" w:rsidR="0068753D" w:rsidRPr="00B33503" w:rsidRDefault="0068753D" w:rsidP="0068753D">
      <w:pPr>
        <w:pStyle w:val="Body"/>
        <w:numPr>
          <w:ilvl w:val="0"/>
          <w:numId w:val="32"/>
        </w:numPr>
        <w:rPr>
          <w:rFonts w:ascii="Arial" w:hAnsi="Arial" w:cs="Arial"/>
        </w:rPr>
      </w:pPr>
      <w:r w:rsidRPr="0068753D">
        <w:rPr>
          <w:rFonts w:ascii="Arial" w:hAnsi="Arial" w:cs="Arial"/>
        </w:rPr>
        <w:t>Topical relevance: Must explicitly link agroforestry with climate change adaptation or mitigation.</w:t>
      </w:r>
    </w:p>
    <w:p w14:paraId="6E048C10" w14:textId="73B6F9DB" w:rsidR="0068753D" w:rsidRPr="00B33503" w:rsidRDefault="0068753D" w:rsidP="0068753D">
      <w:pPr>
        <w:pStyle w:val="Body"/>
        <w:numPr>
          <w:ilvl w:val="0"/>
          <w:numId w:val="32"/>
        </w:numPr>
        <w:rPr>
          <w:rFonts w:ascii="Arial" w:hAnsi="Arial" w:cs="Arial"/>
        </w:rPr>
      </w:pPr>
      <w:r w:rsidRPr="0068753D">
        <w:rPr>
          <w:rFonts w:ascii="Arial" w:hAnsi="Arial" w:cs="Arial"/>
        </w:rPr>
        <w:t>Contextual focus: Must involve Philippine smallholder farmers or tropical analogues with comparable socio-ecological conditions.</w:t>
      </w:r>
    </w:p>
    <w:p w14:paraId="6A415EFD" w14:textId="4BE4C546" w:rsidR="0068753D" w:rsidRPr="00B33503" w:rsidRDefault="0068753D" w:rsidP="0068753D">
      <w:pPr>
        <w:pStyle w:val="Body"/>
        <w:numPr>
          <w:ilvl w:val="0"/>
          <w:numId w:val="32"/>
        </w:numPr>
        <w:rPr>
          <w:rFonts w:ascii="Arial" w:hAnsi="Arial" w:cs="Arial"/>
        </w:rPr>
      </w:pPr>
      <w:r w:rsidRPr="0068753D">
        <w:rPr>
          <w:rFonts w:ascii="Arial" w:hAnsi="Arial" w:cs="Arial"/>
        </w:rPr>
        <w:lastRenderedPageBreak/>
        <w:t>Empirical grounding: Must include primary data, systematic review, or meta-analysis based on clear methodology.</w:t>
      </w:r>
    </w:p>
    <w:p w14:paraId="5D19194D" w14:textId="0D8D9C83" w:rsidR="0068753D" w:rsidRPr="00B33503" w:rsidRDefault="0068753D" w:rsidP="0068753D">
      <w:pPr>
        <w:pStyle w:val="Body"/>
        <w:numPr>
          <w:ilvl w:val="0"/>
          <w:numId w:val="32"/>
        </w:numPr>
        <w:rPr>
          <w:rFonts w:ascii="Arial" w:hAnsi="Arial" w:cs="Arial"/>
        </w:rPr>
      </w:pPr>
      <w:r w:rsidRPr="0068753D">
        <w:rPr>
          <w:rFonts w:ascii="Arial" w:hAnsi="Arial" w:cs="Arial"/>
        </w:rPr>
        <w:t>Publication type: Peer-reviewed journal articles published between 2004 and 2025 in English.</w:t>
      </w:r>
    </w:p>
    <w:p w14:paraId="5A3F6596" w14:textId="03D01C88" w:rsidR="0068753D" w:rsidRPr="0068753D" w:rsidRDefault="0068753D" w:rsidP="0068753D">
      <w:pPr>
        <w:pStyle w:val="Body"/>
        <w:rPr>
          <w:rFonts w:ascii="Arial" w:hAnsi="Arial" w:cs="Arial"/>
        </w:rPr>
      </w:pPr>
      <w:r w:rsidRPr="0068753D">
        <w:rPr>
          <w:rFonts w:ascii="Arial" w:hAnsi="Arial" w:cs="Arial"/>
        </w:rPr>
        <w:t>Studies were excluded if they (1) focused solely on forestry without an agroforestry component, (2) lacked clear methodological details, or (3) were unpublished reports or conference papers.</w:t>
      </w:r>
    </w:p>
    <w:p w14:paraId="39B00033" w14:textId="61E34E1B" w:rsidR="0068753D" w:rsidRPr="00B33503" w:rsidRDefault="0068753D" w:rsidP="0068753D">
      <w:pPr>
        <w:pStyle w:val="Body"/>
        <w:rPr>
          <w:rFonts w:ascii="Arial" w:hAnsi="Arial" w:cs="Arial"/>
          <w:b/>
          <w:bCs/>
        </w:rPr>
      </w:pPr>
      <w:r w:rsidRPr="00B33503">
        <w:rPr>
          <w:rFonts w:ascii="Arial" w:hAnsi="Arial" w:cs="Arial"/>
          <w:b/>
          <w:bCs/>
        </w:rPr>
        <w:t>2.4 Study Area and Representation</w:t>
      </w:r>
    </w:p>
    <w:p w14:paraId="34B62D3F" w14:textId="56C63C89" w:rsidR="0068753D" w:rsidRPr="0068753D" w:rsidRDefault="0068753D" w:rsidP="0068753D">
      <w:pPr>
        <w:pStyle w:val="Body"/>
        <w:rPr>
          <w:rFonts w:ascii="Arial" w:hAnsi="Arial" w:cs="Arial"/>
        </w:rPr>
      </w:pPr>
      <w:r w:rsidRPr="0068753D">
        <w:rPr>
          <w:rFonts w:ascii="Arial" w:hAnsi="Arial" w:cs="Arial"/>
        </w:rPr>
        <w:t>Although this review does not conduct field data collection, the included studies represent diverse agroecological and cultural zones of the Philippines</w:t>
      </w:r>
      <w:r w:rsidR="00B33503">
        <w:rPr>
          <w:rFonts w:ascii="Arial" w:hAnsi="Arial" w:cs="Arial"/>
        </w:rPr>
        <w:t xml:space="preserve"> </w:t>
      </w:r>
      <w:r w:rsidRPr="0068753D">
        <w:rPr>
          <w:rFonts w:ascii="Arial" w:hAnsi="Arial" w:cs="Arial"/>
        </w:rPr>
        <w:t>such as Cagayan (Evangelista et al., 2016), Batangas and Laguna (Landicho et al., 2016), Mindanao (Galang &amp; Vaughter, 2020), Benguet (</w:t>
      </w:r>
      <w:proofErr w:type="spellStart"/>
      <w:r w:rsidRPr="0068753D">
        <w:rPr>
          <w:rFonts w:ascii="Arial" w:hAnsi="Arial" w:cs="Arial"/>
        </w:rPr>
        <w:t>Lumogdang</w:t>
      </w:r>
      <w:proofErr w:type="spellEnd"/>
      <w:r w:rsidRPr="0068753D">
        <w:rPr>
          <w:rFonts w:ascii="Arial" w:hAnsi="Arial" w:cs="Arial"/>
        </w:rPr>
        <w:t xml:space="preserve"> et al., 2023), and Zamboanga (</w:t>
      </w:r>
      <w:proofErr w:type="spellStart"/>
      <w:r w:rsidRPr="0068753D">
        <w:rPr>
          <w:rFonts w:ascii="Arial" w:hAnsi="Arial" w:cs="Arial"/>
        </w:rPr>
        <w:t>Tabal</w:t>
      </w:r>
      <w:proofErr w:type="spellEnd"/>
      <w:r w:rsidRPr="0068753D">
        <w:rPr>
          <w:rFonts w:ascii="Arial" w:hAnsi="Arial" w:cs="Arial"/>
        </w:rPr>
        <w:t xml:space="preserve"> &amp; Mendoza, 2020)</w:t>
      </w:r>
      <w:r w:rsidR="00B33503">
        <w:rPr>
          <w:rFonts w:ascii="Arial" w:hAnsi="Arial" w:cs="Arial"/>
        </w:rPr>
        <w:t xml:space="preserve"> </w:t>
      </w:r>
      <w:r w:rsidRPr="0068753D">
        <w:rPr>
          <w:rFonts w:ascii="Arial" w:hAnsi="Arial" w:cs="Arial"/>
        </w:rPr>
        <w:t>ensuring representation across lowland and upland systems. Global comparative works (e.g., Verchot et al., 2007; Abebaw et al., 2025) provided a wider analytical lens.</w:t>
      </w:r>
    </w:p>
    <w:p w14:paraId="3707022A" w14:textId="3680A9EA" w:rsidR="0068753D" w:rsidRPr="00B33503" w:rsidRDefault="0068753D" w:rsidP="0068753D">
      <w:pPr>
        <w:pStyle w:val="Body"/>
        <w:rPr>
          <w:rFonts w:ascii="Arial" w:hAnsi="Arial" w:cs="Arial"/>
          <w:b/>
          <w:bCs/>
        </w:rPr>
      </w:pPr>
      <w:r w:rsidRPr="00B33503">
        <w:rPr>
          <w:rFonts w:ascii="Arial" w:hAnsi="Arial" w:cs="Arial"/>
          <w:b/>
          <w:bCs/>
        </w:rPr>
        <w:t>2.5 Analytical Framework</w:t>
      </w:r>
    </w:p>
    <w:p w14:paraId="272477C4" w14:textId="0103425D" w:rsidR="0068753D" w:rsidRPr="0068753D" w:rsidRDefault="0068753D" w:rsidP="0068753D">
      <w:pPr>
        <w:pStyle w:val="Body"/>
        <w:rPr>
          <w:rFonts w:ascii="Arial" w:hAnsi="Arial" w:cs="Arial"/>
        </w:rPr>
      </w:pPr>
      <w:r w:rsidRPr="0068753D">
        <w:rPr>
          <w:rFonts w:ascii="Arial" w:hAnsi="Arial" w:cs="Arial"/>
        </w:rPr>
        <w:t>Data from the selected studies were organized and analyzed using an adapted PRISMA (Preferred Reporting Items for Systematic Reviews and Meta-Analyses) framework. A three-stage thematic analysis was employed:</w:t>
      </w:r>
    </w:p>
    <w:p w14:paraId="2A6C68CE" w14:textId="7515A0C8" w:rsidR="0068753D" w:rsidRPr="0068753D" w:rsidRDefault="0068753D" w:rsidP="00B33503">
      <w:pPr>
        <w:pStyle w:val="Body"/>
        <w:numPr>
          <w:ilvl w:val="0"/>
          <w:numId w:val="33"/>
        </w:numPr>
        <w:rPr>
          <w:rFonts w:ascii="Arial" w:hAnsi="Arial" w:cs="Arial"/>
        </w:rPr>
      </w:pPr>
      <w:r w:rsidRPr="00B33503">
        <w:rPr>
          <w:rFonts w:ascii="Arial" w:hAnsi="Arial" w:cs="Arial"/>
          <w:b/>
          <w:bCs/>
        </w:rPr>
        <w:t>Descriptive Coding</w:t>
      </w:r>
      <w:r w:rsidRPr="0068753D">
        <w:rPr>
          <w:rFonts w:ascii="Arial" w:hAnsi="Arial" w:cs="Arial"/>
        </w:rPr>
        <w:t xml:space="preserve"> – Extracting study objectives, site, methods, and key findings into a summary matrix.</w:t>
      </w:r>
    </w:p>
    <w:p w14:paraId="1BFD6CAC" w14:textId="6850105B" w:rsidR="0068753D" w:rsidRPr="0068753D" w:rsidRDefault="0068753D" w:rsidP="00B33503">
      <w:pPr>
        <w:pStyle w:val="Body"/>
        <w:numPr>
          <w:ilvl w:val="0"/>
          <w:numId w:val="33"/>
        </w:numPr>
        <w:rPr>
          <w:rFonts w:ascii="Arial" w:hAnsi="Arial" w:cs="Arial"/>
        </w:rPr>
      </w:pPr>
      <w:r w:rsidRPr="00B33503">
        <w:rPr>
          <w:rFonts w:ascii="Arial" w:hAnsi="Arial" w:cs="Arial"/>
          <w:b/>
          <w:bCs/>
        </w:rPr>
        <w:t>Thematic Categorization</w:t>
      </w:r>
      <w:r w:rsidRPr="0068753D">
        <w:rPr>
          <w:rFonts w:ascii="Arial" w:hAnsi="Arial" w:cs="Arial"/>
        </w:rPr>
        <w:t xml:space="preserve"> – Grouping findings into five analytical domains:</w:t>
      </w:r>
    </w:p>
    <w:p w14:paraId="28A740D8" w14:textId="507EC108" w:rsidR="0068753D" w:rsidRPr="00B33503" w:rsidRDefault="0068753D" w:rsidP="0068753D">
      <w:pPr>
        <w:pStyle w:val="Body"/>
        <w:numPr>
          <w:ilvl w:val="0"/>
          <w:numId w:val="34"/>
        </w:numPr>
        <w:rPr>
          <w:rFonts w:ascii="Arial" w:hAnsi="Arial" w:cs="Arial"/>
        </w:rPr>
      </w:pPr>
      <w:r w:rsidRPr="0068753D">
        <w:rPr>
          <w:rFonts w:ascii="Arial" w:hAnsi="Arial" w:cs="Arial"/>
        </w:rPr>
        <w:t>Farmers’ knowledge, attitudes, and practices (KAP);</w:t>
      </w:r>
    </w:p>
    <w:p w14:paraId="51795925" w14:textId="1700A403" w:rsidR="0068753D" w:rsidRPr="00B33503" w:rsidRDefault="0068753D" w:rsidP="0068753D">
      <w:pPr>
        <w:pStyle w:val="Body"/>
        <w:numPr>
          <w:ilvl w:val="0"/>
          <w:numId w:val="34"/>
        </w:numPr>
        <w:rPr>
          <w:rFonts w:ascii="Arial" w:hAnsi="Arial" w:cs="Arial"/>
        </w:rPr>
      </w:pPr>
      <w:r w:rsidRPr="0068753D">
        <w:rPr>
          <w:rFonts w:ascii="Arial" w:hAnsi="Arial" w:cs="Arial"/>
        </w:rPr>
        <w:t>Adaptation strategies;</w:t>
      </w:r>
    </w:p>
    <w:p w14:paraId="2297C421" w14:textId="3750FD6B" w:rsidR="0068753D" w:rsidRPr="00B33503" w:rsidRDefault="0068753D" w:rsidP="0068753D">
      <w:pPr>
        <w:pStyle w:val="Body"/>
        <w:numPr>
          <w:ilvl w:val="0"/>
          <w:numId w:val="34"/>
        </w:numPr>
        <w:rPr>
          <w:rFonts w:ascii="Arial" w:hAnsi="Arial" w:cs="Arial"/>
        </w:rPr>
      </w:pPr>
      <w:r w:rsidRPr="0068753D">
        <w:rPr>
          <w:rFonts w:ascii="Arial" w:hAnsi="Arial" w:cs="Arial"/>
        </w:rPr>
        <w:t>Adaptation–mitigation synergies;</w:t>
      </w:r>
    </w:p>
    <w:p w14:paraId="053D9E38" w14:textId="1E50A2D2" w:rsidR="0068753D" w:rsidRPr="00B33503" w:rsidRDefault="0068753D" w:rsidP="0068753D">
      <w:pPr>
        <w:pStyle w:val="Body"/>
        <w:numPr>
          <w:ilvl w:val="0"/>
          <w:numId w:val="34"/>
        </w:numPr>
        <w:rPr>
          <w:rFonts w:ascii="Arial" w:hAnsi="Arial" w:cs="Arial"/>
        </w:rPr>
      </w:pPr>
      <w:r w:rsidRPr="0068753D">
        <w:rPr>
          <w:rFonts w:ascii="Arial" w:hAnsi="Arial" w:cs="Arial"/>
        </w:rPr>
        <w:t>Research and policy gaps; and</w:t>
      </w:r>
    </w:p>
    <w:p w14:paraId="0ED3E3A6" w14:textId="6610DDEB" w:rsidR="0068753D" w:rsidRPr="00B33503" w:rsidRDefault="0068753D" w:rsidP="0068753D">
      <w:pPr>
        <w:pStyle w:val="Body"/>
        <w:numPr>
          <w:ilvl w:val="0"/>
          <w:numId w:val="34"/>
        </w:numPr>
        <w:rPr>
          <w:rFonts w:ascii="Arial" w:hAnsi="Arial" w:cs="Arial"/>
        </w:rPr>
      </w:pPr>
      <w:r w:rsidRPr="0068753D">
        <w:rPr>
          <w:rFonts w:ascii="Arial" w:hAnsi="Arial" w:cs="Arial"/>
        </w:rPr>
        <w:t>Implications for sustainable development.</w:t>
      </w:r>
    </w:p>
    <w:p w14:paraId="7AB4568B" w14:textId="747DCFC3" w:rsidR="0068753D" w:rsidRPr="0068753D" w:rsidRDefault="00B33503" w:rsidP="00B33503">
      <w:pPr>
        <w:pStyle w:val="Body"/>
        <w:ind w:left="360"/>
        <w:rPr>
          <w:rFonts w:ascii="Arial" w:hAnsi="Arial" w:cs="Arial"/>
        </w:rPr>
      </w:pPr>
      <w:r w:rsidRPr="00B33503">
        <w:rPr>
          <w:rFonts w:ascii="Arial" w:hAnsi="Arial" w:cs="Arial"/>
          <w:b/>
          <w:bCs/>
        </w:rPr>
        <w:t xml:space="preserve">3. </w:t>
      </w:r>
      <w:r w:rsidR="0068753D" w:rsidRPr="00B33503">
        <w:rPr>
          <w:rFonts w:ascii="Arial" w:hAnsi="Arial" w:cs="Arial"/>
          <w:b/>
          <w:bCs/>
        </w:rPr>
        <w:t>Interpretive Synthesis –</w:t>
      </w:r>
      <w:r w:rsidR="0068753D" w:rsidRPr="0068753D">
        <w:rPr>
          <w:rFonts w:ascii="Arial" w:hAnsi="Arial" w:cs="Arial"/>
        </w:rPr>
        <w:t xml:space="preserve"> Integrating results across studies to identify patterns, contradictions, and lessons relevant to climate-resilient agroforestry.</w:t>
      </w:r>
    </w:p>
    <w:p w14:paraId="1DFCD170" w14:textId="46E6D571" w:rsidR="0068753D" w:rsidRPr="00B33503" w:rsidRDefault="0068753D" w:rsidP="0068753D">
      <w:pPr>
        <w:pStyle w:val="Body"/>
        <w:rPr>
          <w:rFonts w:ascii="Arial" w:hAnsi="Arial" w:cs="Arial"/>
          <w:b/>
          <w:bCs/>
        </w:rPr>
      </w:pPr>
      <w:r w:rsidRPr="00B33503">
        <w:rPr>
          <w:rFonts w:ascii="Arial" w:hAnsi="Arial" w:cs="Arial"/>
          <w:b/>
          <w:bCs/>
        </w:rPr>
        <w:t>2.6 Limitations of the Review Approach</w:t>
      </w:r>
    </w:p>
    <w:p w14:paraId="18B3DB0A" w14:textId="2011089C" w:rsidR="0068753D" w:rsidRDefault="0068753D" w:rsidP="0068753D">
      <w:pPr>
        <w:pStyle w:val="Body"/>
        <w:spacing w:after="0"/>
        <w:rPr>
          <w:rFonts w:ascii="Arial" w:hAnsi="Arial" w:cs="Arial"/>
        </w:rPr>
      </w:pPr>
      <w:r w:rsidRPr="0068753D">
        <w:rPr>
          <w:rFonts w:ascii="Arial" w:hAnsi="Arial" w:cs="Arial"/>
        </w:rPr>
        <w:t>Because the review relied exclusively on published academic sources, gray literature (e.g., local government reports, indigenous knowledge documentation) was not included. Nonetheless, the structured approach and diverse study representation ensure that the synthesis provides a credible and balanced understanding of agroforestry adoption in the Philippines.</w:t>
      </w:r>
    </w:p>
    <w:p w14:paraId="0E0AA5D6" w14:textId="77777777" w:rsidR="00BD0E12" w:rsidRDefault="00BD0E12" w:rsidP="0068753D">
      <w:pPr>
        <w:pStyle w:val="Body"/>
        <w:spacing w:after="0"/>
        <w:rPr>
          <w:rFonts w:ascii="Arial" w:hAnsi="Arial" w:cs="Arial"/>
        </w:rPr>
      </w:pPr>
    </w:p>
    <w:p w14:paraId="002C785A" w14:textId="77777777" w:rsidR="00BD0E12" w:rsidRDefault="00BD0E12" w:rsidP="00BD0E12">
      <w:pPr>
        <w:pStyle w:val="Body"/>
        <w:spacing w:after="0"/>
        <w:rPr>
          <w:rFonts w:ascii="Arial" w:hAnsi="Arial" w:cs="Arial"/>
          <w:b/>
          <w:bCs/>
          <w:lang w:val="en-PH"/>
        </w:rPr>
      </w:pPr>
      <w:r w:rsidRPr="00BD0E12">
        <w:rPr>
          <w:rFonts w:ascii="Arial" w:hAnsi="Arial" w:cs="Arial"/>
          <w:b/>
          <w:bCs/>
          <w:lang w:val="en-PH"/>
        </w:rPr>
        <w:t>2.7 Literature Screening and Selection Flow</w:t>
      </w:r>
    </w:p>
    <w:p w14:paraId="3ABAEDE0" w14:textId="77777777" w:rsidR="00BD0E12" w:rsidRPr="00BD0E12" w:rsidRDefault="00BD0E12" w:rsidP="00BD0E12">
      <w:pPr>
        <w:pStyle w:val="Body"/>
        <w:spacing w:after="0"/>
        <w:rPr>
          <w:rFonts w:ascii="Arial" w:hAnsi="Arial" w:cs="Arial"/>
          <w:b/>
          <w:bCs/>
          <w:lang w:val="en-PH"/>
        </w:rPr>
      </w:pPr>
    </w:p>
    <w:p w14:paraId="4511C583" w14:textId="77777777" w:rsidR="00BD0E12" w:rsidRDefault="00BD0E12" w:rsidP="00BD0E12">
      <w:pPr>
        <w:pStyle w:val="Body"/>
        <w:spacing w:after="0"/>
        <w:rPr>
          <w:rFonts w:ascii="Arial" w:hAnsi="Arial" w:cs="Arial"/>
          <w:lang w:val="en-PH"/>
        </w:rPr>
      </w:pPr>
      <w:r w:rsidRPr="00BD0E12">
        <w:rPr>
          <w:rFonts w:ascii="Arial" w:hAnsi="Arial" w:cs="Arial"/>
          <w:lang w:val="en-PH"/>
        </w:rPr>
        <w:t>The selection process followed the PRISMA (Preferred Reporting Items for Systematic Reviews and Meta-Analyses) 2020 guidelines to ensure transparency and reproducibility (Page et al., 2021). A total of 187 records were initially retrieved from four databases: Scopus, Web of Science, ScienceDirect, and Google Scholar. After removing 42 duplicates, 145 titles and abstracts were screened for relevance to agroforestry, climate change, and smallholder farming systems in the Philippines.</w:t>
      </w:r>
    </w:p>
    <w:p w14:paraId="4E8E4F4B" w14:textId="77777777" w:rsidR="00BD0E12" w:rsidRPr="00BD0E12" w:rsidRDefault="00BD0E12" w:rsidP="00BD0E12">
      <w:pPr>
        <w:pStyle w:val="Body"/>
        <w:spacing w:after="0"/>
        <w:rPr>
          <w:rFonts w:ascii="Arial" w:hAnsi="Arial" w:cs="Arial"/>
          <w:lang w:val="en-PH"/>
        </w:rPr>
      </w:pPr>
    </w:p>
    <w:p w14:paraId="55D3063F" w14:textId="77777777" w:rsidR="00BD0E12" w:rsidRPr="00BD0E12" w:rsidRDefault="00BD0E12" w:rsidP="00BD0E12">
      <w:pPr>
        <w:pStyle w:val="Body"/>
        <w:spacing w:after="0"/>
        <w:rPr>
          <w:rFonts w:ascii="Arial" w:hAnsi="Arial" w:cs="Arial"/>
          <w:lang w:val="en-PH"/>
        </w:rPr>
      </w:pPr>
      <w:r w:rsidRPr="00BD0E12">
        <w:rPr>
          <w:rFonts w:ascii="Arial" w:hAnsi="Arial" w:cs="Arial"/>
          <w:lang w:val="en-PH"/>
        </w:rPr>
        <w:t>Following full-text evaluation, 18 studies met the inclusion criteria. Among these, 6 core studies focusing specifically on Philippine smallholders were retained for in-depth analysis and thematic synthesis, while 12 comparative international studies were used to contextualize and support broader interpretation.</w:t>
      </w:r>
    </w:p>
    <w:p w14:paraId="1F0DB9A3" w14:textId="77777777" w:rsidR="00BD0E12" w:rsidRDefault="00BD0E12" w:rsidP="0068753D">
      <w:pPr>
        <w:pStyle w:val="Body"/>
        <w:spacing w:after="0"/>
        <w:rPr>
          <w:rFonts w:ascii="Arial" w:hAnsi="Arial" w:cs="Arial"/>
        </w:rPr>
      </w:pPr>
    </w:p>
    <w:p w14:paraId="7F1A1E8E" w14:textId="74F14571" w:rsidR="00622C85" w:rsidRDefault="00622C85" w:rsidP="00622C85">
      <w:pPr>
        <w:pStyle w:val="Head1"/>
        <w:spacing w:after="0"/>
        <w:jc w:val="both"/>
        <w:rPr>
          <w:rFonts w:ascii="Arial" w:hAnsi="Arial" w:cs="Arial"/>
        </w:rPr>
      </w:pPr>
      <w:r>
        <w:rPr>
          <w:rFonts w:ascii="Arial" w:hAnsi="Arial" w:cs="Arial"/>
        </w:rPr>
        <w:t>3. CONCEPTUAL FRAMEWORK</w:t>
      </w:r>
    </w:p>
    <w:p w14:paraId="15265300" w14:textId="77777777" w:rsidR="00622C85" w:rsidRDefault="00622C85" w:rsidP="00622C85">
      <w:pPr>
        <w:pStyle w:val="Body"/>
        <w:spacing w:after="0"/>
        <w:rPr>
          <w:rFonts w:ascii="Arial" w:hAnsi="Arial" w:cs="Arial"/>
        </w:rPr>
      </w:pPr>
    </w:p>
    <w:p w14:paraId="2D4546DD" w14:textId="77777777" w:rsidR="002334E6" w:rsidRDefault="002334E6" w:rsidP="002334E6">
      <w:pPr>
        <w:pStyle w:val="Body"/>
        <w:spacing w:after="0"/>
        <w:rPr>
          <w:rFonts w:ascii="Arial" w:hAnsi="Arial" w:cs="Arial"/>
          <w:lang w:val="en-PH"/>
        </w:rPr>
      </w:pPr>
      <w:r w:rsidRPr="002334E6">
        <w:rPr>
          <w:rFonts w:ascii="Arial" w:hAnsi="Arial" w:cs="Arial"/>
          <w:lang w:val="en-PH"/>
        </w:rPr>
        <w:t>This review is guided by the Knowledge-Attitude-Practice (KAP) model and the Sustainable Livelihoods Framework (SLF) to explain how smallholder farmers in the Philippines adopt agroforestry for climate resilience. These frameworks emphasize how farmers’ knowledge and attitudes shape their decisions and how those decisions lead to adaptation and mitigation outcomes.</w:t>
      </w:r>
    </w:p>
    <w:p w14:paraId="6BEF68E5" w14:textId="77777777" w:rsidR="002334E6" w:rsidRPr="002334E6" w:rsidRDefault="002334E6" w:rsidP="002334E6">
      <w:pPr>
        <w:pStyle w:val="Body"/>
        <w:spacing w:after="0"/>
        <w:rPr>
          <w:rFonts w:ascii="Arial" w:hAnsi="Arial" w:cs="Arial"/>
          <w:lang w:val="en-PH"/>
        </w:rPr>
      </w:pPr>
    </w:p>
    <w:p w14:paraId="55BC4D19" w14:textId="77777777" w:rsidR="002334E6" w:rsidRDefault="002334E6" w:rsidP="002334E6">
      <w:pPr>
        <w:pStyle w:val="Body"/>
        <w:spacing w:after="0"/>
        <w:rPr>
          <w:rFonts w:ascii="Arial" w:hAnsi="Arial" w:cs="Arial"/>
          <w:lang w:val="en-PH"/>
        </w:rPr>
      </w:pPr>
      <w:r w:rsidRPr="002334E6">
        <w:rPr>
          <w:rFonts w:ascii="Arial" w:hAnsi="Arial" w:cs="Arial"/>
          <w:lang w:val="en-PH"/>
        </w:rPr>
        <w:t>Conceptually, agroforestry also serves as a bridge between climate change adaptation and mitigation through ecosystem-based management, biodiversity enhancement, and carbon storage (Matocha, Schroth, Hills, &amp; Hole, 2012). This integrative perspective aligns with the dual ecological and socioeconomic benefits observed in smallholder systems, where sustainable land use helps communities adapt to changing climatic conditions while contributing to emission reductions.</w:t>
      </w:r>
    </w:p>
    <w:p w14:paraId="0D6AA89B" w14:textId="77777777" w:rsidR="002334E6" w:rsidRPr="002334E6" w:rsidRDefault="002334E6" w:rsidP="002334E6">
      <w:pPr>
        <w:pStyle w:val="Body"/>
        <w:spacing w:after="0"/>
        <w:rPr>
          <w:rFonts w:ascii="Arial" w:hAnsi="Arial" w:cs="Arial"/>
          <w:lang w:val="en-PH"/>
        </w:rPr>
      </w:pPr>
    </w:p>
    <w:p w14:paraId="33E6AD7F" w14:textId="77777777" w:rsidR="002334E6" w:rsidRPr="002334E6" w:rsidRDefault="002334E6" w:rsidP="002334E6">
      <w:pPr>
        <w:pStyle w:val="Body"/>
        <w:spacing w:after="0"/>
        <w:rPr>
          <w:rFonts w:ascii="Arial" w:hAnsi="Arial" w:cs="Arial"/>
          <w:lang w:val="en-PH"/>
        </w:rPr>
      </w:pPr>
      <w:r w:rsidRPr="002334E6">
        <w:rPr>
          <w:rFonts w:ascii="Arial" w:hAnsi="Arial" w:cs="Arial"/>
          <w:lang w:val="en-PH"/>
        </w:rPr>
        <w:t xml:space="preserve">The reviewed studies reveal that farmers’ understanding of climate change and their positive perceptions of agroforestry encourage adoption of tree-based systems such as fruit intercropping and contour planting (Evangelista, Cruz, &amp; Lasco, 2016; Galang &amp; Vaughter, 2020; Landicho, </w:t>
      </w:r>
      <w:proofErr w:type="spellStart"/>
      <w:r w:rsidRPr="002334E6">
        <w:rPr>
          <w:rFonts w:ascii="Arial" w:hAnsi="Arial" w:cs="Arial"/>
          <w:lang w:val="en-PH"/>
        </w:rPr>
        <w:t>Paelmo</w:t>
      </w:r>
      <w:proofErr w:type="spellEnd"/>
      <w:r w:rsidRPr="002334E6">
        <w:rPr>
          <w:rFonts w:ascii="Arial" w:hAnsi="Arial" w:cs="Arial"/>
          <w:lang w:val="en-PH"/>
        </w:rPr>
        <w:t xml:space="preserve">, De Luna, &amp; Visco, 2016). Agroforestry adoption supports adaptation by improving soil fertility, water retention, and livelihood stability, and mitigation by storing carbon and restoring ecosystems (Lasco, Delfino, &amp; </w:t>
      </w:r>
      <w:proofErr w:type="spellStart"/>
      <w:r w:rsidRPr="002334E6">
        <w:rPr>
          <w:rFonts w:ascii="Arial" w:hAnsi="Arial" w:cs="Arial"/>
          <w:lang w:val="en-PH"/>
        </w:rPr>
        <w:t>Espaldon</w:t>
      </w:r>
      <w:proofErr w:type="spellEnd"/>
      <w:r w:rsidRPr="002334E6">
        <w:rPr>
          <w:rFonts w:ascii="Arial" w:hAnsi="Arial" w:cs="Arial"/>
          <w:lang w:val="en-PH"/>
        </w:rPr>
        <w:t xml:space="preserve">, 2014; </w:t>
      </w:r>
      <w:proofErr w:type="spellStart"/>
      <w:r w:rsidRPr="002334E6">
        <w:rPr>
          <w:rFonts w:ascii="Arial" w:hAnsi="Arial" w:cs="Arial"/>
          <w:lang w:val="en-PH"/>
        </w:rPr>
        <w:t>Tabal</w:t>
      </w:r>
      <w:proofErr w:type="spellEnd"/>
      <w:r w:rsidRPr="002334E6">
        <w:rPr>
          <w:rFonts w:ascii="Arial" w:hAnsi="Arial" w:cs="Arial"/>
          <w:lang w:val="en-PH"/>
        </w:rPr>
        <w:t xml:space="preserve"> &amp; Mendoza, 2020; Abebaw, </w:t>
      </w:r>
      <w:proofErr w:type="spellStart"/>
      <w:r w:rsidRPr="002334E6">
        <w:rPr>
          <w:rFonts w:ascii="Arial" w:hAnsi="Arial" w:cs="Arial"/>
          <w:lang w:val="en-PH"/>
        </w:rPr>
        <w:t>Yeshiwas</w:t>
      </w:r>
      <w:proofErr w:type="spellEnd"/>
      <w:r w:rsidRPr="002334E6">
        <w:rPr>
          <w:rFonts w:ascii="Arial" w:hAnsi="Arial" w:cs="Arial"/>
          <w:lang w:val="en-PH"/>
        </w:rPr>
        <w:t>, &amp; Feleke, 2025).</w:t>
      </w:r>
    </w:p>
    <w:p w14:paraId="51ABA198" w14:textId="77777777" w:rsidR="00F3494B" w:rsidRPr="00D6038A" w:rsidRDefault="00F3494B" w:rsidP="00622C85">
      <w:pPr>
        <w:pStyle w:val="Body"/>
        <w:spacing w:after="0"/>
        <w:rPr>
          <w:rFonts w:ascii="Arial" w:hAnsi="Arial" w:cs="Arial"/>
          <w:b/>
          <w:bCs/>
        </w:rPr>
      </w:pPr>
    </w:p>
    <w:p w14:paraId="5EF8B914" w14:textId="1348D518" w:rsidR="00D6038A" w:rsidRPr="00D6038A" w:rsidRDefault="00D6038A" w:rsidP="00622C85">
      <w:pPr>
        <w:pStyle w:val="Body"/>
        <w:spacing w:after="0"/>
        <w:rPr>
          <w:rFonts w:ascii="Arial" w:hAnsi="Arial" w:cs="Arial"/>
          <w:b/>
          <w:bCs/>
        </w:rPr>
      </w:pPr>
      <w:bookmarkStart w:id="0" w:name="_Hlk212057405"/>
      <w:r w:rsidRPr="00D6038A">
        <w:rPr>
          <w:rFonts w:ascii="Arial" w:hAnsi="Arial" w:cs="Arial"/>
          <w:b/>
          <w:bCs/>
        </w:rPr>
        <w:t>Table 1. Conceptual Framework of Agroforestry and Adoption and Climate</w:t>
      </w:r>
      <w:bookmarkEnd w:id="0"/>
    </w:p>
    <w:tbl>
      <w:tblPr>
        <w:tblW w:w="726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657"/>
        <w:gridCol w:w="3402"/>
        <w:gridCol w:w="2209"/>
      </w:tblGrid>
      <w:tr w:rsidR="00F3494B" w:rsidRPr="00DC3180" w14:paraId="18627159" w14:textId="77777777" w:rsidTr="00D75F33">
        <w:trPr>
          <w:jc w:val="center"/>
        </w:trPr>
        <w:tc>
          <w:tcPr>
            <w:tcW w:w="1657" w:type="dxa"/>
            <w:tcBorders>
              <w:bottom w:val="single" w:sz="4" w:space="0" w:color="auto"/>
            </w:tcBorders>
          </w:tcPr>
          <w:p w14:paraId="2C458FB2" w14:textId="7F8C80E6" w:rsidR="00F3494B" w:rsidRPr="00DC3180" w:rsidRDefault="00F3494B" w:rsidP="007328C0">
            <w:pPr>
              <w:jc w:val="both"/>
              <w:rPr>
                <w:rFonts w:ascii="Arial" w:hAnsi="Arial"/>
                <w:b/>
                <w:bCs/>
              </w:rPr>
            </w:pPr>
            <w:r>
              <w:rPr>
                <w:rFonts w:ascii="Arial" w:hAnsi="Arial"/>
                <w:b/>
                <w:bCs/>
              </w:rPr>
              <w:t>Component</w:t>
            </w:r>
          </w:p>
        </w:tc>
        <w:tc>
          <w:tcPr>
            <w:tcW w:w="3402" w:type="dxa"/>
            <w:tcBorders>
              <w:bottom w:val="single" w:sz="4" w:space="0" w:color="auto"/>
            </w:tcBorders>
          </w:tcPr>
          <w:p w14:paraId="03A67337" w14:textId="3E9D9168" w:rsidR="00F3494B" w:rsidRPr="00DC3180" w:rsidRDefault="00F3494B" w:rsidP="007328C0">
            <w:pPr>
              <w:jc w:val="both"/>
              <w:rPr>
                <w:rFonts w:ascii="Arial" w:hAnsi="Arial"/>
                <w:b/>
                <w:bCs/>
              </w:rPr>
            </w:pPr>
            <w:r>
              <w:rPr>
                <w:rFonts w:ascii="Arial" w:hAnsi="Arial"/>
                <w:b/>
                <w:bCs/>
              </w:rPr>
              <w:t>Descriptions</w:t>
            </w:r>
          </w:p>
        </w:tc>
        <w:tc>
          <w:tcPr>
            <w:tcW w:w="2209" w:type="dxa"/>
            <w:tcBorders>
              <w:bottom w:val="single" w:sz="4" w:space="0" w:color="auto"/>
            </w:tcBorders>
          </w:tcPr>
          <w:p w14:paraId="239EA667" w14:textId="1ED3E440" w:rsidR="00F3494B" w:rsidRPr="00DC3180" w:rsidRDefault="00F3494B" w:rsidP="007328C0">
            <w:pPr>
              <w:jc w:val="both"/>
              <w:rPr>
                <w:rFonts w:ascii="Arial" w:hAnsi="Arial"/>
                <w:b/>
                <w:bCs/>
              </w:rPr>
            </w:pPr>
            <w:r>
              <w:rPr>
                <w:rFonts w:ascii="Arial" w:hAnsi="Arial"/>
                <w:b/>
                <w:bCs/>
              </w:rPr>
              <w:t>Supporting Studies</w:t>
            </w:r>
          </w:p>
        </w:tc>
      </w:tr>
      <w:tr w:rsidR="00F3494B" w:rsidRPr="00DC3180" w14:paraId="6A828E41" w14:textId="77777777" w:rsidTr="00D75F33">
        <w:trPr>
          <w:trHeight w:val="773"/>
          <w:jc w:val="center"/>
        </w:trPr>
        <w:tc>
          <w:tcPr>
            <w:tcW w:w="1657" w:type="dxa"/>
            <w:tcBorders>
              <w:bottom w:val="nil"/>
            </w:tcBorders>
          </w:tcPr>
          <w:p w14:paraId="13A31217" w14:textId="1E76D6D2" w:rsidR="00F3494B" w:rsidRPr="00DC3180" w:rsidRDefault="00F3494B" w:rsidP="00F3494B">
            <w:pPr>
              <w:jc w:val="both"/>
              <w:rPr>
                <w:rFonts w:ascii="Arial" w:hAnsi="Arial"/>
                <w:vanish/>
              </w:rPr>
            </w:pPr>
            <w:r w:rsidRPr="00A25501">
              <w:rPr>
                <w:rFonts w:ascii="Arial" w:hAnsi="Arial" w:cs="Arial"/>
              </w:rPr>
              <w:t>Farmers’ Knowledge, Attitudes, and Practices (KAP)</w:t>
            </w:r>
          </w:p>
          <w:p w14:paraId="4E77F630" w14:textId="2D4A4EAB" w:rsidR="00F3494B" w:rsidRPr="00DC3180" w:rsidRDefault="00F3494B" w:rsidP="00F3494B">
            <w:pPr>
              <w:jc w:val="both"/>
              <w:rPr>
                <w:rFonts w:ascii="Arial" w:hAnsi="Arial"/>
                <w:b/>
                <w:bCs/>
              </w:rPr>
            </w:pPr>
          </w:p>
        </w:tc>
        <w:tc>
          <w:tcPr>
            <w:tcW w:w="3402" w:type="dxa"/>
            <w:tcBorders>
              <w:bottom w:val="nil"/>
            </w:tcBorders>
          </w:tcPr>
          <w:p w14:paraId="6D410DF7" w14:textId="4798AC64" w:rsidR="00F3494B" w:rsidRPr="00DC3180" w:rsidRDefault="00F3494B" w:rsidP="00D75F33">
            <w:pPr>
              <w:rPr>
                <w:rFonts w:ascii="Arial" w:hAnsi="Arial"/>
                <w:b/>
                <w:bCs/>
              </w:rPr>
            </w:pPr>
            <w:r w:rsidRPr="000664D9">
              <w:rPr>
                <w:rFonts w:ascii="Arial" w:hAnsi="Arial" w:cs="Arial"/>
              </w:rPr>
              <w:t>Farmers’ understanding of climate change, perceptions of agroforestry, and willingness to integrate trees with crops. Knowledge and attitudes influence decisions to adopt sustainable practices.</w:t>
            </w:r>
          </w:p>
        </w:tc>
        <w:tc>
          <w:tcPr>
            <w:tcW w:w="2209" w:type="dxa"/>
            <w:tcBorders>
              <w:bottom w:val="nil"/>
            </w:tcBorders>
          </w:tcPr>
          <w:p w14:paraId="73C1BD28" w14:textId="6783B87E" w:rsidR="00F3494B" w:rsidRPr="00DC3180" w:rsidRDefault="00F3494B" w:rsidP="00F3494B">
            <w:pPr>
              <w:jc w:val="both"/>
              <w:rPr>
                <w:rFonts w:ascii="Arial" w:hAnsi="Arial"/>
                <w:b/>
                <w:bCs/>
              </w:rPr>
            </w:pPr>
            <w:r w:rsidRPr="00A25501">
              <w:rPr>
                <w:rFonts w:ascii="Arial" w:hAnsi="Arial" w:cs="Arial"/>
              </w:rPr>
              <w:t>Evangelista, Cruz, &amp; Lasco (2016); Galang &amp; Vaughter (2020)</w:t>
            </w:r>
          </w:p>
        </w:tc>
      </w:tr>
      <w:tr w:rsidR="00F3494B" w:rsidRPr="00DC3180" w14:paraId="2BC75B53" w14:textId="77777777" w:rsidTr="00D75F33">
        <w:trPr>
          <w:jc w:val="center"/>
          <w:hidden/>
        </w:trPr>
        <w:tc>
          <w:tcPr>
            <w:tcW w:w="1657" w:type="dxa"/>
            <w:tcBorders>
              <w:top w:val="nil"/>
              <w:bottom w:val="nil"/>
            </w:tcBorders>
          </w:tcPr>
          <w:p w14:paraId="48024887" w14:textId="77777777" w:rsidR="00F3494B" w:rsidRPr="00DC3180" w:rsidRDefault="00F3494B" w:rsidP="00F3494B">
            <w:pPr>
              <w:jc w:val="both"/>
              <w:rPr>
                <w:rFonts w:ascii="Arial" w:hAnsi="Arial" w:cs="Arial"/>
                <w:vanish/>
              </w:rPr>
            </w:pPr>
          </w:p>
          <w:p w14:paraId="1AA5473A" w14:textId="77777777" w:rsidR="00F3494B" w:rsidRPr="00DC3180" w:rsidRDefault="00F3494B" w:rsidP="00F3494B">
            <w:pPr>
              <w:jc w:val="both"/>
              <w:rPr>
                <w:rFonts w:ascii="Arial" w:hAnsi="Arial" w:cs="Arial"/>
              </w:rPr>
            </w:pPr>
          </w:p>
        </w:tc>
        <w:tc>
          <w:tcPr>
            <w:tcW w:w="3402" w:type="dxa"/>
            <w:tcBorders>
              <w:top w:val="nil"/>
              <w:bottom w:val="nil"/>
            </w:tcBorders>
          </w:tcPr>
          <w:p w14:paraId="51AA29ED" w14:textId="0E5655D4" w:rsidR="00D75F33" w:rsidRPr="00DC3180" w:rsidRDefault="00F3494B" w:rsidP="00D75F33">
            <w:pPr>
              <w:rPr>
                <w:rFonts w:ascii="Arial" w:hAnsi="Arial" w:cs="Arial"/>
              </w:rPr>
            </w:pPr>
            <w:r w:rsidRPr="000664D9">
              <w:rPr>
                <w:rFonts w:ascii="Arial" w:hAnsi="Arial" w:cs="Arial"/>
              </w:rPr>
              <w:t>Farmers’ understanding of climate change, perceptions of agroforestry, and willingness to integrate trees with crops. Knowledge and attitudes influence decisions to adopt sustainable practices.</w:t>
            </w:r>
          </w:p>
        </w:tc>
        <w:tc>
          <w:tcPr>
            <w:tcW w:w="2209" w:type="dxa"/>
            <w:tcBorders>
              <w:top w:val="nil"/>
              <w:bottom w:val="nil"/>
            </w:tcBorders>
          </w:tcPr>
          <w:p w14:paraId="00613800" w14:textId="77777777" w:rsidR="00F3494B" w:rsidRPr="00DC3180" w:rsidRDefault="00F3494B" w:rsidP="00F3494B">
            <w:pPr>
              <w:jc w:val="both"/>
              <w:rPr>
                <w:rFonts w:ascii="Arial" w:hAnsi="Arial" w:cs="Arial"/>
                <w:vanish/>
              </w:rPr>
            </w:pPr>
          </w:p>
          <w:p w14:paraId="2CAE0A21" w14:textId="77777777" w:rsidR="00F3494B" w:rsidRPr="00DC3180" w:rsidRDefault="00F3494B" w:rsidP="00F3494B">
            <w:pPr>
              <w:jc w:val="both"/>
              <w:rPr>
                <w:rFonts w:ascii="Arial" w:hAnsi="Arial"/>
              </w:rPr>
            </w:pPr>
          </w:p>
        </w:tc>
      </w:tr>
      <w:tr w:rsidR="00F3494B" w:rsidRPr="00417EDC" w14:paraId="0659C9D7" w14:textId="77777777" w:rsidTr="00D75F33">
        <w:trPr>
          <w:jc w:val="center"/>
        </w:trPr>
        <w:tc>
          <w:tcPr>
            <w:tcW w:w="1657" w:type="dxa"/>
            <w:tcBorders>
              <w:top w:val="nil"/>
              <w:bottom w:val="nil"/>
            </w:tcBorders>
          </w:tcPr>
          <w:p w14:paraId="22E30881" w14:textId="4DE086CB" w:rsidR="00F3494B" w:rsidRPr="00DC3180" w:rsidRDefault="00F3494B" w:rsidP="00F3494B">
            <w:pPr>
              <w:jc w:val="both"/>
              <w:rPr>
                <w:rFonts w:ascii="Arial" w:hAnsi="Arial"/>
              </w:rPr>
            </w:pPr>
            <w:r w:rsidRPr="00F3494B">
              <w:rPr>
                <w:rFonts w:ascii="Arial" w:hAnsi="Arial"/>
              </w:rPr>
              <w:lastRenderedPageBreak/>
              <w:t xml:space="preserve">Adoption of Agroforestry Systems </w:t>
            </w:r>
          </w:p>
        </w:tc>
        <w:tc>
          <w:tcPr>
            <w:tcW w:w="3402" w:type="dxa"/>
            <w:tcBorders>
              <w:top w:val="nil"/>
              <w:bottom w:val="nil"/>
            </w:tcBorders>
          </w:tcPr>
          <w:p w14:paraId="7ACA09A9" w14:textId="06B0356D" w:rsidR="00D75F33" w:rsidRPr="00D75F33" w:rsidRDefault="00F3494B" w:rsidP="00D75F33">
            <w:pPr>
              <w:rPr>
                <w:rFonts w:ascii="Arial" w:hAnsi="Arial" w:cs="Arial"/>
              </w:rPr>
            </w:pPr>
            <w:r w:rsidRPr="00A25501">
              <w:rPr>
                <w:rFonts w:ascii="Arial" w:hAnsi="Arial" w:cs="Arial"/>
              </w:rPr>
              <w:t xml:space="preserve">The decision and action to implement tree-based farming systems such as contour planting, fruit-tree intercropping, boundary planting, or </w:t>
            </w:r>
            <w:proofErr w:type="spellStart"/>
            <w:r w:rsidRPr="00A25501">
              <w:rPr>
                <w:rFonts w:ascii="Arial" w:hAnsi="Arial" w:cs="Arial"/>
              </w:rPr>
              <w:t>multistrata</w:t>
            </w:r>
            <w:proofErr w:type="spellEnd"/>
            <w:r w:rsidRPr="00A25501">
              <w:rPr>
                <w:rFonts w:ascii="Arial" w:hAnsi="Arial" w:cs="Arial"/>
              </w:rPr>
              <w:t xml:space="preserve"> systems. Influenced by knowledge, attitudes, and external factors like land tenure and institutional support</w:t>
            </w:r>
          </w:p>
        </w:tc>
        <w:tc>
          <w:tcPr>
            <w:tcW w:w="2209" w:type="dxa"/>
            <w:tcBorders>
              <w:top w:val="nil"/>
              <w:bottom w:val="nil"/>
            </w:tcBorders>
          </w:tcPr>
          <w:p w14:paraId="71B34B39" w14:textId="1AA7765B" w:rsidR="00F3494B" w:rsidRPr="00417EDC" w:rsidRDefault="00F3494B" w:rsidP="00F3494B">
            <w:pPr>
              <w:jc w:val="both"/>
              <w:rPr>
                <w:rFonts w:ascii="Arial" w:hAnsi="Arial" w:cs="Arial"/>
                <w:lang w:val="nl-BE"/>
              </w:rPr>
            </w:pPr>
            <w:r w:rsidRPr="00417EDC">
              <w:rPr>
                <w:rFonts w:ascii="Arial" w:hAnsi="Arial" w:cs="Arial"/>
                <w:lang w:val="nl-BE"/>
              </w:rPr>
              <w:t>Landicho, Paelmo, De Luna, &amp; Visco (2016)</w:t>
            </w:r>
          </w:p>
        </w:tc>
      </w:tr>
      <w:tr w:rsidR="00F3494B" w:rsidRPr="00DC3180" w14:paraId="58FC698B" w14:textId="77777777" w:rsidTr="00D75F33">
        <w:trPr>
          <w:jc w:val="center"/>
        </w:trPr>
        <w:tc>
          <w:tcPr>
            <w:tcW w:w="1657" w:type="dxa"/>
            <w:tcBorders>
              <w:top w:val="nil"/>
              <w:bottom w:val="nil"/>
            </w:tcBorders>
          </w:tcPr>
          <w:p w14:paraId="3DA0E199" w14:textId="65BF4F06" w:rsidR="00F3494B" w:rsidRPr="00DC3180" w:rsidRDefault="00D75F33" w:rsidP="00F3494B">
            <w:pPr>
              <w:jc w:val="both"/>
              <w:rPr>
                <w:rFonts w:ascii="Arial" w:hAnsi="Arial"/>
              </w:rPr>
            </w:pPr>
            <w:r w:rsidRPr="00A25501">
              <w:rPr>
                <w:rFonts w:ascii="Arial" w:hAnsi="Arial" w:cs="Arial"/>
              </w:rPr>
              <w:t>Adaptation Outcomes</w:t>
            </w:r>
          </w:p>
        </w:tc>
        <w:tc>
          <w:tcPr>
            <w:tcW w:w="3402" w:type="dxa"/>
            <w:tcBorders>
              <w:top w:val="nil"/>
              <w:bottom w:val="nil"/>
            </w:tcBorders>
          </w:tcPr>
          <w:p w14:paraId="5FFB6FAA" w14:textId="67C39A86" w:rsidR="00D75F33" w:rsidRPr="00D75F33" w:rsidRDefault="00D75F33" w:rsidP="00D75F33">
            <w:pPr>
              <w:rPr>
                <w:rFonts w:ascii="Arial" w:hAnsi="Arial" w:cs="Arial"/>
              </w:rPr>
            </w:pPr>
            <w:r w:rsidRPr="00A25501">
              <w:rPr>
                <w:rFonts w:ascii="Arial" w:hAnsi="Arial" w:cs="Arial"/>
              </w:rPr>
              <w:t>Benefits that enhance farmers’ ability to cope with and recover from climate variability, such as improved soil fertility, water conservation, and livelihood diversification.</w:t>
            </w:r>
          </w:p>
        </w:tc>
        <w:tc>
          <w:tcPr>
            <w:tcW w:w="2209" w:type="dxa"/>
            <w:tcBorders>
              <w:top w:val="nil"/>
              <w:bottom w:val="nil"/>
            </w:tcBorders>
          </w:tcPr>
          <w:p w14:paraId="2A1525CF" w14:textId="77777777" w:rsidR="00D75F33" w:rsidRDefault="00D75F33" w:rsidP="00D75F33">
            <w:pPr>
              <w:rPr>
                <w:rFonts w:ascii="Arial" w:hAnsi="Arial" w:cs="Arial"/>
              </w:rPr>
            </w:pPr>
            <w:r w:rsidRPr="00A25501">
              <w:rPr>
                <w:rFonts w:ascii="Arial" w:hAnsi="Arial" w:cs="Arial"/>
              </w:rPr>
              <w:t xml:space="preserve">Lasco, Delfino, &amp; </w:t>
            </w:r>
            <w:proofErr w:type="spellStart"/>
            <w:r w:rsidRPr="00A25501">
              <w:rPr>
                <w:rFonts w:ascii="Arial" w:hAnsi="Arial" w:cs="Arial"/>
              </w:rPr>
              <w:t>Espaldon</w:t>
            </w:r>
            <w:proofErr w:type="spellEnd"/>
            <w:r w:rsidRPr="00A25501">
              <w:rPr>
                <w:rFonts w:ascii="Arial" w:hAnsi="Arial" w:cs="Arial"/>
              </w:rPr>
              <w:t xml:space="preserve"> (2014); Landicho et al. (2016)</w:t>
            </w:r>
          </w:p>
          <w:p w14:paraId="7976ADF4" w14:textId="5E146CDE" w:rsidR="00F3494B" w:rsidRPr="00DC3180" w:rsidRDefault="00F3494B" w:rsidP="00F3494B">
            <w:pPr>
              <w:jc w:val="both"/>
              <w:rPr>
                <w:rFonts w:ascii="Arial" w:hAnsi="Arial" w:cs="Arial"/>
              </w:rPr>
            </w:pPr>
          </w:p>
        </w:tc>
      </w:tr>
      <w:tr w:rsidR="00F3494B" w:rsidRPr="00DC3180" w14:paraId="4A9C5DB7" w14:textId="77777777" w:rsidTr="00D75F33">
        <w:trPr>
          <w:jc w:val="center"/>
        </w:trPr>
        <w:tc>
          <w:tcPr>
            <w:tcW w:w="1657" w:type="dxa"/>
            <w:tcBorders>
              <w:top w:val="nil"/>
              <w:bottom w:val="nil"/>
            </w:tcBorders>
          </w:tcPr>
          <w:p w14:paraId="6669D5BB" w14:textId="70679AAF" w:rsidR="00F3494B" w:rsidRPr="00DC3180" w:rsidRDefault="00D75F33" w:rsidP="00F3494B">
            <w:pPr>
              <w:jc w:val="both"/>
              <w:rPr>
                <w:rFonts w:ascii="Arial" w:hAnsi="Arial"/>
              </w:rPr>
            </w:pPr>
            <w:r w:rsidRPr="00A25501">
              <w:rPr>
                <w:rFonts w:ascii="Arial" w:hAnsi="Arial" w:cs="Arial"/>
              </w:rPr>
              <w:t>Mitigation Outcomes</w:t>
            </w:r>
          </w:p>
        </w:tc>
        <w:tc>
          <w:tcPr>
            <w:tcW w:w="3402" w:type="dxa"/>
            <w:tcBorders>
              <w:top w:val="nil"/>
              <w:bottom w:val="nil"/>
            </w:tcBorders>
          </w:tcPr>
          <w:p w14:paraId="053957C8" w14:textId="1A27376C" w:rsidR="00F3494B" w:rsidRPr="00DC3180" w:rsidRDefault="00D75F33" w:rsidP="00D75F33">
            <w:pPr>
              <w:rPr>
                <w:rFonts w:ascii="Arial" w:hAnsi="Arial"/>
              </w:rPr>
            </w:pPr>
            <w:r w:rsidRPr="00A25501">
              <w:rPr>
                <w:rFonts w:ascii="Arial" w:hAnsi="Arial" w:cs="Arial"/>
              </w:rPr>
              <w:t>Environmental benefits that reduce greenhouse gas emissions, increase carbon storage, and promote biodiversity conservation through tree integration in farms.</w:t>
            </w:r>
          </w:p>
        </w:tc>
        <w:tc>
          <w:tcPr>
            <w:tcW w:w="2209" w:type="dxa"/>
            <w:tcBorders>
              <w:top w:val="nil"/>
              <w:bottom w:val="nil"/>
            </w:tcBorders>
          </w:tcPr>
          <w:p w14:paraId="24C592C5" w14:textId="6B927394" w:rsidR="00F3494B" w:rsidRPr="00DC3180" w:rsidRDefault="00D75F33" w:rsidP="00D75F33">
            <w:pPr>
              <w:rPr>
                <w:rFonts w:ascii="Arial" w:hAnsi="Arial" w:cs="Arial"/>
              </w:rPr>
            </w:pPr>
            <w:proofErr w:type="spellStart"/>
            <w:r w:rsidRPr="00A25501">
              <w:rPr>
                <w:rFonts w:ascii="Arial" w:hAnsi="Arial" w:cs="Arial"/>
              </w:rPr>
              <w:t>Tabal</w:t>
            </w:r>
            <w:proofErr w:type="spellEnd"/>
            <w:r w:rsidRPr="00A25501">
              <w:rPr>
                <w:rFonts w:ascii="Arial" w:hAnsi="Arial" w:cs="Arial"/>
              </w:rPr>
              <w:t xml:space="preserve"> &amp; Mendoza (2020); Abebaw, </w:t>
            </w:r>
            <w:proofErr w:type="spellStart"/>
            <w:r w:rsidRPr="00A25501">
              <w:rPr>
                <w:rFonts w:ascii="Arial" w:hAnsi="Arial" w:cs="Arial"/>
              </w:rPr>
              <w:t>Yeshiwas</w:t>
            </w:r>
            <w:proofErr w:type="spellEnd"/>
            <w:r w:rsidRPr="00A25501">
              <w:rPr>
                <w:rFonts w:ascii="Arial" w:hAnsi="Arial" w:cs="Arial"/>
              </w:rPr>
              <w:t>, &amp; Feleke (2025)</w:t>
            </w:r>
          </w:p>
        </w:tc>
      </w:tr>
      <w:tr w:rsidR="00D75F33" w:rsidRPr="00DC3180" w14:paraId="4D655030" w14:textId="77777777" w:rsidTr="00D75F33">
        <w:trPr>
          <w:jc w:val="center"/>
        </w:trPr>
        <w:tc>
          <w:tcPr>
            <w:tcW w:w="1657" w:type="dxa"/>
            <w:tcBorders>
              <w:top w:val="nil"/>
              <w:bottom w:val="nil"/>
            </w:tcBorders>
          </w:tcPr>
          <w:p w14:paraId="69C77FDC" w14:textId="77777777" w:rsidR="00D75F33" w:rsidRDefault="00D75F33" w:rsidP="00F3494B">
            <w:pPr>
              <w:jc w:val="both"/>
              <w:rPr>
                <w:rFonts w:ascii="Arial" w:hAnsi="Arial" w:cs="Arial"/>
              </w:rPr>
            </w:pPr>
          </w:p>
          <w:p w14:paraId="6BD6C50E" w14:textId="3C844B52" w:rsidR="00D75F33" w:rsidRPr="00A25501" w:rsidRDefault="00D75F33" w:rsidP="00F3494B">
            <w:pPr>
              <w:jc w:val="both"/>
              <w:rPr>
                <w:rFonts w:ascii="Arial" w:hAnsi="Arial" w:cs="Arial"/>
              </w:rPr>
            </w:pPr>
            <w:r w:rsidRPr="00A25501">
              <w:rPr>
                <w:rFonts w:ascii="Arial" w:hAnsi="Arial" w:cs="Arial"/>
              </w:rPr>
              <w:t>Climate-Resilient Livelihoods</w:t>
            </w:r>
          </w:p>
        </w:tc>
        <w:tc>
          <w:tcPr>
            <w:tcW w:w="3402" w:type="dxa"/>
            <w:tcBorders>
              <w:top w:val="nil"/>
              <w:bottom w:val="nil"/>
            </w:tcBorders>
          </w:tcPr>
          <w:p w14:paraId="07FF57F6" w14:textId="77777777" w:rsidR="00D75F33" w:rsidRDefault="00D75F33" w:rsidP="00D75F33">
            <w:pPr>
              <w:rPr>
                <w:rFonts w:ascii="Arial" w:hAnsi="Arial" w:cs="Arial"/>
              </w:rPr>
            </w:pPr>
          </w:p>
          <w:p w14:paraId="29528F3E" w14:textId="0B6D0D55" w:rsidR="00D75F33" w:rsidRPr="00A25501" w:rsidRDefault="00D75F33" w:rsidP="00D75F33">
            <w:pPr>
              <w:rPr>
                <w:rFonts w:ascii="Arial" w:hAnsi="Arial" w:cs="Arial"/>
              </w:rPr>
            </w:pPr>
            <w:r w:rsidRPr="00A25501">
              <w:rPr>
                <w:rFonts w:ascii="Arial" w:hAnsi="Arial" w:cs="Arial"/>
              </w:rPr>
              <w:t>The overall result of effective adaptation and mitigation practices, where farmers achieve stable incomes, sustainable production, and reduced vulnerability to climate shocks.</w:t>
            </w:r>
          </w:p>
        </w:tc>
        <w:tc>
          <w:tcPr>
            <w:tcW w:w="2209" w:type="dxa"/>
            <w:tcBorders>
              <w:top w:val="nil"/>
              <w:bottom w:val="nil"/>
            </w:tcBorders>
          </w:tcPr>
          <w:p w14:paraId="492AAFF6" w14:textId="77777777" w:rsidR="00D75F33" w:rsidRDefault="00D75F33" w:rsidP="00D75F33">
            <w:pPr>
              <w:rPr>
                <w:rFonts w:ascii="Arial" w:hAnsi="Arial" w:cs="Arial"/>
              </w:rPr>
            </w:pPr>
          </w:p>
          <w:p w14:paraId="0B2BC450" w14:textId="7101F481" w:rsidR="00D75F33" w:rsidRDefault="00D75F33" w:rsidP="00D75F33">
            <w:pPr>
              <w:rPr>
                <w:rFonts w:ascii="Arial" w:hAnsi="Arial" w:cs="Arial"/>
              </w:rPr>
            </w:pPr>
            <w:r w:rsidRPr="00A25501">
              <w:rPr>
                <w:rFonts w:ascii="Arial" w:hAnsi="Arial" w:cs="Arial"/>
              </w:rPr>
              <w:t>Synthesized from all reviewed studies</w:t>
            </w:r>
          </w:p>
          <w:p w14:paraId="62865620" w14:textId="77777777" w:rsidR="00D75F33" w:rsidRDefault="00D75F33" w:rsidP="00D75F33">
            <w:pPr>
              <w:rPr>
                <w:rFonts w:ascii="Arial" w:hAnsi="Arial" w:cs="Arial"/>
              </w:rPr>
            </w:pPr>
          </w:p>
          <w:p w14:paraId="5F4DF964" w14:textId="77777777" w:rsidR="00D75F33" w:rsidRPr="00D75F33" w:rsidRDefault="00D75F33" w:rsidP="00D75F33">
            <w:pPr>
              <w:jc w:val="center"/>
              <w:rPr>
                <w:rFonts w:ascii="Arial" w:hAnsi="Arial" w:cs="Arial"/>
              </w:rPr>
            </w:pPr>
          </w:p>
        </w:tc>
      </w:tr>
      <w:tr w:rsidR="00D75F33" w:rsidRPr="00DC3180" w14:paraId="61A9DF91" w14:textId="77777777" w:rsidTr="00D75F33">
        <w:trPr>
          <w:jc w:val="center"/>
        </w:trPr>
        <w:tc>
          <w:tcPr>
            <w:tcW w:w="1657" w:type="dxa"/>
            <w:tcBorders>
              <w:top w:val="nil"/>
              <w:bottom w:val="single" w:sz="4" w:space="0" w:color="auto"/>
            </w:tcBorders>
          </w:tcPr>
          <w:p w14:paraId="1D5B5871" w14:textId="4FCCC286" w:rsidR="00D75F33" w:rsidRDefault="00D75F33" w:rsidP="00F3494B">
            <w:pPr>
              <w:jc w:val="both"/>
              <w:rPr>
                <w:rFonts w:ascii="Arial" w:hAnsi="Arial" w:cs="Arial"/>
              </w:rPr>
            </w:pPr>
            <w:r w:rsidRPr="00A25501">
              <w:rPr>
                <w:rFonts w:ascii="Arial" w:hAnsi="Arial" w:cs="Arial"/>
              </w:rPr>
              <w:t>External Influences (Moderating Factors)</w:t>
            </w:r>
          </w:p>
        </w:tc>
        <w:tc>
          <w:tcPr>
            <w:tcW w:w="3402" w:type="dxa"/>
            <w:tcBorders>
              <w:top w:val="nil"/>
              <w:bottom w:val="single" w:sz="4" w:space="0" w:color="auto"/>
            </w:tcBorders>
          </w:tcPr>
          <w:p w14:paraId="545CB367" w14:textId="6160F799" w:rsidR="00D75F33" w:rsidRDefault="00D75F33" w:rsidP="00D75F33">
            <w:pPr>
              <w:rPr>
                <w:rFonts w:ascii="Arial" w:hAnsi="Arial" w:cs="Arial"/>
              </w:rPr>
            </w:pPr>
            <w:r w:rsidRPr="00A25501">
              <w:rPr>
                <w:rFonts w:ascii="Arial" w:hAnsi="Arial" w:cs="Arial"/>
              </w:rPr>
              <w:t>Institutional, policy, and socioeconomic factors that support or constrain adoption, such as land tenure security, government programs, market access, and community initiatives.</w:t>
            </w:r>
          </w:p>
        </w:tc>
        <w:tc>
          <w:tcPr>
            <w:tcW w:w="2209" w:type="dxa"/>
            <w:tcBorders>
              <w:top w:val="nil"/>
              <w:bottom w:val="single" w:sz="4" w:space="0" w:color="auto"/>
            </w:tcBorders>
          </w:tcPr>
          <w:p w14:paraId="026378F5" w14:textId="0809126C" w:rsidR="00D75F33" w:rsidRDefault="00D75F33" w:rsidP="00D75F33">
            <w:pPr>
              <w:rPr>
                <w:rFonts w:ascii="Arial" w:hAnsi="Arial" w:cs="Arial"/>
              </w:rPr>
            </w:pPr>
            <w:r w:rsidRPr="00A25501">
              <w:rPr>
                <w:rFonts w:ascii="Arial" w:hAnsi="Arial" w:cs="Arial"/>
              </w:rPr>
              <w:t xml:space="preserve">DENR (2022); Lasco &amp; </w:t>
            </w:r>
            <w:proofErr w:type="spellStart"/>
            <w:r w:rsidRPr="00A25501">
              <w:rPr>
                <w:rFonts w:ascii="Arial" w:hAnsi="Arial" w:cs="Arial"/>
              </w:rPr>
              <w:t>Pulhin</w:t>
            </w:r>
            <w:proofErr w:type="spellEnd"/>
            <w:r w:rsidRPr="00A25501">
              <w:rPr>
                <w:rFonts w:ascii="Arial" w:hAnsi="Arial" w:cs="Arial"/>
              </w:rPr>
              <w:t xml:space="preserve"> (2003)</w:t>
            </w:r>
          </w:p>
          <w:p w14:paraId="035B53C8" w14:textId="77777777" w:rsidR="00D75F33" w:rsidRPr="00D75F33" w:rsidRDefault="00D75F33" w:rsidP="00D75F33">
            <w:pPr>
              <w:ind w:firstLine="720"/>
              <w:rPr>
                <w:rFonts w:ascii="Arial" w:hAnsi="Arial" w:cs="Arial"/>
              </w:rPr>
            </w:pPr>
          </w:p>
        </w:tc>
      </w:tr>
    </w:tbl>
    <w:p w14:paraId="6F0E6D60" w14:textId="77777777" w:rsidR="00F3494B" w:rsidRDefault="00F3494B" w:rsidP="00622C85">
      <w:pPr>
        <w:pStyle w:val="Body"/>
        <w:spacing w:after="0"/>
        <w:rPr>
          <w:rFonts w:ascii="Arial" w:hAnsi="Arial" w:cs="Arial"/>
        </w:rPr>
      </w:pPr>
    </w:p>
    <w:p w14:paraId="08AA60FD" w14:textId="77777777" w:rsidR="00622C85" w:rsidRDefault="00622C85" w:rsidP="00622C85">
      <w:pPr>
        <w:pStyle w:val="Body"/>
        <w:spacing w:after="0"/>
        <w:rPr>
          <w:rFonts w:ascii="Arial" w:hAnsi="Arial" w:cs="Arial"/>
        </w:rPr>
      </w:pPr>
    </w:p>
    <w:p w14:paraId="27FB9F87" w14:textId="223B5D23" w:rsidR="00622C85" w:rsidRDefault="00622C85" w:rsidP="00622C85">
      <w:pPr>
        <w:pStyle w:val="Head1"/>
        <w:spacing w:after="0"/>
        <w:jc w:val="both"/>
        <w:rPr>
          <w:rFonts w:ascii="Arial" w:hAnsi="Arial" w:cs="Arial"/>
        </w:rPr>
      </w:pPr>
      <w:r>
        <w:rPr>
          <w:rFonts w:ascii="Arial" w:hAnsi="Arial" w:cs="Arial"/>
        </w:rPr>
        <w:t>4. FARmers’ knowledge, attitudes and Practices</w:t>
      </w:r>
    </w:p>
    <w:p w14:paraId="16034F4B" w14:textId="77777777" w:rsidR="00622C85" w:rsidRDefault="00622C85" w:rsidP="00622C85">
      <w:pPr>
        <w:pStyle w:val="Head1"/>
        <w:spacing w:after="0"/>
        <w:jc w:val="both"/>
        <w:rPr>
          <w:rFonts w:ascii="Arial" w:hAnsi="Arial" w:cs="Arial"/>
        </w:rPr>
      </w:pPr>
    </w:p>
    <w:p w14:paraId="0F3BD9B3" w14:textId="3E3E72CF" w:rsidR="002E340F" w:rsidRPr="002E340F" w:rsidRDefault="002E340F" w:rsidP="002E340F">
      <w:pPr>
        <w:pStyle w:val="Head1"/>
        <w:jc w:val="both"/>
        <w:rPr>
          <w:rFonts w:ascii="Arial" w:hAnsi="Arial" w:cs="Arial"/>
          <w:b w:val="0"/>
          <w:caps w:val="0"/>
          <w:sz w:val="20"/>
        </w:rPr>
      </w:pPr>
      <w:r w:rsidRPr="002E340F">
        <w:rPr>
          <w:rFonts w:ascii="Arial" w:hAnsi="Arial" w:cs="Arial"/>
          <w:b w:val="0"/>
          <w:caps w:val="0"/>
          <w:sz w:val="20"/>
        </w:rPr>
        <w:t>Smallholder farmers’ understanding and perception of climate change largely shape agroforestry adoption. Studies show that most Filipino farmers are aware of climate risks and recognize the benefits of tree-based systems, yet adoption remains uneven due to economic and institutional barriers.</w:t>
      </w:r>
    </w:p>
    <w:p w14:paraId="656974D0" w14:textId="17695068" w:rsidR="002E340F" w:rsidRPr="002E340F" w:rsidRDefault="002E340F" w:rsidP="002E340F">
      <w:pPr>
        <w:pStyle w:val="Head1"/>
        <w:jc w:val="both"/>
        <w:rPr>
          <w:rFonts w:ascii="Arial" w:hAnsi="Arial" w:cs="Arial"/>
          <w:b w:val="0"/>
          <w:caps w:val="0"/>
          <w:sz w:val="20"/>
        </w:rPr>
      </w:pPr>
      <w:r w:rsidRPr="002E340F">
        <w:rPr>
          <w:rFonts w:ascii="Arial" w:hAnsi="Arial" w:cs="Arial"/>
          <w:b w:val="0"/>
          <w:caps w:val="0"/>
          <w:sz w:val="20"/>
        </w:rPr>
        <w:t xml:space="preserve">In Cagayan, 91% of farmers were aware of climate change, and 84% were familiar with agroforestry benefits such as soil protection and diversified income (Evangelista, Cruz, &amp; Lasco, 2016). Similar findings in Batangas and Laguna reported high awareness but limited adoption due to insecure land tenure and labor constraints (Landicho, </w:t>
      </w:r>
      <w:proofErr w:type="spellStart"/>
      <w:r w:rsidRPr="002E340F">
        <w:rPr>
          <w:rFonts w:ascii="Arial" w:hAnsi="Arial" w:cs="Arial"/>
          <w:b w:val="0"/>
          <w:caps w:val="0"/>
          <w:sz w:val="20"/>
        </w:rPr>
        <w:t>Paelmo</w:t>
      </w:r>
      <w:proofErr w:type="spellEnd"/>
      <w:r w:rsidRPr="002E340F">
        <w:rPr>
          <w:rFonts w:ascii="Arial" w:hAnsi="Arial" w:cs="Arial"/>
          <w:b w:val="0"/>
          <w:caps w:val="0"/>
          <w:sz w:val="20"/>
        </w:rPr>
        <w:t>, De Luna, &amp;</w:t>
      </w:r>
      <w:r>
        <w:rPr>
          <w:rFonts w:ascii="Arial" w:hAnsi="Arial" w:cs="Arial"/>
          <w:b w:val="0"/>
          <w:caps w:val="0"/>
          <w:sz w:val="20"/>
        </w:rPr>
        <w:t xml:space="preserve"> </w:t>
      </w:r>
      <w:r w:rsidRPr="002E340F">
        <w:rPr>
          <w:rFonts w:ascii="Arial" w:hAnsi="Arial" w:cs="Arial"/>
          <w:b w:val="0"/>
          <w:caps w:val="0"/>
          <w:sz w:val="20"/>
        </w:rPr>
        <w:t>Visco, 2016). Mindanao farmers demonstrated strong local ecological knowledge, but younger generations rely more on formal education than experience (Galang &amp; Vaughter, 2020).</w:t>
      </w:r>
    </w:p>
    <w:p w14:paraId="0DF1106C" w14:textId="6A288FFE" w:rsidR="002E340F" w:rsidRPr="002E340F" w:rsidRDefault="002E340F" w:rsidP="002E340F">
      <w:pPr>
        <w:pStyle w:val="Head1"/>
        <w:jc w:val="both"/>
        <w:rPr>
          <w:rFonts w:ascii="Arial" w:hAnsi="Arial" w:cs="Arial"/>
          <w:b w:val="0"/>
          <w:caps w:val="0"/>
          <w:sz w:val="20"/>
        </w:rPr>
      </w:pPr>
      <w:r w:rsidRPr="002E340F">
        <w:rPr>
          <w:rFonts w:ascii="Arial" w:hAnsi="Arial" w:cs="Arial"/>
          <w:b w:val="0"/>
          <w:caps w:val="0"/>
          <w:sz w:val="20"/>
        </w:rPr>
        <w:t>Comparative studies in Southeast Asia and Africa confirm this pattern. In Vietnam, education and access to extension services significantly increased agroforestry adoption (Nguyen, Tran, &amp; Pham, 2022). In Rwanda, 93% of farmers perceived agroforestry as essential for soil fertility and water conservation (</w:t>
      </w:r>
      <w:proofErr w:type="spellStart"/>
      <w:r w:rsidRPr="002E340F">
        <w:rPr>
          <w:rFonts w:ascii="Arial" w:hAnsi="Arial" w:cs="Arial"/>
          <w:b w:val="0"/>
          <w:caps w:val="0"/>
          <w:sz w:val="20"/>
        </w:rPr>
        <w:t>Ndayambaje</w:t>
      </w:r>
      <w:proofErr w:type="spellEnd"/>
      <w:r w:rsidRPr="002E340F">
        <w:rPr>
          <w:rFonts w:ascii="Arial" w:hAnsi="Arial" w:cs="Arial"/>
          <w:b w:val="0"/>
          <w:caps w:val="0"/>
          <w:sz w:val="20"/>
        </w:rPr>
        <w:t xml:space="preserve">, </w:t>
      </w:r>
      <w:proofErr w:type="spellStart"/>
      <w:r w:rsidRPr="002E340F">
        <w:rPr>
          <w:rFonts w:ascii="Arial" w:hAnsi="Arial" w:cs="Arial"/>
          <w:b w:val="0"/>
          <w:caps w:val="0"/>
          <w:sz w:val="20"/>
        </w:rPr>
        <w:t>Uwineza</w:t>
      </w:r>
      <w:proofErr w:type="spellEnd"/>
      <w:r w:rsidRPr="002E340F">
        <w:rPr>
          <w:rFonts w:ascii="Arial" w:hAnsi="Arial" w:cs="Arial"/>
          <w:b w:val="0"/>
          <w:caps w:val="0"/>
          <w:sz w:val="20"/>
        </w:rPr>
        <w:t xml:space="preserve">, &amp; Mukuralinda, 2023). Global meta-analyses further show that agroforestry enhances soil organic carbon by 21% and nitrogen by 46% </w:t>
      </w:r>
      <w:r w:rsidRPr="002E340F">
        <w:rPr>
          <w:rFonts w:ascii="Arial" w:hAnsi="Arial" w:cs="Arial"/>
          <w:b w:val="0"/>
          <w:caps w:val="0"/>
          <w:sz w:val="20"/>
        </w:rPr>
        <w:lastRenderedPageBreak/>
        <w:t>compared with monocropping systems (</w:t>
      </w:r>
      <w:proofErr w:type="spellStart"/>
      <w:r w:rsidRPr="002E340F">
        <w:rPr>
          <w:rFonts w:ascii="Arial" w:hAnsi="Arial" w:cs="Arial"/>
          <w:b w:val="0"/>
          <w:caps w:val="0"/>
          <w:sz w:val="20"/>
        </w:rPr>
        <w:t>Beillouin</w:t>
      </w:r>
      <w:proofErr w:type="spellEnd"/>
      <w:r w:rsidRPr="002E340F">
        <w:rPr>
          <w:rFonts w:ascii="Arial" w:hAnsi="Arial" w:cs="Arial"/>
          <w:b w:val="0"/>
          <w:caps w:val="0"/>
          <w:sz w:val="20"/>
        </w:rPr>
        <w:t xml:space="preserve">, Ben-Ari, Makowski, &amp; </w:t>
      </w:r>
      <w:proofErr w:type="spellStart"/>
      <w:r w:rsidRPr="002E340F">
        <w:rPr>
          <w:rFonts w:ascii="Arial" w:hAnsi="Arial" w:cs="Arial"/>
          <w:b w:val="0"/>
          <w:caps w:val="0"/>
          <w:sz w:val="20"/>
        </w:rPr>
        <w:t>Malézieux</w:t>
      </w:r>
      <w:proofErr w:type="spellEnd"/>
      <w:r w:rsidRPr="002E340F">
        <w:rPr>
          <w:rFonts w:ascii="Arial" w:hAnsi="Arial" w:cs="Arial"/>
          <w:b w:val="0"/>
          <w:caps w:val="0"/>
          <w:sz w:val="20"/>
        </w:rPr>
        <w:t>, 2020; Garcia-de-</w:t>
      </w:r>
      <w:proofErr w:type="spellStart"/>
      <w:r w:rsidRPr="002E340F">
        <w:rPr>
          <w:rFonts w:ascii="Arial" w:hAnsi="Arial" w:cs="Arial"/>
          <w:b w:val="0"/>
          <w:caps w:val="0"/>
          <w:sz w:val="20"/>
        </w:rPr>
        <w:t>Jalón</w:t>
      </w:r>
      <w:proofErr w:type="spellEnd"/>
      <w:r w:rsidRPr="002E340F">
        <w:rPr>
          <w:rFonts w:ascii="Arial" w:hAnsi="Arial" w:cs="Arial"/>
          <w:b w:val="0"/>
          <w:caps w:val="0"/>
          <w:sz w:val="20"/>
        </w:rPr>
        <w:t>, Graves, &amp; Smith, 2024).</w:t>
      </w:r>
    </w:p>
    <w:p w14:paraId="09E8A124" w14:textId="740FC25E" w:rsidR="00622C85" w:rsidRDefault="002E340F" w:rsidP="002E340F">
      <w:pPr>
        <w:pStyle w:val="Head1"/>
        <w:spacing w:after="0"/>
        <w:jc w:val="both"/>
        <w:rPr>
          <w:rFonts w:ascii="Arial" w:hAnsi="Arial" w:cs="Arial"/>
          <w:b w:val="0"/>
          <w:caps w:val="0"/>
          <w:sz w:val="20"/>
        </w:rPr>
      </w:pPr>
      <w:r w:rsidRPr="002E340F">
        <w:rPr>
          <w:rFonts w:ascii="Arial" w:hAnsi="Arial" w:cs="Arial"/>
          <w:b w:val="0"/>
          <w:caps w:val="0"/>
          <w:sz w:val="20"/>
        </w:rPr>
        <w:t>Overall, Filipino farmers demonstrate high awareness but face persistent constraints such as capital shortage, weak extension support, and land insecurity. Strengthening local training, financing, and community-based programs is essential to transform positive attitudes into sustained agroforestry adoption.</w:t>
      </w:r>
    </w:p>
    <w:p w14:paraId="40C34202" w14:textId="77777777" w:rsidR="002E340F" w:rsidRDefault="002E340F" w:rsidP="002E340F">
      <w:pPr>
        <w:pStyle w:val="Head1"/>
        <w:spacing w:after="0"/>
        <w:jc w:val="both"/>
        <w:rPr>
          <w:rFonts w:ascii="Arial" w:hAnsi="Arial" w:cs="Arial"/>
          <w:b w:val="0"/>
          <w:caps w:val="0"/>
          <w:sz w:val="20"/>
        </w:rPr>
      </w:pPr>
    </w:p>
    <w:p w14:paraId="7ADF82AD" w14:textId="28302D99" w:rsidR="009014AD" w:rsidRPr="009014AD" w:rsidRDefault="009014AD" w:rsidP="002E340F">
      <w:pPr>
        <w:pStyle w:val="Head1"/>
        <w:spacing w:after="0"/>
        <w:jc w:val="both"/>
        <w:rPr>
          <w:rFonts w:ascii="Arial" w:hAnsi="Arial" w:cs="Arial"/>
          <w:bCs/>
          <w:caps w:val="0"/>
          <w:sz w:val="20"/>
        </w:rPr>
      </w:pPr>
      <w:r w:rsidRPr="009014AD">
        <w:rPr>
          <w:rFonts w:ascii="Arial" w:hAnsi="Arial" w:cs="Arial"/>
          <w:bCs/>
          <w:caps w:val="0"/>
          <w:sz w:val="20"/>
        </w:rPr>
        <w:t xml:space="preserve">Table </w:t>
      </w:r>
      <w:r>
        <w:rPr>
          <w:rFonts w:ascii="Arial" w:hAnsi="Arial" w:cs="Arial"/>
          <w:bCs/>
          <w:caps w:val="0"/>
          <w:sz w:val="20"/>
        </w:rPr>
        <w:t>2</w:t>
      </w:r>
      <w:r w:rsidRPr="009014AD">
        <w:rPr>
          <w:rFonts w:ascii="Arial" w:hAnsi="Arial" w:cs="Arial"/>
          <w:bCs/>
          <w:caps w:val="0"/>
          <w:sz w:val="20"/>
        </w:rPr>
        <w:t xml:space="preserve">. </w:t>
      </w:r>
      <w:r>
        <w:rPr>
          <w:rFonts w:ascii="Arial" w:hAnsi="Arial" w:cs="Arial"/>
          <w:bCs/>
          <w:caps w:val="0"/>
          <w:sz w:val="20"/>
        </w:rPr>
        <w:t>Farmers’ Awareness, Attitudes, and Adoption Patterns in Agroforestry</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427"/>
        <w:gridCol w:w="950"/>
        <w:gridCol w:w="1576"/>
        <w:gridCol w:w="1490"/>
        <w:gridCol w:w="1404"/>
      </w:tblGrid>
      <w:tr w:rsidR="003B3183" w:rsidRPr="00DC3180" w14:paraId="552A8900" w14:textId="60372AD0" w:rsidTr="009014AD">
        <w:trPr>
          <w:jc w:val="center"/>
        </w:trPr>
        <w:tc>
          <w:tcPr>
            <w:tcW w:w="1361" w:type="dxa"/>
            <w:tcBorders>
              <w:top w:val="single" w:sz="4" w:space="0" w:color="auto"/>
              <w:left w:val="nil"/>
              <w:bottom w:val="single" w:sz="4" w:space="0" w:color="auto"/>
              <w:right w:val="nil"/>
            </w:tcBorders>
          </w:tcPr>
          <w:p w14:paraId="342E54B9" w14:textId="77777777" w:rsidR="002E340F" w:rsidRDefault="002E340F" w:rsidP="002E340F">
            <w:pPr>
              <w:jc w:val="both"/>
              <w:rPr>
                <w:rFonts w:ascii="Times New Roman" w:hAnsi="Times New Roman"/>
                <w:b/>
                <w:bCs/>
              </w:rPr>
            </w:pPr>
            <w:r>
              <w:rPr>
                <w:rStyle w:val="Strong"/>
              </w:rPr>
              <w:t>Study</w:t>
            </w:r>
          </w:p>
          <w:p w14:paraId="0F8E9A4C" w14:textId="77472270" w:rsidR="002E340F" w:rsidRPr="00DC3180" w:rsidRDefault="002E340F" w:rsidP="002608CF">
            <w:pPr>
              <w:jc w:val="both"/>
              <w:rPr>
                <w:rFonts w:ascii="Arial" w:hAnsi="Arial"/>
                <w:b/>
                <w:bCs/>
              </w:rPr>
            </w:pPr>
          </w:p>
        </w:tc>
        <w:tc>
          <w:tcPr>
            <w:tcW w:w="1427" w:type="dxa"/>
            <w:tcBorders>
              <w:top w:val="single" w:sz="4" w:space="0" w:color="auto"/>
              <w:left w:val="nil"/>
              <w:bottom w:val="single" w:sz="4" w:space="0" w:color="auto"/>
              <w:right w:val="nil"/>
            </w:tcBorders>
          </w:tcPr>
          <w:p w14:paraId="6CC21F1D" w14:textId="7031BA84" w:rsidR="002E340F" w:rsidRPr="00DC3180" w:rsidRDefault="002E340F" w:rsidP="002608CF">
            <w:pPr>
              <w:jc w:val="both"/>
              <w:rPr>
                <w:rFonts w:ascii="Arial" w:hAnsi="Arial"/>
                <w:b/>
                <w:bCs/>
              </w:rPr>
            </w:pPr>
            <w:r w:rsidRPr="002E340F">
              <w:rPr>
                <w:rFonts w:ascii="Arial" w:hAnsi="Arial"/>
                <w:b/>
                <w:bCs/>
              </w:rPr>
              <w:t>Location</w:t>
            </w:r>
          </w:p>
        </w:tc>
        <w:tc>
          <w:tcPr>
            <w:tcW w:w="950" w:type="dxa"/>
            <w:tcBorders>
              <w:top w:val="single" w:sz="4" w:space="0" w:color="auto"/>
              <w:left w:val="nil"/>
              <w:bottom w:val="single" w:sz="4" w:space="0" w:color="auto"/>
              <w:right w:val="nil"/>
            </w:tcBorders>
          </w:tcPr>
          <w:p w14:paraId="5E3AC4EB" w14:textId="2A32D64F" w:rsidR="002E340F" w:rsidRDefault="003B3183" w:rsidP="002608CF">
            <w:pPr>
              <w:jc w:val="both"/>
              <w:rPr>
                <w:rFonts w:ascii="Arial" w:hAnsi="Arial"/>
                <w:b/>
                <w:bCs/>
              </w:rPr>
            </w:pPr>
            <w:r w:rsidRPr="003B3183">
              <w:rPr>
                <w:rFonts w:ascii="Arial" w:hAnsi="Arial"/>
                <w:b/>
                <w:bCs/>
              </w:rPr>
              <w:t>% Aware of Climate Change</w:t>
            </w:r>
          </w:p>
        </w:tc>
        <w:tc>
          <w:tcPr>
            <w:tcW w:w="1576" w:type="dxa"/>
            <w:tcBorders>
              <w:top w:val="single" w:sz="4" w:space="0" w:color="auto"/>
              <w:left w:val="nil"/>
              <w:bottom w:val="single" w:sz="4" w:space="0" w:color="auto"/>
              <w:right w:val="nil"/>
            </w:tcBorders>
          </w:tcPr>
          <w:p w14:paraId="6E307CA4" w14:textId="7DDB0E5E" w:rsidR="002E340F" w:rsidRPr="00DC3180" w:rsidRDefault="003B3183" w:rsidP="002608CF">
            <w:pPr>
              <w:jc w:val="both"/>
              <w:rPr>
                <w:rFonts w:ascii="Arial" w:hAnsi="Arial"/>
                <w:b/>
                <w:bCs/>
              </w:rPr>
            </w:pPr>
            <w:r w:rsidRPr="003B3183">
              <w:rPr>
                <w:rFonts w:ascii="Arial" w:hAnsi="Arial"/>
                <w:b/>
                <w:bCs/>
              </w:rPr>
              <w:t>% Familiar with Agroforestry</w:t>
            </w:r>
          </w:p>
        </w:tc>
        <w:tc>
          <w:tcPr>
            <w:tcW w:w="1490" w:type="dxa"/>
            <w:tcBorders>
              <w:top w:val="single" w:sz="4" w:space="0" w:color="auto"/>
              <w:left w:val="nil"/>
              <w:bottom w:val="single" w:sz="4" w:space="0" w:color="auto"/>
              <w:right w:val="nil"/>
            </w:tcBorders>
          </w:tcPr>
          <w:p w14:paraId="4423D041" w14:textId="0576E279" w:rsidR="002E340F" w:rsidRDefault="003B3183" w:rsidP="002608CF">
            <w:pPr>
              <w:jc w:val="both"/>
              <w:rPr>
                <w:rFonts w:ascii="Arial" w:hAnsi="Arial"/>
                <w:b/>
                <w:bCs/>
              </w:rPr>
            </w:pPr>
            <w:r w:rsidRPr="003B3183">
              <w:rPr>
                <w:rFonts w:ascii="Arial" w:hAnsi="Arial"/>
                <w:b/>
                <w:bCs/>
              </w:rPr>
              <w:t>Key Benefits Perceived</w:t>
            </w:r>
          </w:p>
        </w:tc>
        <w:tc>
          <w:tcPr>
            <w:tcW w:w="1404" w:type="dxa"/>
            <w:tcBorders>
              <w:top w:val="single" w:sz="4" w:space="0" w:color="auto"/>
              <w:left w:val="nil"/>
              <w:bottom w:val="single" w:sz="4" w:space="0" w:color="auto"/>
              <w:right w:val="nil"/>
            </w:tcBorders>
          </w:tcPr>
          <w:p w14:paraId="3F725484" w14:textId="3C1BCF97" w:rsidR="002E340F" w:rsidRDefault="003B3183" w:rsidP="002608CF">
            <w:pPr>
              <w:jc w:val="both"/>
              <w:rPr>
                <w:rFonts w:ascii="Arial" w:hAnsi="Arial"/>
                <w:b/>
                <w:bCs/>
              </w:rPr>
            </w:pPr>
            <w:r w:rsidRPr="003B3183">
              <w:rPr>
                <w:rFonts w:ascii="Arial" w:hAnsi="Arial"/>
                <w:b/>
                <w:bCs/>
              </w:rPr>
              <w:t>Major Barriers</w:t>
            </w:r>
          </w:p>
        </w:tc>
      </w:tr>
      <w:tr w:rsidR="003B3183" w:rsidRPr="00DC3180" w14:paraId="724A24F8" w14:textId="20211576" w:rsidTr="009014AD">
        <w:trPr>
          <w:trHeight w:val="773"/>
          <w:jc w:val="center"/>
        </w:trPr>
        <w:tc>
          <w:tcPr>
            <w:tcW w:w="1361" w:type="dxa"/>
            <w:tcBorders>
              <w:top w:val="single" w:sz="4" w:space="0" w:color="auto"/>
              <w:left w:val="nil"/>
              <w:bottom w:val="nil"/>
              <w:right w:val="nil"/>
            </w:tcBorders>
          </w:tcPr>
          <w:p w14:paraId="56DFCA03" w14:textId="0D2E5430" w:rsidR="002E340F" w:rsidRPr="003B3183" w:rsidRDefault="003B3183" w:rsidP="009014AD">
            <w:pPr>
              <w:rPr>
                <w:rFonts w:ascii="Arial" w:hAnsi="Arial"/>
              </w:rPr>
            </w:pPr>
            <w:r w:rsidRPr="003B3183">
              <w:rPr>
                <w:rFonts w:ascii="Arial" w:hAnsi="Arial"/>
              </w:rPr>
              <w:t>Evangelista et al. (2016</w:t>
            </w:r>
          </w:p>
        </w:tc>
        <w:tc>
          <w:tcPr>
            <w:tcW w:w="1427" w:type="dxa"/>
            <w:tcBorders>
              <w:top w:val="single" w:sz="4" w:space="0" w:color="auto"/>
              <w:left w:val="nil"/>
              <w:bottom w:val="nil"/>
              <w:right w:val="nil"/>
            </w:tcBorders>
          </w:tcPr>
          <w:p w14:paraId="6255C6C1" w14:textId="37DAFA1C" w:rsidR="002E340F" w:rsidRPr="003B3183" w:rsidRDefault="003B3183" w:rsidP="009014AD">
            <w:pPr>
              <w:rPr>
                <w:rFonts w:ascii="Arial" w:hAnsi="Arial"/>
              </w:rPr>
            </w:pPr>
            <w:r w:rsidRPr="003B3183">
              <w:rPr>
                <w:rFonts w:ascii="Arial" w:hAnsi="Arial"/>
              </w:rPr>
              <w:t>Peñablanca, Cagayan</w:t>
            </w:r>
          </w:p>
        </w:tc>
        <w:tc>
          <w:tcPr>
            <w:tcW w:w="950" w:type="dxa"/>
            <w:tcBorders>
              <w:top w:val="single" w:sz="4" w:space="0" w:color="auto"/>
              <w:left w:val="nil"/>
              <w:bottom w:val="nil"/>
              <w:right w:val="nil"/>
            </w:tcBorders>
          </w:tcPr>
          <w:p w14:paraId="3D1F00CC" w14:textId="2D3C1F4B" w:rsidR="002E340F" w:rsidRPr="003B3183" w:rsidRDefault="003B3183" w:rsidP="009014AD">
            <w:pPr>
              <w:jc w:val="center"/>
              <w:rPr>
                <w:rFonts w:ascii="Arial" w:hAnsi="Arial"/>
              </w:rPr>
            </w:pPr>
            <w:r w:rsidRPr="003B3183">
              <w:rPr>
                <w:rFonts w:ascii="Arial" w:hAnsi="Arial"/>
              </w:rPr>
              <w:t>91%</w:t>
            </w:r>
          </w:p>
        </w:tc>
        <w:tc>
          <w:tcPr>
            <w:tcW w:w="1576" w:type="dxa"/>
            <w:tcBorders>
              <w:top w:val="single" w:sz="4" w:space="0" w:color="auto"/>
              <w:left w:val="nil"/>
              <w:bottom w:val="nil"/>
              <w:right w:val="nil"/>
            </w:tcBorders>
          </w:tcPr>
          <w:p w14:paraId="0FB6C903" w14:textId="3987D2C6" w:rsidR="002E340F" w:rsidRPr="003B3183" w:rsidRDefault="003B3183" w:rsidP="009014AD">
            <w:pPr>
              <w:jc w:val="center"/>
              <w:rPr>
                <w:rFonts w:ascii="Arial" w:hAnsi="Arial"/>
              </w:rPr>
            </w:pPr>
            <w:r w:rsidRPr="003B3183">
              <w:rPr>
                <w:rFonts w:ascii="Arial" w:hAnsi="Arial"/>
              </w:rPr>
              <w:t>84%</w:t>
            </w:r>
          </w:p>
        </w:tc>
        <w:tc>
          <w:tcPr>
            <w:tcW w:w="1490" w:type="dxa"/>
            <w:tcBorders>
              <w:top w:val="single" w:sz="4" w:space="0" w:color="auto"/>
              <w:left w:val="nil"/>
              <w:bottom w:val="nil"/>
              <w:right w:val="nil"/>
            </w:tcBorders>
          </w:tcPr>
          <w:p w14:paraId="6DC47ACD" w14:textId="56FEB0F1" w:rsidR="002E340F" w:rsidRPr="003B3183" w:rsidRDefault="003B3183" w:rsidP="009014AD">
            <w:pPr>
              <w:rPr>
                <w:rFonts w:ascii="Arial" w:hAnsi="Arial"/>
              </w:rPr>
            </w:pPr>
            <w:r w:rsidRPr="003B3183">
              <w:rPr>
                <w:rFonts w:ascii="Arial" w:hAnsi="Arial"/>
              </w:rPr>
              <w:t>Soil protection, diversification</w:t>
            </w:r>
          </w:p>
        </w:tc>
        <w:tc>
          <w:tcPr>
            <w:tcW w:w="1404" w:type="dxa"/>
            <w:tcBorders>
              <w:top w:val="single" w:sz="4" w:space="0" w:color="auto"/>
              <w:left w:val="nil"/>
              <w:bottom w:val="nil"/>
              <w:right w:val="nil"/>
            </w:tcBorders>
          </w:tcPr>
          <w:p w14:paraId="30410A9D" w14:textId="79FC4308" w:rsidR="002E340F" w:rsidRPr="003B3183" w:rsidRDefault="003B3183" w:rsidP="009014AD">
            <w:pPr>
              <w:rPr>
                <w:rFonts w:ascii="Arial" w:hAnsi="Arial"/>
              </w:rPr>
            </w:pPr>
            <w:r w:rsidRPr="003B3183">
              <w:rPr>
                <w:rFonts w:ascii="Arial" w:hAnsi="Arial"/>
              </w:rPr>
              <w:t>Limited capital, technical support</w:t>
            </w:r>
          </w:p>
        </w:tc>
      </w:tr>
      <w:tr w:rsidR="003B3183" w:rsidRPr="00DC3180" w14:paraId="04EBBA8E" w14:textId="4A40EC18" w:rsidTr="009014AD">
        <w:trPr>
          <w:jc w:val="center"/>
        </w:trPr>
        <w:tc>
          <w:tcPr>
            <w:tcW w:w="1361" w:type="dxa"/>
            <w:tcBorders>
              <w:top w:val="nil"/>
              <w:left w:val="nil"/>
              <w:bottom w:val="nil"/>
              <w:right w:val="nil"/>
            </w:tcBorders>
          </w:tcPr>
          <w:p w14:paraId="4235687E" w14:textId="07B7A88A" w:rsidR="002E340F" w:rsidRPr="00DC3180" w:rsidRDefault="003B3183" w:rsidP="009014AD">
            <w:pPr>
              <w:rPr>
                <w:rFonts w:ascii="Arial" w:hAnsi="Arial" w:cs="Arial"/>
              </w:rPr>
            </w:pPr>
            <w:r w:rsidRPr="003B3183">
              <w:rPr>
                <w:rFonts w:ascii="Arial" w:hAnsi="Arial"/>
              </w:rPr>
              <w:t>Landicho et al. (2016)</w:t>
            </w:r>
          </w:p>
        </w:tc>
        <w:tc>
          <w:tcPr>
            <w:tcW w:w="1427" w:type="dxa"/>
            <w:tcBorders>
              <w:top w:val="nil"/>
              <w:left w:val="nil"/>
              <w:bottom w:val="nil"/>
              <w:right w:val="nil"/>
            </w:tcBorders>
          </w:tcPr>
          <w:p w14:paraId="15F68B55" w14:textId="397AD9E4" w:rsidR="002E340F" w:rsidRPr="00DC3180" w:rsidRDefault="003B3183" w:rsidP="009014AD">
            <w:pPr>
              <w:rPr>
                <w:rFonts w:ascii="Arial" w:hAnsi="Arial" w:cs="Arial"/>
              </w:rPr>
            </w:pPr>
            <w:r w:rsidRPr="003B3183">
              <w:rPr>
                <w:rFonts w:ascii="Arial" w:hAnsi="Arial" w:cs="Arial"/>
              </w:rPr>
              <w:t>Batangas–Laguna</w:t>
            </w:r>
          </w:p>
        </w:tc>
        <w:tc>
          <w:tcPr>
            <w:tcW w:w="950" w:type="dxa"/>
            <w:tcBorders>
              <w:top w:val="nil"/>
              <w:left w:val="nil"/>
              <w:bottom w:val="nil"/>
              <w:right w:val="nil"/>
            </w:tcBorders>
          </w:tcPr>
          <w:p w14:paraId="49223E20" w14:textId="3ED1A1BD" w:rsidR="002E340F" w:rsidRPr="00DC3180" w:rsidRDefault="003B3183" w:rsidP="009014AD">
            <w:pPr>
              <w:jc w:val="center"/>
              <w:rPr>
                <w:rFonts w:ascii="Arial" w:hAnsi="Arial"/>
              </w:rPr>
            </w:pPr>
            <w:r w:rsidRPr="003B3183">
              <w:rPr>
                <w:rFonts w:ascii="Arial" w:hAnsi="Arial" w:cs="Arial"/>
              </w:rPr>
              <w:t>88%</w:t>
            </w:r>
          </w:p>
        </w:tc>
        <w:tc>
          <w:tcPr>
            <w:tcW w:w="1576" w:type="dxa"/>
            <w:tcBorders>
              <w:top w:val="nil"/>
              <w:left w:val="nil"/>
              <w:bottom w:val="nil"/>
              <w:right w:val="nil"/>
            </w:tcBorders>
          </w:tcPr>
          <w:p w14:paraId="350466E2" w14:textId="0BC1ADF1" w:rsidR="003B3183" w:rsidRPr="003B3183" w:rsidRDefault="003B3183" w:rsidP="009014AD">
            <w:pPr>
              <w:jc w:val="center"/>
              <w:rPr>
                <w:rFonts w:ascii="Arial" w:hAnsi="Arial"/>
              </w:rPr>
            </w:pPr>
            <w:r w:rsidRPr="003B3183">
              <w:rPr>
                <w:rFonts w:ascii="Arial" w:hAnsi="Arial" w:cs="Arial"/>
              </w:rPr>
              <w:t>79%</w:t>
            </w:r>
          </w:p>
        </w:tc>
        <w:tc>
          <w:tcPr>
            <w:tcW w:w="1490" w:type="dxa"/>
            <w:tcBorders>
              <w:top w:val="nil"/>
              <w:left w:val="nil"/>
              <w:bottom w:val="nil"/>
              <w:right w:val="nil"/>
            </w:tcBorders>
          </w:tcPr>
          <w:p w14:paraId="38B75727" w14:textId="314E35F1" w:rsidR="002E340F" w:rsidRPr="00DC3180" w:rsidRDefault="003B3183" w:rsidP="009014AD">
            <w:pPr>
              <w:rPr>
                <w:rFonts w:ascii="Arial" w:hAnsi="Arial"/>
              </w:rPr>
            </w:pPr>
            <w:r w:rsidRPr="003B3183">
              <w:rPr>
                <w:rFonts w:ascii="Arial" w:hAnsi="Arial"/>
              </w:rPr>
              <w:t>Livelihood stability, erosion control</w:t>
            </w:r>
          </w:p>
        </w:tc>
        <w:tc>
          <w:tcPr>
            <w:tcW w:w="1404" w:type="dxa"/>
            <w:tcBorders>
              <w:top w:val="nil"/>
              <w:left w:val="nil"/>
              <w:bottom w:val="nil"/>
              <w:right w:val="nil"/>
            </w:tcBorders>
          </w:tcPr>
          <w:p w14:paraId="37AE445D" w14:textId="755FA4EC" w:rsidR="002E340F" w:rsidRPr="00DC3180" w:rsidRDefault="003B3183" w:rsidP="009014AD">
            <w:pPr>
              <w:rPr>
                <w:rFonts w:ascii="Arial" w:hAnsi="Arial"/>
              </w:rPr>
            </w:pPr>
            <w:r>
              <w:rPr>
                <w:rFonts w:ascii="Arial" w:hAnsi="Arial" w:cs="Arial"/>
              </w:rPr>
              <w:t>T</w:t>
            </w:r>
            <w:r w:rsidRPr="003B3183">
              <w:rPr>
                <w:rFonts w:ascii="Arial" w:hAnsi="Arial" w:cs="Arial"/>
              </w:rPr>
              <w:t>enure insecurity, labor shortage</w:t>
            </w:r>
          </w:p>
        </w:tc>
      </w:tr>
      <w:tr w:rsidR="003B3183" w:rsidRPr="00DC3180" w14:paraId="675EAB16" w14:textId="54900766" w:rsidTr="009014AD">
        <w:trPr>
          <w:jc w:val="center"/>
        </w:trPr>
        <w:tc>
          <w:tcPr>
            <w:tcW w:w="1361" w:type="dxa"/>
            <w:tcBorders>
              <w:top w:val="nil"/>
              <w:left w:val="nil"/>
              <w:bottom w:val="nil"/>
              <w:right w:val="nil"/>
            </w:tcBorders>
          </w:tcPr>
          <w:p w14:paraId="4F157757" w14:textId="2B9F0CBF" w:rsidR="002E340F" w:rsidRPr="00DC3180" w:rsidRDefault="003B3183" w:rsidP="009014AD">
            <w:pPr>
              <w:rPr>
                <w:rFonts w:ascii="Arial" w:hAnsi="Arial"/>
              </w:rPr>
            </w:pPr>
            <w:r w:rsidRPr="003B3183">
              <w:rPr>
                <w:rFonts w:ascii="Arial" w:hAnsi="Arial"/>
              </w:rPr>
              <w:t>Galang &amp; Vaughter (2020)</w:t>
            </w:r>
          </w:p>
        </w:tc>
        <w:tc>
          <w:tcPr>
            <w:tcW w:w="1427" w:type="dxa"/>
            <w:tcBorders>
              <w:top w:val="nil"/>
              <w:left w:val="nil"/>
              <w:bottom w:val="nil"/>
              <w:right w:val="nil"/>
            </w:tcBorders>
          </w:tcPr>
          <w:p w14:paraId="0590154F" w14:textId="6CCAC48D" w:rsidR="002E340F" w:rsidRPr="00D75F33" w:rsidRDefault="003B3183" w:rsidP="009014AD">
            <w:pPr>
              <w:rPr>
                <w:rFonts w:ascii="Arial" w:hAnsi="Arial" w:cs="Arial"/>
              </w:rPr>
            </w:pPr>
            <w:r w:rsidRPr="003B3183">
              <w:rPr>
                <w:rFonts w:ascii="Arial" w:hAnsi="Arial" w:cs="Arial"/>
              </w:rPr>
              <w:t>Mindanao</w:t>
            </w:r>
          </w:p>
        </w:tc>
        <w:tc>
          <w:tcPr>
            <w:tcW w:w="950" w:type="dxa"/>
            <w:tcBorders>
              <w:top w:val="nil"/>
              <w:left w:val="nil"/>
              <w:bottom w:val="nil"/>
              <w:right w:val="nil"/>
            </w:tcBorders>
          </w:tcPr>
          <w:p w14:paraId="355F426B" w14:textId="7871FE1B" w:rsidR="002E340F" w:rsidRPr="00DC3180" w:rsidRDefault="003B3183" w:rsidP="009014AD">
            <w:pPr>
              <w:jc w:val="center"/>
              <w:rPr>
                <w:rFonts w:ascii="Arial" w:hAnsi="Arial" w:cs="Arial"/>
              </w:rPr>
            </w:pPr>
            <w:r>
              <w:rPr>
                <w:rFonts w:ascii="Arial" w:hAnsi="Arial" w:cs="Arial"/>
              </w:rPr>
              <w:t>-</w:t>
            </w:r>
          </w:p>
        </w:tc>
        <w:tc>
          <w:tcPr>
            <w:tcW w:w="1576" w:type="dxa"/>
            <w:tcBorders>
              <w:top w:val="nil"/>
              <w:left w:val="nil"/>
              <w:bottom w:val="nil"/>
              <w:right w:val="nil"/>
            </w:tcBorders>
          </w:tcPr>
          <w:p w14:paraId="7DF627B8" w14:textId="482E4520" w:rsidR="002E340F" w:rsidRPr="00DC3180" w:rsidRDefault="003B3183" w:rsidP="009014AD">
            <w:pPr>
              <w:jc w:val="center"/>
              <w:rPr>
                <w:rFonts w:ascii="Arial" w:hAnsi="Arial" w:cs="Arial"/>
              </w:rPr>
            </w:pPr>
            <w:r>
              <w:rPr>
                <w:rFonts w:ascii="Arial" w:hAnsi="Arial" w:cs="Arial"/>
              </w:rPr>
              <w:t>-</w:t>
            </w:r>
          </w:p>
        </w:tc>
        <w:tc>
          <w:tcPr>
            <w:tcW w:w="1490" w:type="dxa"/>
            <w:tcBorders>
              <w:top w:val="nil"/>
              <w:left w:val="nil"/>
              <w:bottom w:val="nil"/>
              <w:right w:val="nil"/>
            </w:tcBorders>
          </w:tcPr>
          <w:p w14:paraId="52760669" w14:textId="077AC5F6" w:rsidR="002E340F" w:rsidRPr="00DC3180" w:rsidRDefault="003B3183" w:rsidP="009014AD">
            <w:pPr>
              <w:rPr>
                <w:rFonts w:ascii="Arial" w:hAnsi="Arial" w:cs="Arial"/>
              </w:rPr>
            </w:pPr>
            <w:r w:rsidRPr="003B3183">
              <w:rPr>
                <w:rFonts w:ascii="Arial" w:hAnsi="Arial" w:cs="Arial"/>
              </w:rPr>
              <w:t>Knowledge transfer, biodiversity</w:t>
            </w:r>
          </w:p>
        </w:tc>
        <w:tc>
          <w:tcPr>
            <w:tcW w:w="1404" w:type="dxa"/>
            <w:tcBorders>
              <w:top w:val="nil"/>
              <w:left w:val="nil"/>
              <w:bottom w:val="nil"/>
              <w:right w:val="nil"/>
            </w:tcBorders>
          </w:tcPr>
          <w:p w14:paraId="3478AAD3" w14:textId="5D632B0E" w:rsidR="002E340F" w:rsidRPr="00DC3180" w:rsidRDefault="003B3183" w:rsidP="009014AD">
            <w:pPr>
              <w:rPr>
                <w:rFonts w:ascii="Arial" w:hAnsi="Arial" w:cs="Arial"/>
              </w:rPr>
            </w:pPr>
            <w:r w:rsidRPr="003B3183">
              <w:rPr>
                <w:rFonts w:ascii="Arial" w:hAnsi="Arial" w:cs="Arial"/>
              </w:rPr>
              <w:t>Generational gap, low institutional support</w:t>
            </w:r>
          </w:p>
        </w:tc>
      </w:tr>
      <w:tr w:rsidR="003B3183" w:rsidRPr="00DC3180" w14:paraId="044812A0" w14:textId="143E212B" w:rsidTr="009014AD">
        <w:trPr>
          <w:jc w:val="center"/>
        </w:trPr>
        <w:tc>
          <w:tcPr>
            <w:tcW w:w="1361" w:type="dxa"/>
            <w:tcBorders>
              <w:top w:val="nil"/>
              <w:left w:val="nil"/>
              <w:bottom w:val="nil"/>
              <w:right w:val="nil"/>
            </w:tcBorders>
          </w:tcPr>
          <w:p w14:paraId="35D664E7" w14:textId="6F2300DA" w:rsidR="002E340F" w:rsidRPr="00DC3180" w:rsidRDefault="003B3183" w:rsidP="009014AD">
            <w:pPr>
              <w:rPr>
                <w:rFonts w:ascii="Arial" w:hAnsi="Arial"/>
              </w:rPr>
            </w:pPr>
            <w:r w:rsidRPr="003B3183">
              <w:rPr>
                <w:rFonts w:ascii="Arial" w:hAnsi="Arial"/>
              </w:rPr>
              <w:t>Nguyen et al. (2022)</w:t>
            </w:r>
          </w:p>
        </w:tc>
        <w:tc>
          <w:tcPr>
            <w:tcW w:w="1427" w:type="dxa"/>
            <w:tcBorders>
              <w:top w:val="nil"/>
              <w:left w:val="nil"/>
              <w:bottom w:val="nil"/>
              <w:right w:val="nil"/>
            </w:tcBorders>
          </w:tcPr>
          <w:p w14:paraId="7CE9B9B2" w14:textId="2814255C" w:rsidR="002E340F" w:rsidRPr="00DC3180" w:rsidRDefault="003B3183" w:rsidP="009014AD">
            <w:pPr>
              <w:rPr>
                <w:rFonts w:ascii="Arial" w:hAnsi="Arial"/>
              </w:rPr>
            </w:pPr>
            <w:r w:rsidRPr="003B3183">
              <w:rPr>
                <w:rFonts w:ascii="Arial" w:hAnsi="Arial"/>
              </w:rPr>
              <w:t>Vietnam</w:t>
            </w:r>
          </w:p>
        </w:tc>
        <w:tc>
          <w:tcPr>
            <w:tcW w:w="950" w:type="dxa"/>
            <w:tcBorders>
              <w:top w:val="nil"/>
              <w:left w:val="nil"/>
              <w:bottom w:val="nil"/>
              <w:right w:val="nil"/>
            </w:tcBorders>
          </w:tcPr>
          <w:p w14:paraId="37274A42" w14:textId="3A1E5B47" w:rsidR="002E340F" w:rsidRPr="00DC3180" w:rsidRDefault="003B3183" w:rsidP="009014AD">
            <w:pPr>
              <w:jc w:val="center"/>
              <w:rPr>
                <w:rFonts w:ascii="Arial" w:hAnsi="Arial" w:cs="Arial"/>
              </w:rPr>
            </w:pPr>
            <w:r w:rsidRPr="003B3183">
              <w:rPr>
                <w:rFonts w:ascii="Arial" w:hAnsi="Arial" w:cs="Arial"/>
              </w:rPr>
              <w:t>86%</w:t>
            </w:r>
          </w:p>
        </w:tc>
        <w:tc>
          <w:tcPr>
            <w:tcW w:w="1576" w:type="dxa"/>
            <w:tcBorders>
              <w:top w:val="nil"/>
              <w:left w:val="nil"/>
              <w:bottom w:val="nil"/>
              <w:right w:val="nil"/>
            </w:tcBorders>
          </w:tcPr>
          <w:p w14:paraId="2D85E251" w14:textId="471EA746" w:rsidR="002E340F" w:rsidRPr="00DC3180" w:rsidRDefault="003B3183" w:rsidP="009014AD">
            <w:pPr>
              <w:jc w:val="center"/>
              <w:rPr>
                <w:rFonts w:ascii="Arial" w:hAnsi="Arial" w:cs="Arial"/>
              </w:rPr>
            </w:pPr>
            <w:r w:rsidRPr="003B3183">
              <w:rPr>
                <w:rFonts w:ascii="Arial" w:hAnsi="Arial" w:cs="Arial"/>
              </w:rPr>
              <w:t>80%</w:t>
            </w:r>
          </w:p>
        </w:tc>
        <w:tc>
          <w:tcPr>
            <w:tcW w:w="1490" w:type="dxa"/>
            <w:tcBorders>
              <w:top w:val="nil"/>
              <w:left w:val="nil"/>
              <w:bottom w:val="nil"/>
              <w:right w:val="nil"/>
            </w:tcBorders>
          </w:tcPr>
          <w:p w14:paraId="0E8C038F" w14:textId="06A46B80" w:rsidR="002E340F" w:rsidRPr="00DC3180" w:rsidRDefault="003B3183" w:rsidP="009014AD">
            <w:pPr>
              <w:rPr>
                <w:rFonts w:ascii="Arial" w:hAnsi="Arial" w:cs="Arial"/>
              </w:rPr>
            </w:pPr>
            <w:r w:rsidRPr="003B3183">
              <w:rPr>
                <w:rFonts w:ascii="Arial" w:hAnsi="Arial" w:cs="Arial"/>
              </w:rPr>
              <w:t>Education and training improve adoption</w:t>
            </w:r>
          </w:p>
        </w:tc>
        <w:tc>
          <w:tcPr>
            <w:tcW w:w="1404" w:type="dxa"/>
            <w:tcBorders>
              <w:top w:val="nil"/>
              <w:left w:val="nil"/>
              <w:bottom w:val="nil"/>
              <w:right w:val="nil"/>
            </w:tcBorders>
          </w:tcPr>
          <w:p w14:paraId="2E8B3129" w14:textId="123DB728" w:rsidR="002E340F" w:rsidRPr="00DC3180" w:rsidRDefault="003B3183" w:rsidP="009014AD">
            <w:pPr>
              <w:rPr>
                <w:rFonts w:ascii="Arial" w:hAnsi="Arial" w:cs="Arial"/>
              </w:rPr>
            </w:pPr>
            <w:r w:rsidRPr="003B3183">
              <w:rPr>
                <w:rFonts w:ascii="Arial" w:hAnsi="Arial" w:cs="Arial"/>
              </w:rPr>
              <w:t>Financial constraints</w:t>
            </w:r>
          </w:p>
        </w:tc>
      </w:tr>
      <w:tr w:rsidR="003B3183" w:rsidRPr="00DC3180" w14:paraId="7AD28B66" w14:textId="2CE9B0C3" w:rsidTr="009014AD">
        <w:trPr>
          <w:jc w:val="center"/>
        </w:trPr>
        <w:tc>
          <w:tcPr>
            <w:tcW w:w="1361" w:type="dxa"/>
            <w:tcBorders>
              <w:top w:val="nil"/>
              <w:left w:val="nil"/>
              <w:bottom w:val="single" w:sz="4" w:space="0" w:color="auto"/>
              <w:right w:val="nil"/>
            </w:tcBorders>
          </w:tcPr>
          <w:p w14:paraId="664A600B" w14:textId="723F4F02" w:rsidR="002E340F" w:rsidRPr="00A25501" w:rsidRDefault="003B3183" w:rsidP="009014AD">
            <w:pPr>
              <w:rPr>
                <w:rFonts w:ascii="Arial" w:hAnsi="Arial" w:cs="Arial"/>
              </w:rPr>
            </w:pPr>
            <w:proofErr w:type="spellStart"/>
            <w:r w:rsidRPr="003B3183">
              <w:rPr>
                <w:rFonts w:ascii="Arial" w:hAnsi="Arial" w:cs="Arial"/>
              </w:rPr>
              <w:t>Ndayambaje</w:t>
            </w:r>
            <w:proofErr w:type="spellEnd"/>
            <w:r w:rsidRPr="003B3183">
              <w:rPr>
                <w:rFonts w:ascii="Arial" w:hAnsi="Arial" w:cs="Arial"/>
              </w:rPr>
              <w:t xml:space="preserve"> et al. (2023)</w:t>
            </w:r>
          </w:p>
        </w:tc>
        <w:tc>
          <w:tcPr>
            <w:tcW w:w="1427" w:type="dxa"/>
            <w:tcBorders>
              <w:top w:val="nil"/>
              <w:left w:val="nil"/>
              <w:bottom w:val="single" w:sz="4" w:space="0" w:color="auto"/>
              <w:right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4"/>
            </w:tblGrid>
            <w:tr w:rsidR="003B3183" w:rsidRPr="003B3183" w14:paraId="4D0D8DC9" w14:textId="77777777">
              <w:trPr>
                <w:tblCellSpacing w:w="15" w:type="dxa"/>
              </w:trPr>
              <w:tc>
                <w:tcPr>
                  <w:tcW w:w="0" w:type="auto"/>
                  <w:vAlign w:val="center"/>
                  <w:hideMark/>
                </w:tcPr>
                <w:p w14:paraId="383B1125" w14:textId="77777777" w:rsidR="003B3183" w:rsidRPr="003B3183" w:rsidRDefault="003B3183" w:rsidP="009014AD">
                  <w:pPr>
                    <w:rPr>
                      <w:rFonts w:ascii="Arial" w:hAnsi="Arial" w:cs="Arial"/>
                      <w:lang w:val="en-PH"/>
                    </w:rPr>
                  </w:pPr>
                  <w:r w:rsidRPr="003B3183">
                    <w:rPr>
                      <w:rFonts w:ascii="Arial" w:hAnsi="Arial" w:cs="Arial"/>
                      <w:lang w:val="en-PH"/>
                    </w:rPr>
                    <w:t>Rwanda</w:t>
                  </w:r>
                </w:p>
              </w:tc>
            </w:tr>
          </w:tbl>
          <w:p w14:paraId="1C052D97" w14:textId="77777777" w:rsidR="003B3183" w:rsidRPr="003B3183" w:rsidRDefault="003B3183" w:rsidP="009014AD">
            <w:pPr>
              <w:rPr>
                <w:rFonts w:ascii="Arial" w:hAnsi="Arial" w:cs="Arial"/>
                <w:vanish/>
                <w:lang w:val="en-P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B3183" w:rsidRPr="003B3183" w14:paraId="1D2E8AD8" w14:textId="77777777">
              <w:trPr>
                <w:tblCellSpacing w:w="15" w:type="dxa"/>
              </w:trPr>
              <w:tc>
                <w:tcPr>
                  <w:tcW w:w="0" w:type="auto"/>
                  <w:vAlign w:val="center"/>
                  <w:hideMark/>
                </w:tcPr>
                <w:p w14:paraId="0DB2BDF8" w14:textId="77777777" w:rsidR="003B3183" w:rsidRPr="003B3183" w:rsidRDefault="003B3183" w:rsidP="009014AD">
                  <w:pPr>
                    <w:rPr>
                      <w:rFonts w:ascii="Arial" w:hAnsi="Arial" w:cs="Arial"/>
                      <w:lang w:val="en-PH"/>
                    </w:rPr>
                  </w:pPr>
                </w:p>
              </w:tc>
            </w:tr>
          </w:tbl>
          <w:p w14:paraId="70178055" w14:textId="779667D3" w:rsidR="002E340F" w:rsidRPr="00A25501" w:rsidRDefault="002E340F" w:rsidP="009014AD">
            <w:pPr>
              <w:rPr>
                <w:rFonts w:ascii="Arial" w:hAnsi="Arial" w:cs="Arial"/>
              </w:rPr>
            </w:pPr>
          </w:p>
        </w:tc>
        <w:tc>
          <w:tcPr>
            <w:tcW w:w="950" w:type="dxa"/>
            <w:tcBorders>
              <w:top w:val="nil"/>
              <w:left w:val="nil"/>
              <w:bottom w:val="single" w:sz="4" w:space="0" w:color="auto"/>
              <w:right w:val="nil"/>
            </w:tcBorders>
          </w:tcPr>
          <w:p w14:paraId="54491104" w14:textId="1FAA674C" w:rsidR="002E340F" w:rsidRPr="00D75F33" w:rsidRDefault="003B3183" w:rsidP="009014AD">
            <w:pPr>
              <w:jc w:val="center"/>
              <w:rPr>
                <w:rFonts w:ascii="Arial" w:hAnsi="Arial" w:cs="Arial"/>
              </w:rPr>
            </w:pPr>
            <w:r w:rsidRPr="003B3183">
              <w:rPr>
                <w:rFonts w:ascii="Arial" w:hAnsi="Arial" w:cs="Arial"/>
              </w:rPr>
              <w:t>93%</w:t>
            </w:r>
          </w:p>
        </w:tc>
        <w:tc>
          <w:tcPr>
            <w:tcW w:w="1576" w:type="dxa"/>
            <w:tcBorders>
              <w:top w:val="nil"/>
              <w:left w:val="nil"/>
              <w:bottom w:val="single" w:sz="4" w:space="0" w:color="auto"/>
              <w:right w:val="nil"/>
            </w:tcBorders>
          </w:tcPr>
          <w:p w14:paraId="5F271EB9" w14:textId="5AAEAF4E" w:rsidR="002E340F" w:rsidRPr="00D75F33" w:rsidRDefault="003B3183" w:rsidP="009014AD">
            <w:pPr>
              <w:jc w:val="center"/>
              <w:rPr>
                <w:rFonts w:ascii="Arial" w:hAnsi="Arial" w:cs="Arial"/>
              </w:rPr>
            </w:pPr>
            <w:r w:rsidRPr="003B3183">
              <w:rPr>
                <w:rFonts w:ascii="Arial" w:hAnsi="Arial" w:cs="Arial"/>
              </w:rPr>
              <w:t>81%</w:t>
            </w:r>
          </w:p>
        </w:tc>
        <w:tc>
          <w:tcPr>
            <w:tcW w:w="1490" w:type="dxa"/>
            <w:tcBorders>
              <w:top w:val="nil"/>
              <w:left w:val="nil"/>
              <w:bottom w:val="single" w:sz="4" w:space="0" w:color="auto"/>
              <w:right w:val="nil"/>
            </w:tcBorders>
          </w:tcPr>
          <w:p w14:paraId="0D5AED1C" w14:textId="1D26DD72" w:rsidR="002E340F" w:rsidRPr="00D75F33" w:rsidRDefault="009014AD" w:rsidP="009014AD">
            <w:pPr>
              <w:rPr>
                <w:rFonts w:ascii="Arial" w:hAnsi="Arial" w:cs="Arial"/>
              </w:rPr>
            </w:pPr>
            <w:r w:rsidRPr="009014AD">
              <w:rPr>
                <w:rFonts w:ascii="Arial" w:hAnsi="Arial" w:cs="Arial"/>
              </w:rPr>
              <w:t>Soil fertility, water retention</w:t>
            </w:r>
          </w:p>
        </w:tc>
        <w:tc>
          <w:tcPr>
            <w:tcW w:w="1404" w:type="dxa"/>
            <w:tcBorders>
              <w:top w:val="nil"/>
              <w:left w:val="nil"/>
              <w:bottom w:val="single" w:sz="4" w:space="0" w:color="auto"/>
              <w:right w:val="nil"/>
            </w:tcBorders>
          </w:tcPr>
          <w:p w14:paraId="1C2EEB87" w14:textId="6C0E5E25" w:rsidR="002E340F" w:rsidRPr="00D75F33" w:rsidRDefault="009014AD" w:rsidP="009014AD">
            <w:pPr>
              <w:rPr>
                <w:rFonts w:ascii="Arial" w:hAnsi="Arial" w:cs="Arial"/>
              </w:rPr>
            </w:pPr>
            <w:r w:rsidRPr="009014AD">
              <w:rPr>
                <w:rFonts w:ascii="Arial" w:hAnsi="Arial" w:cs="Arial"/>
              </w:rPr>
              <w:t>Market and input cost barriers</w:t>
            </w:r>
          </w:p>
        </w:tc>
      </w:tr>
    </w:tbl>
    <w:p w14:paraId="204B9B39" w14:textId="77777777" w:rsidR="002E340F" w:rsidRDefault="002E340F" w:rsidP="002E340F">
      <w:pPr>
        <w:pStyle w:val="Head1"/>
        <w:spacing w:after="0"/>
        <w:jc w:val="both"/>
        <w:rPr>
          <w:rFonts w:ascii="Arial" w:hAnsi="Arial" w:cs="Arial"/>
          <w:b w:val="0"/>
          <w:caps w:val="0"/>
          <w:sz w:val="20"/>
        </w:rPr>
      </w:pPr>
    </w:p>
    <w:p w14:paraId="785EAEFE" w14:textId="77777777" w:rsidR="002E340F" w:rsidRDefault="002E340F" w:rsidP="002E340F">
      <w:pPr>
        <w:pStyle w:val="Head1"/>
        <w:spacing w:after="0"/>
        <w:jc w:val="both"/>
        <w:rPr>
          <w:rFonts w:ascii="Arial" w:hAnsi="Arial" w:cs="Arial"/>
        </w:rPr>
      </w:pPr>
    </w:p>
    <w:p w14:paraId="5EE22481" w14:textId="7B21E856" w:rsidR="00622C85" w:rsidRDefault="00622C85" w:rsidP="00622C85">
      <w:pPr>
        <w:pStyle w:val="Head1"/>
        <w:spacing w:after="0"/>
        <w:jc w:val="both"/>
        <w:rPr>
          <w:rFonts w:ascii="Arial" w:hAnsi="Arial" w:cs="Arial"/>
        </w:rPr>
      </w:pPr>
      <w:r>
        <w:rPr>
          <w:rFonts w:ascii="Arial" w:hAnsi="Arial" w:cs="Arial"/>
        </w:rPr>
        <w:t>5. ADAPTATION STRATEGIES OF SMALLHOLDER FARMERS</w:t>
      </w:r>
    </w:p>
    <w:p w14:paraId="249F4088" w14:textId="77777777" w:rsidR="00622C85" w:rsidRPr="00FB3A86" w:rsidRDefault="00622C85" w:rsidP="00622C85">
      <w:pPr>
        <w:pStyle w:val="Head1"/>
        <w:spacing w:after="0"/>
        <w:jc w:val="both"/>
        <w:rPr>
          <w:rFonts w:ascii="Arial" w:hAnsi="Arial" w:cs="Arial"/>
        </w:rPr>
      </w:pPr>
    </w:p>
    <w:p w14:paraId="33E8C0D3" w14:textId="77777777" w:rsidR="002334E6" w:rsidRPr="002334E6" w:rsidRDefault="002334E6" w:rsidP="002334E6">
      <w:pPr>
        <w:pStyle w:val="Body"/>
        <w:rPr>
          <w:rFonts w:ascii="Arial" w:hAnsi="Arial" w:cs="Arial"/>
          <w:lang w:val="en-PH"/>
        </w:rPr>
      </w:pPr>
      <w:r w:rsidRPr="002334E6">
        <w:rPr>
          <w:rFonts w:ascii="Arial" w:hAnsi="Arial" w:cs="Arial"/>
          <w:lang w:val="en-PH"/>
        </w:rPr>
        <w:t>Smallholder farmers in the Philippines employ diverse strategies to cope with droughts, floods, and soil degradation. Most combine traditional practices with science-based innovations, showing strong adaptive capacity.</w:t>
      </w:r>
    </w:p>
    <w:p w14:paraId="033A28FC" w14:textId="77777777" w:rsidR="002334E6" w:rsidRPr="002334E6" w:rsidRDefault="002334E6" w:rsidP="002334E6">
      <w:pPr>
        <w:pStyle w:val="Body"/>
        <w:rPr>
          <w:rFonts w:ascii="Arial" w:hAnsi="Arial" w:cs="Arial"/>
          <w:lang w:val="en-PH"/>
        </w:rPr>
      </w:pPr>
      <w:r w:rsidRPr="002334E6">
        <w:rPr>
          <w:rFonts w:ascii="Arial" w:hAnsi="Arial" w:cs="Arial"/>
          <w:lang w:val="en-PH"/>
        </w:rPr>
        <w:t xml:space="preserve">Common strategies include crop diversification, contour planting, vegetative strips, and organic soil amendments (Landicho, </w:t>
      </w:r>
      <w:proofErr w:type="spellStart"/>
      <w:r w:rsidRPr="002334E6">
        <w:rPr>
          <w:rFonts w:ascii="Arial" w:hAnsi="Arial" w:cs="Arial"/>
          <w:lang w:val="en-PH"/>
        </w:rPr>
        <w:t>Paelmo</w:t>
      </w:r>
      <w:proofErr w:type="spellEnd"/>
      <w:r w:rsidRPr="002334E6">
        <w:rPr>
          <w:rFonts w:ascii="Arial" w:hAnsi="Arial" w:cs="Arial"/>
          <w:lang w:val="en-PH"/>
        </w:rPr>
        <w:t>, De Luna, &amp; Visco, 2016; Evangelista, Cruz, &amp; Lasco, 2016). These measures conserve water, reduce erosion, and stabilize yields under erratic rainfall. Farmers in Zamboanga and Benguet integrate fruit or timber trees with crops, enhancing both soil fertility and carbon storage (</w:t>
      </w:r>
      <w:proofErr w:type="spellStart"/>
      <w:r w:rsidRPr="002334E6">
        <w:rPr>
          <w:rFonts w:ascii="Arial" w:hAnsi="Arial" w:cs="Arial"/>
          <w:lang w:val="en-PH"/>
        </w:rPr>
        <w:t>Tabal</w:t>
      </w:r>
      <w:proofErr w:type="spellEnd"/>
      <w:r w:rsidRPr="002334E6">
        <w:rPr>
          <w:rFonts w:ascii="Arial" w:hAnsi="Arial" w:cs="Arial"/>
          <w:lang w:val="en-PH"/>
        </w:rPr>
        <w:t xml:space="preserve"> &amp; Mendoza, 2020; </w:t>
      </w:r>
      <w:proofErr w:type="spellStart"/>
      <w:r w:rsidRPr="002334E6">
        <w:rPr>
          <w:rFonts w:ascii="Arial" w:hAnsi="Arial" w:cs="Arial"/>
          <w:lang w:val="en-PH"/>
        </w:rPr>
        <w:t>Lumogdang</w:t>
      </w:r>
      <w:proofErr w:type="spellEnd"/>
      <w:r w:rsidRPr="002334E6">
        <w:rPr>
          <w:rFonts w:ascii="Arial" w:hAnsi="Arial" w:cs="Arial"/>
          <w:lang w:val="en-PH"/>
        </w:rPr>
        <w:t xml:space="preserve">, </w:t>
      </w:r>
      <w:proofErr w:type="spellStart"/>
      <w:r w:rsidRPr="002334E6">
        <w:rPr>
          <w:rFonts w:ascii="Arial" w:hAnsi="Arial" w:cs="Arial"/>
          <w:lang w:val="en-PH"/>
        </w:rPr>
        <w:t>Madalmingan</w:t>
      </w:r>
      <w:proofErr w:type="spellEnd"/>
      <w:r w:rsidRPr="002334E6">
        <w:rPr>
          <w:rFonts w:ascii="Arial" w:hAnsi="Arial" w:cs="Arial"/>
          <w:lang w:val="en-PH"/>
        </w:rPr>
        <w:t xml:space="preserve">, &amp; </w:t>
      </w:r>
      <w:proofErr w:type="spellStart"/>
      <w:r w:rsidRPr="002334E6">
        <w:rPr>
          <w:rFonts w:ascii="Arial" w:hAnsi="Arial" w:cs="Arial"/>
          <w:lang w:val="en-PH"/>
        </w:rPr>
        <w:t>Caluboy</w:t>
      </w:r>
      <w:proofErr w:type="spellEnd"/>
      <w:r w:rsidRPr="002334E6">
        <w:rPr>
          <w:rFonts w:ascii="Arial" w:hAnsi="Arial" w:cs="Arial"/>
          <w:lang w:val="en-PH"/>
        </w:rPr>
        <w:t>, 2023).</w:t>
      </w:r>
    </w:p>
    <w:p w14:paraId="69430637" w14:textId="77777777" w:rsidR="002334E6" w:rsidRPr="002334E6" w:rsidRDefault="002334E6" w:rsidP="002334E6">
      <w:pPr>
        <w:pStyle w:val="Body"/>
        <w:rPr>
          <w:rFonts w:ascii="Arial" w:hAnsi="Arial" w:cs="Arial"/>
          <w:lang w:val="en-PH"/>
        </w:rPr>
      </w:pPr>
      <w:r w:rsidRPr="002334E6">
        <w:rPr>
          <w:rFonts w:ascii="Arial" w:hAnsi="Arial" w:cs="Arial"/>
          <w:lang w:val="en-PH"/>
        </w:rPr>
        <w:t xml:space="preserve">Indigenous and community-based agroforestry practices provide further evidence of resilience-building approaches grounded in local knowledge. In Ethiopia, traditional systems demonstrate how farmers use species diversity, soil conservation, and intergenerational learning to adapt to climate risks while mitigating carbon emissions (Gemechu, 2025). Such </w:t>
      </w:r>
      <w:r w:rsidRPr="002334E6">
        <w:rPr>
          <w:rFonts w:ascii="Arial" w:hAnsi="Arial" w:cs="Arial"/>
          <w:lang w:val="en-PH"/>
        </w:rPr>
        <w:lastRenderedPageBreak/>
        <w:t xml:space="preserve">indigenous insights parallel the Philippine experience, where customary practices like the </w:t>
      </w:r>
      <w:r w:rsidRPr="002334E6">
        <w:rPr>
          <w:rFonts w:ascii="Arial" w:hAnsi="Arial" w:cs="Arial"/>
          <w:i/>
          <w:iCs/>
          <w:lang w:val="en-PH"/>
        </w:rPr>
        <w:t>muyong-payoh</w:t>
      </w:r>
      <w:r w:rsidRPr="002334E6">
        <w:rPr>
          <w:rFonts w:ascii="Arial" w:hAnsi="Arial" w:cs="Arial"/>
          <w:lang w:val="en-PH"/>
        </w:rPr>
        <w:t xml:space="preserve"> system illustrate how ecological knowledge guides sustainable adaptation.</w:t>
      </w:r>
    </w:p>
    <w:p w14:paraId="2E9D680F" w14:textId="563399AC" w:rsidR="009014AD" w:rsidRPr="009014AD" w:rsidRDefault="009014AD" w:rsidP="009014AD">
      <w:pPr>
        <w:pStyle w:val="Body"/>
        <w:rPr>
          <w:rFonts w:ascii="Arial" w:hAnsi="Arial" w:cs="Arial"/>
        </w:rPr>
      </w:pPr>
      <w:r w:rsidRPr="009014AD">
        <w:rPr>
          <w:rFonts w:ascii="Arial" w:hAnsi="Arial" w:cs="Arial"/>
        </w:rPr>
        <w:t>Quantitative evidence supports these gains: agroforestry systems can increase crop yield by 23 %, improve soil organic carbon by 10 – 20 %, and enhance water retention by 15 % relative to monocropping (Nair, Mohan Kumar, &amp; Nair, 2024; Garcia-de-</w:t>
      </w:r>
      <w:proofErr w:type="spellStart"/>
      <w:r w:rsidRPr="009014AD">
        <w:rPr>
          <w:rFonts w:ascii="Arial" w:hAnsi="Arial" w:cs="Arial"/>
        </w:rPr>
        <w:t>Jalón</w:t>
      </w:r>
      <w:proofErr w:type="spellEnd"/>
      <w:r w:rsidRPr="009014AD">
        <w:rPr>
          <w:rFonts w:ascii="Arial" w:hAnsi="Arial" w:cs="Arial"/>
        </w:rPr>
        <w:t>, Graves, &amp; Smith, 2024). Similar outcomes are observed in Southeast Asia, where contour-based agroforestry improved maize productivity by 25 – 30 % and reduced fertilizer demand (Sida, Kumar, &amp; Singh, 2022; Nguyen, 2023).</w:t>
      </w:r>
    </w:p>
    <w:p w14:paraId="0FE2FC85" w14:textId="27CF4916" w:rsidR="009014AD" w:rsidRPr="009014AD" w:rsidRDefault="009014AD" w:rsidP="009014AD">
      <w:pPr>
        <w:pStyle w:val="Body"/>
        <w:rPr>
          <w:rFonts w:ascii="Arial" w:hAnsi="Arial" w:cs="Arial"/>
        </w:rPr>
      </w:pPr>
      <w:r w:rsidRPr="009014AD">
        <w:rPr>
          <w:rFonts w:ascii="Arial" w:hAnsi="Arial" w:cs="Arial"/>
        </w:rPr>
        <w:t>Beyond field practices, many farmers adopt livelihood diversification, engaging in wage labor, crafts, or micro-enterprises to offset climate risks (Landicho et al., 2016). Community-based programs like the Community-Based Forest Management (CBFM) initiative and the National Greening Program (NGP) also strengthen adaptive capacity through shared learning and resource pooling (DENR, 2022).</w:t>
      </w:r>
    </w:p>
    <w:p w14:paraId="3498D7BE" w14:textId="308D28D4" w:rsidR="009014AD" w:rsidRDefault="009014AD" w:rsidP="009014AD">
      <w:pPr>
        <w:pStyle w:val="Body"/>
        <w:spacing w:after="0"/>
        <w:rPr>
          <w:rFonts w:ascii="Arial" w:hAnsi="Arial" w:cs="Arial"/>
        </w:rPr>
      </w:pPr>
      <w:r w:rsidRPr="009014AD">
        <w:rPr>
          <w:rFonts w:ascii="Arial" w:hAnsi="Arial" w:cs="Arial"/>
        </w:rPr>
        <w:t>Overall, these strategies illustrate that agroforestry serves as the core of local adaptation, linking ecological restoration with livelihood security.</w:t>
      </w:r>
    </w:p>
    <w:p w14:paraId="481C46C1" w14:textId="77777777" w:rsidR="008F3368" w:rsidRDefault="008F3368" w:rsidP="009014AD">
      <w:pPr>
        <w:pStyle w:val="Body"/>
        <w:spacing w:after="0"/>
        <w:rPr>
          <w:rFonts w:ascii="Arial" w:hAnsi="Arial" w:cs="Arial"/>
        </w:rPr>
      </w:pPr>
    </w:p>
    <w:p w14:paraId="6623764D" w14:textId="12FE649C" w:rsidR="008F3368" w:rsidRPr="008F3368" w:rsidRDefault="008F3368" w:rsidP="009014AD">
      <w:pPr>
        <w:pStyle w:val="Body"/>
        <w:spacing w:after="0"/>
        <w:rPr>
          <w:rFonts w:ascii="Arial" w:hAnsi="Arial" w:cs="Arial"/>
          <w:b/>
          <w:bCs/>
        </w:rPr>
      </w:pPr>
      <w:r w:rsidRPr="008F3368">
        <w:rPr>
          <w:rFonts w:ascii="Arial" w:hAnsi="Arial" w:cs="Arial"/>
          <w:b/>
          <w:bCs/>
        </w:rPr>
        <w:t>Table 3. Adaptation Practices and Reported Benefits in Philippine Agroforestry</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1690"/>
        <w:gridCol w:w="1560"/>
        <w:gridCol w:w="2126"/>
      </w:tblGrid>
      <w:tr w:rsidR="009014AD" w:rsidRPr="00DC3180" w14:paraId="6F6A2FD9" w14:textId="77777777" w:rsidTr="008F3368">
        <w:trPr>
          <w:jc w:val="center"/>
        </w:trPr>
        <w:tc>
          <w:tcPr>
            <w:tcW w:w="2279" w:type="dxa"/>
            <w:tcBorders>
              <w:top w:val="single" w:sz="4" w:space="0" w:color="auto"/>
              <w:left w:val="nil"/>
              <w:bottom w:val="single" w:sz="4" w:space="0" w:color="auto"/>
              <w:right w:val="nil"/>
            </w:tcBorders>
          </w:tcPr>
          <w:p w14:paraId="69E7A12E" w14:textId="49238E15" w:rsidR="009014AD" w:rsidRPr="009014AD" w:rsidRDefault="009014AD" w:rsidP="009014AD">
            <w:pPr>
              <w:rPr>
                <w:rFonts w:ascii="Arial" w:hAnsi="Arial" w:cs="Arial"/>
                <w:b/>
                <w:bCs/>
              </w:rPr>
            </w:pPr>
            <w:r w:rsidRPr="009014AD">
              <w:rPr>
                <w:rFonts w:ascii="Arial" w:hAnsi="Arial" w:cs="Arial"/>
                <w:b/>
                <w:bCs/>
              </w:rPr>
              <w:t>Adaptation Strategy</w:t>
            </w:r>
          </w:p>
          <w:p w14:paraId="761F473C" w14:textId="77777777" w:rsidR="009014AD" w:rsidRPr="00DC3180" w:rsidRDefault="009014AD" w:rsidP="002608CF">
            <w:pPr>
              <w:jc w:val="both"/>
              <w:rPr>
                <w:rFonts w:ascii="Arial" w:hAnsi="Arial"/>
                <w:b/>
                <w:bCs/>
              </w:rPr>
            </w:pPr>
          </w:p>
        </w:tc>
        <w:tc>
          <w:tcPr>
            <w:tcW w:w="1690" w:type="dxa"/>
            <w:tcBorders>
              <w:top w:val="single" w:sz="4" w:space="0" w:color="auto"/>
              <w:left w:val="nil"/>
              <w:bottom w:val="single" w:sz="4" w:space="0" w:color="auto"/>
              <w:right w:val="nil"/>
            </w:tcBorders>
          </w:tcPr>
          <w:p w14:paraId="28FCCDB9" w14:textId="493B94A5" w:rsidR="009014AD" w:rsidRPr="00DC3180" w:rsidRDefault="009014AD" w:rsidP="002608CF">
            <w:pPr>
              <w:jc w:val="both"/>
              <w:rPr>
                <w:rFonts w:ascii="Arial" w:hAnsi="Arial"/>
                <w:b/>
                <w:bCs/>
              </w:rPr>
            </w:pPr>
            <w:r w:rsidRPr="009014AD">
              <w:rPr>
                <w:rFonts w:ascii="Arial" w:hAnsi="Arial"/>
                <w:b/>
                <w:bCs/>
              </w:rPr>
              <w:t>Key References</w:t>
            </w:r>
          </w:p>
        </w:tc>
        <w:tc>
          <w:tcPr>
            <w:tcW w:w="1560" w:type="dxa"/>
            <w:tcBorders>
              <w:top w:val="single" w:sz="4" w:space="0" w:color="auto"/>
              <w:left w:val="nil"/>
              <w:bottom w:val="single" w:sz="4" w:space="0" w:color="auto"/>
              <w:right w:val="nil"/>
            </w:tcBorders>
          </w:tcPr>
          <w:p w14:paraId="056CEEAE" w14:textId="3B8E9E03" w:rsidR="009014AD" w:rsidRDefault="009014AD" w:rsidP="002608CF">
            <w:pPr>
              <w:jc w:val="both"/>
              <w:rPr>
                <w:rFonts w:ascii="Arial" w:hAnsi="Arial"/>
                <w:b/>
                <w:bCs/>
              </w:rPr>
            </w:pPr>
            <w:r w:rsidRPr="009014AD">
              <w:rPr>
                <w:rFonts w:ascii="Arial" w:hAnsi="Arial"/>
                <w:b/>
                <w:bCs/>
              </w:rPr>
              <w:t>Ecological Benefits</w:t>
            </w:r>
          </w:p>
        </w:tc>
        <w:tc>
          <w:tcPr>
            <w:tcW w:w="2126" w:type="dxa"/>
            <w:tcBorders>
              <w:top w:val="single" w:sz="4" w:space="0" w:color="auto"/>
              <w:left w:val="nil"/>
              <w:bottom w:val="single" w:sz="4" w:space="0" w:color="auto"/>
              <w:right w:val="nil"/>
            </w:tcBorders>
          </w:tcPr>
          <w:p w14:paraId="3F0D2CBA" w14:textId="2860F42D" w:rsidR="009014AD" w:rsidRPr="00DC3180" w:rsidRDefault="009014AD" w:rsidP="002608CF">
            <w:pPr>
              <w:jc w:val="both"/>
              <w:rPr>
                <w:rFonts w:ascii="Arial" w:hAnsi="Arial"/>
                <w:b/>
                <w:bCs/>
              </w:rPr>
            </w:pPr>
            <w:r w:rsidRPr="009014AD">
              <w:rPr>
                <w:rFonts w:ascii="Arial" w:hAnsi="Arial"/>
                <w:b/>
                <w:bCs/>
              </w:rPr>
              <w:t>Livelihood / Economic Benefits</w:t>
            </w:r>
          </w:p>
        </w:tc>
      </w:tr>
      <w:tr w:rsidR="009014AD" w:rsidRPr="00DC3180" w14:paraId="0386206C" w14:textId="77777777" w:rsidTr="008F3368">
        <w:trPr>
          <w:trHeight w:val="773"/>
          <w:jc w:val="center"/>
        </w:trPr>
        <w:tc>
          <w:tcPr>
            <w:tcW w:w="2279" w:type="dxa"/>
            <w:tcBorders>
              <w:top w:val="single" w:sz="4" w:space="0" w:color="auto"/>
              <w:left w:val="nil"/>
              <w:bottom w:val="nil"/>
              <w:right w:val="nil"/>
            </w:tcBorders>
          </w:tcPr>
          <w:p w14:paraId="57BA78CA" w14:textId="20BB7EA2" w:rsidR="009014AD" w:rsidRPr="003B3183" w:rsidRDefault="009014AD" w:rsidP="008F3368">
            <w:pPr>
              <w:rPr>
                <w:rFonts w:ascii="Arial" w:hAnsi="Arial"/>
              </w:rPr>
            </w:pPr>
            <w:r w:rsidRPr="009014AD">
              <w:rPr>
                <w:rFonts w:ascii="Arial" w:hAnsi="Arial"/>
              </w:rPr>
              <w:t>Crop diversification / mixed cropping</w:t>
            </w:r>
          </w:p>
        </w:tc>
        <w:tc>
          <w:tcPr>
            <w:tcW w:w="1690" w:type="dxa"/>
            <w:tcBorders>
              <w:top w:val="single" w:sz="4" w:space="0" w:color="auto"/>
              <w:left w:val="nil"/>
              <w:bottom w:val="nil"/>
              <w:right w:val="nil"/>
            </w:tcBorders>
          </w:tcPr>
          <w:p w14:paraId="27B8B906" w14:textId="5D0C3D77" w:rsidR="009014AD" w:rsidRPr="003B3183" w:rsidRDefault="009014AD" w:rsidP="008F3368">
            <w:pPr>
              <w:rPr>
                <w:rFonts w:ascii="Arial" w:hAnsi="Arial"/>
              </w:rPr>
            </w:pPr>
            <w:r w:rsidRPr="00417EDC">
              <w:rPr>
                <w:rFonts w:ascii="Arial" w:hAnsi="Arial"/>
                <w:lang w:val="nl-BE"/>
              </w:rPr>
              <w:t xml:space="preserve">Landicho et al. (2016); Evangelista et al. </w:t>
            </w:r>
            <w:r w:rsidRPr="009014AD">
              <w:rPr>
                <w:rFonts w:ascii="Arial" w:hAnsi="Arial"/>
              </w:rPr>
              <w:t>(2016)</w:t>
            </w:r>
          </w:p>
        </w:tc>
        <w:tc>
          <w:tcPr>
            <w:tcW w:w="1560" w:type="dxa"/>
            <w:tcBorders>
              <w:top w:val="single" w:sz="4" w:space="0" w:color="auto"/>
              <w:left w:val="nil"/>
              <w:bottom w:val="nil"/>
              <w:right w:val="nil"/>
            </w:tcBorders>
          </w:tcPr>
          <w:p w14:paraId="749ED446" w14:textId="3DFB525E" w:rsidR="009014AD" w:rsidRPr="003B3183" w:rsidRDefault="009014AD" w:rsidP="008F3368">
            <w:pPr>
              <w:rPr>
                <w:rFonts w:ascii="Arial" w:hAnsi="Arial"/>
              </w:rPr>
            </w:pPr>
            <w:r w:rsidRPr="009014AD">
              <w:rPr>
                <w:rFonts w:ascii="Arial" w:hAnsi="Arial"/>
              </w:rPr>
              <w:t>Improves soil nutrients, yield stability</w:t>
            </w:r>
          </w:p>
        </w:tc>
        <w:tc>
          <w:tcPr>
            <w:tcW w:w="2126" w:type="dxa"/>
            <w:tcBorders>
              <w:top w:val="single" w:sz="4" w:space="0" w:color="auto"/>
              <w:left w:val="nil"/>
              <w:bottom w:val="nil"/>
              <w:right w:val="nil"/>
            </w:tcBorders>
          </w:tcPr>
          <w:p w14:paraId="0C426B02" w14:textId="1A648607" w:rsidR="009014AD" w:rsidRPr="003B3183" w:rsidRDefault="009014AD" w:rsidP="008F3368">
            <w:pPr>
              <w:rPr>
                <w:rFonts w:ascii="Arial" w:hAnsi="Arial"/>
              </w:rPr>
            </w:pPr>
            <w:r w:rsidRPr="009014AD">
              <w:rPr>
                <w:rFonts w:ascii="Arial" w:hAnsi="Arial"/>
              </w:rPr>
              <w:t>Reduces crop failure risk; food security</w:t>
            </w:r>
          </w:p>
        </w:tc>
      </w:tr>
      <w:tr w:rsidR="009014AD" w:rsidRPr="00DC3180" w14:paraId="1EB672F2" w14:textId="77777777" w:rsidTr="008F3368">
        <w:trPr>
          <w:jc w:val="center"/>
        </w:trPr>
        <w:tc>
          <w:tcPr>
            <w:tcW w:w="2279" w:type="dxa"/>
            <w:tcBorders>
              <w:top w:val="nil"/>
              <w:left w:val="nil"/>
              <w:bottom w:val="nil"/>
              <w:right w:val="nil"/>
            </w:tcBorders>
          </w:tcPr>
          <w:p w14:paraId="4B9690B9" w14:textId="22E72CC1" w:rsidR="009014AD" w:rsidRPr="00DC3180" w:rsidRDefault="009014AD" w:rsidP="008F3368">
            <w:pPr>
              <w:rPr>
                <w:rFonts w:ascii="Arial" w:hAnsi="Arial" w:cs="Arial"/>
              </w:rPr>
            </w:pPr>
            <w:r w:rsidRPr="009014AD">
              <w:rPr>
                <w:rFonts w:ascii="Arial" w:hAnsi="Arial"/>
              </w:rPr>
              <w:t>Contour farming &amp; vegetative strips</w:t>
            </w:r>
          </w:p>
        </w:tc>
        <w:tc>
          <w:tcPr>
            <w:tcW w:w="1690" w:type="dxa"/>
            <w:tcBorders>
              <w:top w:val="nil"/>
              <w:left w:val="nil"/>
              <w:bottom w:val="nil"/>
              <w:right w:val="nil"/>
            </w:tcBorders>
          </w:tcPr>
          <w:p w14:paraId="6A3AD99A" w14:textId="592ACFE3" w:rsidR="009014AD" w:rsidRPr="00DC3180" w:rsidRDefault="009014AD" w:rsidP="008F3368">
            <w:pPr>
              <w:rPr>
                <w:rFonts w:ascii="Arial" w:hAnsi="Arial" w:cs="Arial"/>
              </w:rPr>
            </w:pPr>
            <w:r w:rsidRPr="00417EDC">
              <w:rPr>
                <w:rFonts w:ascii="Arial" w:hAnsi="Arial" w:cs="Arial"/>
                <w:lang w:val="nl-BE"/>
              </w:rPr>
              <w:t xml:space="preserve">Landicho et al. (2016); Lasco et al. </w:t>
            </w:r>
            <w:r w:rsidRPr="009014AD">
              <w:rPr>
                <w:rFonts w:ascii="Arial" w:hAnsi="Arial" w:cs="Arial"/>
              </w:rPr>
              <w:t>(2014)</w:t>
            </w:r>
          </w:p>
        </w:tc>
        <w:tc>
          <w:tcPr>
            <w:tcW w:w="1560" w:type="dxa"/>
            <w:tcBorders>
              <w:top w:val="nil"/>
              <w:left w:val="nil"/>
              <w:bottom w:val="nil"/>
              <w:right w:val="nil"/>
            </w:tcBorders>
          </w:tcPr>
          <w:p w14:paraId="6EBAE553" w14:textId="638A55DD" w:rsidR="009014AD" w:rsidRPr="00DC3180" w:rsidRDefault="009014AD" w:rsidP="008F3368">
            <w:pPr>
              <w:rPr>
                <w:rFonts w:ascii="Arial" w:hAnsi="Arial"/>
              </w:rPr>
            </w:pPr>
            <w:r w:rsidRPr="009014AD">
              <w:rPr>
                <w:rFonts w:ascii="Arial" w:hAnsi="Arial" w:cs="Arial"/>
              </w:rPr>
              <w:t>Minimizes erosion, enhances water infiltration</w:t>
            </w:r>
          </w:p>
        </w:tc>
        <w:tc>
          <w:tcPr>
            <w:tcW w:w="2126" w:type="dxa"/>
            <w:tcBorders>
              <w:top w:val="nil"/>
              <w:left w:val="nil"/>
              <w:bottom w:val="nil"/>
              <w:right w:val="nil"/>
            </w:tcBorders>
          </w:tcPr>
          <w:p w14:paraId="12FC8F13" w14:textId="6CFEFD2F" w:rsidR="009014AD" w:rsidRPr="003B3183" w:rsidRDefault="009014AD" w:rsidP="008F3368">
            <w:pPr>
              <w:rPr>
                <w:rFonts w:ascii="Arial" w:hAnsi="Arial"/>
              </w:rPr>
            </w:pPr>
            <w:r w:rsidRPr="009014AD">
              <w:rPr>
                <w:rFonts w:ascii="Arial" w:hAnsi="Arial" w:cs="Arial"/>
              </w:rPr>
              <w:t>Maintains productivity on sloping lands</w:t>
            </w:r>
          </w:p>
        </w:tc>
      </w:tr>
      <w:tr w:rsidR="009014AD" w:rsidRPr="00DC3180" w14:paraId="2B7D2AFC" w14:textId="77777777" w:rsidTr="008F3368">
        <w:trPr>
          <w:jc w:val="center"/>
        </w:trPr>
        <w:tc>
          <w:tcPr>
            <w:tcW w:w="2279" w:type="dxa"/>
            <w:tcBorders>
              <w:top w:val="nil"/>
              <w:left w:val="nil"/>
              <w:bottom w:val="nil"/>
              <w:right w:val="nil"/>
            </w:tcBorders>
          </w:tcPr>
          <w:p w14:paraId="586470E6" w14:textId="64195AF2" w:rsidR="009014AD" w:rsidRPr="00DC3180" w:rsidRDefault="008F3368" w:rsidP="008F3368">
            <w:pPr>
              <w:rPr>
                <w:rFonts w:ascii="Arial" w:hAnsi="Arial"/>
              </w:rPr>
            </w:pPr>
            <w:r w:rsidRPr="008F3368">
              <w:rPr>
                <w:rFonts w:ascii="Arial" w:hAnsi="Arial"/>
              </w:rPr>
              <w:t>Organic amendments (compost, mulch)</w:t>
            </w:r>
          </w:p>
        </w:tc>
        <w:tc>
          <w:tcPr>
            <w:tcW w:w="1690" w:type="dxa"/>
            <w:tcBorders>
              <w:top w:val="nil"/>
              <w:left w:val="nil"/>
              <w:bottom w:val="nil"/>
              <w:right w:val="nil"/>
            </w:tcBorders>
          </w:tcPr>
          <w:p w14:paraId="204C103B" w14:textId="624FACC7" w:rsidR="009014AD" w:rsidRPr="00D75F33" w:rsidRDefault="008F3368" w:rsidP="008F3368">
            <w:pPr>
              <w:rPr>
                <w:rFonts w:ascii="Arial" w:hAnsi="Arial" w:cs="Arial"/>
              </w:rPr>
            </w:pPr>
            <w:r w:rsidRPr="008F3368">
              <w:rPr>
                <w:rFonts w:ascii="Arial" w:hAnsi="Arial" w:cs="Arial"/>
              </w:rPr>
              <w:t>Landicho et al. (2016)</w:t>
            </w:r>
          </w:p>
        </w:tc>
        <w:tc>
          <w:tcPr>
            <w:tcW w:w="1560" w:type="dxa"/>
            <w:tcBorders>
              <w:top w:val="nil"/>
              <w:left w:val="nil"/>
              <w:bottom w:val="nil"/>
              <w:right w:val="nil"/>
            </w:tcBorders>
          </w:tcPr>
          <w:p w14:paraId="211777C2" w14:textId="09216BDE" w:rsidR="009014AD" w:rsidRPr="00DC3180" w:rsidRDefault="008F3368" w:rsidP="008F3368">
            <w:pPr>
              <w:rPr>
                <w:rFonts w:ascii="Arial" w:hAnsi="Arial" w:cs="Arial"/>
              </w:rPr>
            </w:pPr>
            <w:r w:rsidRPr="008F3368">
              <w:rPr>
                <w:rFonts w:ascii="Arial" w:hAnsi="Arial" w:cs="Arial"/>
              </w:rPr>
              <w:t>Increases soil moisture and microbial activity</w:t>
            </w:r>
          </w:p>
        </w:tc>
        <w:tc>
          <w:tcPr>
            <w:tcW w:w="2126" w:type="dxa"/>
            <w:tcBorders>
              <w:top w:val="nil"/>
              <w:left w:val="nil"/>
              <w:bottom w:val="nil"/>
              <w:right w:val="nil"/>
            </w:tcBorders>
          </w:tcPr>
          <w:p w14:paraId="1C5A1C87" w14:textId="22CAE213" w:rsidR="009014AD" w:rsidRPr="00DC3180" w:rsidRDefault="008F3368" w:rsidP="008F3368">
            <w:pPr>
              <w:rPr>
                <w:rFonts w:ascii="Arial" w:hAnsi="Arial" w:cs="Arial"/>
              </w:rPr>
            </w:pPr>
            <w:r w:rsidRPr="008F3368">
              <w:rPr>
                <w:rFonts w:ascii="Arial" w:hAnsi="Arial" w:cs="Arial"/>
              </w:rPr>
              <w:t>Reduces fertilizer cost</w:t>
            </w:r>
          </w:p>
        </w:tc>
      </w:tr>
      <w:tr w:rsidR="009014AD" w:rsidRPr="00DC3180" w14:paraId="2CF3BFD8" w14:textId="77777777" w:rsidTr="008F3368">
        <w:trPr>
          <w:jc w:val="center"/>
        </w:trPr>
        <w:tc>
          <w:tcPr>
            <w:tcW w:w="2279" w:type="dxa"/>
            <w:tcBorders>
              <w:top w:val="nil"/>
              <w:left w:val="nil"/>
              <w:bottom w:val="nil"/>
              <w:right w:val="nil"/>
            </w:tcBorders>
          </w:tcPr>
          <w:p w14:paraId="7BE6D9B0" w14:textId="341885E3" w:rsidR="009014AD" w:rsidRPr="00DC3180" w:rsidRDefault="008F3368" w:rsidP="008F3368">
            <w:pPr>
              <w:rPr>
                <w:rFonts w:ascii="Arial" w:hAnsi="Arial"/>
              </w:rPr>
            </w:pPr>
            <w:r w:rsidRPr="008F3368">
              <w:rPr>
                <w:rFonts w:ascii="Arial" w:hAnsi="Arial"/>
              </w:rPr>
              <w:t>Tree–crop integration (fruit, timber species)</w:t>
            </w:r>
          </w:p>
        </w:tc>
        <w:tc>
          <w:tcPr>
            <w:tcW w:w="1690" w:type="dxa"/>
            <w:tcBorders>
              <w:top w:val="nil"/>
              <w:left w:val="nil"/>
              <w:bottom w:val="nil"/>
              <w:right w:val="nil"/>
            </w:tcBorders>
          </w:tcPr>
          <w:p w14:paraId="623A3477" w14:textId="0EEF89A8" w:rsidR="009014AD" w:rsidRPr="00DC3180" w:rsidRDefault="008F3368" w:rsidP="008F3368">
            <w:pPr>
              <w:rPr>
                <w:rFonts w:ascii="Arial" w:hAnsi="Arial"/>
              </w:rPr>
            </w:pPr>
            <w:r w:rsidRPr="00417EDC">
              <w:rPr>
                <w:rFonts w:ascii="Arial" w:hAnsi="Arial"/>
                <w:lang w:val="nl-BE"/>
              </w:rPr>
              <w:t xml:space="preserve">Tabal &amp; Mendoza (2020); Lumogdang et al. </w:t>
            </w:r>
            <w:r w:rsidRPr="008F3368">
              <w:rPr>
                <w:rFonts w:ascii="Arial" w:hAnsi="Arial"/>
              </w:rPr>
              <w:t>(2023)</w:t>
            </w:r>
          </w:p>
        </w:tc>
        <w:tc>
          <w:tcPr>
            <w:tcW w:w="1560" w:type="dxa"/>
            <w:tcBorders>
              <w:top w:val="nil"/>
              <w:left w:val="nil"/>
              <w:bottom w:val="nil"/>
              <w:right w:val="nil"/>
            </w:tcBorders>
          </w:tcPr>
          <w:p w14:paraId="6DFB9910" w14:textId="6B6B9369" w:rsidR="009014AD" w:rsidRPr="00DC3180" w:rsidRDefault="008F3368" w:rsidP="008F3368">
            <w:pPr>
              <w:rPr>
                <w:rFonts w:ascii="Arial" w:hAnsi="Arial" w:cs="Arial"/>
              </w:rPr>
            </w:pPr>
            <w:r w:rsidRPr="008F3368">
              <w:rPr>
                <w:rFonts w:ascii="Arial" w:hAnsi="Arial" w:cs="Arial"/>
              </w:rPr>
              <w:t>Adds carbon stocks; stabilizes microclimate</w:t>
            </w:r>
          </w:p>
        </w:tc>
        <w:tc>
          <w:tcPr>
            <w:tcW w:w="2126" w:type="dxa"/>
            <w:tcBorders>
              <w:top w:val="nil"/>
              <w:left w:val="nil"/>
              <w:bottom w:val="nil"/>
              <w:right w:val="nil"/>
            </w:tcBorders>
          </w:tcPr>
          <w:p w14:paraId="682BE0DD" w14:textId="1A9DBE27" w:rsidR="009014AD" w:rsidRPr="00DC3180" w:rsidRDefault="008F3368" w:rsidP="008F3368">
            <w:pPr>
              <w:rPr>
                <w:rFonts w:ascii="Arial" w:hAnsi="Arial" w:cs="Arial"/>
              </w:rPr>
            </w:pPr>
            <w:r w:rsidRPr="008F3368">
              <w:rPr>
                <w:rFonts w:ascii="Arial" w:hAnsi="Arial" w:cs="Arial"/>
              </w:rPr>
              <w:t>Provides year-round income from tree products</w:t>
            </w:r>
          </w:p>
        </w:tc>
      </w:tr>
      <w:tr w:rsidR="009014AD" w:rsidRPr="00DC3180" w14:paraId="207E3343" w14:textId="77777777" w:rsidTr="008F3368">
        <w:trPr>
          <w:jc w:val="center"/>
        </w:trPr>
        <w:tc>
          <w:tcPr>
            <w:tcW w:w="2279" w:type="dxa"/>
            <w:tcBorders>
              <w:top w:val="nil"/>
              <w:left w:val="nil"/>
              <w:bottom w:val="single" w:sz="4" w:space="0" w:color="auto"/>
              <w:right w:val="nil"/>
            </w:tcBorders>
          </w:tcPr>
          <w:p w14:paraId="1E139D55" w14:textId="60DAC8B2" w:rsidR="009014AD" w:rsidRPr="00A25501" w:rsidRDefault="008F3368" w:rsidP="008F3368">
            <w:pPr>
              <w:rPr>
                <w:rFonts w:ascii="Arial" w:hAnsi="Arial" w:cs="Arial"/>
              </w:rPr>
            </w:pPr>
            <w:r w:rsidRPr="008F3368">
              <w:rPr>
                <w:rFonts w:ascii="Arial" w:hAnsi="Arial" w:cs="Arial"/>
              </w:rPr>
              <w:t>Livelihood diversification</w:t>
            </w:r>
          </w:p>
        </w:tc>
        <w:tc>
          <w:tcPr>
            <w:tcW w:w="1690" w:type="dxa"/>
            <w:tcBorders>
              <w:top w:val="nil"/>
              <w:left w:val="nil"/>
              <w:bottom w:val="single" w:sz="4" w:space="0" w:color="auto"/>
              <w:right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4"/>
            </w:tblGrid>
            <w:tr w:rsidR="009014AD" w:rsidRPr="003B3183" w14:paraId="7940FBF2" w14:textId="77777777" w:rsidTr="002608CF">
              <w:trPr>
                <w:tblCellSpacing w:w="15" w:type="dxa"/>
              </w:trPr>
              <w:tc>
                <w:tcPr>
                  <w:tcW w:w="0" w:type="auto"/>
                  <w:vAlign w:val="center"/>
                  <w:hideMark/>
                </w:tcPr>
                <w:p w14:paraId="718793E0" w14:textId="6A50B4DE" w:rsidR="009014AD" w:rsidRPr="003B3183" w:rsidRDefault="008F3368" w:rsidP="008F3368">
                  <w:pPr>
                    <w:rPr>
                      <w:rFonts w:ascii="Arial" w:hAnsi="Arial" w:cs="Arial"/>
                      <w:lang w:val="en-PH"/>
                    </w:rPr>
                  </w:pPr>
                  <w:r w:rsidRPr="008F3368">
                    <w:rPr>
                      <w:rFonts w:ascii="Arial" w:hAnsi="Arial" w:cs="Arial"/>
                    </w:rPr>
                    <w:t>Landicho et al. (2016); Nguyen (2023)</w:t>
                  </w:r>
                </w:p>
              </w:tc>
            </w:tr>
          </w:tbl>
          <w:p w14:paraId="4D0E719E" w14:textId="77777777" w:rsidR="009014AD" w:rsidRPr="003B3183" w:rsidRDefault="009014AD" w:rsidP="008F3368">
            <w:pPr>
              <w:rPr>
                <w:rFonts w:ascii="Arial" w:hAnsi="Arial" w:cs="Arial"/>
                <w:vanish/>
                <w:lang w:val="en-P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014AD" w:rsidRPr="003B3183" w14:paraId="5D0EAF7C" w14:textId="77777777" w:rsidTr="002608CF">
              <w:trPr>
                <w:tblCellSpacing w:w="15" w:type="dxa"/>
              </w:trPr>
              <w:tc>
                <w:tcPr>
                  <w:tcW w:w="0" w:type="auto"/>
                  <w:vAlign w:val="center"/>
                  <w:hideMark/>
                </w:tcPr>
                <w:p w14:paraId="3E299A3B" w14:textId="77777777" w:rsidR="009014AD" w:rsidRPr="003B3183" w:rsidRDefault="009014AD" w:rsidP="008F3368">
                  <w:pPr>
                    <w:rPr>
                      <w:rFonts w:ascii="Arial" w:hAnsi="Arial" w:cs="Arial"/>
                      <w:lang w:val="en-PH"/>
                    </w:rPr>
                  </w:pPr>
                </w:p>
              </w:tc>
            </w:tr>
          </w:tbl>
          <w:p w14:paraId="176F1106" w14:textId="77777777" w:rsidR="009014AD" w:rsidRPr="00A25501" w:rsidRDefault="009014AD" w:rsidP="008F3368">
            <w:pPr>
              <w:rPr>
                <w:rFonts w:ascii="Arial" w:hAnsi="Arial" w:cs="Arial"/>
              </w:rPr>
            </w:pPr>
          </w:p>
        </w:tc>
        <w:tc>
          <w:tcPr>
            <w:tcW w:w="1560" w:type="dxa"/>
            <w:tcBorders>
              <w:top w:val="nil"/>
              <w:left w:val="nil"/>
              <w:bottom w:val="single" w:sz="4" w:space="0" w:color="auto"/>
              <w:right w:val="nil"/>
            </w:tcBorders>
          </w:tcPr>
          <w:p w14:paraId="1AECD904" w14:textId="78491211" w:rsidR="009014AD" w:rsidRPr="00D75F33" w:rsidRDefault="008F3368" w:rsidP="008F3368">
            <w:pPr>
              <w:rPr>
                <w:rFonts w:ascii="Arial" w:hAnsi="Arial" w:cs="Arial"/>
              </w:rPr>
            </w:pPr>
            <w:r w:rsidRPr="008F3368">
              <w:rPr>
                <w:rFonts w:ascii="Arial" w:hAnsi="Arial" w:cs="Arial"/>
              </w:rPr>
              <w:t>Indirect ecological relief via reduced land pressure</w:t>
            </w:r>
          </w:p>
        </w:tc>
        <w:tc>
          <w:tcPr>
            <w:tcW w:w="2126" w:type="dxa"/>
            <w:tcBorders>
              <w:top w:val="nil"/>
              <w:left w:val="nil"/>
              <w:bottom w:val="single" w:sz="4" w:space="0" w:color="auto"/>
              <w:right w:val="nil"/>
            </w:tcBorders>
          </w:tcPr>
          <w:p w14:paraId="0B4E2D06" w14:textId="4FC30A25" w:rsidR="009014AD" w:rsidRPr="00D75F33" w:rsidRDefault="008F3368" w:rsidP="008F3368">
            <w:pPr>
              <w:rPr>
                <w:rFonts w:ascii="Arial" w:hAnsi="Arial" w:cs="Arial"/>
              </w:rPr>
            </w:pPr>
            <w:r w:rsidRPr="008F3368">
              <w:rPr>
                <w:rFonts w:ascii="Arial" w:hAnsi="Arial" w:cs="Arial"/>
              </w:rPr>
              <w:t>Additional household income; reduced vulnerability</w:t>
            </w:r>
          </w:p>
        </w:tc>
      </w:tr>
    </w:tbl>
    <w:p w14:paraId="245848A5" w14:textId="77777777" w:rsidR="009014AD" w:rsidRDefault="009014AD" w:rsidP="009014AD">
      <w:pPr>
        <w:pStyle w:val="Body"/>
        <w:spacing w:after="0"/>
        <w:rPr>
          <w:rFonts w:ascii="Arial" w:hAnsi="Arial" w:cs="Arial"/>
        </w:rPr>
      </w:pPr>
    </w:p>
    <w:p w14:paraId="47D3EA46" w14:textId="77777777" w:rsidR="009014AD" w:rsidRDefault="009014AD" w:rsidP="009014AD">
      <w:pPr>
        <w:pStyle w:val="Body"/>
        <w:spacing w:after="0"/>
        <w:rPr>
          <w:rFonts w:ascii="Arial" w:hAnsi="Arial" w:cs="Arial"/>
        </w:rPr>
      </w:pPr>
    </w:p>
    <w:p w14:paraId="450DC4E9" w14:textId="61A27E5E" w:rsidR="00622C85" w:rsidRDefault="00622C85" w:rsidP="00622C85">
      <w:pPr>
        <w:pStyle w:val="Head1"/>
        <w:spacing w:after="0"/>
        <w:jc w:val="both"/>
        <w:rPr>
          <w:rFonts w:ascii="Arial" w:hAnsi="Arial" w:cs="Arial"/>
        </w:rPr>
      </w:pPr>
      <w:r>
        <w:rPr>
          <w:rFonts w:ascii="Arial" w:hAnsi="Arial" w:cs="Arial"/>
        </w:rPr>
        <w:t>6. ADAPTATION-MITIGATION SYNERGIES THROUGH AGROFORESTRY</w:t>
      </w:r>
    </w:p>
    <w:p w14:paraId="3C47EC7F" w14:textId="77777777" w:rsidR="00622C85" w:rsidRPr="00FB3A86" w:rsidRDefault="00622C85" w:rsidP="00622C85">
      <w:pPr>
        <w:pStyle w:val="Head1"/>
        <w:spacing w:after="0"/>
        <w:jc w:val="both"/>
        <w:rPr>
          <w:rFonts w:ascii="Arial" w:hAnsi="Arial" w:cs="Arial"/>
        </w:rPr>
      </w:pPr>
    </w:p>
    <w:p w14:paraId="63DAF0FA" w14:textId="2AB25B89" w:rsidR="002334E6" w:rsidRPr="002334E6" w:rsidRDefault="002334E6" w:rsidP="002334E6">
      <w:pPr>
        <w:pStyle w:val="Body"/>
        <w:rPr>
          <w:rFonts w:ascii="Arial" w:hAnsi="Arial" w:cs="Arial"/>
          <w:lang w:val="en-PH"/>
        </w:rPr>
      </w:pPr>
      <w:r w:rsidRPr="002334E6">
        <w:rPr>
          <w:rFonts w:ascii="Arial" w:hAnsi="Arial" w:cs="Arial"/>
          <w:lang w:val="en-PH"/>
        </w:rPr>
        <w:t>Agroforestry simultaneously supports adaptation and mitigation, making it a key nature-based solution for climate resilience. In smallholder systems, trees buffer climate shocks, improve soil quality, and store carbon</w:t>
      </w:r>
      <w:r>
        <w:rPr>
          <w:rFonts w:ascii="Arial" w:hAnsi="Arial" w:cs="Arial"/>
          <w:lang w:val="en-PH"/>
        </w:rPr>
        <w:t xml:space="preserve"> </w:t>
      </w:r>
      <w:r w:rsidRPr="002334E6">
        <w:rPr>
          <w:rFonts w:ascii="Arial" w:hAnsi="Arial" w:cs="Arial"/>
          <w:lang w:val="en-PH"/>
        </w:rPr>
        <w:t xml:space="preserve">all while sustaining livelihoods (Lasco, Delfino, &amp; </w:t>
      </w:r>
      <w:proofErr w:type="spellStart"/>
      <w:r w:rsidRPr="002334E6">
        <w:rPr>
          <w:rFonts w:ascii="Arial" w:hAnsi="Arial" w:cs="Arial"/>
          <w:lang w:val="en-PH"/>
        </w:rPr>
        <w:t>Espaldon</w:t>
      </w:r>
      <w:proofErr w:type="spellEnd"/>
      <w:r w:rsidRPr="002334E6">
        <w:rPr>
          <w:rFonts w:ascii="Arial" w:hAnsi="Arial" w:cs="Arial"/>
          <w:lang w:val="en-PH"/>
        </w:rPr>
        <w:t xml:space="preserve">, 2014; </w:t>
      </w:r>
      <w:proofErr w:type="spellStart"/>
      <w:r w:rsidRPr="002334E6">
        <w:rPr>
          <w:rFonts w:ascii="Arial" w:hAnsi="Arial" w:cs="Arial"/>
          <w:lang w:val="en-PH"/>
        </w:rPr>
        <w:t>Montagnini</w:t>
      </w:r>
      <w:proofErr w:type="spellEnd"/>
      <w:r w:rsidRPr="002334E6">
        <w:rPr>
          <w:rFonts w:ascii="Arial" w:hAnsi="Arial" w:cs="Arial"/>
          <w:lang w:val="en-PH"/>
        </w:rPr>
        <w:t xml:space="preserve"> &amp; Metzel, 2020).</w:t>
      </w:r>
    </w:p>
    <w:p w14:paraId="615B9989" w14:textId="77777777" w:rsidR="002334E6" w:rsidRPr="002334E6" w:rsidRDefault="002334E6" w:rsidP="002334E6">
      <w:pPr>
        <w:pStyle w:val="Body"/>
        <w:rPr>
          <w:rFonts w:ascii="Arial" w:hAnsi="Arial" w:cs="Arial"/>
          <w:lang w:val="en-PH"/>
        </w:rPr>
      </w:pPr>
    </w:p>
    <w:p w14:paraId="2311AA44" w14:textId="4703A62D" w:rsidR="002334E6" w:rsidRPr="002334E6" w:rsidRDefault="002334E6" w:rsidP="002334E6">
      <w:pPr>
        <w:pStyle w:val="Body"/>
        <w:rPr>
          <w:rFonts w:ascii="Arial" w:hAnsi="Arial" w:cs="Arial"/>
          <w:lang w:val="en-PH"/>
        </w:rPr>
      </w:pPr>
      <w:r w:rsidRPr="002334E6">
        <w:rPr>
          <w:rFonts w:ascii="Arial" w:hAnsi="Arial" w:cs="Arial"/>
          <w:lang w:val="en-PH"/>
        </w:rPr>
        <w:t xml:space="preserve">Beyond its biophysical benefits, agroforestry strengthens social–ecological resilience by maintaining ecosystem functions and enhancing farmers’ adaptive capacities to climate extremes (Viñals, Maneja, </w:t>
      </w:r>
      <w:proofErr w:type="spellStart"/>
      <w:r w:rsidRPr="002334E6">
        <w:rPr>
          <w:rFonts w:ascii="Arial" w:hAnsi="Arial" w:cs="Arial"/>
          <w:lang w:val="en-PH"/>
        </w:rPr>
        <w:t>Rufí-Salís</w:t>
      </w:r>
      <w:proofErr w:type="spellEnd"/>
      <w:r w:rsidRPr="002334E6">
        <w:rPr>
          <w:rFonts w:ascii="Arial" w:hAnsi="Arial" w:cs="Arial"/>
          <w:lang w:val="en-PH"/>
        </w:rPr>
        <w:t>, Martí, &amp; Puy, 2023). The interaction between ecological processes and human decision-making ensures that agroforestry acts not only as a carbon sink but also as a dynamic socio-environmental system capable of absorbing and recovering from disturbances.</w:t>
      </w:r>
    </w:p>
    <w:p w14:paraId="7230C231" w14:textId="77BDCA37" w:rsidR="002334E6" w:rsidRDefault="002334E6" w:rsidP="002334E6">
      <w:pPr>
        <w:pStyle w:val="Body"/>
        <w:spacing w:after="0"/>
        <w:rPr>
          <w:rFonts w:ascii="Arial" w:hAnsi="Arial" w:cs="Arial"/>
          <w:lang w:val="en-PH"/>
        </w:rPr>
      </w:pPr>
      <w:r w:rsidRPr="002334E6">
        <w:rPr>
          <w:rFonts w:ascii="Arial" w:hAnsi="Arial" w:cs="Arial"/>
          <w:lang w:val="en-PH"/>
        </w:rPr>
        <w:t>In the Philippines, tree–crop combinations such as rubber–cacao and fruit-based systems store 156–250 t CO</w:t>
      </w:r>
      <w:r w:rsidRPr="002334E6">
        <w:rPr>
          <w:rFonts w:ascii="Cambria Math" w:hAnsi="Cambria Math" w:cs="Cambria Math"/>
          <w:lang w:val="en-PH"/>
        </w:rPr>
        <w:t>₂</w:t>
      </w:r>
      <w:r w:rsidRPr="002334E6">
        <w:rPr>
          <w:rFonts w:ascii="Arial" w:hAnsi="Arial" w:cs="Arial"/>
          <w:lang w:val="en-PH"/>
        </w:rPr>
        <w:t xml:space="preserve"> ha</w:t>
      </w:r>
      <w:r w:rsidRPr="002334E6">
        <w:rPr>
          <w:rFonts w:ascii="Cambria Math" w:hAnsi="Cambria Math" w:cs="Cambria Math"/>
          <w:lang w:val="en-PH"/>
        </w:rPr>
        <w:t>⁻</w:t>
      </w:r>
      <w:r w:rsidRPr="002334E6">
        <w:rPr>
          <w:rFonts w:ascii="Arial" w:hAnsi="Arial" w:cs="Arial"/>
          <w:lang w:val="en-PH"/>
        </w:rPr>
        <w:t>¹, comparable to secondary forests, while protecting soil and water resources (</w:t>
      </w:r>
      <w:proofErr w:type="spellStart"/>
      <w:r w:rsidRPr="002334E6">
        <w:rPr>
          <w:rFonts w:ascii="Arial" w:hAnsi="Arial" w:cs="Arial"/>
          <w:lang w:val="en-PH"/>
        </w:rPr>
        <w:t>Tabal</w:t>
      </w:r>
      <w:proofErr w:type="spellEnd"/>
      <w:r w:rsidRPr="002334E6">
        <w:rPr>
          <w:rFonts w:ascii="Arial" w:hAnsi="Arial" w:cs="Arial"/>
          <w:lang w:val="en-PH"/>
        </w:rPr>
        <w:t xml:space="preserve"> &amp; Mendoza, 2020; </w:t>
      </w:r>
      <w:proofErr w:type="spellStart"/>
      <w:r w:rsidRPr="002334E6">
        <w:rPr>
          <w:rFonts w:ascii="Arial" w:hAnsi="Arial" w:cs="Arial"/>
          <w:lang w:val="en-PH"/>
        </w:rPr>
        <w:t>Lumogdang</w:t>
      </w:r>
      <w:proofErr w:type="spellEnd"/>
      <w:r w:rsidRPr="002334E6">
        <w:rPr>
          <w:rFonts w:ascii="Arial" w:hAnsi="Arial" w:cs="Arial"/>
          <w:lang w:val="en-PH"/>
        </w:rPr>
        <w:t xml:space="preserve">, </w:t>
      </w:r>
      <w:proofErr w:type="spellStart"/>
      <w:r w:rsidRPr="002334E6">
        <w:rPr>
          <w:rFonts w:ascii="Arial" w:hAnsi="Arial" w:cs="Arial"/>
          <w:lang w:val="en-PH"/>
        </w:rPr>
        <w:t>Madalmingan</w:t>
      </w:r>
      <w:proofErr w:type="spellEnd"/>
      <w:r w:rsidRPr="002334E6">
        <w:rPr>
          <w:rFonts w:ascii="Arial" w:hAnsi="Arial" w:cs="Arial"/>
          <w:lang w:val="en-PH"/>
        </w:rPr>
        <w:t xml:space="preserve">, &amp; </w:t>
      </w:r>
      <w:proofErr w:type="spellStart"/>
      <w:r w:rsidRPr="002334E6">
        <w:rPr>
          <w:rFonts w:ascii="Arial" w:hAnsi="Arial" w:cs="Arial"/>
          <w:lang w:val="en-PH"/>
        </w:rPr>
        <w:t>Caluboy</w:t>
      </w:r>
      <w:proofErr w:type="spellEnd"/>
      <w:r w:rsidRPr="002334E6">
        <w:rPr>
          <w:rFonts w:ascii="Arial" w:hAnsi="Arial" w:cs="Arial"/>
          <w:lang w:val="en-PH"/>
        </w:rPr>
        <w:t xml:space="preserve">, 2023). Boundary planting of Eucalyptus </w:t>
      </w:r>
      <w:proofErr w:type="spellStart"/>
      <w:r w:rsidRPr="002334E6">
        <w:rPr>
          <w:rFonts w:ascii="Arial" w:hAnsi="Arial" w:cs="Arial"/>
          <w:lang w:val="en-PH"/>
        </w:rPr>
        <w:t>deglupta</w:t>
      </w:r>
      <w:proofErr w:type="spellEnd"/>
      <w:r w:rsidRPr="002334E6">
        <w:rPr>
          <w:rFonts w:ascii="Arial" w:hAnsi="Arial" w:cs="Arial"/>
          <w:lang w:val="en-PH"/>
        </w:rPr>
        <w:t xml:space="preserve"> in Bukidnon enhanced drought resilience and accumulated up to 24 Mg biomass ha</w:t>
      </w:r>
      <w:r w:rsidRPr="002334E6">
        <w:rPr>
          <w:rFonts w:ascii="Cambria Math" w:hAnsi="Cambria Math" w:cs="Cambria Math"/>
          <w:lang w:val="en-PH"/>
        </w:rPr>
        <w:t>⁻</w:t>
      </w:r>
      <w:r w:rsidRPr="002334E6">
        <w:rPr>
          <w:rFonts w:ascii="Arial" w:hAnsi="Arial" w:cs="Arial"/>
          <w:lang w:val="en-PH"/>
        </w:rPr>
        <w:t>¹ yr</w:t>
      </w:r>
      <w:r w:rsidRPr="002334E6">
        <w:rPr>
          <w:rFonts w:ascii="Cambria Math" w:hAnsi="Cambria Math" w:cs="Cambria Math"/>
          <w:lang w:val="en-PH"/>
        </w:rPr>
        <w:t>⁻</w:t>
      </w:r>
      <w:r w:rsidRPr="002334E6">
        <w:rPr>
          <w:rFonts w:ascii="Arial" w:hAnsi="Arial" w:cs="Arial"/>
          <w:lang w:val="en-PH"/>
        </w:rPr>
        <w:t xml:space="preserve">¹ (Lasco &amp; </w:t>
      </w:r>
      <w:proofErr w:type="spellStart"/>
      <w:r w:rsidRPr="002334E6">
        <w:rPr>
          <w:rFonts w:ascii="Arial" w:hAnsi="Arial" w:cs="Arial"/>
          <w:lang w:val="en-PH"/>
        </w:rPr>
        <w:t>Pulhin</w:t>
      </w:r>
      <w:proofErr w:type="spellEnd"/>
      <w:r w:rsidRPr="002334E6">
        <w:rPr>
          <w:rFonts w:ascii="Arial" w:hAnsi="Arial" w:cs="Arial"/>
          <w:lang w:val="en-PH"/>
        </w:rPr>
        <w:t>, 2003).</w:t>
      </w:r>
    </w:p>
    <w:p w14:paraId="2904FBE7" w14:textId="77777777" w:rsidR="002334E6" w:rsidRPr="002334E6" w:rsidRDefault="002334E6" w:rsidP="002334E6">
      <w:pPr>
        <w:pStyle w:val="Body"/>
        <w:spacing w:after="0"/>
        <w:rPr>
          <w:rFonts w:ascii="Arial" w:hAnsi="Arial" w:cs="Arial"/>
          <w:lang w:val="en-PH"/>
        </w:rPr>
      </w:pPr>
    </w:p>
    <w:p w14:paraId="1E366015" w14:textId="77777777" w:rsidR="00B211CC" w:rsidRPr="00B211CC" w:rsidRDefault="00B211CC" w:rsidP="00B211CC">
      <w:pPr>
        <w:pStyle w:val="Body"/>
        <w:spacing w:after="0"/>
        <w:rPr>
          <w:rFonts w:ascii="Arial" w:hAnsi="Arial" w:cs="Arial"/>
          <w:lang w:val="en-PH"/>
        </w:rPr>
      </w:pPr>
      <w:r w:rsidRPr="00B211CC">
        <w:rPr>
          <w:rFonts w:ascii="Arial" w:hAnsi="Arial" w:cs="Arial"/>
          <w:lang w:val="en-PH"/>
        </w:rPr>
        <w:t>Globally, agroforestry increases soil carbon by 10–20 % and nitrogen by 9–15 %, while raising biodiversity and ecosystem-service indices by about 23 % compared with monocropping (</w:t>
      </w:r>
      <w:proofErr w:type="spellStart"/>
      <w:r w:rsidRPr="00B211CC">
        <w:rPr>
          <w:rFonts w:ascii="Arial" w:hAnsi="Arial" w:cs="Arial"/>
          <w:lang w:val="en-PH"/>
        </w:rPr>
        <w:t>Beillouin</w:t>
      </w:r>
      <w:proofErr w:type="spellEnd"/>
      <w:r w:rsidRPr="00B211CC">
        <w:rPr>
          <w:rFonts w:ascii="Arial" w:hAnsi="Arial" w:cs="Arial"/>
          <w:lang w:val="en-PH"/>
        </w:rPr>
        <w:t xml:space="preserve"> et al., 2020; Garcia-de-</w:t>
      </w:r>
      <w:proofErr w:type="spellStart"/>
      <w:r w:rsidRPr="00B211CC">
        <w:rPr>
          <w:rFonts w:ascii="Arial" w:hAnsi="Arial" w:cs="Arial"/>
          <w:lang w:val="en-PH"/>
        </w:rPr>
        <w:t>Jalón</w:t>
      </w:r>
      <w:proofErr w:type="spellEnd"/>
      <w:r w:rsidRPr="00B211CC">
        <w:rPr>
          <w:rFonts w:ascii="Arial" w:hAnsi="Arial" w:cs="Arial"/>
          <w:lang w:val="en-PH"/>
        </w:rPr>
        <w:t>, Graves, &amp; Smith, 2024; Nair, Mohan Kumar, &amp; Nair, 2024). In Vietnam and Thailand, similar systems sequester over 1,300 Mt CO</w:t>
      </w:r>
      <w:r w:rsidRPr="00B211CC">
        <w:rPr>
          <w:rFonts w:ascii="Cambria Math" w:hAnsi="Cambria Math" w:cs="Cambria Math"/>
          <w:lang w:val="en-PH"/>
        </w:rPr>
        <w:t>₂</w:t>
      </w:r>
      <w:r w:rsidRPr="00B211CC">
        <w:rPr>
          <w:rFonts w:ascii="Arial" w:hAnsi="Arial" w:cs="Arial"/>
          <w:lang w:val="en-PH"/>
        </w:rPr>
        <w:t xml:space="preserve"> eq, demonstrating their scalable potential (Pham, </w:t>
      </w:r>
      <w:proofErr w:type="spellStart"/>
      <w:r w:rsidRPr="00B211CC">
        <w:rPr>
          <w:rFonts w:ascii="Arial" w:hAnsi="Arial" w:cs="Arial"/>
          <w:lang w:val="en-PH"/>
        </w:rPr>
        <w:t>Moeliono</w:t>
      </w:r>
      <w:proofErr w:type="spellEnd"/>
      <w:r w:rsidRPr="00B211CC">
        <w:rPr>
          <w:rFonts w:ascii="Arial" w:hAnsi="Arial" w:cs="Arial"/>
          <w:lang w:val="en-PH"/>
        </w:rPr>
        <w:t xml:space="preserve">, &amp; Le, 2020; </w:t>
      </w:r>
      <w:proofErr w:type="spellStart"/>
      <w:r w:rsidRPr="00B211CC">
        <w:rPr>
          <w:rFonts w:ascii="Arial" w:hAnsi="Arial" w:cs="Arial"/>
          <w:lang w:val="en-PH"/>
        </w:rPr>
        <w:t>Wijitkosum</w:t>
      </w:r>
      <w:proofErr w:type="spellEnd"/>
      <w:r w:rsidRPr="00B211CC">
        <w:rPr>
          <w:rFonts w:ascii="Arial" w:hAnsi="Arial" w:cs="Arial"/>
          <w:lang w:val="en-PH"/>
        </w:rPr>
        <w:t xml:space="preserve"> &amp; </w:t>
      </w:r>
      <w:proofErr w:type="spellStart"/>
      <w:r w:rsidRPr="00B211CC">
        <w:rPr>
          <w:rFonts w:ascii="Arial" w:hAnsi="Arial" w:cs="Arial"/>
          <w:lang w:val="en-PH"/>
        </w:rPr>
        <w:t>Sriburi</w:t>
      </w:r>
      <w:proofErr w:type="spellEnd"/>
      <w:r w:rsidRPr="00B211CC">
        <w:rPr>
          <w:rFonts w:ascii="Arial" w:hAnsi="Arial" w:cs="Arial"/>
          <w:lang w:val="en-PH"/>
        </w:rPr>
        <w:t>, 2023).</w:t>
      </w:r>
    </w:p>
    <w:p w14:paraId="7617AD81" w14:textId="77777777" w:rsidR="00B211CC" w:rsidRPr="00B211CC" w:rsidRDefault="00B211CC" w:rsidP="00B211CC">
      <w:pPr>
        <w:pStyle w:val="Body"/>
        <w:spacing w:after="0"/>
        <w:rPr>
          <w:rFonts w:ascii="Arial" w:hAnsi="Arial" w:cs="Arial"/>
          <w:lang w:val="en-PH"/>
        </w:rPr>
      </w:pPr>
    </w:p>
    <w:p w14:paraId="2710C445" w14:textId="77777777" w:rsidR="00B211CC" w:rsidRPr="00B211CC" w:rsidRDefault="00B211CC" w:rsidP="00B211CC">
      <w:pPr>
        <w:pStyle w:val="Body"/>
        <w:spacing w:after="0"/>
        <w:rPr>
          <w:rFonts w:ascii="Arial" w:hAnsi="Arial" w:cs="Arial"/>
          <w:lang w:val="en-PH"/>
        </w:rPr>
      </w:pPr>
      <w:r w:rsidRPr="00B211CC">
        <w:rPr>
          <w:rFonts w:ascii="Arial" w:hAnsi="Arial" w:cs="Arial"/>
          <w:lang w:val="en-PH"/>
        </w:rPr>
        <w:t>However, trade-offs exist: high tree density can shade crops and delay returns. These can be minimized through balanced spacing, incentive programs, and secure land tenure (Ajayi et al., 2011; Rizvi, 2021). Integrating agroforestry into the Philippines’ Nationally Determined Contributions (NDCs) and CBFM strengthens both national mitigation goals and community resilience (DENR, 2022).</w:t>
      </w:r>
    </w:p>
    <w:p w14:paraId="016A912C" w14:textId="77777777" w:rsidR="00F3494B" w:rsidRDefault="00F3494B" w:rsidP="00622C85">
      <w:pPr>
        <w:pStyle w:val="Body"/>
        <w:spacing w:after="0"/>
        <w:rPr>
          <w:rFonts w:ascii="Arial" w:hAnsi="Arial" w:cs="Arial"/>
        </w:rPr>
      </w:pPr>
    </w:p>
    <w:p w14:paraId="08C79369" w14:textId="14AE14A3" w:rsidR="00B211CC" w:rsidRDefault="00B211CC" w:rsidP="00622C85">
      <w:pPr>
        <w:pStyle w:val="Body"/>
        <w:spacing w:after="0"/>
        <w:rPr>
          <w:rFonts w:ascii="Arial" w:hAnsi="Arial" w:cs="Arial"/>
        </w:rPr>
      </w:pPr>
      <w:r>
        <w:rPr>
          <w:rFonts w:ascii="Arial" w:hAnsi="Arial" w:cs="Arial"/>
          <w:noProof/>
        </w:rPr>
        <w:drawing>
          <wp:inline distT="0" distB="0" distL="0" distR="0" wp14:anchorId="755A6F54" wp14:editId="7E7108A6">
            <wp:extent cx="5212080" cy="3293533"/>
            <wp:effectExtent l="0" t="0" r="7620" b="2540"/>
            <wp:docPr id="810255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55166" name="Picture 810255166"/>
                    <pic:cNvPicPr/>
                  </pic:nvPicPr>
                  <pic:blipFill rotWithShape="1">
                    <a:blip r:embed="rId9"/>
                    <a:srcRect b="5215"/>
                    <a:stretch>
                      <a:fillRect/>
                    </a:stretch>
                  </pic:blipFill>
                  <pic:spPr bwMode="auto">
                    <a:xfrm>
                      <a:off x="0" y="0"/>
                      <a:ext cx="5212080" cy="3293533"/>
                    </a:xfrm>
                    <a:prstGeom prst="rect">
                      <a:avLst/>
                    </a:prstGeom>
                    <a:ln>
                      <a:noFill/>
                    </a:ln>
                    <a:extLst>
                      <a:ext uri="{53640926-AAD7-44D8-BBD7-CCE9431645EC}">
                        <a14:shadowObscured xmlns:a14="http://schemas.microsoft.com/office/drawing/2010/main"/>
                      </a:ext>
                    </a:extLst>
                  </pic:spPr>
                </pic:pic>
              </a:graphicData>
            </a:graphic>
          </wp:inline>
        </w:drawing>
      </w:r>
    </w:p>
    <w:p w14:paraId="3019876D" w14:textId="77777777" w:rsidR="00B211CC" w:rsidRDefault="00B211CC" w:rsidP="00622C85">
      <w:pPr>
        <w:pStyle w:val="Body"/>
        <w:spacing w:after="0"/>
        <w:rPr>
          <w:rFonts w:ascii="Arial" w:hAnsi="Arial" w:cs="Arial"/>
        </w:rPr>
      </w:pPr>
    </w:p>
    <w:p w14:paraId="48DE1425" w14:textId="0A55D66F" w:rsidR="00B211CC" w:rsidRDefault="00B211CC" w:rsidP="00622C85">
      <w:pPr>
        <w:pStyle w:val="Body"/>
        <w:spacing w:after="0"/>
        <w:rPr>
          <w:rFonts w:ascii="Arial" w:hAnsi="Arial" w:cs="Arial"/>
          <w:b/>
          <w:bCs/>
        </w:rPr>
      </w:pPr>
      <w:r w:rsidRPr="00B211CC">
        <w:rPr>
          <w:rFonts w:ascii="Arial" w:hAnsi="Arial" w:cs="Arial"/>
          <w:b/>
          <w:bCs/>
        </w:rPr>
        <w:t>Figure 2. Conceptual Model of Agroforestry’s Dual Role in Climate Resilience</w:t>
      </w:r>
    </w:p>
    <w:p w14:paraId="1653138B" w14:textId="77777777" w:rsidR="00B211CC" w:rsidRDefault="00B211CC" w:rsidP="00622C85">
      <w:pPr>
        <w:pStyle w:val="Body"/>
        <w:spacing w:after="0"/>
        <w:rPr>
          <w:rFonts w:ascii="Arial" w:hAnsi="Arial" w:cs="Arial"/>
          <w:b/>
          <w:bCs/>
        </w:rPr>
      </w:pPr>
    </w:p>
    <w:p w14:paraId="6CC013BE" w14:textId="57DBE5B2" w:rsidR="00B211CC" w:rsidRDefault="00B211CC" w:rsidP="00B211CC">
      <w:pPr>
        <w:pStyle w:val="Head1"/>
        <w:spacing w:after="0"/>
        <w:jc w:val="both"/>
        <w:rPr>
          <w:rFonts w:ascii="Arial" w:hAnsi="Arial" w:cs="Arial"/>
        </w:rPr>
      </w:pPr>
      <w:r>
        <w:rPr>
          <w:rFonts w:ascii="Arial" w:hAnsi="Arial" w:cs="Arial"/>
        </w:rPr>
        <w:lastRenderedPageBreak/>
        <w:t>7. DISCUSSION</w:t>
      </w:r>
    </w:p>
    <w:p w14:paraId="0403ADF4" w14:textId="77777777" w:rsidR="00B211CC" w:rsidRDefault="00B211CC" w:rsidP="00B211CC">
      <w:pPr>
        <w:pStyle w:val="Head1"/>
        <w:spacing w:after="0"/>
        <w:jc w:val="both"/>
        <w:rPr>
          <w:rFonts w:ascii="Arial" w:hAnsi="Arial" w:cs="Arial"/>
        </w:rPr>
      </w:pPr>
    </w:p>
    <w:p w14:paraId="737044D2" w14:textId="59F72C87" w:rsidR="00922BBA" w:rsidRPr="00922BBA" w:rsidRDefault="00922BBA" w:rsidP="00922BBA">
      <w:pPr>
        <w:pStyle w:val="Body"/>
        <w:rPr>
          <w:rFonts w:ascii="Arial" w:hAnsi="Arial" w:cs="Arial"/>
        </w:rPr>
      </w:pPr>
      <w:r w:rsidRPr="00922BBA">
        <w:rPr>
          <w:rFonts w:ascii="Arial" w:hAnsi="Arial" w:cs="Arial"/>
        </w:rPr>
        <w:t xml:space="preserve">The findings of this mini-review reaffirm that agroforestry serves as a cornerstone of climate resilience among smallholder farmers in the Philippines. High awareness and positive attitudes toward agroforestry were observed, consistent with research across Southeast Asia and Africa showing that tree-based systems reduce vulnerability to droughts and erratic rainfall while improving soil fertility and farm income (Nguyen et al., 2022; </w:t>
      </w:r>
      <w:proofErr w:type="spellStart"/>
      <w:r w:rsidRPr="00922BBA">
        <w:rPr>
          <w:rFonts w:ascii="Arial" w:hAnsi="Arial" w:cs="Arial"/>
        </w:rPr>
        <w:t>Ndayambaje</w:t>
      </w:r>
      <w:proofErr w:type="spellEnd"/>
      <w:r w:rsidRPr="00922BBA">
        <w:rPr>
          <w:rFonts w:ascii="Arial" w:hAnsi="Arial" w:cs="Arial"/>
        </w:rPr>
        <w:t xml:space="preserve"> et al., 2023; Bogale, Leta, &amp; Berhane, 2023). In India and Sub-Saharan Africa, for instance, agroforestry adoption has been recognized as an essential adaptation pathway that increases livelihood stability through crop diversification and ecosystem restoration (Vaishnav et al., 2025; </w:t>
      </w:r>
      <w:proofErr w:type="spellStart"/>
      <w:r w:rsidRPr="00922BBA">
        <w:rPr>
          <w:rFonts w:ascii="Arial" w:hAnsi="Arial" w:cs="Arial"/>
        </w:rPr>
        <w:t>Muyabe</w:t>
      </w:r>
      <w:proofErr w:type="spellEnd"/>
      <w:r w:rsidRPr="00922BBA">
        <w:rPr>
          <w:rFonts w:ascii="Arial" w:hAnsi="Arial" w:cs="Arial"/>
        </w:rPr>
        <w:t xml:space="preserve"> et al., 2025).</w:t>
      </w:r>
    </w:p>
    <w:p w14:paraId="53BBC32D" w14:textId="7A740B42" w:rsidR="00922BBA" w:rsidRPr="00922BBA" w:rsidRDefault="00922BBA" w:rsidP="00922BBA">
      <w:pPr>
        <w:pStyle w:val="Body"/>
        <w:rPr>
          <w:rFonts w:ascii="Arial" w:hAnsi="Arial" w:cs="Arial"/>
        </w:rPr>
      </w:pPr>
      <w:r w:rsidRPr="00922BBA">
        <w:rPr>
          <w:rFonts w:ascii="Arial" w:hAnsi="Arial" w:cs="Arial"/>
        </w:rPr>
        <w:t>Globally, numerous studies demonstrate that integrating trees with crops and livestock enhances resilience by maintaining ecosystem functions and boosting biodiversity (</w:t>
      </w:r>
      <w:proofErr w:type="spellStart"/>
      <w:r w:rsidRPr="00922BBA">
        <w:rPr>
          <w:rFonts w:ascii="Arial" w:hAnsi="Arial" w:cs="Arial"/>
        </w:rPr>
        <w:t>Beillouin</w:t>
      </w:r>
      <w:proofErr w:type="spellEnd"/>
      <w:r w:rsidRPr="00922BBA">
        <w:rPr>
          <w:rFonts w:ascii="Arial" w:hAnsi="Arial" w:cs="Arial"/>
        </w:rPr>
        <w:t xml:space="preserve"> et al., 2020; Viñals et al., 2023; Garcia-de-</w:t>
      </w:r>
      <w:proofErr w:type="spellStart"/>
      <w:r w:rsidRPr="00922BBA">
        <w:rPr>
          <w:rFonts w:ascii="Arial" w:hAnsi="Arial" w:cs="Arial"/>
        </w:rPr>
        <w:t>Jalón</w:t>
      </w:r>
      <w:proofErr w:type="spellEnd"/>
      <w:r w:rsidRPr="00922BBA">
        <w:rPr>
          <w:rFonts w:ascii="Arial" w:hAnsi="Arial" w:cs="Arial"/>
        </w:rPr>
        <w:t xml:space="preserve"> et al., 2024). Evidence from soil-based assessments indicates that agroforestry improves soil organic carbon, nutrient cycling, and water infiltration, thereby strengthening the system’s adaptive capacity to prolonged dry seasons (Rolo, Rivest, Maillard, &amp; Moreno, 2023; Nair, Mohan Kumar, &amp; Nair, 2024). In the Philippines, these functions are evident in fruit-based and contour-hedgerow systems that mitigate erosion and enhance soil moisture retention (Landicho et al., 2016; </w:t>
      </w:r>
      <w:proofErr w:type="spellStart"/>
      <w:r w:rsidRPr="00922BBA">
        <w:rPr>
          <w:rFonts w:ascii="Arial" w:hAnsi="Arial" w:cs="Arial"/>
        </w:rPr>
        <w:t>Tabal</w:t>
      </w:r>
      <w:proofErr w:type="spellEnd"/>
      <w:r w:rsidRPr="00922BBA">
        <w:rPr>
          <w:rFonts w:ascii="Arial" w:hAnsi="Arial" w:cs="Arial"/>
        </w:rPr>
        <w:t xml:space="preserve"> &amp; Mendoza, 2020).</w:t>
      </w:r>
    </w:p>
    <w:p w14:paraId="37025522" w14:textId="50E0E979" w:rsidR="00922BBA" w:rsidRPr="00922BBA" w:rsidRDefault="00922BBA" w:rsidP="00922BBA">
      <w:pPr>
        <w:pStyle w:val="Body"/>
        <w:rPr>
          <w:rFonts w:ascii="Arial" w:hAnsi="Arial" w:cs="Arial"/>
        </w:rPr>
      </w:pPr>
      <w:r w:rsidRPr="00922BBA">
        <w:rPr>
          <w:rFonts w:ascii="Arial" w:hAnsi="Arial" w:cs="Arial"/>
        </w:rPr>
        <w:t>The synthesis also reveals that the resilience of agroforestry systems extends beyond biophysical benefits to encompass social and institutional dimensions. Dittmer et al. (2023) showed that agroecological and tree-based farming can sustain yields without compromising adaptation outcomes, aligning with Philippine observations that mixed-cropping and boundary-planting practices maintain production under climate stress. Indigenous and community-based practices such as the muyong-payoh system continue to exemplify locally rooted adaptation models, comparable to Ethiopian experiences where indigenous knowledge strengthens both mitigation and adaptation (Gemechu, 2025).</w:t>
      </w:r>
    </w:p>
    <w:p w14:paraId="6CC7CB3E" w14:textId="5BEFE268" w:rsidR="00922BBA" w:rsidRPr="00922BBA" w:rsidRDefault="00922BBA" w:rsidP="00922BBA">
      <w:pPr>
        <w:pStyle w:val="Body"/>
        <w:rPr>
          <w:rFonts w:ascii="Arial" w:hAnsi="Arial" w:cs="Arial"/>
        </w:rPr>
      </w:pPr>
      <w:r w:rsidRPr="00922BBA">
        <w:rPr>
          <w:rFonts w:ascii="Arial" w:hAnsi="Arial" w:cs="Arial"/>
        </w:rPr>
        <w:t>However, the persistence of socioeconomic barriers</w:t>
      </w:r>
      <w:r>
        <w:rPr>
          <w:rFonts w:ascii="Arial" w:hAnsi="Arial" w:cs="Arial"/>
        </w:rPr>
        <w:t xml:space="preserve"> </w:t>
      </w:r>
      <w:r w:rsidRPr="00922BBA">
        <w:rPr>
          <w:rFonts w:ascii="Arial" w:hAnsi="Arial" w:cs="Arial"/>
        </w:rPr>
        <w:t>particularly limited capital, insecure tenure, and weak extension services</w:t>
      </w:r>
      <w:r>
        <w:rPr>
          <w:rFonts w:ascii="Arial" w:hAnsi="Arial" w:cs="Arial"/>
        </w:rPr>
        <w:t xml:space="preserve"> </w:t>
      </w:r>
      <w:r w:rsidRPr="00922BBA">
        <w:rPr>
          <w:rFonts w:ascii="Arial" w:hAnsi="Arial" w:cs="Arial"/>
        </w:rPr>
        <w:t>continues to restrict widespread adoption. Similar patterns were observed by Ajayi et al. (2011) and Rizvi (2021), who reported that financial and institutional constraints are often greater obstacles than technical limitations. Global reviews further emphasize that realizing agroforestry’s mitigation potential requires policy coherence, incentive mechanisms, and effective monitoring, reporting, and verification (Becker et al., 2024; Verchot et al., 2007). Integrating these mechanisms into national adaptation strategies could accelerate mainstreaming of agroforestry within Philippine agricultural policy.</w:t>
      </w:r>
    </w:p>
    <w:p w14:paraId="1B88A988" w14:textId="2DCC3A79" w:rsidR="00922BBA" w:rsidRPr="00922BBA" w:rsidRDefault="00922BBA" w:rsidP="00922BBA">
      <w:pPr>
        <w:pStyle w:val="Body"/>
        <w:rPr>
          <w:rFonts w:ascii="Arial" w:hAnsi="Arial" w:cs="Arial"/>
        </w:rPr>
      </w:pPr>
      <w:r w:rsidRPr="00922BBA">
        <w:rPr>
          <w:rFonts w:ascii="Arial" w:hAnsi="Arial" w:cs="Arial"/>
        </w:rPr>
        <w:t>The convergence of international evidence supports the Philippine experience that agroforestry improves smallholder resilience through multiple pathways</w:t>
      </w:r>
      <w:r>
        <w:rPr>
          <w:rFonts w:ascii="Arial" w:hAnsi="Arial" w:cs="Arial"/>
        </w:rPr>
        <w:t xml:space="preserve"> </w:t>
      </w:r>
      <w:r w:rsidRPr="00922BBA">
        <w:rPr>
          <w:rFonts w:ascii="Arial" w:hAnsi="Arial" w:cs="Arial"/>
        </w:rPr>
        <w:t xml:space="preserve">ecological restoration, livelihood diversification, and carbon sequestration. Studies in tropical Asia demonstrate comparable yield stability and soil improvement outcomes (Sida, Kumar, &amp; Singh, 2022; Pham, </w:t>
      </w:r>
      <w:proofErr w:type="spellStart"/>
      <w:r w:rsidRPr="00922BBA">
        <w:rPr>
          <w:rFonts w:ascii="Arial" w:hAnsi="Arial" w:cs="Arial"/>
        </w:rPr>
        <w:t>Moeliono</w:t>
      </w:r>
      <w:proofErr w:type="spellEnd"/>
      <w:r w:rsidRPr="00922BBA">
        <w:rPr>
          <w:rFonts w:ascii="Arial" w:hAnsi="Arial" w:cs="Arial"/>
        </w:rPr>
        <w:t xml:space="preserve">, &amp; Le, 2020). More recent reviews highlight agroforestry’s contribution to food security and gender-inclusive adaptation, reaffirming its role as a socially embedded climate solution (Prajapati, Singh, Anand, Mallesh, &amp; </w:t>
      </w:r>
      <w:proofErr w:type="spellStart"/>
      <w:r w:rsidRPr="00922BBA">
        <w:rPr>
          <w:rFonts w:ascii="Arial" w:hAnsi="Arial" w:cs="Arial"/>
        </w:rPr>
        <w:t>Gulaiya</w:t>
      </w:r>
      <w:proofErr w:type="spellEnd"/>
      <w:r w:rsidRPr="00922BBA">
        <w:rPr>
          <w:rFonts w:ascii="Arial" w:hAnsi="Arial" w:cs="Arial"/>
        </w:rPr>
        <w:t>, 2024; Gul et al., 2025).</w:t>
      </w:r>
    </w:p>
    <w:p w14:paraId="6C4D1F33" w14:textId="054062CC" w:rsidR="00B211CC" w:rsidRDefault="00922BBA" w:rsidP="00922BBA">
      <w:pPr>
        <w:pStyle w:val="Body"/>
        <w:spacing w:after="0"/>
        <w:rPr>
          <w:rFonts w:ascii="Arial" w:hAnsi="Arial" w:cs="Arial"/>
        </w:rPr>
      </w:pPr>
      <w:r>
        <w:rPr>
          <w:rFonts w:ascii="Arial" w:hAnsi="Arial" w:cs="Arial"/>
        </w:rPr>
        <w:t>Generally</w:t>
      </w:r>
      <w:r w:rsidRPr="00922BBA">
        <w:rPr>
          <w:rFonts w:ascii="Arial" w:hAnsi="Arial" w:cs="Arial"/>
        </w:rPr>
        <w:t xml:space="preserve">, agroforestry represents a proven, context-responsive strategy for building climate-resilient farming systems. When combined with participatory governance, local knowledge, and institutional support, it can simultaneously achieve adaptation, mitigation, and sustainable development objectives. Strengthening extension networks, gender inclusion, and access to </w:t>
      </w:r>
      <w:r w:rsidRPr="00922BBA">
        <w:rPr>
          <w:rFonts w:ascii="Arial" w:hAnsi="Arial" w:cs="Arial"/>
        </w:rPr>
        <w:lastRenderedPageBreak/>
        <w:t>finance will be critical in scaling up these practices to ensure that the benefits of agroforestry are equitably distributed among Philippine smallholders.</w:t>
      </w:r>
    </w:p>
    <w:p w14:paraId="0FB4E9FA" w14:textId="77777777" w:rsidR="00922BBA" w:rsidRPr="00B211CC" w:rsidRDefault="00922BBA" w:rsidP="00922BBA">
      <w:pPr>
        <w:pStyle w:val="Body"/>
        <w:spacing w:after="0"/>
        <w:rPr>
          <w:rFonts w:ascii="Arial" w:hAnsi="Arial" w:cs="Arial"/>
          <w:b/>
          <w:bCs/>
        </w:rPr>
      </w:pPr>
    </w:p>
    <w:p w14:paraId="7D022200" w14:textId="1D66A461" w:rsidR="00F3494B" w:rsidRDefault="00B211CC" w:rsidP="00F3494B">
      <w:pPr>
        <w:pStyle w:val="Head1"/>
        <w:spacing w:after="0"/>
        <w:jc w:val="both"/>
        <w:rPr>
          <w:rFonts w:ascii="Arial" w:hAnsi="Arial" w:cs="Arial"/>
        </w:rPr>
      </w:pPr>
      <w:r>
        <w:rPr>
          <w:rFonts w:ascii="Arial" w:hAnsi="Arial" w:cs="Arial"/>
        </w:rPr>
        <w:t>8</w:t>
      </w:r>
      <w:r w:rsidR="00F3494B">
        <w:rPr>
          <w:rFonts w:ascii="Arial" w:hAnsi="Arial" w:cs="Arial"/>
        </w:rPr>
        <w:t>. STRENGHTS OF THE REVIEWED STUDIES</w:t>
      </w:r>
    </w:p>
    <w:p w14:paraId="55DF5DDF" w14:textId="77777777" w:rsidR="00F3494B" w:rsidRPr="00FB3A86" w:rsidRDefault="00F3494B" w:rsidP="00F3494B">
      <w:pPr>
        <w:pStyle w:val="Head1"/>
        <w:spacing w:after="0"/>
        <w:jc w:val="both"/>
        <w:rPr>
          <w:rFonts w:ascii="Arial" w:hAnsi="Arial" w:cs="Arial"/>
        </w:rPr>
      </w:pPr>
    </w:p>
    <w:p w14:paraId="16D5E1DD" w14:textId="77777777" w:rsidR="00B211CC" w:rsidRPr="00F3494B" w:rsidRDefault="00B211CC" w:rsidP="00B211CC">
      <w:pPr>
        <w:pStyle w:val="Body"/>
        <w:rPr>
          <w:rFonts w:ascii="Arial" w:hAnsi="Arial" w:cs="Arial"/>
        </w:rPr>
      </w:pPr>
      <w:r w:rsidRPr="00F3494B">
        <w:rPr>
          <w:rFonts w:ascii="Arial" w:hAnsi="Arial" w:cs="Arial"/>
        </w:rPr>
        <w:t>The six reviewed studies provide strong and useful insights into how agroforestry supports smallholder farmers in adapting to climate change. One clear strength is that most studies use community-based and participatory approaches, allowing farmers to share their own experiences and traditional knowledge about climate and farming (Evangelista, Cruz, &amp; Lasco, 2016; Galang &amp; Vaughter, 2020).</w:t>
      </w:r>
    </w:p>
    <w:p w14:paraId="0CE7E73E" w14:textId="77777777" w:rsidR="00F3494B" w:rsidRPr="00F3494B" w:rsidRDefault="00F3494B" w:rsidP="00F3494B">
      <w:pPr>
        <w:pStyle w:val="Body"/>
        <w:rPr>
          <w:rFonts w:ascii="Arial" w:hAnsi="Arial" w:cs="Arial"/>
        </w:rPr>
      </w:pPr>
      <w:r w:rsidRPr="00F3494B">
        <w:rPr>
          <w:rFonts w:ascii="Arial" w:hAnsi="Arial" w:cs="Arial"/>
        </w:rPr>
        <w:t xml:space="preserve">Another strength is their balanced focus on both environmental and livelihood outcomes. The studies show that agroforestry not only improves soil health and water conservation but also increases income and food security for farming families (Lasco, Delfino, &amp; </w:t>
      </w:r>
      <w:proofErr w:type="spellStart"/>
      <w:r w:rsidRPr="00F3494B">
        <w:rPr>
          <w:rFonts w:ascii="Arial" w:hAnsi="Arial" w:cs="Arial"/>
        </w:rPr>
        <w:t>Espaldon</w:t>
      </w:r>
      <w:proofErr w:type="spellEnd"/>
      <w:r w:rsidRPr="00F3494B">
        <w:rPr>
          <w:rFonts w:ascii="Arial" w:hAnsi="Arial" w:cs="Arial"/>
        </w:rPr>
        <w:t xml:space="preserve">, 2014; Landicho, </w:t>
      </w:r>
      <w:proofErr w:type="spellStart"/>
      <w:r w:rsidRPr="00F3494B">
        <w:rPr>
          <w:rFonts w:ascii="Arial" w:hAnsi="Arial" w:cs="Arial"/>
        </w:rPr>
        <w:t>Paelmo</w:t>
      </w:r>
      <w:proofErr w:type="spellEnd"/>
      <w:r w:rsidRPr="00F3494B">
        <w:rPr>
          <w:rFonts w:ascii="Arial" w:hAnsi="Arial" w:cs="Arial"/>
        </w:rPr>
        <w:t>, De Luna, &amp; Visco, 2016).</w:t>
      </w:r>
    </w:p>
    <w:p w14:paraId="0C37A3FF" w14:textId="2C2E4A60" w:rsidR="00F3494B" w:rsidRDefault="00F3494B" w:rsidP="00F3494B">
      <w:pPr>
        <w:pStyle w:val="Body"/>
        <w:spacing w:after="0"/>
        <w:rPr>
          <w:rFonts w:ascii="Arial" w:hAnsi="Arial" w:cs="Arial"/>
        </w:rPr>
      </w:pPr>
      <w:r w:rsidRPr="00F3494B">
        <w:rPr>
          <w:rFonts w:ascii="Arial" w:hAnsi="Arial" w:cs="Arial"/>
        </w:rPr>
        <w:t>Together, these works provide a strong foundation for understanding how agroforestry contributes to both adaptation and mitigation. They highlight the important role of Filipino farmers in building more resilient and sustainable communities.th of the Reviewed Studies</w:t>
      </w:r>
      <w:r>
        <w:rPr>
          <w:rFonts w:ascii="Arial" w:hAnsi="Arial" w:cs="Arial"/>
        </w:rPr>
        <w:t>.</w:t>
      </w:r>
    </w:p>
    <w:p w14:paraId="0CA559D4" w14:textId="77777777" w:rsidR="00F3494B" w:rsidRDefault="00F3494B" w:rsidP="00F3494B">
      <w:pPr>
        <w:pStyle w:val="Body"/>
        <w:spacing w:after="0"/>
        <w:rPr>
          <w:rFonts w:ascii="Arial" w:hAnsi="Arial" w:cs="Arial"/>
        </w:rPr>
      </w:pPr>
    </w:p>
    <w:p w14:paraId="758E2D5C" w14:textId="4933F2DB" w:rsidR="00F3494B" w:rsidRDefault="00B211CC" w:rsidP="00F3494B">
      <w:pPr>
        <w:pStyle w:val="Head1"/>
        <w:spacing w:after="0"/>
        <w:jc w:val="both"/>
        <w:rPr>
          <w:rFonts w:ascii="Arial" w:hAnsi="Arial" w:cs="Arial"/>
        </w:rPr>
      </w:pPr>
      <w:r>
        <w:rPr>
          <w:rFonts w:ascii="Arial" w:hAnsi="Arial" w:cs="Arial"/>
        </w:rPr>
        <w:t>9</w:t>
      </w:r>
      <w:r w:rsidR="00F3494B">
        <w:rPr>
          <w:rFonts w:ascii="Arial" w:hAnsi="Arial" w:cs="Arial"/>
        </w:rPr>
        <w:t>. RESEARCH GAPS</w:t>
      </w:r>
    </w:p>
    <w:p w14:paraId="6A6F1270" w14:textId="77777777" w:rsidR="00F3494B" w:rsidRPr="00FB3A86" w:rsidRDefault="00F3494B" w:rsidP="00F3494B">
      <w:pPr>
        <w:pStyle w:val="Head1"/>
        <w:spacing w:after="0"/>
        <w:jc w:val="both"/>
        <w:rPr>
          <w:rFonts w:ascii="Arial" w:hAnsi="Arial" w:cs="Arial"/>
        </w:rPr>
      </w:pPr>
    </w:p>
    <w:p w14:paraId="6883DFA9" w14:textId="77777777" w:rsidR="00F3494B" w:rsidRPr="00F3494B" w:rsidRDefault="00F3494B" w:rsidP="00F3494B">
      <w:pPr>
        <w:pStyle w:val="Body"/>
        <w:rPr>
          <w:rFonts w:ascii="Arial" w:hAnsi="Arial" w:cs="Arial"/>
        </w:rPr>
      </w:pPr>
      <w:r w:rsidRPr="00F3494B">
        <w:rPr>
          <w:rFonts w:ascii="Arial" w:hAnsi="Arial" w:cs="Arial"/>
        </w:rPr>
        <w:t>Despite the growing evidence of agroforestry’s value, several critical research gaps remain that hinder the scaling-up of adoption and the realization of its full climate resilience potential in the Philippines. These gaps span scientific, socioeconomic, and policy dimensions.</w:t>
      </w:r>
    </w:p>
    <w:p w14:paraId="26283C00" w14:textId="77777777" w:rsidR="00F3494B" w:rsidRPr="00F3494B" w:rsidRDefault="00F3494B" w:rsidP="00F3494B">
      <w:pPr>
        <w:pStyle w:val="Body"/>
        <w:rPr>
          <w:rFonts w:ascii="Arial" w:hAnsi="Arial" w:cs="Arial"/>
        </w:rPr>
      </w:pPr>
      <w:r w:rsidRPr="00F3494B">
        <w:rPr>
          <w:rFonts w:ascii="Arial" w:hAnsi="Arial" w:cs="Arial"/>
        </w:rPr>
        <w:t>1. Limited Long-Term Empirical Data</w:t>
      </w:r>
    </w:p>
    <w:p w14:paraId="70928B29" w14:textId="77777777" w:rsidR="00F3494B" w:rsidRPr="00F3494B" w:rsidRDefault="00F3494B" w:rsidP="00F3494B">
      <w:pPr>
        <w:pStyle w:val="Body"/>
        <w:rPr>
          <w:rFonts w:ascii="Arial" w:hAnsi="Arial" w:cs="Arial"/>
        </w:rPr>
      </w:pPr>
      <w:r w:rsidRPr="00F3494B">
        <w:rPr>
          <w:rFonts w:ascii="Arial" w:hAnsi="Arial" w:cs="Arial"/>
        </w:rPr>
        <w:t xml:space="preserve">While numerous studies document the benefits of agroforestry, long-term quantitative data on carbon sequestration rates, yield stability, and soil carbon dynamics under varying management systems remain scarce in the Philippines. Most studies assess systems only within short timeframes (3–5 years), which underestimates long-term sequestration and ecosystem service potential (Lasco &amp; </w:t>
      </w:r>
      <w:proofErr w:type="spellStart"/>
      <w:r w:rsidRPr="00F3494B">
        <w:rPr>
          <w:rFonts w:ascii="Arial" w:hAnsi="Arial" w:cs="Arial"/>
        </w:rPr>
        <w:t>Pulhin</w:t>
      </w:r>
      <w:proofErr w:type="spellEnd"/>
      <w:r w:rsidRPr="00F3494B">
        <w:rPr>
          <w:rFonts w:ascii="Arial" w:hAnsi="Arial" w:cs="Arial"/>
        </w:rPr>
        <w:t xml:space="preserve">, 2003; </w:t>
      </w:r>
      <w:proofErr w:type="spellStart"/>
      <w:r w:rsidRPr="00F3494B">
        <w:rPr>
          <w:rFonts w:ascii="Arial" w:hAnsi="Arial" w:cs="Arial"/>
        </w:rPr>
        <w:t>Tabal</w:t>
      </w:r>
      <w:proofErr w:type="spellEnd"/>
      <w:r w:rsidRPr="00F3494B">
        <w:rPr>
          <w:rFonts w:ascii="Arial" w:hAnsi="Arial" w:cs="Arial"/>
        </w:rPr>
        <w:t xml:space="preserve"> &amp; Mendoza, 2020). Longitudinal field studies are needed to capture the cumulative effects of decades-long tree-crop interactions on both carbon stocks and livelihoods.</w:t>
      </w:r>
    </w:p>
    <w:p w14:paraId="40F1A8D1" w14:textId="77777777" w:rsidR="00F3494B" w:rsidRPr="00F3494B" w:rsidRDefault="00F3494B" w:rsidP="00F3494B">
      <w:pPr>
        <w:pStyle w:val="Body"/>
        <w:rPr>
          <w:rFonts w:ascii="Arial" w:hAnsi="Arial" w:cs="Arial"/>
        </w:rPr>
      </w:pPr>
      <w:r w:rsidRPr="00F3494B">
        <w:rPr>
          <w:rFonts w:ascii="Arial" w:hAnsi="Arial" w:cs="Arial"/>
        </w:rPr>
        <w:t>2. Fragmented Understanding of Farmers’ Adoption Behavior</w:t>
      </w:r>
    </w:p>
    <w:p w14:paraId="11E63CC2" w14:textId="77777777" w:rsidR="00F3494B" w:rsidRPr="00F3494B" w:rsidRDefault="00F3494B" w:rsidP="00F3494B">
      <w:pPr>
        <w:pStyle w:val="Body"/>
        <w:rPr>
          <w:rFonts w:ascii="Arial" w:hAnsi="Arial" w:cs="Arial"/>
        </w:rPr>
      </w:pPr>
      <w:r w:rsidRPr="00F3494B">
        <w:rPr>
          <w:rFonts w:ascii="Arial" w:hAnsi="Arial" w:cs="Arial"/>
        </w:rPr>
        <w:t>Although existing research has explored farmers’ knowledge and attitudes, few studies use behavioral or decision-making frameworks to understand how these perceptions translate into long-term adoption (Evangelista et al., 2016). The KAP model provides valuable insight, but integration with socioeconomic, gender, and cultural variables remains limited. Moreover, quantitative data on adoption rates and drivers across different regions of the Philippines are lacking. Nationally representative surveys could provide a clearer picture of where, why, and how smallholders adopt or reject agroforestry.</w:t>
      </w:r>
    </w:p>
    <w:p w14:paraId="48B5A85B" w14:textId="77777777" w:rsidR="00F3494B" w:rsidRPr="00F3494B" w:rsidRDefault="00F3494B" w:rsidP="00F3494B">
      <w:pPr>
        <w:pStyle w:val="Body"/>
        <w:rPr>
          <w:rFonts w:ascii="Arial" w:hAnsi="Arial" w:cs="Arial"/>
        </w:rPr>
      </w:pPr>
      <w:r w:rsidRPr="00F3494B">
        <w:rPr>
          <w:rFonts w:ascii="Arial" w:hAnsi="Arial" w:cs="Arial"/>
        </w:rPr>
        <w:t>3. Underrepresentation of Socioeconomic and Gender Perspectives</w:t>
      </w:r>
    </w:p>
    <w:p w14:paraId="7C0888A4" w14:textId="77777777" w:rsidR="00F3494B" w:rsidRPr="00F3494B" w:rsidRDefault="00F3494B" w:rsidP="00F3494B">
      <w:pPr>
        <w:pStyle w:val="Body"/>
        <w:rPr>
          <w:rFonts w:ascii="Arial" w:hAnsi="Arial" w:cs="Arial"/>
        </w:rPr>
      </w:pPr>
      <w:r w:rsidRPr="00F3494B">
        <w:rPr>
          <w:rFonts w:ascii="Arial" w:hAnsi="Arial" w:cs="Arial"/>
        </w:rPr>
        <w:t>Women’s roles in agroforestry are underexplored, despite their significant involvement in small-scale farming, seed management, and local marketing. Studies from other regions demonstrate that gender influences knowledge sharing, tree species selection, and adoption outcomes (</w:t>
      </w:r>
      <w:proofErr w:type="spellStart"/>
      <w:r w:rsidRPr="00F3494B">
        <w:rPr>
          <w:rFonts w:ascii="Arial" w:hAnsi="Arial" w:cs="Arial"/>
        </w:rPr>
        <w:t>Kiptot</w:t>
      </w:r>
      <w:proofErr w:type="spellEnd"/>
      <w:r w:rsidRPr="00F3494B">
        <w:rPr>
          <w:rFonts w:ascii="Arial" w:hAnsi="Arial" w:cs="Arial"/>
        </w:rPr>
        <w:t xml:space="preserve"> &amp; Franzel, 2012). Philippine agroforestry research would benefit from </w:t>
      </w:r>
      <w:r w:rsidRPr="00F3494B">
        <w:rPr>
          <w:rFonts w:ascii="Arial" w:hAnsi="Arial" w:cs="Arial"/>
        </w:rPr>
        <w:lastRenderedPageBreak/>
        <w:t>incorporating gender-responsive and intersectional analyses to ensure inclusivity and equitable participation in adaptation programs.</w:t>
      </w:r>
    </w:p>
    <w:p w14:paraId="6E6EF6C2" w14:textId="77777777" w:rsidR="00F3494B" w:rsidRPr="00F3494B" w:rsidRDefault="00F3494B" w:rsidP="00F3494B">
      <w:pPr>
        <w:pStyle w:val="Body"/>
        <w:rPr>
          <w:rFonts w:ascii="Arial" w:hAnsi="Arial" w:cs="Arial"/>
        </w:rPr>
      </w:pPr>
      <w:r w:rsidRPr="00F3494B">
        <w:rPr>
          <w:rFonts w:ascii="Arial" w:hAnsi="Arial" w:cs="Arial"/>
        </w:rPr>
        <w:t>4. Weak Integration of Agroforestry into Climate Policy Evaluation</w:t>
      </w:r>
    </w:p>
    <w:p w14:paraId="31FD61FE" w14:textId="77777777" w:rsidR="00F3494B" w:rsidRPr="00F3494B" w:rsidRDefault="00F3494B" w:rsidP="00F3494B">
      <w:pPr>
        <w:pStyle w:val="Body"/>
        <w:rPr>
          <w:rFonts w:ascii="Arial" w:hAnsi="Arial" w:cs="Arial"/>
        </w:rPr>
      </w:pPr>
      <w:r w:rsidRPr="00F3494B">
        <w:rPr>
          <w:rFonts w:ascii="Arial" w:hAnsi="Arial" w:cs="Arial"/>
        </w:rPr>
        <w:t>Although agroforestry is mentioned in national policies like the NDCs and CBFM, policy evaluation mechanisms rarely assess how these frameworks impact smallholder adaptation and carbon sequestration outcomes. There is a need for robust monitoring, reporting, and verification (MRV) systems tailored to agroforestry, ensuring that carbon and livelihood benefits are quantified and recognized (Department of Environment and Natural Resources, 2022).</w:t>
      </w:r>
    </w:p>
    <w:p w14:paraId="60A52E4E" w14:textId="77777777" w:rsidR="00F3494B" w:rsidRPr="00F3494B" w:rsidRDefault="00F3494B" w:rsidP="00F3494B">
      <w:pPr>
        <w:pStyle w:val="Body"/>
        <w:rPr>
          <w:rFonts w:ascii="Arial" w:hAnsi="Arial" w:cs="Arial"/>
        </w:rPr>
      </w:pPr>
      <w:r w:rsidRPr="00F3494B">
        <w:rPr>
          <w:rFonts w:ascii="Arial" w:hAnsi="Arial" w:cs="Arial"/>
        </w:rPr>
        <w:t>5. Lack of Participatory and Transdisciplinary Research Approaches</w:t>
      </w:r>
    </w:p>
    <w:p w14:paraId="3B46D838" w14:textId="3BEE48CB" w:rsidR="00F3494B" w:rsidRDefault="00F3494B" w:rsidP="00F3494B">
      <w:pPr>
        <w:pStyle w:val="Body"/>
        <w:spacing w:after="0"/>
        <w:rPr>
          <w:rFonts w:ascii="Arial" w:hAnsi="Arial" w:cs="Arial"/>
        </w:rPr>
      </w:pPr>
      <w:r w:rsidRPr="00F3494B">
        <w:rPr>
          <w:rFonts w:ascii="Arial" w:hAnsi="Arial" w:cs="Arial"/>
        </w:rPr>
        <w:t>Most agroforestry studies remain discipline-specific, either biophysical or socioeconomic, resulting in fragmented insights. Emerging frameworks such as transdisciplinary participatory action research (TPAR) could bridge this gap by combining farmer knowledge, scientific data, and local governance in co-designed solutions. This approach aligns with recent global calls for climate research that centers on local actors and “co-production of knowledge” (Scoones &amp; Stirling, 2020).</w:t>
      </w:r>
    </w:p>
    <w:p w14:paraId="794B6751" w14:textId="77777777" w:rsidR="00F3494B" w:rsidRDefault="00F3494B" w:rsidP="00F3494B">
      <w:pPr>
        <w:pStyle w:val="Body"/>
        <w:spacing w:after="0"/>
        <w:rPr>
          <w:rFonts w:ascii="Arial" w:hAnsi="Arial" w:cs="Arial"/>
        </w:rPr>
      </w:pPr>
    </w:p>
    <w:p w14:paraId="2B3839F9" w14:textId="31D2D51D" w:rsidR="00F3494B" w:rsidRDefault="00B211CC" w:rsidP="00F3494B">
      <w:pPr>
        <w:pStyle w:val="Head1"/>
        <w:spacing w:after="0"/>
        <w:jc w:val="both"/>
        <w:rPr>
          <w:rFonts w:ascii="Arial" w:hAnsi="Arial" w:cs="Arial"/>
        </w:rPr>
      </w:pPr>
      <w:r>
        <w:rPr>
          <w:rFonts w:ascii="Arial" w:hAnsi="Arial" w:cs="Arial"/>
        </w:rPr>
        <w:t>10</w:t>
      </w:r>
      <w:r w:rsidR="00F3494B">
        <w:rPr>
          <w:rFonts w:ascii="Arial" w:hAnsi="Arial" w:cs="Arial"/>
        </w:rPr>
        <w:t xml:space="preserve">. LIMITATIONS </w:t>
      </w:r>
      <w:r w:rsidR="00F16DFA">
        <w:rPr>
          <w:rFonts w:ascii="Arial" w:hAnsi="Arial" w:cs="Arial"/>
        </w:rPr>
        <w:t>AND RECOMMENDATIONS</w:t>
      </w:r>
    </w:p>
    <w:p w14:paraId="2714DC27" w14:textId="77777777" w:rsidR="00F3494B" w:rsidRPr="00FB3A86" w:rsidRDefault="00F3494B" w:rsidP="00F3494B">
      <w:pPr>
        <w:pStyle w:val="Head1"/>
        <w:spacing w:after="0"/>
        <w:jc w:val="both"/>
        <w:rPr>
          <w:rFonts w:ascii="Arial" w:hAnsi="Arial" w:cs="Arial"/>
        </w:rPr>
      </w:pPr>
    </w:p>
    <w:p w14:paraId="025030D8" w14:textId="77777777" w:rsidR="00F16DFA" w:rsidRPr="00F16DFA" w:rsidRDefault="00F16DFA" w:rsidP="00F16DFA">
      <w:pPr>
        <w:pStyle w:val="Body"/>
        <w:spacing w:after="0"/>
        <w:rPr>
          <w:rFonts w:ascii="Arial" w:hAnsi="Arial" w:cs="Arial"/>
          <w:lang w:val="en-PH"/>
        </w:rPr>
      </w:pPr>
      <w:r w:rsidRPr="00F16DFA">
        <w:rPr>
          <w:rFonts w:ascii="Arial" w:hAnsi="Arial" w:cs="Arial"/>
          <w:lang w:val="en-PH"/>
        </w:rPr>
        <w:t>This mini-review is limited by the small number of Philippine-based studies that met the inclusion criteria and by the variability of research methods among them. Most of the available works focus on short-term case studies, which limits the ability to assess long-term ecological and livelihood outcomes of agroforestry adoption. The review also relied on published, English-language sources, which may exclude valuable insights from local or unpublished research.</w:t>
      </w:r>
    </w:p>
    <w:p w14:paraId="596E7129" w14:textId="77777777" w:rsidR="00F16DFA" w:rsidRPr="00F16DFA" w:rsidRDefault="00F16DFA" w:rsidP="00F16DFA">
      <w:pPr>
        <w:pStyle w:val="Body"/>
        <w:spacing w:after="0"/>
        <w:rPr>
          <w:rFonts w:ascii="Arial" w:hAnsi="Arial" w:cs="Arial"/>
          <w:lang w:val="en-PH"/>
        </w:rPr>
      </w:pPr>
      <w:r w:rsidRPr="00F16DFA">
        <w:rPr>
          <w:rFonts w:ascii="Arial" w:hAnsi="Arial" w:cs="Arial"/>
          <w:lang w:val="en-PH"/>
        </w:rPr>
        <w:t>Future studies should employ longitudinal and experimental designs to better understand how agroforestry influences soil carbon, biodiversity, and livelihood resilience over time. Integrating socioeconomic, gender, and policy analyses will also deepen understanding of the factors shaping adoption among smallholder farmers. Collaboration between academic institutions, government agencies, and community organizations is essential to ensure that future agroforestry research is both scientifically rigorous and socially inclusive.</w:t>
      </w:r>
    </w:p>
    <w:p w14:paraId="7CF80F8E" w14:textId="77777777" w:rsidR="00F16DFA" w:rsidRPr="00F16DFA" w:rsidRDefault="00F16DFA" w:rsidP="00F16DFA">
      <w:pPr>
        <w:pStyle w:val="Body"/>
        <w:spacing w:after="0"/>
        <w:rPr>
          <w:rFonts w:ascii="Arial" w:hAnsi="Arial" w:cs="Arial"/>
          <w:lang w:val="en-PH"/>
        </w:rPr>
      </w:pPr>
      <w:r w:rsidRPr="00F16DFA">
        <w:rPr>
          <w:rFonts w:ascii="Arial" w:hAnsi="Arial" w:cs="Arial"/>
          <w:lang w:val="en-PH"/>
        </w:rPr>
        <w:t>Ultimately, addressing these limitations will help generate stronger, evidence-based strategies for scaling up agroforestry as a sustainable climate action pathway in the Philippines.</w:t>
      </w:r>
    </w:p>
    <w:p w14:paraId="4FE7182F" w14:textId="77777777" w:rsidR="00F3494B" w:rsidRDefault="00F3494B" w:rsidP="00F3494B">
      <w:pPr>
        <w:pStyle w:val="Body"/>
        <w:spacing w:after="0"/>
        <w:rPr>
          <w:rFonts w:ascii="Arial" w:hAnsi="Arial" w:cs="Arial"/>
        </w:rPr>
      </w:pPr>
    </w:p>
    <w:p w14:paraId="37CA0C01" w14:textId="346E380D" w:rsidR="00F3494B" w:rsidRDefault="00F3494B" w:rsidP="00F3494B">
      <w:pPr>
        <w:pStyle w:val="Head1"/>
        <w:spacing w:after="0"/>
        <w:jc w:val="both"/>
        <w:rPr>
          <w:rFonts w:ascii="Arial" w:hAnsi="Arial" w:cs="Arial"/>
        </w:rPr>
      </w:pPr>
      <w:r>
        <w:rPr>
          <w:rFonts w:ascii="Arial" w:hAnsi="Arial" w:cs="Arial"/>
        </w:rPr>
        <w:t>1</w:t>
      </w:r>
      <w:r w:rsidR="00B211CC">
        <w:rPr>
          <w:rFonts w:ascii="Arial" w:hAnsi="Arial" w:cs="Arial"/>
        </w:rPr>
        <w:t>1</w:t>
      </w:r>
      <w:r>
        <w:rPr>
          <w:rFonts w:ascii="Arial" w:hAnsi="Arial" w:cs="Arial"/>
        </w:rPr>
        <w:t>. IMPLICATIONS</w:t>
      </w:r>
    </w:p>
    <w:p w14:paraId="5D3B4E30" w14:textId="77777777" w:rsidR="00F3494B" w:rsidRPr="00FB3A86" w:rsidRDefault="00F3494B" w:rsidP="00F3494B">
      <w:pPr>
        <w:pStyle w:val="Head1"/>
        <w:spacing w:after="0"/>
        <w:jc w:val="both"/>
        <w:rPr>
          <w:rFonts w:ascii="Arial" w:hAnsi="Arial" w:cs="Arial"/>
        </w:rPr>
      </w:pPr>
    </w:p>
    <w:p w14:paraId="21BF1E12" w14:textId="77777777" w:rsidR="00F3494B" w:rsidRPr="00F3494B" w:rsidRDefault="00F3494B" w:rsidP="00F3494B">
      <w:pPr>
        <w:pStyle w:val="Body"/>
        <w:rPr>
          <w:rFonts w:ascii="Arial" w:hAnsi="Arial" w:cs="Arial"/>
        </w:rPr>
      </w:pPr>
      <w:r w:rsidRPr="00F3494B">
        <w:rPr>
          <w:rFonts w:ascii="Arial" w:hAnsi="Arial" w:cs="Arial"/>
        </w:rPr>
        <w:t>The growing body of research on agroforestry adoption among smallholder farmers in the Philippines offers profound implications for policy, practice, education, and future research. The evidence clearly demonstrates that agroforestry is not only a technical strategy for improving productivity but also a human-centered approach to building climate resilience, restoring ecosystems, and securing rural livelihoods.</w:t>
      </w:r>
    </w:p>
    <w:p w14:paraId="3BF16531" w14:textId="77777777" w:rsidR="00F3494B" w:rsidRPr="00F3494B" w:rsidRDefault="00F3494B" w:rsidP="00F3494B">
      <w:pPr>
        <w:pStyle w:val="Body"/>
        <w:rPr>
          <w:rFonts w:ascii="Arial" w:hAnsi="Arial" w:cs="Arial"/>
          <w:b/>
          <w:bCs/>
        </w:rPr>
      </w:pPr>
      <w:r w:rsidRPr="00F3494B">
        <w:rPr>
          <w:rFonts w:ascii="Arial" w:hAnsi="Arial" w:cs="Arial"/>
          <w:b/>
          <w:bCs/>
        </w:rPr>
        <w:t>Policy Implications</w:t>
      </w:r>
    </w:p>
    <w:p w14:paraId="36C3DBAC" w14:textId="77777777" w:rsidR="00F3494B" w:rsidRPr="00F3494B" w:rsidRDefault="00F3494B" w:rsidP="00F3494B">
      <w:pPr>
        <w:pStyle w:val="Body"/>
        <w:rPr>
          <w:rFonts w:ascii="Arial" w:hAnsi="Arial" w:cs="Arial"/>
        </w:rPr>
      </w:pPr>
      <w:r w:rsidRPr="00F3494B">
        <w:rPr>
          <w:rFonts w:ascii="Arial" w:hAnsi="Arial" w:cs="Arial"/>
        </w:rPr>
        <w:t xml:space="preserve">At the policy level, agroforestry should be recognized as a core component of national climate and rural development strategies. The Philippines’ Climate Change Act of 2009, the National Greening Program (NGP), and the country’s Nationally Determined Contributions (NDCs) already provide frameworks that align agroforestry with mitigation and adaptation goals (Department of Environment and Natural Resources [DENR], 2022). However, these policies </w:t>
      </w:r>
      <w:r w:rsidRPr="00F3494B">
        <w:rPr>
          <w:rFonts w:ascii="Arial" w:hAnsi="Arial" w:cs="Arial"/>
        </w:rPr>
        <w:lastRenderedPageBreak/>
        <w:t>need to move beyond reforestation targets and adopt a landscape-based approach, integrating agroforestry into mainstream agricultural planning, land tenure systems, and local development agendas.</w:t>
      </w:r>
    </w:p>
    <w:p w14:paraId="12CF2B48" w14:textId="77777777" w:rsidR="00F3494B" w:rsidRPr="00F3494B" w:rsidRDefault="00F3494B" w:rsidP="00F3494B">
      <w:pPr>
        <w:pStyle w:val="Body"/>
        <w:rPr>
          <w:rFonts w:ascii="Arial" w:hAnsi="Arial" w:cs="Arial"/>
        </w:rPr>
      </w:pPr>
      <w:r w:rsidRPr="00F3494B">
        <w:rPr>
          <w:rFonts w:ascii="Arial" w:hAnsi="Arial" w:cs="Arial"/>
        </w:rPr>
        <w:t xml:space="preserve">Decentralized implementation through local government units (LGUs) and community-based forest management (CBFM) programs can amplify success. Localized agroforestry models, tailored to specific ecological and cultural contexts, should be promoted rather than one-size-fits-all approaches. For instance, upland communities in Bukidnon may benefit from contour-based agroforestry, while lowland farmers in Batangas can adopt fruit-based systems for diversified income. Policymakers should prioritize these localized systems through participatory planning, capacity building, and financial incentives such as tax benefits or payments for ecosystem services (Lasco, Delfino, &amp; </w:t>
      </w:r>
      <w:proofErr w:type="spellStart"/>
      <w:r w:rsidRPr="00F3494B">
        <w:rPr>
          <w:rFonts w:ascii="Arial" w:hAnsi="Arial" w:cs="Arial"/>
        </w:rPr>
        <w:t>Espaldon</w:t>
      </w:r>
      <w:proofErr w:type="spellEnd"/>
      <w:r w:rsidRPr="00F3494B">
        <w:rPr>
          <w:rFonts w:ascii="Arial" w:hAnsi="Arial" w:cs="Arial"/>
        </w:rPr>
        <w:t xml:space="preserve">, 2014; Landicho, </w:t>
      </w:r>
      <w:proofErr w:type="spellStart"/>
      <w:r w:rsidRPr="00F3494B">
        <w:rPr>
          <w:rFonts w:ascii="Arial" w:hAnsi="Arial" w:cs="Arial"/>
        </w:rPr>
        <w:t>Paelmo</w:t>
      </w:r>
      <w:proofErr w:type="spellEnd"/>
      <w:r w:rsidRPr="00F3494B">
        <w:rPr>
          <w:rFonts w:ascii="Arial" w:hAnsi="Arial" w:cs="Arial"/>
        </w:rPr>
        <w:t>, De Luna, &amp; Visco, 2016).</w:t>
      </w:r>
    </w:p>
    <w:p w14:paraId="30BC1BCF" w14:textId="77777777" w:rsidR="00F3494B" w:rsidRPr="00F3494B" w:rsidRDefault="00F3494B" w:rsidP="00F3494B">
      <w:pPr>
        <w:pStyle w:val="Body"/>
        <w:rPr>
          <w:rFonts w:ascii="Arial" w:hAnsi="Arial" w:cs="Arial"/>
          <w:b/>
          <w:bCs/>
        </w:rPr>
      </w:pPr>
      <w:r w:rsidRPr="00F3494B">
        <w:rPr>
          <w:rFonts w:ascii="Arial" w:hAnsi="Arial" w:cs="Arial"/>
          <w:b/>
          <w:bCs/>
        </w:rPr>
        <w:t>Institutional and Extension Implications</w:t>
      </w:r>
    </w:p>
    <w:p w14:paraId="3B83A5F2" w14:textId="4DD13C9C" w:rsidR="00F3494B" w:rsidRPr="00F3494B" w:rsidRDefault="00F3494B" w:rsidP="00F3494B">
      <w:pPr>
        <w:pStyle w:val="Body"/>
        <w:rPr>
          <w:rFonts w:ascii="Arial" w:hAnsi="Arial" w:cs="Arial"/>
        </w:rPr>
      </w:pPr>
      <w:r w:rsidRPr="00F3494B">
        <w:rPr>
          <w:rFonts w:ascii="Arial" w:hAnsi="Arial" w:cs="Arial"/>
        </w:rPr>
        <w:t xml:space="preserve">The success of agroforestry adoption depends heavily on the strength of extension services and institutional partnerships. Many farmers already possess valuable local ecological knowledge (Galang &amp; Vaughter, 2020), yet they often lack access to updated technical information and market linkages. Strengthening the role of agricultural extension officers, state universities, and local NGOs can close this gap by providing continuous support rather than one-off </w:t>
      </w:r>
      <w:r w:rsidR="000B64E8" w:rsidRPr="00F3494B">
        <w:rPr>
          <w:rFonts w:ascii="Arial" w:hAnsi="Arial" w:cs="Arial"/>
        </w:rPr>
        <w:t>training</w:t>
      </w:r>
      <w:r w:rsidRPr="00F3494B">
        <w:rPr>
          <w:rFonts w:ascii="Arial" w:hAnsi="Arial" w:cs="Arial"/>
        </w:rPr>
        <w:t>.</w:t>
      </w:r>
    </w:p>
    <w:p w14:paraId="44821546" w14:textId="77777777" w:rsidR="00F3494B" w:rsidRPr="00F3494B" w:rsidRDefault="00F3494B" w:rsidP="00F3494B">
      <w:pPr>
        <w:pStyle w:val="Body"/>
        <w:rPr>
          <w:rFonts w:ascii="Arial" w:hAnsi="Arial" w:cs="Arial"/>
        </w:rPr>
      </w:pPr>
      <w:r w:rsidRPr="00F3494B">
        <w:rPr>
          <w:rFonts w:ascii="Arial" w:hAnsi="Arial" w:cs="Arial"/>
        </w:rPr>
        <w:t>Additionally, agroforestry curriculum integration in agricultural colleges and vocational schools could nurture a new generation of practitioners and policymakers who view trees not as barriers to crops but as essential allies in sustainable farming systems. Capacity-building initiatives must also include gender-responsive and youth-inclusive programs, ensuring equitable participation and intergenerational continuity of knowledge (</w:t>
      </w:r>
      <w:proofErr w:type="spellStart"/>
      <w:r w:rsidRPr="00F3494B">
        <w:rPr>
          <w:rFonts w:ascii="Arial" w:hAnsi="Arial" w:cs="Arial"/>
        </w:rPr>
        <w:t>Kiptot</w:t>
      </w:r>
      <w:proofErr w:type="spellEnd"/>
      <w:r w:rsidRPr="00F3494B">
        <w:rPr>
          <w:rFonts w:ascii="Arial" w:hAnsi="Arial" w:cs="Arial"/>
        </w:rPr>
        <w:t xml:space="preserve"> &amp; Franzel, 2012).</w:t>
      </w:r>
    </w:p>
    <w:p w14:paraId="4D76E889" w14:textId="77777777" w:rsidR="00F3494B" w:rsidRPr="00F3494B" w:rsidRDefault="00F3494B" w:rsidP="00F3494B">
      <w:pPr>
        <w:pStyle w:val="Body"/>
        <w:rPr>
          <w:rFonts w:ascii="Arial" w:hAnsi="Arial" w:cs="Arial"/>
          <w:b/>
          <w:bCs/>
        </w:rPr>
      </w:pPr>
      <w:r w:rsidRPr="00F3494B">
        <w:rPr>
          <w:rFonts w:ascii="Arial" w:hAnsi="Arial" w:cs="Arial"/>
          <w:b/>
          <w:bCs/>
        </w:rPr>
        <w:t>Economic and Social Implications</w:t>
      </w:r>
    </w:p>
    <w:p w14:paraId="65C39BE5" w14:textId="77777777" w:rsidR="00F3494B" w:rsidRPr="00F3494B" w:rsidRDefault="00F3494B" w:rsidP="00F3494B">
      <w:pPr>
        <w:pStyle w:val="Body"/>
        <w:rPr>
          <w:rFonts w:ascii="Arial" w:hAnsi="Arial" w:cs="Arial"/>
        </w:rPr>
      </w:pPr>
      <w:r w:rsidRPr="00F3494B">
        <w:rPr>
          <w:rFonts w:ascii="Arial" w:hAnsi="Arial" w:cs="Arial"/>
        </w:rPr>
        <w:t>Economically, agroforestry offers pathways for livelihood diversification and poverty alleviation. By combining crops, trees, and livestock, farmers can spread risks and gain multiple income streams throughout the year. Market-oriented agroforestry, such as cacao, coffee, bamboo, or fruit-tree integration, has shown potential to increase smallholder income by 20–40% over monocropping systems (Sida, Kumar, &amp; Singh, 2022). Such outcomes can strengthen rural economies while contributing to national food security and environmental restoration.</w:t>
      </w:r>
    </w:p>
    <w:p w14:paraId="1C408F03" w14:textId="77777777" w:rsidR="00F3494B" w:rsidRPr="00F3494B" w:rsidRDefault="00F3494B" w:rsidP="00F3494B">
      <w:pPr>
        <w:pStyle w:val="Body"/>
        <w:rPr>
          <w:rFonts w:ascii="Arial" w:hAnsi="Arial" w:cs="Arial"/>
        </w:rPr>
      </w:pPr>
      <w:r w:rsidRPr="00F3494B">
        <w:rPr>
          <w:rFonts w:ascii="Arial" w:hAnsi="Arial" w:cs="Arial"/>
        </w:rPr>
        <w:t>Socially, agroforestry reinforces community cohesion and collective resilience. When implemented through farmer associations or cooperatives, it encourages peer learning, resource sharing, and shared stewardship of natural resources (Landicho et al., 2016). This collective approach builds adaptive capacity not just at the household level but across entire communities.</w:t>
      </w:r>
    </w:p>
    <w:p w14:paraId="73BB325D" w14:textId="77777777" w:rsidR="00F3494B" w:rsidRPr="00F3494B" w:rsidRDefault="00F3494B" w:rsidP="00F3494B">
      <w:pPr>
        <w:pStyle w:val="Body"/>
        <w:rPr>
          <w:rFonts w:ascii="Arial" w:hAnsi="Arial" w:cs="Arial"/>
          <w:b/>
          <w:bCs/>
        </w:rPr>
      </w:pPr>
      <w:r w:rsidRPr="00F3494B">
        <w:rPr>
          <w:rFonts w:ascii="Arial" w:hAnsi="Arial" w:cs="Arial"/>
          <w:b/>
          <w:bCs/>
        </w:rPr>
        <w:t>Research and Knowledge Implications</w:t>
      </w:r>
    </w:p>
    <w:p w14:paraId="6F88168A" w14:textId="77777777" w:rsidR="00F3494B" w:rsidRPr="00F3494B" w:rsidRDefault="00F3494B" w:rsidP="00F3494B">
      <w:pPr>
        <w:pStyle w:val="Body"/>
        <w:rPr>
          <w:rFonts w:ascii="Arial" w:hAnsi="Arial" w:cs="Arial"/>
        </w:rPr>
      </w:pPr>
      <w:r w:rsidRPr="00F3494B">
        <w:rPr>
          <w:rFonts w:ascii="Arial" w:hAnsi="Arial" w:cs="Arial"/>
        </w:rPr>
        <w:t xml:space="preserve">From a research standpoint, the synthesis of Philippine and international evidence highlights the need for transdisciplinary, long-term studies. Future research should bridge the biophysical, social, and policy dimensions of agroforestry, combining quantitative metrics (e.g., carbon sequestration, yield gains) with qualitative insights (e.g., farmers’ motivations, cultural influences). There is also a need to develop locally validated models for quantifying </w:t>
      </w:r>
      <w:r w:rsidRPr="00F3494B">
        <w:rPr>
          <w:rFonts w:ascii="Arial" w:hAnsi="Arial" w:cs="Arial"/>
        </w:rPr>
        <w:lastRenderedPageBreak/>
        <w:t>carbon and ecosystem service benefits under different agroforestry configurations (</w:t>
      </w:r>
      <w:proofErr w:type="spellStart"/>
      <w:r w:rsidRPr="00F3494B">
        <w:rPr>
          <w:rFonts w:ascii="Arial" w:hAnsi="Arial" w:cs="Arial"/>
        </w:rPr>
        <w:t>Beillouin</w:t>
      </w:r>
      <w:proofErr w:type="spellEnd"/>
      <w:r w:rsidRPr="00F3494B">
        <w:rPr>
          <w:rFonts w:ascii="Arial" w:hAnsi="Arial" w:cs="Arial"/>
        </w:rPr>
        <w:t xml:space="preserve">, Ben-Ari, Makowski, &amp; </w:t>
      </w:r>
      <w:proofErr w:type="spellStart"/>
      <w:r w:rsidRPr="00F3494B">
        <w:rPr>
          <w:rFonts w:ascii="Arial" w:hAnsi="Arial" w:cs="Arial"/>
        </w:rPr>
        <w:t>Malézieux</w:t>
      </w:r>
      <w:proofErr w:type="spellEnd"/>
      <w:r w:rsidRPr="00F3494B">
        <w:rPr>
          <w:rFonts w:ascii="Arial" w:hAnsi="Arial" w:cs="Arial"/>
        </w:rPr>
        <w:t>, 2020).</w:t>
      </w:r>
    </w:p>
    <w:p w14:paraId="3CD155F5" w14:textId="52D5969B" w:rsidR="00F3494B" w:rsidRDefault="00F3494B" w:rsidP="00F3494B">
      <w:pPr>
        <w:pStyle w:val="Body"/>
        <w:spacing w:after="0"/>
        <w:rPr>
          <w:rFonts w:ascii="Arial" w:hAnsi="Arial" w:cs="Arial"/>
        </w:rPr>
      </w:pPr>
      <w:r w:rsidRPr="00F3494B">
        <w:rPr>
          <w:rFonts w:ascii="Arial" w:hAnsi="Arial" w:cs="Arial"/>
        </w:rPr>
        <w:t>Ultimately, agroforestry embodies what climate action must become: an integration of science, culture, and empathy. Its success depends on how well institutions can translate data and policies into real, lived improvements for the farmers who stand at the frontline of climate change.</w:t>
      </w:r>
    </w:p>
    <w:p w14:paraId="7D35FF4B" w14:textId="77777777" w:rsidR="00F3494B" w:rsidRDefault="00F3494B" w:rsidP="00F3494B">
      <w:pPr>
        <w:pStyle w:val="Body"/>
        <w:spacing w:after="0"/>
        <w:rPr>
          <w:rFonts w:ascii="Arial" w:hAnsi="Arial" w:cs="Arial"/>
        </w:rPr>
      </w:pPr>
    </w:p>
    <w:p w14:paraId="0838DD1C" w14:textId="724AE9E4" w:rsidR="00F3494B" w:rsidRDefault="00F3494B" w:rsidP="00F3494B">
      <w:pPr>
        <w:pStyle w:val="Head1"/>
        <w:spacing w:after="0"/>
        <w:jc w:val="both"/>
        <w:rPr>
          <w:rFonts w:ascii="Arial" w:hAnsi="Arial" w:cs="Arial"/>
        </w:rPr>
      </w:pPr>
      <w:r>
        <w:rPr>
          <w:rFonts w:ascii="Arial" w:hAnsi="Arial" w:cs="Arial"/>
        </w:rPr>
        <w:t>1</w:t>
      </w:r>
      <w:r w:rsidR="00B211CC">
        <w:rPr>
          <w:rFonts w:ascii="Arial" w:hAnsi="Arial" w:cs="Arial"/>
        </w:rPr>
        <w:t>2</w:t>
      </w:r>
      <w:r>
        <w:rPr>
          <w:rFonts w:ascii="Arial" w:hAnsi="Arial" w:cs="Arial"/>
        </w:rPr>
        <w:t>. CONCLUSION</w:t>
      </w:r>
    </w:p>
    <w:p w14:paraId="08872A88" w14:textId="77777777" w:rsidR="00F3494B" w:rsidRPr="00FB3A86" w:rsidRDefault="00F3494B" w:rsidP="00F3494B">
      <w:pPr>
        <w:pStyle w:val="Head1"/>
        <w:spacing w:after="0"/>
        <w:jc w:val="both"/>
        <w:rPr>
          <w:rFonts w:ascii="Arial" w:hAnsi="Arial" w:cs="Arial"/>
        </w:rPr>
      </w:pPr>
    </w:p>
    <w:p w14:paraId="646F7F6C" w14:textId="77777777" w:rsidR="00B211CC" w:rsidRPr="00B211CC" w:rsidRDefault="00B211CC" w:rsidP="00F16DFA">
      <w:pPr>
        <w:jc w:val="both"/>
        <w:rPr>
          <w:rFonts w:ascii="Arial" w:hAnsi="Arial" w:cs="Arial"/>
        </w:rPr>
      </w:pPr>
      <w:r w:rsidRPr="00B211CC">
        <w:rPr>
          <w:rFonts w:ascii="Arial" w:hAnsi="Arial" w:cs="Arial"/>
        </w:rPr>
        <w:t>This review highlights the vital role of agroforestry as an integrated adaptation and mitigation strategy for smallholder farmers in the Philippines. The evidence demonstrates that while farmers possess strong awareness and positive attitudes toward agroforestry, adoption remains constrained by economic limitations, tenure insecurity, and institutional gaps. These barriers prevent the full realization of agroforestry’s ecological and livelihood potential.</w:t>
      </w:r>
    </w:p>
    <w:p w14:paraId="247850DD" w14:textId="77777777" w:rsidR="00B211CC" w:rsidRPr="00B211CC" w:rsidRDefault="00B211CC" w:rsidP="00F16DFA">
      <w:pPr>
        <w:jc w:val="both"/>
        <w:rPr>
          <w:rFonts w:ascii="Arial" w:hAnsi="Arial" w:cs="Arial"/>
        </w:rPr>
      </w:pPr>
    </w:p>
    <w:p w14:paraId="36C30713" w14:textId="77777777" w:rsidR="00B211CC" w:rsidRPr="00B211CC" w:rsidRDefault="00B211CC" w:rsidP="00F16DFA">
      <w:pPr>
        <w:jc w:val="both"/>
        <w:rPr>
          <w:rFonts w:ascii="Arial" w:hAnsi="Arial" w:cs="Arial"/>
        </w:rPr>
      </w:pPr>
      <w:r w:rsidRPr="00B211CC">
        <w:rPr>
          <w:rFonts w:ascii="Arial" w:hAnsi="Arial" w:cs="Arial"/>
        </w:rPr>
        <w:t>Synthesis of recent studies reveals that agroforestry practices can increase soil organic carbon by up to 20 %, stabilize yields by more than 20 %, and store 156–250 t CO</w:t>
      </w:r>
      <w:r w:rsidRPr="00B211CC">
        <w:rPr>
          <w:rFonts w:ascii="Cambria Math" w:hAnsi="Cambria Math" w:cs="Cambria Math"/>
        </w:rPr>
        <w:t>₂</w:t>
      </w:r>
      <w:r w:rsidRPr="00B211CC">
        <w:rPr>
          <w:rFonts w:ascii="Arial" w:hAnsi="Arial" w:cs="Arial"/>
        </w:rPr>
        <w:t xml:space="preserve"> ha</w:t>
      </w:r>
      <w:r w:rsidRPr="00B211CC">
        <w:rPr>
          <w:rFonts w:ascii="Cambria Math" w:hAnsi="Cambria Math" w:cs="Cambria Math"/>
        </w:rPr>
        <w:t>⁻</w:t>
      </w:r>
      <w:r w:rsidRPr="00B211CC">
        <w:rPr>
          <w:rFonts w:ascii="Arial" w:hAnsi="Arial" w:cs="Arial"/>
        </w:rPr>
        <w:t>¹, underscoring its contribution to both climate resilience and carbon mitigation. Beyond these quantifiable benefits, agroforestry strengthens community-based adaptation and supports the country’s Nationally Determined Contributions (NDCs) under the Paris Agreement.</w:t>
      </w:r>
    </w:p>
    <w:p w14:paraId="72F3471B" w14:textId="77777777" w:rsidR="00B211CC" w:rsidRPr="00B211CC" w:rsidRDefault="00B211CC" w:rsidP="00F16DFA">
      <w:pPr>
        <w:jc w:val="both"/>
        <w:rPr>
          <w:rFonts w:ascii="Arial" w:hAnsi="Arial" w:cs="Arial"/>
        </w:rPr>
      </w:pPr>
    </w:p>
    <w:p w14:paraId="1BC895C4" w14:textId="79FBC387" w:rsidR="00D75F33" w:rsidRPr="00D75F33" w:rsidRDefault="00B211CC" w:rsidP="00F16DFA">
      <w:pPr>
        <w:jc w:val="both"/>
      </w:pPr>
      <w:r w:rsidRPr="00B211CC">
        <w:rPr>
          <w:rFonts w:ascii="Arial" w:hAnsi="Arial" w:cs="Arial"/>
        </w:rPr>
        <w:t>Future research should prioritize long-term field assessments, socioeconomic impact analyses, and gender-inclusive adoption studies to deepen understanding and guide sustainable implementation. Agroforestry must be mainstreamed not only as a farming practice but as a national climate action pathway linking ecological stability and rural development.</w:t>
      </w:r>
    </w:p>
    <w:p w14:paraId="65326D00" w14:textId="77777777" w:rsidR="00D75F33" w:rsidRDefault="00D75F33" w:rsidP="00441B6F">
      <w:pPr>
        <w:pStyle w:val="ReferHead"/>
        <w:spacing w:after="0"/>
        <w:jc w:val="both"/>
        <w:rPr>
          <w:rFonts w:ascii="Arial" w:hAnsi="Arial" w:cs="Arial"/>
          <w:b w:val="0"/>
          <w:caps w:val="0"/>
          <w:sz w:val="20"/>
        </w:rPr>
      </w:pPr>
    </w:p>
    <w:p w14:paraId="2DE52E66" w14:textId="77777777" w:rsidR="00417EDC" w:rsidRDefault="00417EDC" w:rsidP="00417EDC">
      <w:r>
        <w:t>Disclaimer (Artificial intelligence)</w:t>
      </w:r>
    </w:p>
    <w:p w14:paraId="37B43634" w14:textId="77777777" w:rsidR="00371FB6" w:rsidRPr="00371FB6" w:rsidRDefault="00371FB6" w:rsidP="00441B6F">
      <w:pPr>
        <w:pStyle w:val="ReferHead"/>
        <w:spacing w:after="0"/>
        <w:jc w:val="both"/>
        <w:rPr>
          <w:rFonts w:ascii="Arial" w:hAnsi="Arial" w:cs="Arial"/>
          <w:bCs/>
        </w:rPr>
      </w:pPr>
    </w:p>
    <w:p w14:paraId="12F861A5" w14:textId="48B7B215" w:rsidR="002B685A" w:rsidRPr="00D75F33" w:rsidRDefault="00D75F33" w:rsidP="00441B6F">
      <w:pPr>
        <w:pStyle w:val="ReferHead"/>
        <w:spacing w:after="0"/>
        <w:jc w:val="both"/>
        <w:rPr>
          <w:rFonts w:ascii="Arial" w:hAnsi="Arial" w:cs="Arial"/>
          <w:b w:val="0"/>
          <w:caps w:val="0"/>
          <w:sz w:val="20"/>
        </w:rPr>
      </w:pPr>
      <w:r w:rsidRPr="00D75F33">
        <w:rPr>
          <w:rFonts w:ascii="Arial" w:hAnsi="Arial" w:cs="Arial"/>
          <w:b w:val="0"/>
          <w:caps w:val="0"/>
          <w:sz w:val="20"/>
        </w:rPr>
        <w:t>We declare that no artificial intelligence (AI) tools were used in writing, analyzing, or producing any part of this review. All ideas, interpretations, and conclusions presented are the result of our group’s independent effort, based solely on the cited sources and our own critical analysis.</w:t>
      </w:r>
    </w:p>
    <w:p w14:paraId="1FB8C902" w14:textId="77777777" w:rsidR="00860000" w:rsidRDefault="00860000" w:rsidP="00441B6F">
      <w:pPr>
        <w:pStyle w:val="ReferHead"/>
        <w:spacing w:after="0"/>
        <w:jc w:val="both"/>
        <w:rPr>
          <w:rFonts w:ascii="Arial" w:hAnsi="Arial" w:cs="Arial"/>
        </w:rPr>
      </w:pPr>
    </w:p>
    <w:p w14:paraId="0F041EF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C9A8271" w14:textId="77777777" w:rsidR="00A56C73" w:rsidRPr="00A56C73" w:rsidRDefault="00A56C73" w:rsidP="00922BBA">
      <w:pPr>
        <w:jc w:val="both"/>
        <w:rPr>
          <w:rFonts w:ascii="Arial" w:hAnsi="Arial" w:cs="Arial"/>
        </w:rPr>
      </w:pPr>
    </w:p>
    <w:p w14:paraId="15505CFD" w14:textId="77777777" w:rsidR="004D4277" w:rsidRPr="002D1CF8" w:rsidRDefault="00922BBA" w:rsidP="002D1CF8">
      <w:pPr>
        <w:ind w:left="720" w:hanging="720"/>
        <w:jc w:val="both"/>
        <w:rPr>
          <w:rFonts w:ascii="Arial" w:hAnsi="Arial" w:cs="Arial"/>
        </w:rPr>
      </w:pPr>
      <w:r w:rsidRPr="002D1CF8">
        <w:rPr>
          <w:rFonts w:ascii="Arial" w:hAnsi="Arial" w:cs="Arial"/>
        </w:rPr>
        <w:t xml:space="preserve">Abebaw, S. E., </w:t>
      </w:r>
      <w:proofErr w:type="spellStart"/>
      <w:r w:rsidRPr="002D1CF8">
        <w:rPr>
          <w:rFonts w:ascii="Arial" w:hAnsi="Arial" w:cs="Arial"/>
        </w:rPr>
        <w:t>Yeshiwas</w:t>
      </w:r>
      <w:proofErr w:type="spellEnd"/>
      <w:r w:rsidRPr="002D1CF8">
        <w:rPr>
          <w:rFonts w:ascii="Arial" w:hAnsi="Arial" w:cs="Arial"/>
        </w:rPr>
        <w:t xml:space="preserve">, E. M., &amp; Feleke, T. G. (2025). </w:t>
      </w:r>
      <w:r w:rsidRPr="002D1CF8">
        <w:rPr>
          <w:rFonts w:ascii="Arial" w:hAnsi="Arial" w:cs="Arial"/>
          <w:i/>
          <w:iCs/>
        </w:rPr>
        <w:t>A systematic review on the role of agroforestry practices in climate change mitigation and adaptation.</w:t>
      </w:r>
      <w:r w:rsidRPr="002D1CF8">
        <w:rPr>
          <w:rFonts w:ascii="Arial" w:hAnsi="Arial" w:cs="Arial"/>
        </w:rPr>
        <w:t xml:space="preserve"> </w:t>
      </w:r>
      <w:r w:rsidRPr="002D1CF8">
        <w:rPr>
          <w:rFonts w:ascii="Arial" w:hAnsi="Arial" w:cs="Arial"/>
          <w:i/>
          <w:iCs/>
        </w:rPr>
        <w:t>Climate Resilience and Sustainability, 4</w:t>
      </w:r>
      <w:r w:rsidRPr="002D1CF8">
        <w:rPr>
          <w:rFonts w:ascii="Arial" w:hAnsi="Arial" w:cs="Arial"/>
        </w:rPr>
        <w:t xml:space="preserve">(2), e70018. </w:t>
      </w:r>
      <w:hyperlink r:id="rId10" w:tgtFrame="_new" w:history="1">
        <w:r w:rsidRPr="002D1CF8">
          <w:rPr>
            <w:rStyle w:val="Hyperlink"/>
            <w:rFonts w:ascii="Arial" w:hAnsi="Arial" w:cs="Arial"/>
            <w:color w:val="auto"/>
            <w:u w:val="none"/>
          </w:rPr>
          <w:t>https://doi.org/10.1002/cli2.70018</w:t>
        </w:r>
      </w:hyperlink>
    </w:p>
    <w:p w14:paraId="32C2B8CB" w14:textId="77777777" w:rsidR="00922BBA" w:rsidRPr="002D1CF8" w:rsidRDefault="00922BBA" w:rsidP="002D1CF8">
      <w:pPr>
        <w:ind w:left="720" w:hanging="720"/>
        <w:jc w:val="both"/>
        <w:rPr>
          <w:rFonts w:ascii="Arial" w:hAnsi="Arial" w:cs="Arial"/>
        </w:rPr>
      </w:pPr>
    </w:p>
    <w:p w14:paraId="4B524F79" w14:textId="77777777" w:rsidR="00922BBA" w:rsidRPr="002D1CF8" w:rsidRDefault="00922BBA" w:rsidP="002D1CF8">
      <w:pPr>
        <w:ind w:left="720" w:hanging="720"/>
        <w:jc w:val="both"/>
        <w:rPr>
          <w:rFonts w:ascii="Arial" w:hAnsi="Arial" w:cs="Arial"/>
        </w:rPr>
      </w:pPr>
    </w:p>
    <w:p w14:paraId="343DBC94" w14:textId="77777777" w:rsidR="00922BBA" w:rsidRPr="002D1CF8" w:rsidRDefault="00922BBA" w:rsidP="002D1CF8">
      <w:pPr>
        <w:ind w:left="720" w:hanging="720"/>
        <w:jc w:val="both"/>
        <w:rPr>
          <w:rFonts w:ascii="Arial" w:hAnsi="Arial" w:cs="Arial"/>
        </w:rPr>
      </w:pPr>
      <w:r w:rsidRPr="00922BBA">
        <w:rPr>
          <w:rFonts w:ascii="Arial" w:hAnsi="Arial" w:cs="Arial"/>
          <w:lang w:val="en-PH"/>
        </w:rPr>
        <w:t xml:space="preserve">Ajayi, O. C., Akinnifesi, F. K., Sileshi, G. W., &amp; </w:t>
      </w:r>
      <w:proofErr w:type="spellStart"/>
      <w:r w:rsidRPr="00922BBA">
        <w:rPr>
          <w:rFonts w:ascii="Arial" w:hAnsi="Arial" w:cs="Arial"/>
          <w:lang w:val="en-PH"/>
        </w:rPr>
        <w:t>Chakeredza</w:t>
      </w:r>
      <w:proofErr w:type="spellEnd"/>
      <w:r w:rsidRPr="00922BBA">
        <w:rPr>
          <w:rFonts w:ascii="Arial" w:hAnsi="Arial" w:cs="Arial"/>
          <w:lang w:val="en-PH"/>
        </w:rPr>
        <w:t xml:space="preserve">, S. (2011). Adoption of renewable soil fertility replenishment technologies in the southern African region: Lessons learnt and the way forward. </w:t>
      </w:r>
      <w:r w:rsidRPr="00922BBA">
        <w:rPr>
          <w:rFonts w:ascii="Arial" w:hAnsi="Arial" w:cs="Arial"/>
          <w:i/>
          <w:iCs/>
          <w:lang w:val="en-PH"/>
        </w:rPr>
        <w:t>Natural Resources Forum, 35</w:t>
      </w:r>
      <w:r w:rsidRPr="00922BBA">
        <w:rPr>
          <w:rFonts w:ascii="Arial" w:hAnsi="Arial" w:cs="Arial"/>
          <w:lang w:val="en-PH"/>
        </w:rPr>
        <w:t xml:space="preserve">(3), 140–151. </w:t>
      </w:r>
      <w:hyperlink r:id="rId11" w:tgtFrame="_new" w:history="1">
        <w:r w:rsidRPr="00922BBA">
          <w:rPr>
            <w:rStyle w:val="Hyperlink"/>
            <w:rFonts w:ascii="Arial" w:hAnsi="Arial" w:cs="Arial"/>
            <w:color w:val="auto"/>
            <w:u w:val="none"/>
            <w:lang w:val="en-PH"/>
          </w:rPr>
          <w:t>https://doi.org/10.1111/j.1477-8947.2011.01386.x</w:t>
        </w:r>
      </w:hyperlink>
    </w:p>
    <w:p w14:paraId="37B1EBB3" w14:textId="77777777" w:rsidR="00922BBA" w:rsidRPr="00922BBA" w:rsidRDefault="00922BBA" w:rsidP="002D1CF8">
      <w:pPr>
        <w:ind w:left="720" w:hanging="720"/>
        <w:jc w:val="both"/>
        <w:rPr>
          <w:rFonts w:ascii="Arial" w:hAnsi="Arial" w:cs="Arial"/>
          <w:lang w:val="en-PH"/>
        </w:rPr>
      </w:pPr>
    </w:p>
    <w:p w14:paraId="3F785867" w14:textId="5EDE3EE3"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Becker, A., Wegner, J. D., </w:t>
      </w:r>
      <w:proofErr w:type="spellStart"/>
      <w:r w:rsidRPr="00922BBA">
        <w:rPr>
          <w:rFonts w:ascii="Arial" w:hAnsi="Arial" w:cs="Arial"/>
          <w:lang w:val="en-PH"/>
        </w:rPr>
        <w:t>Dawoe</w:t>
      </w:r>
      <w:proofErr w:type="spellEnd"/>
      <w:r w:rsidRPr="00922BBA">
        <w:rPr>
          <w:rFonts w:ascii="Arial" w:hAnsi="Arial" w:cs="Arial"/>
          <w:lang w:val="en-PH"/>
        </w:rPr>
        <w:t xml:space="preserve">, E., Schindler, K., Thompson, W. J., Blaser-Hart, W., … Garrett, R. D. (2024). The </w:t>
      </w:r>
      <w:proofErr w:type="spellStart"/>
      <w:r w:rsidRPr="00922BBA">
        <w:rPr>
          <w:rFonts w:ascii="Arial" w:hAnsi="Arial" w:cs="Arial"/>
          <w:lang w:val="en-PH"/>
        </w:rPr>
        <w:t>unrealised</w:t>
      </w:r>
      <w:proofErr w:type="spellEnd"/>
      <w:r w:rsidRPr="00922BBA">
        <w:rPr>
          <w:rFonts w:ascii="Arial" w:hAnsi="Arial" w:cs="Arial"/>
          <w:lang w:val="en-PH"/>
        </w:rPr>
        <w:t xml:space="preserve"> potential of agroforestry for an emissions-intensive agricultural commodity. </w:t>
      </w:r>
      <w:r w:rsidRPr="00922BBA">
        <w:rPr>
          <w:rFonts w:ascii="Arial" w:hAnsi="Arial" w:cs="Arial"/>
          <w:i/>
          <w:iCs/>
          <w:lang w:val="en-PH"/>
        </w:rPr>
        <w:t>Environmental Research Letters, 19</w:t>
      </w:r>
      <w:r w:rsidRPr="00922BBA">
        <w:rPr>
          <w:rFonts w:ascii="Arial" w:hAnsi="Arial" w:cs="Arial"/>
          <w:lang w:val="en-PH"/>
        </w:rPr>
        <w:t xml:space="preserve">(3), 035002. </w:t>
      </w:r>
      <w:hyperlink r:id="rId12" w:history="1">
        <w:r w:rsidRPr="00922BBA">
          <w:rPr>
            <w:rStyle w:val="Hyperlink"/>
            <w:rFonts w:ascii="Arial" w:hAnsi="Arial" w:cs="Arial"/>
            <w:color w:val="auto"/>
            <w:u w:val="none"/>
            <w:lang w:val="en-PH"/>
          </w:rPr>
          <w:t>https://doi.org/10.1088/1748-9326/ad2b45</w:t>
        </w:r>
      </w:hyperlink>
    </w:p>
    <w:p w14:paraId="46FB1DAA" w14:textId="77777777" w:rsidR="00922BBA" w:rsidRPr="00922BBA" w:rsidRDefault="00922BBA" w:rsidP="002D1CF8">
      <w:pPr>
        <w:ind w:left="720" w:hanging="720"/>
        <w:jc w:val="both"/>
        <w:rPr>
          <w:rFonts w:ascii="Arial" w:hAnsi="Arial" w:cs="Arial"/>
          <w:lang w:val="en-PH"/>
        </w:rPr>
      </w:pPr>
    </w:p>
    <w:p w14:paraId="06E42AB5" w14:textId="77777777" w:rsidR="00922BBA" w:rsidRPr="002D1CF8" w:rsidRDefault="00922BBA" w:rsidP="002D1CF8">
      <w:pPr>
        <w:ind w:left="720" w:hanging="720"/>
        <w:jc w:val="both"/>
        <w:rPr>
          <w:rFonts w:ascii="Arial" w:hAnsi="Arial" w:cs="Arial"/>
        </w:rPr>
      </w:pPr>
      <w:proofErr w:type="spellStart"/>
      <w:r w:rsidRPr="00922BBA">
        <w:rPr>
          <w:rFonts w:ascii="Arial" w:hAnsi="Arial" w:cs="Arial"/>
          <w:lang w:val="en-PH"/>
        </w:rPr>
        <w:t>Beillouin</w:t>
      </w:r>
      <w:proofErr w:type="spellEnd"/>
      <w:r w:rsidRPr="00922BBA">
        <w:rPr>
          <w:rFonts w:ascii="Arial" w:hAnsi="Arial" w:cs="Arial"/>
          <w:lang w:val="en-PH"/>
        </w:rPr>
        <w:t xml:space="preserve">, D., Ben-Ari, T., Makowski, D., &amp; </w:t>
      </w:r>
      <w:proofErr w:type="spellStart"/>
      <w:r w:rsidRPr="00922BBA">
        <w:rPr>
          <w:rFonts w:ascii="Arial" w:hAnsi="Arial" w:cs="Arial"/>
          <w:lang w:val="en-PH"/>
        </w:rPr>
        <w:t>Malézieux</w:t>
      </w:r>
      <w:proofErr w:type="spellEnd"/>
      <w:r w:rsidRPr="00922BBA">
        <w:rPr>
          <w:rFonts w:ascii="Arial" w:hAnsi="Arial" w:cs="Arial"/>
          <w:lang w:val="en-PH"/>
        </w:rPr>
        <w:t xml:space="preserve">, E. (2020). Positive but variable effects of agroforestry on soil health and biodiversity: A global meta-analysis. </w:t>
      </w:r>
      <w:r w:rsidRPr="00922BBA">
        <w:rPr>
          <w:rFonts w:ascii="Arial" w:hAnsi="Arial" w:cs="Arial"/>
          <w:i/>
          <w:iCs/>
          <w:lang w:val="en-PH"/>
        </w:rPr>
        <w:t xml:space="preserve">Agriculture, </w:t>
      </w:r>
      <w:r w:rsidRPr="00922BBA">
        <w:rPr>
          <w:rFonts w:ascii="Arial" w:hAnsi="Arial" w:cs="Arial"/>
          <w:i/>
          <w:iCs/>
          <w:lang w:val="en-PH"/>
        </w:rPr>
        <w:lastRenderedPageBreak/>
        <w:t>Ecosystems &amp; Environment, 295</w:t>
      </w:r>
      <w:r w:rsidRPr="00922BBA">
        <w:rPr>
          <w:rFonts w:ascii="Arial" w:hAnsi="Arial" w:cs="Arial"/>
          <w:lang w:val="en-PH"/>
        </w:rPr>
        <w:t xml:space="preserve">, 106892. </w:t>
      </w:r>
      <w:hyperlink r:id="rId13" w:tgtFrame="_new" w:history="1">
        <w:r w:rsidRPr="00922BBA">
          <w:rPr>
            <w:rStyle w:val="Hyperlink"/>
            <w:rFonts w:ascii="Arial" w:hAnsi="Arial" w:cs="Arial"/>
            <w:color w:val="auto"/>
            <w:u w:val="none"/>
            <w:lang w:val="en-PH"/>
          </w:rPr>
          <w:t>https://doi.org/10.1016/j.agee.2020.106892</w:t>
        </w:r>
      </w:hyperlink>
    </w:p>
    <w:p w14:paraId="6505A02A" w14:textId="77777777" w:rsidR="00922BBA" w:rsidRPr="00922BBA" w:rsidRDefault="00922BBA" w:rsidP="002D1CF8">
      <w:pPr>
        <w:ind w:left="720" w:hanging="720"/>
        <w:jc w:val="both"/>
        <w:rPr>
          <w:rFonts w:ascii="Arial" w:hAnsi="Arial" w:cs="Arial"/>
          <w:lang w:val="en-PH"/>
        </w:rPr>
      </w:pPr>
    </w:p>
    <w:p w14:paraId="7A471992" w14:textId="437FC99D"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Bogale, G. A., Leta, H., &amp; Berhane, G. (2023). Sustainability of agroforestry practices and their resilience to climate change adaptation and mitigation in Sub-Saharan Africa: A review. </w:t>
      </w:r>
      <w:proofErr w:type="spellStart"/>
      <w:r w:rsidRPr="00922BBA">
        <w:rPr>
          <w:rFonts w:ascii="Arial" w:hAnsi="Arial" w:cs="Arial"/>
          <w:i/>
          <w:iCs/>
          <w:lang w:val="en-PH"/>
        </w:rPr>
        <w:t>Ekológia</w:t>
      </w:r>
      <w:proofErr w:type="spellEnd"/>
      <w:r w:rsidRPr="00922BBA">
        <w:rPr>
          <w:rFonts w:ascii="Arial" w:hAnsi="Arial" w:cs="Arial"/>
          <w:i/>
          <w:iCs/>
          <w:lang w:val="en-PH"/>
        </w:rPr>
        <w:t xml:space="preserve"> (Bratislava), 42</w:t>
      </w:r>
      <w:r w:rsidRPr="00922BBA">
        <w:rPr>
          <w:rFonts w:ascii="Arial" w:hAnsi="Arial" w:cs="Arial"/>
          <w:lang w:val="en-PH"/>
        </w:rPr>
        <w:t xml:space="preserve">(2), 179–192. </w:t>
      </w:r>
      <w:hyperlink r:id="rId14" w:history="1">
        <w:r w:rsidRPr="00922BBA">
          <w:rPr>
            <w:rStyle w:val="Hyperlink"/>
            <w:rFonts w:ascii="Arial" w:hAnsi="Arial" w:cs="Arial"/>
            <w:color w:val="auto"/>
            <w:u w:val="none"/>
            <w:lang w:val="en-PH"/>
          </w:rPr>
          <w:t>https://doi.org/10.2478/eko-2023-0021</w:t>
        </w:r>
      </w:hyperlink>
    </w:p>
    <w:p w14:paraId="21FF16E5" w14:textId="77777777" w:rsidR="00922BBA" w:rsidRPr="00922BBA" w:rsidRDefault="00922BBA" w:rsidP="002D1CF8">
      <w:pPr>
        <w:ind w:left="720" w:hanging="720"/>
        <w:jc w:val="both"/>
        <w:rPr>
          <w:rFonts w:ascii="Arial" w:hAnsi="Arial" w:cs="Arial"/>
          <w:lang w:val="en-PH"/>
        </w:rPr>
      </w:pPr>
    </w:p>
    <w:p w14:paraId="466CC979" w14:textId="15EAD54D"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Department of Environment and Natural Resources (DENR). (2022). </w:t>
      </w:r>
      <w:r w:rsidRPr="00922BBA">
        <w:rPr>
          <w:rFonts w:ascii="Arial" w:hAnsi="Arial" w:cs="Arial"/>
          <w:i/>
          <w:iCs/>
          <w:lang w:val="en-PH"/>
        </w:rPr>
        <w:t>Nationally determined contributions implementation plan 2023–2030.</w:t>
      </w:r>
      <w:r w:rsidRPr="00922BBA">
        <w:rPr>
          <w:rFonts w:ascii="Arial" w:hAnsi="Arial" w:cs="Arial"/>
          <w:lang w:val="en-PH"/>
        </w:rPr>
        <w:t xml:space="preserve"> Climate Change Service, Quezon City, Philippines.</w:t>
      </w:r>
    </w:p>
    <w:p w14:paraId="1FEDD5C3" w14:textId="77777777" w:rsidR="00922BBA" w:rsidRPr="002D1CF8" w:rsidRDefault="00922BBA" w:rsidP="002D1CF8">
      <w:pPr>
        <w:ind w:left="720" w:hanging="720"/>
        <w:jc w:val="both"/>
        <w:rPr>
          <w:rFonts w:ascii="Arial" w:hAnsi="Arial" w:cs="Arial"/>
        </w:rPr>
      </w:pPr>
    </w:p>
    <w:p w14:paraId="4B56768A" w14:textId="7672A0F4"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Dittmer, K. M., Rose, S., Snapp, S. S., Kebede, Y., Brickman, S., Shelton, S., … Wollenberg, E. (2023). Agroecology can promote climate change adaptation outcomes without compromising yield in smallholder systems. </w:t>
      </w:r>
      <w:r w:rsidRPr="00922BBA">
        <w:rPr>
          <w:rFonts w:ascii="Arial" w:hAnsi="Arial" w:cs="Arial"/>
          <w:i/>
          <w:iCs/>
          <w:lang w:val="en-PH"/>
        </w:rPr>
        <w:t>Environmental Management, 72</w:t>
      </w:r>
      <w:r w:rsidRPr="00922BBA">
        <w:rPr>
          <w:rFonts w:ascii="Arial" w:hAnsi="Arial" w:cs="Arial"/>
          <w:lang w:val="en-PH"/>
        </w:rPr>
        <w:t xml:space="preserve">(2), 333–342. </w:t>
      </w:r>
      <w:hyperlink r:id="rId15" w:history="1">
        <w:r w:rsidRPr="00922BBA">
          <w:rPr>
            <w:rStyle w:val="Hyperlink"/>
            <w:rFonts w:ascii="Arial" w:hAnsi="Arial" w:cs="Arial"/>
            <w:color w:val="auto"/>
            <w:u w:val="none"/>
            <w:lang w:val="en-PH"/>
          </w:rPr>
          <w:t>https://doi.org/10.1007/s00267-023-01816-x</w:t>
        </w:r>
      </w:hyperlink>
    </w:p>
    <w:p w14:paraId="0B7CD4E0" w14:textId="77777777" w:rsidR="00922BBA" w:rsidRPr="00922BBA" w:rsidRDefault="00922BBA" w:rsidP="002D1CF8">
      <w:pPr>
        <w:ind w:left="720" w:hanging="720"/>
        <w:jc w:val="both"/>
        <w:rPr>
          <w:rFonts w:ascii="Arial" w:hAnsi="Arial" w:cs="Arial"/>
          <w:lang w:val="en-PH"/>
        </w:rPr>
      </w:pPr>
    </w:p>
    <w:p w14:paraId="4F0E7B2D" w14:textId="77777777"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Evangelista, R. J. P., Cruz, A. C., &amp; Lasco, R. D. (2016). Knowledge, attitude, and practice of smallholder farmers regarding climate change and agroforestry: A case study of farmers in Peñablanca, Cagayan. </w:t>
      </w:r>
      <w:r w:rsidRPr="00922BBA">
        <w:rPr>
          <w:rFonts w:ascii="Arial" w:hAnsi="Arial" w:cs="Arial"/>
          <w:i/>
          <w:iCs/>
          <w:lang w:val="en-PH"/>
        </w:rPr>
        <w:t>Journal of Environmental Science and Management, Special Issue 1</w:t>
      </w:r>
      <w:r w:rsidRPr="00922BBA">
        <w:rPr>
          <w:rFonts w:ascii="Arial" w:hAnsi="Arial" w:cs="Arial"/>
          <w:lang w:val="en-PH"/>
        </w:rPr>
        <w:t>, 42–55.</w:t>
      </w:r>
    </w:p>
    <w:p w14:paraId="6330E6C3" w14:textId="77777777" w:rsidR="00922BBA" w:rsidRPr="00922BBA" w:rsidRDefault="00922BBA" w:rsidP="002D1CF8">
      <w:pPr>
        <w:ind w:left="720" w:hanging="720"/>
        <w:jc w:val="both"/>
        <w:rPr>
          <w:rFonts w:ascii="Arial" w:hAnsi="Arial" w:cs="Arial"/>
          <w:lang w:val="en-PH"/>
        </w:rPr>
      </w:pPr>
    </w:p>
    <w:p w14:paraId="79984E87" w14:textId="77777777" w:rsidR="00922BBA" w:rsidRPr="002D1CF8" w:rsidRDefault="00922BBA" w:rsidP="002D1CF8">
      <w:pPr>
        <w:ind w:left="720" w:hanging="720"/>
        <w:jc w:val="both"/>
        <w:rPr>
          <w:rFonts w:ascii="Arial" w:hAnsi="Arial" w:cs="Arial"/>
        </w:rPr>
      </w:pPr>
      <w:r w:rsidRPr="00922BBA">
        <w:rPr>
          <w:rFonts w:ascii="Arial" w:hAnsi="Arial" w:cs="Arial"/>
          <w:lang w:val="en-PH"/>
        </w:rPr>
        <w:t xml:space="preserve">Galang, E. I. N., &amp; Vaughter, P. (2020). Generational local ecological knowledge on the benefits of an agroforestry landscape in Mindanao, Philippines. </w:t>
      </w:r>
      <w:r w:rsidRPr="00922BBA">
        <w:rPr>
          <w:rFonts w:ascii="Arial" w:hAnsi="Arial" w:cs="Arial"/>
          <w:i/>
          <w:iCs/>
          <w:lang w:val="en-PH"/>
        </w:rPr>
        <w:t>Asian Journal of Agriculture and Development, 17</w:t>
      </w:r>
      <w:r w:rsidRPr="00922BBA">
        <w:rPr>
          <w:rFonts w:ascii="Arial" w:hAnsi="Arial" w:cs="Arial"/>
          <w:lang w:val="en-PH"/>
        </w:rPr>
        <w:t xml:space="preserve">(1), 89–105. </w:t>
      </w:r>
      <w:hyperlink r:id="rId16" w:tgtFrame="_new" w:history="1">
        <w:r w:rsidRPr="00922BBA">
          <w:rPr>
            <w:rStyle w:val="Hyperlink"/>
            <w:rFonts w:ascii="Arial" w:hAnsi="Arial" w:cs="Arial"/>
            <w:color w:val="auto"/>
            <w:u w:val="none"/>
            <w:lang w:val="en-PH"/>
          </w:rPr>
          <w:t>https://doi.org/10.37801/ajad2020.17.1.6</w:t>
        </w:r>
      </w:hyperlink>
    </w:p>
    <w:p w14:paraId="4F171052" w14:textId="77777777" w:rsidR="00922BBA" w:rsidRPr="00922BBA" w:rsidRDefault="00922BBA" w:rsidP="002D1CF8">
      <w:pPr>
        <w:ind w:left="720" w:hanging="720"/>
        <w:jc w:val="both"/>
        <w:rPr>
          <w:rFonts w:ascii="Arial" w:hAnsi="Arial" w:cs="Arial"/>
          <w:lang w:val="en-PH"/>
        </w:rPr>
      </w:pPr>
    </w:p>
    <w:p w14:paraId="6309816F" w14:textId="77777777" w:rsidR="00922BBA" w:rsidRPr="002D1CF8" w:rsidRDefault="00922BBA" w:rsidP="002D1CF8">
      <w:pPr>
        <w:ind w:left="720" w:hanging="720"/>
        <w:jc w:val="both"/>
        <w:rPr>
          <w:rFonts w:ascii="Arial" w:hAnsi="Arial" w:cs="Arial"/>
        </w:rPr>
      </w:pPr>
      <w:r w:rsidRPr="00922BBA">
        <w:rPr>
          <w:rFonts w:ascii="Arial" w:hAnsi="Arial" w:cs="Arial"/>
          <w:lang w:val="en-PH"/>
        </w:rPr>
        <w:t>Garcia-de-</w:t>
      </w:r>
      <w:proofErr w:type="spellStart"/>
      <w:r w:rsidRPr="00922BBA">
        <w:rPr>
          <w:rFonts w:ascii="Arial" w:hAnsi="Arial" w:cs="Arial"/>
          <w:lang w:val="en-PH"/>
        </w:rPr>
        <w:t>Jalón</w:t>
      </w:r>
      <w:proofErr w:type="spellEnd"/>
      <w:r w:rsidRPr="00922BBA">
        <w:rPr>
          <w:rFonts w:ascii="Arial" w:hAnsi="Arial" w:cs="Arial"/>
          <w:lang w:val="en-PH"/>
        </w:rPr>
        <w:t xml:space="preserve">, S., Graves, A. R., &amp; Smith, J. (2024). Agroforestry improves biodiversity and ecosystem services globally: Evidence from 3,075 comparisons. </w:t>
      </w:r>
      <w:r w:rsidRPr="00922BBA">
        <w:rPr>
          <w:rFonts w:ascii="Arial" w:hAnsi="Arial" w:cs="Arial"/>
          <w:i/>
          <w:iCs/>
          <w:lang w:val="en-PH"/>
        </w:rPr>
        <w:t>Ecological Indicators, 160</w:t>
      </w:r>
      <w:r w:rsidRPr="00922BBA">
        <w:rPr>
          <w:rFonts w:ascii="Arial" w:hAnsi="Arial" w:cs="Arial"/>
          <w:lang w:val="en-PH"/>
        </w:rPr>
        <w:t xml:space="preserve">, 112456. </w:t>
      </w:r>
      <w:hyperlink r:id="rId17" w:tgtFrame="_new" w:history="1">
        <w:r w:rsidRPr="00922BBA">
          <w:rPr>
            <w:rStyle w:val="Hyperlink"/>
            <w:rFonts w:ascii="Arial" w:hAnsi="Arial" w:cs="Arial"/>
            <w:color w:val="auto"/>
            <w:u w:val="none"/>
            <w:lang w:val="en-PH"/>
          </w:rPr>
          <w:t>https://doi.org/10.1016/j.ecolind.2024.112456</w:t>
        </w:r>
      </w:hyperlink>
    </w:p>
    <w:p w14:paraId="3DDD1F3D" w14:textId="77777777" w:rsidR="00922BBA" w:rsidRPr="00922BBA" w:rsidRDefault="00922BBA" w:rsidP="002D1CF8">
      <w:pPr>
        <w:ind w:left="720" w:hanging="720"/>
        <w:jc w:val="both"/>
        <w:rPr>
          <w:rFonts w:ascii="Arial" w:hAnsi="Arial" w:cs="Arial"/>
          <w:lang w:val="en-PH"/>
        </w:rPr>
      </w:pPr>
    </w:p>
    <w:p w14:paraId="7EB76AD8" w14:textId="77777777" w:rsidR="00922BBA" w:rsidRPr="00922BBA" w:rsidRDefault="00922BBA" w:rsidP="002D1CF8">
      <w:pPr>
        <w:ind w:left="720" w:hanging="720"/>
        <w:jc w:val="both"/>
        <w:rPr>
          <w:rFonts w:ascii="Arial" w:hAnsi="Arial" w:cs="Arial"/>
          <w:lang w:val="en-PH"/>
        </w:rPr>
      </w:pPr>
      <w:r w:rsidRPr="00922BBA">
        <w:rPr>
          <w:rFonts w:ascii="Arial" w:hAnsi="Arial" w:cs="Arial"/>
          <w:lang w:val="en-PH"/>
        </w:rPr>
        <w:t xml:space="preserve">Gemechu, L. H. (2025). Indigenous agroforestry practices for climate change mitigation and adaptation in Ethiopia: A review. </w:t>
      </w:r>
      <w:r w:rsidRPr="00922BBA">
        <w:rPr>
          <w:rFonts w:ascii="Arial" w:hAnsi="Arial" w:cs="Arial"/>
          <w:i/>
          <w:iCs/>
          <w:lang w:val="en-PH"/>
        </w:rPr>
        <w:t>Journal of Experimental Agriculture International, 47</w:t>
      </w:r>
      <w:r w:rsidRPr="00922BBA">
        <w:rPr>
          <w:rFonts w:ascii="Arial" w:hAnsi="Arial" w:cs="Arial"/>
          <w:lang w:val="en-PH"/>
        </w:rPr>
        <w:t>(3), 327–338. https://doi.org/10.9734/jeai/2025/v47i31423339</w:t>
      </w:r>
    </w:p>
    <w:p w14:paraId="29750C37" w14:textId="77777777" w:rsidR="00922BBA" w:rsidRPr="002D1CF8" w:rsidRDefault="00922BBA" w:rsidP="002D1CF8">
      <w:pPr>
        <w:ind w:left="720" w:hanging="720"/>
        <w:jc w:val="both"/>
        <w:rPr>
          <w:rFonts w:ascii="Arial" w:hAnsi="Arial" w:cs="Arial"/>
        </w:rPr>
      </w:pPr>
    </w:p>
    <w:p w14:paraId="7DB47473" w14:textId="77777777" w:rsidR="00922BBA" w:rsidRPr="002D1CF8" w:rsidRDefault="00922BBA" w:rsidP="002D1CF8">
      <w:pPr>
        <w:ind w:left="720" w:hanging="720"/>
        <w:jc w:val="both"/>
        <w:rPr>
          <w:rFonts w:ascii="Arial" w:hAnsi="Arial" w:cs="Arial"/>
        </w:rPr>
      </w:pPr>
    </w:p>
    <w:p w14:paraId="09769741" w14:textId="77777777"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Gul, S., Shakoor, I., Ahmad, Z., Kanwal, A., Ali, H., &amp; Ansari, W. Z. (2025). Evaluating agroforestry practices for enhancing climate resilience and sustainable agricultural productivity in smallholder farming systems. </w:t>
      </w:r>
      <w:r w:rsidRPr="00922BBA">
        <w:rPr>
          <w:rFonts w:ascii="Arial" w:hAnsi="Arial" w:cs="Arial"/>
          <w:i/>
          <w:iCs/>
          <w:lang w:val="en-PH"/>
        </w:rPr>
        <w:t>Multidisciplinary Advances in Agricultural Sciences, 3</w:t>
      </w:r>
      <w:r w:rsidRPr="00922BBA">
        <w:rPr>
          <w:rFonts w:ascii="Arial" w:hAnsi="Arial" w:cs="Arial"/>
          <w:lang w:val="en-PH"/>
        </w:rPr>
        <w:t>(3), e145.*</w:t>
      </w:r>
    </w:p>
    <w:p w14:paraId="6A33B8F3" w14:textId="77777777" w:rsidR="00922BBA" w:rsidRPr="00922BBA" w:rsidRDefault="00922BBA" w:rsidP="002D1CF8">
      <w:pPr>
        <w:ind w:left="720" w:hanging="720"/>
        <w:jc w:val="both"/>
        <w:rPr>
          <w:rFonts w:ascii="Arial" w:hAnsi="Arial" w:cs="Arial"/>
          <w:lang w:val="en-PH"/>
        </w:rPr>
      </w:pPr>
    </w:p>
    <w:p w14:paraId="2595542F" w14:textId="77777777" w:rsidR="00922BBA" w:rsidRPr="00922BBA" w:rsidRDefault="00922BBA" w:rsidP="002D1CF8">
      <w:pPr>
        <w:ind w:left="720" w:hanging="720"/>
        <w:jc w:val="both"/>
        <w:rPr>
          <w:rFonts w:ascii="Arial" w:hAnsi="Arial" w:cs="Arial"/>
          <w:lang w:val="en-PH"/>
        </w:rPr>
      </w:pPr>
      <w:proofErr w:type="spellStart"/>
      <w:r w:rsidRPr="00922BBA">
        <w:rPr>
          <w:rFonts w:ascii="Arial" w:hAnsi="Arial" w:cs="Arial"/>
          <w:lang w:val="en-PH"/>
        </w:rPr>
        <w:t>Kiptot</w:t>
      </w:r>
      <w:proofErr w:type="spellEnd"/>
      <w:r w:rsidRPr="00922BBA">
        <w:rPr>
          <w:rFonts w:ascii="Arial" w:hAnsi="Arial" w:cs="Arial"/>
          <w:lang w:val="en-PH"/>
        </w:rPr>
        <w:t xml:space="preserve">, E., &amp; Franzel, S. (2012). Gender and agroforestry in Africa: Are women participating? </w:t>
      </w:r>
      <w:r w:rsidRPr="00922BBA">
        <w:rPr>
          <w:rFonts w:ascii="Arial" w:hAnsi="Arial" w:cs="Arial"/>
          <w:i/>
          <w:iCs/>
          <w:lang w:val="en-PH"/>
        </w:rPr>
        <w:t>World Agroforestry Centre Working Paper No. 60.</w:t>
      </w:r>
      <w:r w:rsidRPr="00922BBA">
        <w:rPr>
          <w:rFonts w:ascii="Arial" w:hAnsi="Arial" w:cs="Arial"/>
          <w:lang w:val="en-PH"/>
        </w:rPr>
        <w:t xml:space="preserve"> Nairobi, Kenya: ICRAF.</w:t>
      </w:r>
    </w:p>
    <w:p w14:paraId="6CCB520F" w14:textId="77777777"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Landicho, L. D., </w:t>
      </w:r>
      <w:proofErr w:type="spellStart"/>
      <w:r w:rsidRPr="00922BBA">
        <w:rPr>
          <w:rFonts w:ascii="Arial" w:hAnsi="Arial" w:cs="Arial"/>
          <w:lang w:val="en-PH"/>
        </w:rPr>
        <w:t>Paelmo</w:t>
      </w:r>
      <w:proofErr w:type="spellEnd"/>
      <w:r w:rsidRPr="00922BBA">
        <w:rPr>
          <w:rFonts w:ascii="Arial" w:hAnsi="Arial" w:cs="Arial"/>
          <w:lang w:val="en-PH"/>
        </w:rPr>
        <w:t xml:space="preserve">, R. F., De Luna, C., &amp; Visco, R. (2016). Climate change adaptation strategies of smallholder agroforestry farmers in the Philippines. </w:t>
      </w:r>
      <w:r w:rsidRPr="00922BBA">
        <w:rPr>
          <w:rFonts w:ascii="Arial" w:hAnsi="Arial" w:cs="Arial"/>
          <w:i/>
          <w:iCs/>
          <w:lang w:val="en-PH"/>
        </w:rPr>
        <w:t>Journal of Environmental Science and Management, 19</w:t>
      </w:r>
      <w:r w:rsidRPr="00922BBA">
        <w:rPr>
          <w:rFonts w:ascii="Arial" w:hAnsi="Arial" w:cs="Arial"/>
          <w:lang w:val="en-PH"/>
        </w:rPr>
        <w:t>(1), 1–15.</w:t>
      </w:r>
    </w:p>
    <w:p w14:paraId="2B537995" w14:textId="77777777" w:rsidR="00922BBA" w:rsidRPr="00922BBA" w:rsidRDefault="00922BBA" w:rsidP="002D1CF8">
      <w:pPr>
        <w:ind w:left="720" w:hanging="720"/>
        <w:jc w:val="both"/>
        <w:rPr>
          <w:rFonts w:ascii="Arial" w:hAnsi="Arial" w:cs="Arial"/>
          <w:lang w:val="en-PH"/>
        </w:rPr>
      </w:pPr>
    </w:p>
    <w:p w14:paraId="4F17F220" w14:textId="77777777" w:rsidR="00922BBA" w:rsidRPr="002D1CF8" w:rsidRDefault="00922BBA" w:rsidP="002D1CF8">
      <w:pPr>
        <w:ind w:left="720" w:hanging="720"/>
        <w:jc w:val="both"/>
        <w:rPr>
          <w:rFonts w:ascii="Arial" w:hAnsi="Arial" w:cs="Arial"/>
        </w:rPr>
      </w:pPr>
      <w:r w:rsidRPr="00922BBA">
        <w:rPr>
          <w:rFonts w:ascii="Arial" w:hAnsi="Arial" w:cs="Arial"/>
          <w:lang w:val="en-PH"/>
        </w:rPr>
        <w:t xml:space="preserve">Lasco, R. D., Delfino, R. J. P., &amp; </w:t>
      </w:r>
      <w:proofErr w:type="spellStart"/>
      <w:r w:rsidRPr="00922BBA">
        <w:rPr>
          <w:rFonts w:ascii="Arial" w:hAnsi="Arial" w:cs="Arial"/>
          <w:lang w:val="en-PH"/>
        </w:rPr>
        <w:t>Espaldon</w:t>
      </w:r>
      <w:proofErr w:type="spellEnd"/>
      <w:r w:rsidRPr="00922BBA">
        <w:rPr>
          <w:rFonts w:ascii="Arial" w:hAnsi="Arial" w:cs="Arial"/>
          <w:lang w:val="en-PH"/>
        </w:rPr>
        <w:t xml:space="preserve">, M. L. O. (2014). Agroforestry systems: Helping smallholders adapt to climate risks while mitigating climate change. </w:t>
      </w:r>
      <w:r w:rsidRPr="00922BBA">
        <w:rPr>
          <w:rFonts w:ascii="Arial" w:hAnsi="Arial" w:cs="Arial"/>
          <w:i/>
          <w:iCs/>
          <w:lang w:val="en-PH"/>
        </w:rPr>
        <w:t>WIREs Climate Change, 5</w:t>
      </w:r>
      <w:r w:rsidRPr="00922BBA">
        <w:rPr>
          <w:rFonts w:ascii="Arial" w:hAnsi="Arial" w:cs="Arial"/>
          <w:lang w:val="en-PH"/>
        </w:rPr>
        <w:t xml:space="preserve">(6), 825–833. </w:t>
      </w:r>
      <w:hyperlink r:id="rId18" w:tgtFrame="_new" w:history="1">
        <w:r w:rsidRPr="00922BBA">
          <w:rPr>
            <w:rStyle w:val="Hyperlink"/>
            <w:rFonts w:ascii="Arial" w:hAnsi="Arial" w:cs="Arial"/>
            <w:color w:val="auto"/>
            <w:u w:val="none"/>
            <w:lang w:val="en-PH"/>
          </w:rPr>
          <w:t>https://doi.org/10.1002/wcc.301</w:t>
        </w:r>
      </w:hyperlink>
    </w:p>
    <w:p w14:paraId="17C08139" w14:textId="77777777" w:rsidR="00922BBA" w:rsidRPr="00922BBA" w:rsidRDefault="00922BBA" w:rsidP="002D1CF8">
      <w:pPr>
        <w:ind w:left="720" w:hanging="720"/>
        <w:jc w:val="both"/>
        <w:rPr>
          <w:rFonts w:ascii="Arial" w:hAnsi="Arial" w:cs="Arial"/>
          <w:lang w:val="en-PH"/>
        </w:rPr>
      </w:pPr>
    </w:p>
    <w:p w14:paraId="64B08605" w14:textId="77777777"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Lasco, R. D., &amp; </w:t>
      </w:r>
      <w:proofErr w:type="spellStart"/>
      <w:r w:rsidRPr="00922BBA">
        <w:rPr>
          <w:rFonts w:ascii="Arial" w:hAnsi="Arial" w:cs="Arial"/>
          <w:lang w:val="en-PH"/>
        </w:rPr>
        <w:t>Pulhin</w:t>
      </w:r>
      <w:proofErr w:type="spellEnd"/>
      <w:r w:rsidRPr="00922BBA">
        <w:rPr>
          <w:rFonts w:ascii="Arial" w:hAnsi="Arial" w:cs="Arial"/>
          <w:lang w:val="en-PH"/>
        </w:rPr>
        <w:t xml:space="preserve">, F. B. (2003). Philippine forest ecosystems and climate change: Carbon stocks, rate of sequestration, and the Kyoto Protocol. </w:t>
      </w:r>
      <w:r w:rsidRPr="00922BBA">
        <w:rPr>
          <w:rFonts w:ascii="Arial" w:hAnsi="Arial" w:cs="Arial"/>
          <w:i/>
          <w:iCs/>
          <w:lang w:val="en-PH"/>
        </w:rPr>
        <w:t>Annals of Tropical Research, 25</w:t>
      </w:r>
      <w:r w:rsidRPr="00922BBA">
        <w:rPr>
          <w:rFonts w:ascii="Arial" w:hAnsi="Arial" w:cs="Arial"/>
          <w:lang w:val="en-PH"/>
        </w:rPr>
        <w:t>(2), 37–51.</w:t>
      </w:r>
    </w:p>
    <w:p w14:paraId="0E56E2F6" w14:textId="77777777" w:rsidR="00922BBA" w:rsidRPr="002D1CF8" w:rsidRDefault="00922BBA" w:rsidP="002D1CF8">
      <w:pPr>
        <w:ind w:left="720" w:hanging="720"/>
        <w:jc w:val="both"/>
        <w:rPr>
          <w:rFonts w:ascii="Arial" w:hAnsi="Arial" w:cs="Arial"/>
          <w:lang w:val="en-PH"/>
        </w:rPr>
      </w:pPr>
      <w:proofErr w:type="spellStart"/>
      <w:r w:rsidRPr="00922BBA">
        <w:rPr>
          <w:rFonts w:ascii="Arial" w:hAnsi="Arial" w:cs="Arial"/>
          <w:lang w:val="en-PH"/>
        </w:rPr>
        <w:lastRenderedPageBreak/>
        <w:t>Lumogdang</w:t>
      </w:r>
      <w:proofErr w:type="spellEnd"/>
      <w:r w:rsidRPr="00922BBA">
        <w:rPr>
          <w:rFonts w:ascii="Arial" w:hAnsi="Arial" w:cs="Arial"/>
          <w:lang w:val="en-PH"/>
        </w:rPr>
        <w:t xml:space="preserve">, L. P., </w:t>
      </w:r>
      <w:proofErr w:type="spellStart"/>
      <w:r w:rsidRPr="00922BBA">
        <w:rPr>
          <w:rFonts w:ascii="Arial" w:hAnsi="Arial" w:cs="Arial"/>
          <w:lang w:val="en-PH"/>
        </w:rPr>
        <w:t>Madalmingan</w:t>
      </w:r>
      <w:proofErr w:type="spellEnd"/>
      <w:r w:rsidRPr="00922BBA">
        <w:rPr>
          <w:rFonts w:ascii="Arial" w:hAnsi="Arial" w:cs="Arial"/>
          <w:lang w:val="en-PH"/>
        </w:rPr>
        <w:t xml:space="preserve">, C. V., &amp; </w:t>
      </w:r>
      <w:proofErr w:type="spellStart"/>
      <w:r w:rsidRPr="00922BBA">
        <w:rPr>
          <w:rFonts w:ascii="Arial" w:hAnsi="Arial" w:cs="Arial"/>
          <w:lang w:val="en-PH"/>
        </w:rPr>
        <w:t>Caluboy</w:t>
      </w:r>
      <w:proofErr w:type="spellEnd"/>
      <w:r w:rsidRPr="00922BBA">
        <w:rPr>
          <w:rFonts w:ascii="Arial" w:hAnsi="Arial" w:cs="Arial"/>
          <w:lang w:val="en-PH"/>
        </w:rPr>
        <w:t xml:space="preserve">, J. R. C. (2023). Carbon sequestration potential of selected tree species in </w:t>
      </w:r>
      <w:proofErr w:type="spellStart"/>
      <w:r w:rsidRPr="00922BBA">
        <w:rPr>
          <w:rFonts w:ascii="Arial" w:hAnsi="Arial" w:cs="Arial"/>
          <w:lang w:val="en-PH"/>
        </w:rPr>
        <w:t>Bolila</w:t>
      </w:r>
      <w:proofErr w:type="spellEnd"/>
      <w:r w:rsidRPr="00922BBA">
        <w:rPr>
          <w:rFonts w:ascii="Arial" w:hAnsi="Arial" w:cs="Arial"/>
          <w:lang w:val="en-PH"/>
        </w:rPr>
        <w:t xml:space="preserve">, Malita, Davao Occidental, Philippines. </w:t>
      </w:r>
      <w:r w:rsidRPr="00922BBA">
        <w:rPr>
          <w:rFonts w:ascii="Arial" w:hAnsi="Arial" w:cs="Arial"/>
          <w:i/>
          <w:iCs/>
          <w:lang w:val="en-PH"/>
        </w:rPr>
        <w:t>Journal of Biodiversity and Environmental Sciences, 42</w:t>
      </w:r>
      <w:r w:rsidRPr="00922BBA">
        <w:rPr>
          <w:rFonts w:ascii="Arial" w:hAnsi="Arial" w:cs="Arial"/>
          <w:lang w:val="en-PH"/>
        </w:rPr>
        <w:t>(3), 15–24.</w:t>
      </w:r>
    </w:p>
    <w:p w14:paraId="11AB574D" w14:textId="77777777" w:rsidR="00922BBA" w:rsidRPr="00922BBA" w:rsidRDefault="00922BBA" w:rsidP="002D1CF8">
      <w:pPr>
        <w:ind w:left="720" w:hanging="720"/>
        <w:jc w:val="both"/>
        <w:rPr>
          <w:rFonts w:ascii="Arial" w:hAnsi="Arial" w:cs="Arial"/>
          <w:lang w:val="en-PH"/>
        </w:rPr>
      </w:pPr>
    </w:p>
    <w:p w14:paraId="364DB45C" w14:textId="3795CBB0"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Matocha, J., Schroth, G., Hills, T., &amp; Hole, D. (2012). Integrating climate change adaptation and mitigation through agroforestry and ecosystem conservation. In </w:t>
      </w:r>
      <w:r w:rsidRPr="00922BBA">
        <w:rPr>
          <w:rFonts w:ascii="Arial" w:hAnsi="Arial" w:cs="Arial"/>
          <w:i/>
          <w:iCs/>
          <w:lang w:val="en-PH"/>
        </w:rPr>
        <w:t>Agroforestry: The Future of Global Land Use</w:t>
      </w:r>
      <w:r w:rsidRPr="00922BBA">
        <w:rPr>
          <w:rFonts w:ascii="Arial" w:hAnsi="Arial" w:cs="Arial"/>
          <w:lang w:val="en-PH"/>
        </w:rPr>
        <w:t xml:space="preserve"> (pp. 105–126). Springer. </w:t>
      </w:r>
      <w:hyperlink r:id="rId19" w:history="1">
        <w:r w:rsidRPr="00922BBA">
          <w:rPr>
            <w:rStyle w:val="Hyperlink"/>
            <w:rFonts w:ascii="Arial" w:hAnsi="Arial" w:cs="Arial"/>
            <w:color w:val="auto"/>
            <w:u w:val="none"/>
            <w:lang w:val="en-PH"/>
          </w:rPr>
          <w:t>https://doi.org/10.1007/978-94-007-4676-3_9</w:t>
        </w:r>
      </w:hyperlink>
    </w:p>
    <w:p w14:paraId="6FBEC2FE" w14:textId="77777777" w:rsidR="00922BBA" w:rsidRPr="00922BBA" w:rsidRDefault="00922BBA" w:rsidP="002D1CF8">
      <w:pPr>
        <w:ind w:left="720" w:hanging="720"/>
        <w:jc w:val="both"/>
        <w:rPr>
          <w:rFonts w:ascii="Arial" w:hAnsi="Arial" w:cs="Arial"/>
          <w:lang w:val="en-PH"/>
        </w:rPr>
      </w:pPr>
    </w:p>
    <w:p w14:paraId="5E0D01B7" w14:textId="77777777" w:rsidR="00922BBA" w:rsidRPr="002D1CF8" w:rsidRDefault="00922BBA" w:rsidP="002D1CF8">
      <w:pPr>
        <w:ind w:left="720" w:hanging="720"/>
        <w:jc w:val="both"/>
        <w:rPr>
          <w:rFonts w:ascii="Arial" w:hAnsi="Arial" w:cs="Arial"/>
          <w:lang w:val="en-PH"/>
        </w:rPr>
      </w:pPr>
      <w:proofErr w:type="spellStart"/>
      <w:r w:rsidRPr="00922BBA">
        <w:rPr>
          <w:rFonts w:ascii="Arial" w:hAnsi="Arial" w:cs="Arial"/>
          <w:lang w:val="en-PH"/>
        </w:rPr>
        <w:t>Montagnini</w:t>
      </w:r>
      <w:proofErr w:type="spellEnd"/>
      <w:r w:rsidRPr="00922BBA">
        <w:rPr>
          <w:rFonts w:ascii="Arial" w:hAnsi="Arial" w:cs="Arial"/>
          <w:lang w:val="en-PH"/>
        </w:rPr>
        <w:t xml:space="preserve">, F., &amp; Metzel, R. (2020). Agroforestry as a climate change mitigation and adaptation strategy: Opportunities and trade-offs. </w:t>
      </w:r>
      <w:r w:rsidRPr="00922BBA">
        <w:rPr>
          <w:rFonts w:ascii="Arial" w:hAnsi="Arial" w:cs="Arial"/>
          <w:i/>
          <w:iCs/>
          <w:lang w:val="en-PH"/>
        </w:rPr>
        <w:t>Agroforestry Systems, 94</w:t>
      </w:r>
      <w:r w:rsidRPr="00922BBA">
        <w:rPr>
          <w:rFonts w:ascii="Arial" w:hAnsi="Arial" w:cs="Arial"/>
          <w:lang w:val="en-PH"/>
        </w:rPr>
        <w:t xml:space="preserve">(4), 993–1005. </w:t>
      </w:r>
      <w:hyperlink r:id="rId20" w:tgtFrame="_new" w:history="1">
        <w:r w:rsidRPr="00922BBA">
          <w:rPr>
            <w:rStyle w:val="Hyperlink"/>
            <w:rFonts w:ascii="Arial" w:hAnsi="Arial" w:cs="Arial"/>
            <w:color w:val="auto"/>
            <w:u w:val="none"/>
            <w:lang w:val="en-PH"/>
          </w:rPr>
          <w:t>https://doi.org/10.1007/s10457-019-00474-0</w:t>
        </w:r>
      </w:hyperlink>
    </w:p>
    <w:p w14:paraId="555A72D3" w14:textId="77777777" w:rsidR="00922BBA" w:rsidRPr="00922BBA" w:rsidRDefault="00922BBA" w:rsidP="002D1CF8">
      <w:pPr>
        <w:ind w:left="720" w:hanging="720"/>
        <w:jc w:val="both"/>
        <w:rPr>
          <w:rFonts w:ascii="Arial" w:hAnsi="Arial" w:cs="Arial"/>
          <w:lang w:val="en-PH"/>
        </w:rPr>
      </w:pPr>
    </w:p>
    <w:p w14:paraId="3407B095" w14:textId="4B4F1063" w:rsidR="00922BBA" w:rsidRPr="002D1CF8" w:rsidRDefault="00922BBA" w:rsidP="002D1CF8">
      <w:pPr>
        <w:ind w:left="720" w:hanging="720"/>
        <w:jc w:val="both"/>
        <w:rPr>
          <w:rFonts w:ascii="Arial" w:hAnsi="Arial" w:cs="Arial"/>
          <w:lang w:val="en-PH"/>
        </w:rPr>
      </w:pPr>
      <w:proofErr w:type="spellStart"/>
      <w:r w:rsidRPr="00922BBA">
        <w:rPr>
          <w:rFonts w:ascii="Arial" w:hAnsi="Arial" w:cs="Arial"/>
          <w:lang w:val="en-PH"/>
        </w:rPr>
        <w:t>Muyabe</w:t>
      </w:r>
      <w:proofErr w:type="spellEnd"/>
      <w:r w:rsidRPr="00922BBA">
        <w:rPr>
          <w:rFonts w:ascii="Arial" w:hAnsi="Arial" w:cs="Arial"/>
          <w:lang w:val="en-PH"/>
        </w:rPr>
        <w:t xml:space="preserve">, O., Tembo, A., Musenge, D. C., Mulenga, M., &amp; </w:t>
      </w:r>
      <w:proofErr w:type="spellStart"/>
      <w:r w:rsidRPr="00922BBA">
        <w:rPr>
          <w:rFonts w:ascii="Arial" w:hAnsi="Arial" w:cs="Arial"/>
          <w:lang w:val="en-PH"/>
        </w:rPr>
        <w:t>Silombe</w:t>
      </w:r>
      <w:proofErr w:type="spellEnd"/>
      <w:r w:rsidRPr="00922BBA">
        <w:rPr>
          <w:rFonts w:ascii="Arial" w:hAnsi="Arial" w:cs="Arial"/>
          <w:lang w:val="en-PH"/>
        </w:rPr>
        <w:t xml:space="preserve">, M. (2025). The role of agroforestry in sustainable land management and climate resilience for enhancing crop production: A literature review. </w:t>
      </w:r>
      <w:r w:rsidRPr="00922BBA">
        <w:rPr>
          <w:rFonts w:ascii="Arial" w:hAnsi="Arial" w:cs="Arial"/>
          <w:i/>
          <w:iCs/>
          <w:lang w:val="en-PH"/>
        </w:rPr>
        <w:t>International Journal of Environment and Climate Change, 15</w:t>
      </w:r>
      <w:r w:rsidRPr="00922BBA">
        <w:rPr>
          <w:rFonts w:ascii="Arial" w:hAnsi="Arial" w:cs="Arial"/>
          <w:lang w:val="en-PH"/>
        </w:rPr>
        <w:t xml:space="preserve">(5), 131–143. </w:t>
      </w:r>
      <w:hyperlink r:id="rId21" w:history="1">
        <w:r w:rsidRPr="00922BBA">
          <w:rPr>
            <w:rStyle w:val="Hyperlink"/>
            <w:rFonts w:ascii="Arial" w:hAnsi="Arial" w:cs="Arial"/>
            <w:color w:val="auto"/>
            <w:u w:val="none"/>
            <w:lang w:val="en-PH"/>
          </w:rPr>
          <w:t>https://doi.org/10.9734/ijecc/2025/v15i54840</w:t>
        </w:r>
      </w:hyperlink>
    </w:p>
    <w:p w14:paraId="6F472AC9" w14:textId="77777777" w:rsidR="00922BBA" w:rsidRPr="00922BBA" w:rsidRDefault="00922BBA" w:rsidP="002D1CF8">
      <w:pPr>
        <w:ind w:left="720" w:hanging="720"/>
        <w:jc w:val="both"/>
        <w:rPr>
          <w:rFonts w:ascii="Arial" w:hAnsi="Arial" w:cs="Arial"/>
          <w:lang w:val="en-PH"/>
        </w:rPr>
      </w:pPr>
    </w:p>
    <w:p w14:paraId="260E1B92" w14:textId="77777777"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Nair, P. K. R., Mohan Kumar, B., &amp; Nair, V. D. (2024). Soil carbon and nitrogen enrichment through agroforestry: Global patterns and processes. </w:t>
      </w:r>
      <w:r w:rsidRPr="00922BBA">
        <w:rPr>
          <w:rFonts w:ascii="Arial" w:hAnsi="Arial" w:cs="Arial"/>
          <w:i/>
          <w:iCs/>
          <w:lang w:val="en-PH"/>
        </w:rPr>
        <w:t>Plant and Soil, 494</w:t>
      </w:r>
      <w:r w:rsidRPr="00922BBA">
        <w:rPr>
          <w:rFonts w:ascii="Arial" w:hAnsi="Arial" w:cs="Arial"/>
          <w:lang w:val="en-PH"/>
        </w:rPr>
        <w:t xml:space="preserve">(2), 321–340. </w:t>
      </w:r>
      <w:hyperlink r:id="rId22" w:tgtFrame="_new" w:history="1">
        <w:r w:rsidRPr="00922BBA">
          <w:rPr>
            <w:rStyle w:val="Hyperlink"/>
            <w:rFonts w:ascii="Arial" w:hAnsi="Arial" w:cs="Arial"/>
            <w:color w:val="auto"/>
            <w:u w:val="none"/>
            <w:lang w:val="en-PH"/>
          </w:rPr>
          <w:t>https://doi.org/10.1007/s11104-024-06549-5</w:t>
        </w:r>
      </w:hyperlink>
    </w:p>
    <w:p w14:paraId="2A0A8463" w14:textId="77777777" w:rsidR="00922BBA" w:rsidRPr="002D1CF8" w:rsidRDefault="00922BBA" w:rsidP="002D1CF8">
      <w:pPr>
        <w:ind w:left="720" w:hanging="720"/>
        <w:jc w:val="both"/>
        <w:rPr>
          <w:rFonts w:ascii="Arial" w:hAnsi="Arial" w:cs="Arial"/>
          <w:lang w:val="en-PH"/>
        </w:rPr>
      </w:pPr>
    </w:p>
    <w:p w14:paraId="341D9CEC" w14:textId="77777777" w:rsidR="00922BBA" w:rsidRPr="002D1CF8" w:rsidRDefault="00922BBA" w:rsidP="002D1CF8">
      <w:pPr>
        <w:ind w:left="720" w:hanging="720"/>
        <w:jc w:val="both"/>
        <w:rPr>
          <w:rFonts w:ascii="Arial" w:hAnsi="Arial" w:cs="Arial"/>
          <w:lang w:val="en-PH"/>
        </w:rPr>
      </w:pPr>
      <w:proofErr w:type="spellStart"/>
      <w:r w:rsidRPr="00922BBA">
        <w:rPr>
          <w:rFonts w:ascii="Arial" w:hAnsi="Arial" w:cs="Arial"/>
          <w:lang w:val="en-PH"/>
        </w:rPr>
        <w:t>Ndayambaje</w:t>
      </w:r>
      <w:proofErr w:type="spellEnd"/>
      <w:r w:rsidRPr="00922BBA">
        <w:rPr>
          <w:rFonts w:ascii="Arial" w:hAnsi="Arial" w:cs="Arial"/>
          <w:lang w:val="en-PH"/>
        </w:rPr>
        <w:t xml:space="preserve">, J. D., </w:t>
      </w:r>
      <w:proofErr w:type="spellStart"/>
      <w:r w:rsidRPr="00922BBA">
        <w:rPr>
          <w:rFonts w:ascii="Arial" w:hAnsi="Arial" w:cs="Arial"/>
          <w:lang w:val="en-PH"/>
        </w:rPr>
        <w:t>Uwineza</w:t>
      </w:r>
      <w:proofErr w:type="spellEnd"/>
      <w:r w:rsidRPr="00922BBA">
        <w:rPr>
          <w:rFonts w:ascii="Arial" w:hAnsi="Arial" w:cs="Arial"/>
          <w:lang w:val="en-PH"/>
        </w:rPr>
        <w:t xml:space="preserve">, C., &amp; Mukuralinda, A. (2023). Farmers’ perceptions and ecological benefits of agroforestry in Rwanda. </w:t>
      </w:r>
      <w:r w:rsidRPr="00922BBA">
        <w:rPr>
          <w:rFonts w:ascii="Arial" w:hAnsi="Arial" w:cs="Arial"/>
          <w:i/>
          <w:iCs/>
          <w:lang w:val="en-PH"/>
        </w:rPr>
        <w:t>Agroforestry Systems, 97</w:t>
      </w:r>
      <w:r w:rsidRPr="00922BBA">
        <w:rPr>
          <w:rFonts w:ascii="Arial" w:hAnsi="Arial" w:cs="Arial"/>
          <w:lang w:val="en-PH"/>
        </w:rPr>
        <w:t xml:space="preserve">(1), 45–60. </w:t>
      </w:r>
      <w:hyperlink r:id="rId23" w:tgtFrame="_new" w:history="1">
        <w:r w:rsidRPr="00922BBA">
          <w:rPr>
            <w:rStyle w:val="Hyperlink"/>
            <w:rFonts w:ascii="Arial" w:hAnsi="Arial" w:cs="Arial"/>
            <w:color w:val="auto"/>
            <w:u w:val="none"/>
            <w:lang w:val="en-PH"/>
          </w:rPr>
          <w:t>https://doi.org/10.1007/s10457-022-00777-5</w:t>
        </w:r>
      </w:hyperlink>
    </w:p>
    <w:p w14:paraId="767B4E18" w14:textId="77777777" w:rsidR="00922BBA" w:rsidRPr="00922BBA" w:rsidRDefault="00922BBA" w:rsidP="002D1CF8">
      <w:pPr>
        <w:ind w:left="720" w:hanging="720"/>
        <w:jc w:val="both"/>
        <w:rPr>
          <w:rFonts w:ascii="Arial" w:hAnsi="Arial" w:cs="Arial"/>
          <w:lang w:val="en-PH"/>
        </w:rPr>
      </w:pPr>
    </w:p>
    <w:p w14:paraId="6F19D8EE" w14:textId="094F1144"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Nguyen, T. L. (2023). Determinants of sustainable agroforestry adoption in upland Vietnam. </w:t>
      </w:r>
      <w:r w:rsidRPr="00922BBA">
        <w:rPr>
          <w:rFonts w:ascii="Arial" w:hAnsi="Arial" w:cs="Arial"/>
          <w:i/>
          <w:iCs/>
          <w:lang w:val="en-PH"/>
        </w:rPr>
        <w:t>Journal of Rural Studies, 102</w:t>
      </w:r>
      <w:r w:rsidRPr="00922BBA">
        <w:rPr>
          <w:rFonts w:ascii="Arial" w:hAnsi="Arial" w:cs="Arial"/>
          <w:lang w:val="en-PH"/>
        </w:rPr>
        <w:t xml:space="preserve">, 1–12. </w:t>
      </w:r>
      <w:hyperlink r:id="rId24" w:history="1">
        <w:r w:rsidRPr="00922BBA">
          <w:rPr>
            <w:rStyle w:val="Hyperlink"/>
            <w:rFonts w:ascii="Arial" w:hAnsi="Arial" w:cs="Arial"/>
            <w:color w:val="auto"/>
            <w:u w:val="none"/>
            <w:lang w:val="en-PH"/>
          </w:rPr>
          <w:t>https://doi.org/10.1016/j.jrurstud.2023.06.003</w:t>
        </w:r>
      </w:hyperlink>
    </w:p>
    <w:p w14:paraId="2952D84B" w14:textId="77777777" w:rsidR="00922BBA" w:rsidRPr="00922BBA" w:rsidRDefault="00922BBA" w:rsidP="002D1CF8">
      <w:pPr>
        <w:ind w:left="720" w:hanging="720"/>
        <w:jc w:val="both"/>
        <w:rPr>
          <w:rFonts w:ascii="Arial" w:hAnsi="Arial" w:cs="Arial"/>
          <w:lang w:val="en-PH"/>
        </w:rPr>
      </w:pPr>
    </w:p>
    <w:p w14:paraId="4DA42270" w14:textId="77777777"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Nguyen, T. L., Tran, D. H., &amp; Pham, N. C. (2022). Determinants of adopting climate adaptation strategies among smallholder upland farmers in Southeast Asia. </w:t>
      </w:r>
      <w:r w:rsidRPr="00922BBA">
        <w:rPr>
          <w:rFonts w:ascii="Arial" w:hAnsi="Arial" w:cs="Arial"/>
          <w:i/>
          <w:iCs/>
          <w:lang w:val="en-PH"/>
        </w:rPr>
        <w:t>Forest and Society, 6</w:t>
      </w:r>
      <w:r w:rsidRPr="00922BBA">
        <w:rPr>
          <w:rFonts w:ascii="Arial" w:hAnsi="Arial" w:cs="Arial"/>
          <w:lang w:val="en-PH"/>
        </w:rPr>
        <w:t xml:space="preserve">(2), 155–171. </w:t>
      </w:r>
      <w:hyperlink r:id="rId25" w:tgtFrame="_new" w:history="1">
        <w:r w:rsidRPr="00922BBA">
          <w:rPr>
            <w:rStyle w:val="Hyperlink"/>
            <w:rFonts w:ascii="Arial" w:hAnsi="Arial" w:cs="Arial"/>
            <w:color w:val="auto"/>
            <w:u w:val="none"/>
            <w:lang w:val="en-PH"/>
          </w:rPr>
          <w:t>https://doi.org/10.24259/fs.v6i2.22641</w:t>
        </w:r>
      </w:hyperlink>
    </w:p>
    <w:p w14:paraId="2AF4809E" w14:textId="77777777" w:rsidR="00922BBA" w:rsidRPr="00922BBA" w:rsidRDefault="00922BBA" w:rsidP="002D1CF8">
      <w:pPr>
        <w:ind w:left="720" w:hanging="720"/>
        <w:jc w:val="both"/>
        <w:rPr>
          <w:rFonts w:ascii="Arial" w:hAnsi="Arial" w:cs="Arial"/>
          <w:lang w:val="en-PH"/>
        </w:rPr>
      </w:pPr>
    </w:p>
    <w:p w14:paraId="2CCA05D2" w14:textId="46E6F947"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Pancholi, R., Yadav, R., Gupta, H., </w:t>
      </w:r>
      <w:proofErr w:type="spellStart"/>
      <w:r w:rsidRPr="00922BBA">
        <w:rPr>
          <w:rFonts w:ascii="Arial" w:hAnsi="Arial" w:cs="Arial"/>
          <w:lang w:val="en-PH"/>
        </w:rPr>
        <w:t>Vasure</w:t>
      </w:r>
      <w:proofErr w:type="spellEnd"/>
      <w:r w:rsidRPr="00922BBA">
        <w:rPr>
          <w:rFonts w:ascii="Arial" w:hAnsi="Arial" w:cs="Arial"/>
          <w:lang w:val="en-PH"/>
        </w:rPr>
        <w:t xml:space="preserve">, N., Choudhary, S., Singh, M. N., &amp; Rastogi, M. (2023). The role of agroforestry systems in enhancing climate resilience and sustainability: A review. </w:t>
      </w:r>
      <w:r w:rsidRPr="00922BBA">
        <w:rPr>
          <w:rFonts w:ascii="Arial" w:hAnsi="Arial" w:cs="Arial"/>
          <w:i/>
          <w:iCs/>
          <w:lang w:val="en-PH"/>
        </w:rPr>
        <w:t>International Journal of Environment and Climate Change, 13</w:t>
      </w:r>
      <w:r w:rsidRPr="00922BBA">
        <w:rPr>
          <w:rFonts w:ascii="Arial" w:hAnsi="Arial" w:cs="Arial"/>
          <w:lang w:val="en-PH"/>
        </w:rPr>
        <w:t xml:space="preserve">(11), 4342–4353. </w:t>
      </w:r>
      <w:hyperlink r:id="rId26" w:history="1">
        <w:r w:rsidRPr="00922BBA">
          <w:rPr>
            <w:rStyle w:val="Hyperlink"/>
            <w:rFonts w:ascii="Arial" w:hAnsi="Arial" w:cs="Arial"/>
            <w:color w:val="auto"/>
            <w:u w:val="none"/>
            <w:lang w:val="en-PH"/>
          </w:rPr>
          <w:t>https://doi.org/10.9734/ijecc/2023/v13i113615</w:t>
        </w:r>
      </w:hyperlink>
    </w:p>
    <w:p w14:paraId="1FF19FEE" w14:textId="77777777" w:rsidR="00922BBA" w:rsidRPr="00922BBA" w:rsidRDefault="00922BBA" w:rsidP="002D1CF8">
      <w:pPr>
        <w:ind w:left="720" w:hanging="720"/>
        <w:jc w:val="both"/>
        <w:rPr>
          <w:rFonts w:ascii="Arial" w:hAnsi="Arial" w:cs="Arial"/>
          <w:lang w:val="en-PH"/>
        </w:rPr>
      </w:pPr>
    </w:p>
    <w:p w14:paraId="5D4E08AD" w14:textId="77777777"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Pham, T. T., </w:t>
      </w:r>
      <w:proofErr w:type="spellStart"/>
      <w:r w:rsidRPr="00922BBA">
        <w:rPr>
          <w:rFonts w:ascii="Arial" w:hAnsi="Arial" w:cs="Arial"/>
          <w:lang w:val="en-PH"/>
        </w:rPr>
        <w:t>Moeliono</w:t>
      </w:r>
      <w:proofErr w:type="spellEnd"/>
      <w:r w:rsidRPr="00922BBA">
        <w:rPr>
          <w:rFonts w:ascii="Arial" w:hAnsi="Arial" w:cs="Arial"/>
          <w:lang w:val="en-PH"/>
        </w:rPr>
        <w:t xml:space="preserve">, M., &amp; Le, H. T. (2020). Carbon sequestration potential of agroforestry systems in Vietnam. </w:t>
      </w:r>
      <w:r w:rsidRPr="00922BBA">
        <w:rPr>
          <w:rFonts w:ascii="Arial" w:hAnsi="Arial" w:cs="Arial"/>
          <w:i/>
          <w:iCs/>
          <w:lang w:val="en-PH"/>
        </w:rPr>
        <w:t>Land, 9</w:t>
      </w:r>
      <w:r w:rsidRPr="00922BBA">
        <w:rPr>
          <w:rFonts w:ascii="Arial" w:hAnsi="Arial" w:cs="Arial"/>
          <w:lang w:val="en-PH"/>
        </w:rPr>
        <w:t xml:space="preserve">(12), 528. </w:t>
      </w:r>
      <w:hyperlink r:id="rId27" w:tgtFrame="_new" w:history="1">
        <w:r w:rsidRPr="00922BBA">
          <w:rPr>
            <w:rStyle w:val="Hyperlink"/>
            <w:rFonts w:ascii="Arial" w:hAnsi="Arial" w:cs="Arial"/>
            <w:color w:val="auto"/>
            <w:u w:val="none"/>
            <w:lang w:val="en-PH"/>
          </w:rPr>
          <w:t>https://doi.org/10.3390/land9120528</w:t>
        </w:r>
      </w:hyperlink>
    </w:p>
    <w:p w14:paraId="3D19E690" w14:textId="77777777" w:rsidR="00922BBA" w:rsidRPr="002D1CF8" w:rsidRDefault="00922BBA" w:rsidP="002D1CF8">
      <w:pPr>
        <w:ind w:left="720" w:hanging="720"/>
        <w:jc w:val="both"/>
        <w:rPr>
          <w:rFonts w:ascii="Arial" w:hAnsi="Arial" w:cs="Arial"/>
          <w:lang w:val="en-PH"/>
        </w:rPr>
      </w:pPr>
    </w:p>
    <w:p w14:paraId="1730816E" w14:textId="14643B0B"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Prajapati, R., Singh, S., Anand, A., Mallesh, Y., &amp; </w:t>
      </w:r>
      <w:proofErr w:type="spellStart"/>
      <w:r w:rsidRPr="00922BBA">
        <w:rPr>
          <w:rFonts w:ascii="Arial" w:hAnsi="Arial" w:cs="Arial"/>
          <w:lang w:val="en-PH"/>
        </w:rPr>
        <w:t>Gulaiya</w:t>
      </w:r>
      <w:proofErr w:type="spellEnd"/>
      <w:r w:rsidRPr="00922BBA">
        <w:rPr>
          <w:rFonts w:ascii="Arial" w:hAnsi="Arial" w:cs="Arial"/>
          <w:lang w:val="en-PH"/>
        </w:rPr>
        <w:t xml:space="preserve">, S. (2024). Green solutions: The impact of agroforestry on climate change resilience – A review. </w:t>
      </w:r>
      <w:r w:rsidRPr="00922BBA">
        <w:rPr>
          <w:rFonts w:ascii="Arial" w:hAnsi="Arial" w:cs="Arial"/>
          <w:i/>
          <w:iCs/>
          <w:lang w:val="en-PH"/>
        </w:rPr>
        <w:t>International Journal of Environment and Climate Change, 14</w:t>
      </w:r>
      <w:r w:rsidRPr="00922BBA">
        <w:rPr>
          <w:rFonts w:ascii="Arial" w:hAnsi="Arial" w:cs="Arial"/>
          <w:lang w:val="en-PH"/>
        </w:rPr>
        <w:t xml:space="preserve">(11), 1–13. </w:t>
      </w:r>
      <w:hyperlink r:id="rId28" w:history="1">
        <w:r w:rsidRPr="00922BBA">
          <w:rPr>
            <w:rStyle w:val="Hyperlink"/>
            <w:rFonts w:ascii="Arial" w:hAnsi="Arial" w:cs="Arial"/>
            <w:color w:val="auto"/>
            <w:u w:val="none"/>
            <w:lang w:val="en-PH"/>
          </w:rPr>
          <w:t>https://doi.org/10.9734/ijecc/2024/v14i114522</w:t>
        </w:r>
      </w:hyperlink>
    </w:p>
    <w:p w14:paraId="3F2F36AF" w14:textId="77777777" w:rsidR="00922BBA" w:rsidRPr="00922BBA" w:rsidRDefault="00922BBA" w:rsidP="002D1CF8">
      <w:pPr>
        <w:ind w:left="720" w:hanging="720"/>
        <w:jc w:val="both"/>
        <w:rPr>
          <w:rFonts w:ascii="Arial" w:hAnsi="Arial" w:cs="Arial"/>
          <w:lang w:val="en-PH"/>
        </w:rPr>
      </w:pPr>
    </w:p>
    <w:p w14:paraId="3AE217C0" w14:textId="4E0458BB"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Rizvi, J. (2021). Policy integration for smallholder agroforestry and climate change mitigation in ASEAN. </w:t>
      </w:r>
      <w:r w:rsidRPr="00922BBA">
        <w:rPr>
          <w:rFonts w:ascii="Arial" w:hAnsi="Arial" w:cs="Arial"/>
          <w:i/>
          <w:iCs/>
          <w:lang w:val="en-PH"/>
        </w:rPr>
        <w:t>Land Use Policy, 105</w:t>
      </w:r>
      <w:r w:rsidRPr="00922BBA">
        <w:rPr>
          <w:rFonts w:ascii="Arial" w:hAnsi="Arial" w:cs="Arial"/>
          <w:lang w:val="en-PH"/>
        </w:rPr>
        <w:t xml:space="preserve">, 105421. </w:t>
      </w:r>
      <w:hyperlink r:id="rId29" w:history="1">
        <w:r w:rsidRPr="00922BBA">
          <w:rPr>
            <w:rStyle w:val="Hyperlink"/>
            <w:rFonts w:ascii="Arial" w:hAnsi="Arial" w:cs="Arial"/>
            <w:color w:val="auto"/>
            <w:u w:val="none"/>
            <w:lang w:val="en-PH"/>
          </w:rPr>
          <w:t>https://doi.org/10.1016/j.landusepol.2021.105421</w:t>
        </w:r>
      </w:hyperlink>
    </w:p>
    <w:p w14:paraId="77C96095" w14:textId="77777777" w:rsidR="00922BBA" w:rsidRPr="00922BBA" w:rsidRDefault="00922BBA" w:rsidP="002D1CF8">
      <w:pPr>
        <w:ind w:left="720" w:hanging="720"/>
        <w:jc w:val="both"/>
        <w:rPr>
          <w:rFonts w:ascii="Arial" w:hAnsi="Arial" w:cs="Arial"/>
          <w:lang w:val="en-PH"/>
        </w:rPr>
      </w:pPr>
    </w:p>
    <w:p w14:paraId="0EB602D6" w14:textId="46331358"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Rolo, V., Rivest, D., Maillard, É., &amp; Moreno, G. (2023). Agroforestry potential for adaptation to climate change: A soil-based perspective. </w:t>
      </w:r>
      <w:r w:rsidRPr="00922BBA">
        <w:rPr>
          <w:rFonts w:ascii="Arial" w:hAnsi="Arial" w:cs="Arial"/>
          <w:i/>
          <w:iCs/>
          <w:lang w:val="en-PH"/>
        </w:rPr>
        <w:t>Soil Use and Management, 39</w:t>
      </w:r>
      <w:r w:rsidRPr="00922BBA">
        <w:rPr>
          <w:rFonts w:ascii="Arial" w:hAnsi="Arial" w:cs="Arial"/>
          <w:lang w:val="en-PH"/>
        </w:rPr>
        <w:t xml:space="preserve">(3), 1006–1032. </w:t>
      </w:r>
      <w:hyperlink r:id="rId30" w:history="1">
        <w:r w:rsidRPr="00922BBA">
          <w:rPr>
            <w:rStyle w:val="Hyperlink"/>
            <w:rFonts w:ascii="Arial" w:hAnsi="Arial" w:cs="Arial"/>
            <w:color w:val="auto"/>
            <w:u w:val="none"/>
            <w:lang w:val="en-PH"/>
          </w:rPr>
          <w:t>https://doi.org/10.1111/sum.12932</w:t>
        </w:r>
      </w:hyperlink>
    </w:p>
    <w:p w14:paraId="35FC6AE7" w14:textId="77777777" w:rsidR="00922BBA" w:rsidRPr="00922BBA" w:rsidRDefault="00922BBA" w:rsidP="002D1CF8">
      <w:pPr>
        <w:ind w:left="720" w:hanging="720"/>
        <w:jc w:val="both"/>
        <w:rPr>
          <w:rFonts w:ascii="Arial" w:hAnsi="Arial" w:cs="Arial"/>
          <w:lang w:val="en-PH"/>
        </w:rPr>
      </w:pPr>
    </w:p>
    <w:p w14:paraId="7797764C" w14:textId="18BF7A99"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Scoones, I., &amp; Stirling, A. (2020). </w:t>
      </w:r>
      <w:r w:rsidRPr="00922BBA">
        <w:rPr>
          <w:rFonts w:ascii="Arial" w:hAnsi="Arial" w:cs="Arial"/>
          <w:i/>
          <w:iCs/>
          <w:lang w:val="en-PH"/>
        </w:rPr>
        <w:t>The politics of uncertainty: Challenges of transformation.</w:t>
      </w:r>
      <w:r w:rsidRPr="00922BBA">
        <w:rPr>
          <w:rFonts w:ascii="Arial" w:hAnsi="Arial" w:cs="Arial"/>
          <w:lang w:val="en-PH"/>
        </w:rPr>
        <w:t xml:space="preserve"> Routledge. </w:t>
      </w:r>
      <w:hyperlink r:id="rId31" w:history="1">
        <w:r w:rsidRPr="00922BBA">
          <w:rPr>
            <w:rStyle w:val="Hyperlink"/>
            <w:rFonts w:ascii="Arial" w:hAnsi="Arial" w:cs="Arial"/>
            <w:color w:val="auto"/>
            <w:u w:val="none"/>
            <w:lang w:val="en-PH"/>
          </w:rPr>
          <w:t>https://doi.org/10.4324/9780429341743</w:t>
        </w:r>
      </w:hyperlink>
    </w:p>
    <w:p w14:paraId="2DD9AF1F" w14:textId="77777777" w:rsidR="00922BBA" w:rsidRPr="00922BBA" w:rsidRDefault="00922BBA" w:rsidP="002D1CF8">
      <w:pPr>
        <w:ind w:left="720" w:hanging="720"/>
        <w:jc w:val="both"/>
        <w:rPr>
          <w:rFonts w:ascii="Arial" w:hAnsi="Arial" w:cs="Arial"/>
          <w:lang w:val="en-PH"/>
        </w:rPr>
      </w:pPr>
    </w:p>
    <w:p w14:paraId="08A24869" w14:textId="77777777"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Sida, T. S., Kumar, B. M., &amp; Singh, A. K. (2022). Agroforestry practices for food and environmental security in South Asia. </w:t>
      </w:r>
      <w:r w:rsidRPr="00922BBA">
        <w:rPr>
          <w:rFonts w:ascii="Arial" w:hAnsi="Arial" w:cs="Arial"/>
          <w:i/>
          <w:iCs/>
          <w:lang w:val="en-PH"/>
        </w:rPr>
        <w:t>Agroforestry Systems, 96</w:t>
      </w:r>
      <w:r w:rsidRPr="00922BBA">
        <w:rPr>
          <w:rFonts w:ascii="Arial" w:hAnsi="Arial" w:cs="Arial"/>
          <w:lang w:val="en-PH"/>
        </w:rPr>
        <w:t xml:space="preserve">(3), 547–566. </w:t>
      </w:r>
      <w:hyperlink r:id="rId32" w:tgtFrame="_new" w:history="1">
        <w:r w:rsidRPr="00922BBA">
          <w:rPr>
            <w:rStyle w:val="Hyperlink"/>
            <w:rFonts w:ascii="Arial" w:hAnsi="Arial" w:cs="Arial"/>
            <w:color w:val="auto"/>
            <w:u w:val="none"/>
            <w:lang w:val="en-PH"/>
          </w:rPr>
          <w:t>https://doi.org/10.1007/s10457-021-00727-3</w:t>
        </w:r>
      </w:hyperlink>
    </w:p>
    <w:p w14:paraId="5D82C847" w14:textId="77777777" w:rsidR="00922BBA" w:rsidRPr="002D1CF8" w:rsidRDefault="00922BBA" w:rsidP="002D1CF8">
      <w:pPr>
        <w:ind w:left="720" w:hanging="720"/>
        <w:jc w:val="both"/>
        <w:rPr>
          <w:rFonts w:ascii="Arial" w:hAnsi="Arial" w:cs="Arial"/>
          <w:lang w:val="en-PH"/>
        </w:rPr>
      </w:pPr>
    </w:p>
    <w:p w14:paraId="43B9A71A" w14:textId="77777777" w:rsidR="00922BBA" w:rsidRPr="002D1CF8" w:rsidRDefault="00922BBA" w:rsidP="002D1CF8">
      <w:pPr>
        <w:ind w:left="720" w:hanging="720"/>
        <w:jc w:val="both"/>
        <w:rPr>
          <w:rFonts w:ascii="Arial" w:hAnsi="Arial" w:cs="Arial"/>
          <w:lang w:val="en-PH"/>
        </w:rPr>
      </w:pPr>
      <w:proofErr w:type="spellStart"/>
      <w:r w:rsidRPr="00922BBA">
        <w:rPr>
          <w:rFonts w:ascii="Arial" w:hAnsi="Arial" w:cs="Arial"/>
          <w:lang w:val="en-PH"/>
        </w:rPr>
        <w:t>Tabal</w:t>
      </w:r>
      <w:proofErr w:type="spellEnd"/>
      <w:r w:rsidRPr="00922BBA">
        <w:rPr>
          <w:rFonts w:ascii="Arial" w:hAnsi="Arial" w:cs="Arial"/>
          <w:lang w:val="en-PH"/>
        </w:rPr>
        <w:t xml:space="preserve">, E. P., &amp; Mendoza, T. C. (2020). Accounting the net carbon sequestered of various agroforestry systems (AFSs) in Zamboanga City, Philippines. </w:t>
      </w:r>
      <w:r w:rsidRPr="00922BBA">
        <w:rPr>
          <w:rFonts w:ascii="Arial" w:hAnsi="Arial" w:cs="Arial"/>
          <w:i/>
          <w:iCs/>
          <w:lang w:val="en-PH"/>
        </w:rPr>
        <w:t>International Journal of Agricultural Technology, 16</w:t>
      </w:r>
      <w:r w:rsidRPr="00922BBA">
        <w:rPr>
          <w:rFonts w:ascii="Arial" w:hAnsi="Arial" w:cs="Arial"/>
          <w:lang w:val="en-PH"/>
        </w:rPr>
        <w:t>(2), 457–474.</w:t>
      </w:r>
    </w:p>
    <w:p w14:paraId="6132B69F" w14:textId="77777777" w:rsidR="00922BBA" w:rsidRPr="00922BBA" w:rsidRDefault="00922BBA" w:rsidP="002D1CF8">
      <w:pPr>
        <w:ind w:left="720" w:hanging="720"/>
        <w:jc w:val="both"/>
        <w:rPr>
          <w:rFonts w:ascii="Arial" w:hAnsi="Arial" w:cs="Arial"/>
          <w:lang w:val="en-PH"/>
        </w:rPr>
      </w:pPr>
    </w:p>
    <w:p w14:paraId="444C74ED" w14:textId="416D6E42"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Vaishnav, R., Koli, M., Pradhan, R., Nelson Paul, B., Kartik, A. G., Dhiman, S., &amp; Singh, A. (2025). Agroforestry for climate resilience: A holistic and sustainable approach for India – A comprehensive review. </w:t>
      </w:r>
      <w:r w:rsidRPr="00922BBA">
        <w:rPr>
          <w:rFonts w:ascii="Arial" w:hAnsi="Arial" w:cs="Arial"/>
          <w:i/>
          <w:iCs/>
          <w:lang w:val="en-PH"/>
        </w:rPr>
        <w:t>International Journal of Advanced Biochemistry Research, 9</w:t>
      </w:r>
      <w:r w:rsidRPr="00922BBA">
        <w:rPr>
          <w:rFonts w:ascii="Arial" w:hAnsi="Arial" w:cs="Arial"/>
          <w:lang w:val="en-PH"/>
        </w:rPr>
        <w:t xml:space="preserve">(2F), 390–402. </w:t>
      </w:r>
      <w:hyperlink r:id="rId33" w:history="1">
        <w:r w:rsidRPr="00922BBA">
          <w:rPr>
            <w:rStyle w:val="Hyperlink"/>
            <w:rFonts w:ascii="Arial" w:hAnsi="Arial" w:cs="Arial"/>
            <w:color w:val="auto"/>
            <w:u w:val="none"/>
            <w:lang w:val="en-PH"/>
          </w:rPr>
          <w:t>https://doi.org/10.33545/26174693.2025.v9.i2f.3807</w:t>
        </w:r>
      </w:hyperlink>
    </w:p>
    <w:p w14:paraId="770E2530" w14:textId="77777777" w:rsidR="00922BBA" w:rsidRPr="00922BBA" w:rsidRDefault="00922BBA" w:rsidP="002D1CF8">
      <w:pPr>
        <w:ind w:left="720" w:hanging="720"/>
        <w:jc w:val="both"/>
        <w:rPr>
          <w:rFonts w:ascii="Arial" w:hAnsi="Arial" w:cs="Arial"/>
          <w:lang w:val="en-PH"/>
        </w:rPr>
      </w:pPr>
    </w:p>
    <w:p w14:paraId="442E71D4" w14:textId="77777777" w:rsidR="00922BBA" w:rsidRPr="002D1CF8" w:rsidRDefault="00922BBA" w:rsidP="002D1CF8">
      <w:pPr>
        <w:ind w:left="720" w:hanging="720"/>
        <w:jc w:val="both"/>
        <w:rPr>
          <w:rFonts w:ascii="Arial" w:hAnsi="Arial" w:cs="Arial"/>
          <w:lang w:val="en-PH"/>
        </w:rPr>
      </w:pPr>
      <w:r w:rsidRPr="00417EDC">
        <w:rPr>
          <w:rFonts w:ascii="Arial" w:hAnsi="Arial" w:cs="Arial"/>
          <w:lang w:val="nl-BE"/>
        </w:rPr>
        <w:t xml:space="preserve">Verchot, L. V., Van Noordwijk, M., Kandji, S., Tomich, T., Ong, C., Albrecht, A., Mackensen, J., Bantilan, C., Anupama, K. V., &amp; Palm, C. (2007). </w:t>
      </w:r>
      <w:r w:rsidRPr="00922BBA">
        <w:rPr>
          <w:rFonts w:ascii="Arial" w:hAnsi="Arial" w:cs="Arial"/>
          <w:lang w:val="en-PH"/>
        </w:rPr>
        <w:t xml:space="preserve">Climate change: Linking adaptation and mitigation through agroforestry. </w:t>
      </w:r>
      <w:r w:rsidRPr="00922BBA">
        <w:rPr>
          <w:rFonts w:ascii="Arial" w:hAnsi="Arial" w:cs="Arial"/>
          <w:i/>
          <w:iCs/>
          <w:lang w:val="en-PH"/>
        </w:rPr>
        <w:t>Mitigation and Adaptation Strategies for Global Change, 12</w:t>
      </w:r>
      <w:r w:rsidRPr="00922BBA">
        <w:rPr>
          <w:rFonts w:ascii="Arial" w:hAnsi="Arial" w:cs="Arial"/>
          <w:lang w:val="en-PH"/>
        </w:rPr>
        <w:t xml:space="preserve">(5), 901–918. </w:t>
      </w:r>
      <w:hyperlink r:id="rId34" w:tgtFrame="_new" w:history="1">
        <w:r w:rsidRPr="00922BBA">
          <w:rPr>
            <w:rStyle w:val="Hyperlink"/>
            <w:rFonts w:ascii="Arial" w:hAnsi="Arial" w:cs="Arial"/>
            <w:color w:val="auto"/>
            <w:u w:val="none"/>
            <w:lang w:val="en-PH"/>
          </w:rPr>
          <w:t>https://doi.org/10.1007/s11027-007-9105-6</w:t>
        </w:r>
      </w:hyperlink>
    </w:p>
    <w:p w14:paraId="321AC6D1" w14:textId="77777777" w:rsidR="00922BBA" w:rsidRPr="00922BBA" w:rsidRDefault="00922BBA" w:rsidP="002D1CF8">
      <w:pPr>
        <w:ind w:left="720" w:hanging="720"/>
        <w:jc w:val="both"/>
        <w:rPr>
          <w:rFonts w:ascii="Arial" w:hAnsi="Arial" w:cs="Arial"/>
          <w:lang w:val="en-PH"/>
        </w:rPr>
      </w:pPr>
    </w:p>
    <w:p w14:paraId="44D1A1AA" w14:textId="1BAB7862" w:rsidR="00922BBA" w:rsidRPr="002D1CF8" w:rsidRDefault="00922BBA" w:rsidP="002D1CF8">
      <w:pPr>
        <w:ind w:left="720" w:hanging="720"/>
        <w:jc w:val="both"/>
        <w:rPr>
          <w:rFonts w:ascii="Arial" w:hAnsi="Arial" w:cs="Arial"/>
          <w:lang w:val="en-PH"/>
        </w:rPr>
      </w:pPr>
      <w:r w:rsidRPr="00922BBA">
        <w:rPr>
          <w:rFonts w:ascii="Arial" w:hAnsi="Arial" w:cs="Arial"/>
          <w:lang w:val="en-PH"/>
        </w:rPr>
        <w:t xml:space="preserve">Viñals, E., Maneja, R., </w:t>
      </w:r>
      <w:proofErr w:type="spellStart"/>
      <w:r w:rsidRPr="00922BBA">
        <w:rPr>
          <w:rFonts w:ascii="Arial" w:hAnsi="Arial" w:cs="Arial"/>
          <w:lang w:val="en-PH"/>
        </w:rPr>
        <w:t>Rufí-Salís</w:t>
      </w:r>
      <w:proofErr w:type="spellEnd"/>
      <w:r w:rsidRPr="00922BBA">
        <w:rPr>
          <w:rFonts w:ascii="Arial" w:hAnsi="Arial" w:cs="Arial"/>
          <w:lang w:val="en-PH"/>
        </w:rPr>
        <w:t xml:space="preserve">, M., Martí, M., &amp; Puy, N. (2023). Reviewing social-ecological resilience for agroforestry systems under climate change conditions. </w:t>
      </w:r>
      <w:r w:rsidRPr="00922BBA">
        <w:rPr>
          <w:rFonts w:ascii="Arial" w:hAnsi="Arial" w:cs="Arial"/>
          <w:i/>
          <w:iCs/>
          <w:lang w:val="en-PH"/>
        </w:rPr>
        <w:t>Science of the Total Environment, 869</w:t>
      </w:r>
      <w:r w:rsidRPr="00922BBA">
        <w:rPr>
          <w:rFonts w:ascii="Arial" w:hAnsi="Arial" w:cs="Arial"/>
          <w:lang w:val="en-PH"/>
        </w:rPr>
        <w:t xml:space="preserve">, 161763. </w:t>
      </w:r>
      <w:hyperlink r:id="rId35" w:history="1">
        <w:r w:rsidR="002D1CF8" w:rsidRPr="00922BBA">
          <w:rPr>
            <w:rStyle w:val="Hyperlink"/>
            <w:rFonts w:ascii="Arial" w:hAnsi="Arial" w:cs="Arial"/>
            <w:color w:val="auto"/>
            <w:u w:val="none"/>
            <w:lang w:val="en-PH"/>
          </w:rPr>
          <w:t>https://doi.org/10.1016/j.scitotenv.2023.161763</w:t>
        </w:r>
      </w:hyperlink>
    </w:p>
    <w:p w14:paraId="16CDF4A1" w14:textId="77777777" w:rsidR="002D1CF8" w:rsidRPr="002D1CF8" w:rsidRDefault="002D1CF8" w:rsidP="002D1CF8">
      <w:pPr>
        <w:ind w:left="720" w:hanging="720"/>
        <w:jc w:val="both"/>
        <w:rPr>
          <w:rFonts w:ascii="Arial" w:hAnsi="Arial" w:cs="Arial"/>
          <w:lang w:val="en-PH"/>
        </w:rPr>
      </w:pPr>
    </w:p>
    <w:p w14:paraId="789001FB" w14:textId="2FCB792C" w:rsidR="002D1CF8" w:rsidRPr="00922BBA" w:rsidRDefault="002D1CF8" w:rsidP="002D1CF8">
      <w:pPr>
        <w:ind w:left="720" w:hanging="720"/>
        <w:jc w:val="both"/>
        <w:rPr>
          <w:rFonts w:ascii="Arial" w:hAnsi="Arial" w:cs="Arial"/>
          <w:lang w:val="en-PH"/>
        </w:rPr>
      </w:pPr>
      <w:proofErr w:type="spellStart"/>
      <w:r w:rsidRPr="002D1CF8">
        <w:rPr>
          <w:rFonts w:ascii="Arial" w:hAnsi="Arial" w:cs="Arial"/>
        </w:rPr>
        <w:t>Wijitkosum</w:t>
      </w:r>
      <w:proofErr w:type="spellEnd"/>
      <w:r w:rsidRPr="002D1CF8">
        <w:rPr>
          <w:rFonts w:ascii="Arial" w:hAnsi="Arial" w:cs="Arial"/>
        </w:rPr>
        <w:t xml:space="preserve">, S., &amp; </w:t>
      </w:r>
      <w:proofErr w:type="spellStart"/>
      <w:r w:rsidRPr="002D1CF8">
        <w:rPr>
          <w:rFonts w:ascii="Arial" w:hAnsi="Arial" w:cs="Arial"/>
        </w:rPr>
        <w:t>Sriburi</w:t>
      </w:r>
      <w:proofErr w:type="spellEnd"/>
      <w:r w:rsidRPr="002D1CF8">
        <w:rPr>
          <w:rFonts w:ascii="Arial" w:hAnsi="Arial" w:cs="Arial"/>
        </w:rPr>
        <w:t xml:space="preserve">, T. (2023). Landscape-scale agroforestry for climate adaptation and biodiversity restoration in Thailand. </w:t>
      </w:r>
      <w:r w:rsidRPr="002D1CF8">
        <w:rPr>
          <w:rFonts w:ascii="Arial" w:hAnsi="Arial" w:cs="Arial"/>
          <w:i/>
          <w:iCs/>
        </w:rPr>
        <w:t>Sustainability, 15</w:t>
      </w:r>
      <w:r w:rsidRPr="002D1CF8">
        <w:rPr>
          <w:rFonts w:ascii="Arial" w:hAnsi="Arial" w:cs="Arial"/>
        </w:rPr>
        <w:t>(4), 3150. https://doi.org/10.3390/su15043150</w:t>
      </w:r>
    </w:p>
    <w:p w14:paraId="249D5AF8" w14:textId="77777777" w:rsidR="00922BBA" w:rsidRPr="00922BBA" w:rsidRDefault="00922BBA" w:rsidP="002D1CF8">
      <w:pPr>
        <w:ind w:left="720" w:hanging="720"/>
        <w:jc w:val="both"/>
        <w:rPr>
          <w:rFonts w:ascii="Arial" w:hAnsi="Arial" w:cs="Arial"/>
          <w:lang w:val="en-PH"/>
        </w:rPr>
      </w:pPr>
    </w:p>
    <w:p w14:paraId="424BF586" w14:textId="77777777" w:rsidR="00922BBA" w:rsidRPr="00922BBA" w:rsidRDefault="00922BBA" w:rsidP="00922BBA">
      <w:pPr>
        <w:jc w:val="both"/>
        <w:rPr>
          <w:rFonts w:ascii="Arial" w:hAnsi="Arial" w:cs="Arial"/>
          <w:lang w:val="en-PH"/>
        </w:rPr>
      </w:pPr>
    </w:p>
    <w:p w14:paraId="4DFEB4A4" w14:textId="77777777" w:rsidR="00922BBA" w:rsidRPr="00922BBA" w:rsidRDefault="00922BBA" w:rsidP="00922BBA">
      <w:pPr>
        <w:jc w:val="both"/>
        <w:rPr>
          <w:rFonts w:ascii="Arial" w:hAnsi="Arial" w:cs="Arial"/>
          <w:lang w:val="en-PH"/>
        </w:rPr>
      </w:pPr>
    </w:p>
    <w:p w14:paraId="6D7EA408" w14:textId="77777777" w:rsidR="00922BBA" w:rsidRPr="00922BBA" w:rsidRDefault="00922BBA" w:rsidP="00922BBA">
      <w:pPr>
        <w:jc w:val="both"/>
        <w:rPr>
          <w:rFonts w:ascii="Arial" w:hAnsi="Arial" w:cs="Arial"/>
          <w:lang w:val="en-PH"/>
        </w:rPr>
      </w:pPr>
    </w:p>
    <w:p w14:paraId="1DDA6651" w14:textId="77777777" w:rsidR="00922BBA" w:rsidRDefault="00922BBA" w:rsidP="00922BBA">
      <w:pPr>
        <w:jc w:val="both"/>
        <w:rPr>
          <w:rFonts w:ascii="Arial" w:hAnsi="Arial" w:cs="Arial"/>
        </w:rPr>
      </w:pPr>
    </w:p>
    <w:p w14:paraId="169CEFC5" w14:textId="08E18891" w:rsidR="00922BBA" w:rsidRPr="00A56C73" w:rsidRDefault="00922BBA" w:rsidP="00922BBA">
      <w:pPr>
        <w:jc w:val="both"/>
        <w:rPr>
          <w:rFonts w:ascii="Arial" w:hAnsi="Arial" w:cs="Arial"/>
        </w:rPr>
        <w:sectPr w:rsidR="00922BBA" w:rsidRPr="00A56C73" w:rsidSect="006A1724">
          <w:headerReference w:type="even" r:id="rId36"/>
          <w:headerReference w:type="default" r:id="rId37"/>
          <w:footerReference w:type="even" r:id="rId38"/>
          <w:footerReference w:type="default" r:id="rId39"/>
          <w:headerReference w:type="first" r:id="rId40"/>
          <w:footerReference w:type="first" r:id="rId41"/>
          <w:type w:val="continuous"/>
          <w:pgSz w:w="12240" w:h="15840"/>
          <w:pgMar w:top="1440" w:right="2016" w:bottom="2016" w:left="2016" w:header="720" w:footer="1123" w:gutter="0"/>
          <w:cols w:space="720"/>
          <w:docGrid w:linePitch="272"/>
        </w:sectPr>
      </w:pPr>
    </w:p>
    <w:p w14:paraId="1DA70D9E" w14:textId="77777777" w:rsidR="00B01FCD" w:rsidRPr="00FB3A86" w:rsidRDefault="00B01FCD" w:rsidP="00441B6F">
      <w:pPr>
        <w:pStyle w:val="Appendix"/>
        <w:spacing w:after="0"/>
        <w:jc w:val="both"/>
        <w:rPr>
          <w:rFonts w:ascii="Arial" w:hAnsi="Arial" w:cs="Arial"/>
          <w:b w:val="0"/>
        </w:rPr>
      </w:pPr>
    </w:p>
    <w:sectPr w:rsidR="00B01FCD" w:rsidRPr="00FB3A86" w:rsidSect="006A17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E413F" w14:textId="77777777" w:rsidR="00334CD4" w:rsidRDefault="00334CD4" w:rsidP="00C37E61">
      <w:r>
        <w:separator/>
      </w:r>
    </w:p>
  </w:endnote>
  <w:endnote w:type="continuationSeparator" w:id="0">
    <w:p w14:paraId="17FFF373" w14:textId="77777777" w:rsidR="00334CD4" w:rsidRDefault="00334CD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C13B3" w14:textId="77777777" w:rsidR="007236A8" w:rsidRDefault="007236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034A"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90E63" w14:textId="77777777" w:rsidR="007236A8" w:rsidRDefault="00723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94EA6" w14:textId="77777777" w:rsidR="00334CD4" w:rsidRDefault="00334CD4" w:rsidP="00C37E61">
      <w:r>
        <w:separator/>
      </w:r>
    </w:p>
  </w:footnote>
  <w:footnote w:type="continuationSeparator" w:id="0">
    <w:p w14:paraId="4905E37D" w14:textId="77777777" w:rsidR="00334CD4" w:rsidRDefault="00334CD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617E" w14:textId="51981AFF" w:rsidR="007236A8" w:rsidRDefault="00000000">
    <w:pPr>
      <w:pStyle w:val="Header"/>
    </w:pPr>
    <w:r>
      <w:rPr>
        <w:noProof/>
      </w:rPr>
      <w:pict w14:anchorId="157F59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5344" o:spid="_x0000_s1026" type="#_x0000_t136" style="position:absolute;margin-left:0;margin-top:0;width:523.5pt;height:55.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E21E9" w14:textId="396131E2" w:rsidR="007236A8" w:rsidRDefault="00000000">
    <w:pPr>
      <w:pStyle w:val="Header"/>
    </w:pPr>
    <w:r>
      <w:rPr>
        <w:noProof/>
      </w:rPr>
      <w:pict w14:anchorId="1866C3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5345" o:spid="_x0000_s1027" type="#_x0000_t136" style="position:absolute;margin-left:0;margin-top:0;width:523.5pt;height:55.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8A7CD" w14:textId="400181E6" w:rsidR="007236A8" w:rsidRDefault="00000000">
    <w:pPr>
      <w:pStyle w:val="Header"/>
    </w:pPr>
    <w:r>
      <w:rPr>
        <w:noProof/>
      </w:rPr>
      <w:pict w14:anchorId="3638E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5343" o:spid="_x0000_s1025" type="#_x0000_t136" style="position:absolute;margin-left:0;margin-top:0;width:523.5pt;height:55.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C56AB2"/>
    <w:multiLevelType w:val="hybridMultilevel"/>
    <w:tmpl w:val="F97CAAD2"/>
    <w:lvl w:ilvl="0" w:tplc="E2A21EB2">
      <w:start w:val="1"/>
      <w:numFmt w:val="decimal"/>
      <w:lvlText w:val="%1."/>
      <w:lvlJc w:val="left"/>
      <w:pPr>
        <w:ind w:left="720" w:hanging="360"/>
      </w:pPr>
      <w:rPr>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A0B4F6F"/>
    <w:multiLevelType w:val="hybridMultilevel"/>
    <w:tmpl w:val="B91292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DE0470C"/>
    <w:multiLevelType w:val="hybridMultilevel"/>
    <w:tmpl w:val="4AB8FD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07059AC"/>
    <w:multiLevelType w:val="hybridMultilevel"/>
    <w:tmpl w:val="BCA0BCBA"/>
    <w:lvl w:ilvl="0" w:tplc="E2A21EB2">
      <w:start w:val="1"/>
      <w:numFmt w:val="decimal"/>
      <w:lvlText w:val="%1."/>
      <w:lvlJc w:val="left"/>
      <w:pPr>
        <w:ind w:left="720" w:hanging="360"/>
      </w:pPr>
      <w:rPr>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3FC10D7"/>
    <w:multiLevelType w:val="hybridMultilevel"/>
    <w:tmpl w:val="D9CCEC2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2113539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6682535">
    <w:abstractNumId w:val="19"/>
  </w:num>
  <w:num w:numId="3" w16cid:durableId="1111097346">
    <w:abstractNumId w:val="28"/>
  </w:num>
  <w:num w:numId="4" w16cid:durableId="47665081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81567990">
    <w:abstractNumId w:val="8"/>
  </w:num>
  <w:num w:numId="6" w16cid:durableId="767430571">
    <w:abstractNumId w:val="7"/>
  </w:num>
  <w:num w:numId="7" w16cid:durableId="416751765">
    <w:abstractNumId w:val="1"/>
  </w:num>
  <w:num w:numId="8" w16cid:durableId="2060668814">
    <w:abstractNumId w:val="15"/>
  </w:num>
  <w:num w:numId="9" w16cid:durableId="306055845">
    <w:abstractNumId w:val="30"/>
  </w:num>
  <w:num w:numId="10" w16cid:durableId="1582904743">
    <w:abstractNumId w:val="2"/>
  </w:num>
  <w:num w:numId="11" w16cid:durableId="508518920">
    <w:abstractNumId w:val="23"/>
  </w:num>
  <w:num w:numId="12" w16cid:durableId="2023893127">
    <w:abstractNumId w:val="3"/>
  </w:num>
  <w:num w:numId="13" w16cid:durableId="1182865396">
    <w:abstractNumId w:val="21"/>
  </w:num>
  <w:num w:numId="14" w16cid:durableId="1867020340">
    <w:abstractNumId w:val="10"/>
  </w:num>
  <w:num w:numId="15" w16cid:durableId="598366382">
    <w:abstractNumId w:val="26"/>
  </w:num>
  <w:num w:numId="16" w16cid:durableId="494734382">
    <w:abstractNumId w:val="5"/>
  </w:num>
  <w:num w:numId="17" w16cid:durableId="578099124">
    <w:abstractNumId w:val="27"/>
  </w:num>
  <w:num w:numId="18" w16cid:durableId="58402721">
    <w:abstractNumId w:val="17"/>
  </w:num>
  <w:num w:numId="19" w16cid:durableId="664211271">
    <w:abstractNumId w:val="33"/>
  </w:num>
  <w:num w:numId="20" w16cid:durableId="643975434">
    <w:abstractNumId w:val="14"/>
  </w:num>
  <w:num w:numId="21" w16cid:durableId="160896026">
    <w:abstractNumId w:val="12"/>
  </w:num>
  <w:num w:numId="22" w16cid:durableId="892929201">
    <w:abstractNumId w:val="16"/>
  </w:num>
  <w:num w:numId="23" w16cid:durableId="1768647784">
    <w:abstractNumId w:val="24"/>
  </w:num>
  <w:num w:numId="24" w16cid:durableId="619655300">
    <w:abstractNumId w:val="31"/>
  </w:num>
  <w:num w:numId="25" w16cid:durableId="2078555954">
    <w:abstractNumId w:val="4"/>
  </w:num>
  <w:num w:numId="26" w16cid:durableId="1735155877">
    <w:abstractNumId w:val="20"/>
  </w:num>
  <w:num w:numId="27" w16cid:durableId="1983344025">
    <w:abstractNumId w:val="25"/>
  </w:num>
  <w:num w:numId="28" w16cid:durableId="1785805312">
    <w:abstractNumId w:val="32"/>
  </w:num>
  <w:num w:numId="29" w16cid:durableId="1778715849">
    <w:abstractNumId w:val="29"/>
  </w:num>
  <w:num w:numId="30" w16cid:durableId="740714811">
    <w:abstractNumId w:val="13"/>
  </w:num>
  <w:num w:numId="31" w16cid:durableId="1222790103">
    <w:abstractNumId w:val="9"/>
  </w:num>
  <w:num w:numId="32" w16cid:durableId="650138359">
    <w:abstractNumId w:val="11"/>
  </w:num>
  <w:num w:numId="33" w16cid:durableId="204176370">
    <w:abstractNumId w:val="18"/>
  </w:num>
  <w:num w:numId="34" w16cid:durableId="437650897">
    <w:abstractNumId w:val="22"/>
  </w:num>
  <w:num w:numId="35" w16cid:durableId="7437208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63"/>
    <w:rsid w:val="00000F8F"/>
    <w:rsid w:val="000108D2"/>
    <w:rsid w:val="00030174"/>
    <w:rsid w:val="0004579C"/>
    <w:rsid w:val="0008360E"/>
    <w:rsid w:val="000A066D"/>
    <w:rsid w:val="000A47FA"/>
    <w:rsid w:val="000A65D3"/>
    <w:rsid w:val="000B1E33"/>
    <w:rsid w:val="000B319F"/>
    <w:rsid w:val="000B64E8"/>
    <w:rsid w:val="000B722F"/>
    <w:rsid w:val="000D689F"/>
    <w:rsid w:val="000E7B7B"/>
    <w:rsid w:val="000E7D62"/>
    <w:rsid w:val="00103357"/>
    <w:rsid w:val="00123C9F"/>
    <w:rsid w:val="00126190"/>
    <w:rsid w:val="00130F17"/>
    <w:rsid w:val="001320BF"/>
    <w:rsid w:val="00163BC4"/>
    <w:rsid w:val="00181318"/>
    <w:rsid w:val="00191062"/>
    <w:rsid w:val="00192B72"/>
    <w:rsid w:val="001931E0"/>
    <w:rsid w:val="001A29D8"/>
    <w:rsid w:val="001A5CAA"/>
    <w:rsid w:val="001B0427"/>
    <w:rsid w:val="001C7B03"/>
    <w:rsid w:val="001D3A51"/>
    <w:rsid w:val="001E10D2"/>
    <w:rsid w:val="001E25B4"/>
    <w:rsid w:val="001E44FE"/>
    <w:rsid w:val="00200595"/>
    <w:rsid w:val="00204835"/>
    <w:rsid w:val="002224AB"/>
    <w:rsid w:val="00231920"/>
    <w:rsid w:val="0023195C"/>
    <w:rsid w:val="002334E6"/>
    <w:rsid w:val="0024282C"/>
    <w:rsid w:val="002460DC"/>
    <w:rsid w:val="00250985"/>
    <w:rsid w:val="002556F6"/>
    <w:rsid w:val="00283105"/>
    <w:rsid w:val="00284C4C"/>
    <w:rsid w:val="00287E68"/>
    <w:rsid w:val="00296529"/>
    <w:rsid w:val="002B27FB"/>
    <w:rsid w:val="002B685A"/>
    <w:rsid w:val="002C57D2"/>
    <w:rsid w:val="002D1CF8"/>
    <w:rsid w:val="002E0D56"/>
    <w:rsid w:val="002E340F"/>
    <w:rsid w:val="00300FFB"/>
    <w:rsid w:val="003141C7"/>
    <w:rsid w:val="00315186"/>
    <w:rsid w:val="0033343E"/>
    <w:rsid w:val="00334CD4"/>
    <w:rsid w:val="003355BA"/>
    <w:rsid w:val="003512C2"/>
    <w:rsid w:val="00371FB6"/>
    <w:rsid w:val="003763C1"/>
    <w:rsid w:val="00376BBE"/>
    <w:rsid w:val="0039224F"/>
    <w:rsid w:val="00392E93"/>
    <w:rsid w:val="003A43A4"/>
    <w:rsid w:val="003A7E18"/>
    <w:rsid w:val="003B3183"/>
    <w:rsid w:val="003C4C86"/>
    <w:rsid w:val="003C6258"/>
    <w:rsid w:val="003E2904"/>
    <w:rsid w:val="00401927"/>
    <w:rsid w:val="0041027F"/>
    <w:rsid w:val="00412475"/>
    <w:rsid w:val="00417EDC"/>
    <w:rsid w:val="00423789"/>
    <w:rsid w:val="00440F43"/>
    <w:rsid w:val="00441B6F"/>
    <w:rsid w:val="00446221"/>
    <w:rsid w:val="00450E62"/>
    <w:rsid w:val="004539DB"/>
    <w:rsid w:val="00471A80"/>
    <w:rsid w:val="0048515A"/>
    <w:rsid w:val="004D305E"/>
    <w:rsid w:val="004D4277"/>
    <w:rsid w:val="00502516"/>
    <w:rsid w:val="00505F06"/>
    <w:rsid w:val="00506828"/>
    <w:rsid w:val="00523482"/>
    <w:rsid w:val="0053056E"/>
    <w:rsid w:val="00554FDA"/>
    <w:rsid w:val="005C784C"/>
    <w:rsid w:val="005D17F6"/>
    <w:rsid w:val="005E3C11"/>
    <w:rsid w:val="005E5539"/>
    <w:rsid w:val="005E692A"/>
    <w:rsid w:val="00602BF5"/>
    <w:rsid w:val="00617FDD"/>
    <w:rsid w:val="00622C85"/>
    <w:rsid w:val="00633614"/>
    <w:rsid w:val="00633F68"/>
    <w:rsid w:val="00636EB2"/>
    <w:rsid w:val="006375B8"/>
    <w:rsid w:val="00654307"/>
    <w:rsid w:val="00662B31"/>
    <w:rsid w:val="0066510A"/>
    <w:rsid w:val="00673F9F"/>
    <w:rsid w:val="0068606E"/>
    <w:rsid w:val="00686953"/>
    <w:rsid w:val="0068753D"/>
    <w:rsid w:val="00687DEA"/>
    <w:rsid w:val="00687E67"/>
    <w:rsid w:val="006967F7"/>
    <w:rsid w:val="006A1724"/>
    <w:rsid w:val="006A250C"/>
    <w:rsid w:val="006B21D3"/>
    <w:rsid w:val="006B57D0"/>
    <w:rsid w:val="006D30FF"/>
    <w:rsid w:val="006D6940"/>
    <w:rsid w:val="006F11EC"/>
    <w:rsid w:val="0070082C"/>
    <w:rsid w:val="007236A8"/>
    <w:rsid w:val="007369E6"/>
    <w:rsid w:val="00746E59"/>
    <w:rsid w:val="00754C9A"/>
    <w:rsid w:val="0075599A"/>
    <w:rsid w:val="00761D52"/>
    <w:rsid w:val="0077749E"/>
    <w:rsid w:val="00790ADA"/>
    <w:rsid w:val="007D1F33"/>
    <w:rsid w:val="007D2288"/>
    <w:rsid w:val="007E088F"/>
    <w:rsid w:val="007F7B32"/>
    <w:rsid w:val="00804BC2"/>
    <w:rsid w:val="0081431A"/>
    <w:rsid w:val="0083216F"/>
    <w:rsid w:val="00846BDC"/>
    <w:rsid w:val="00860000"/>
    <w:rsid w:val="00863BD3"/>
    <w:rsid w:val="008641ED"/>
    <w:rsid w:val="00866D66"/>
    <w:rsid w:val="008671C6"/>
    <w:rsid w:val="00875803"/>
    <w:rsid w:val="008A3446"/>
    <w:rsid w:val="008B459E"/>
    <w:rsid w:val="008E13AE"/>
    <w:rsid w:val="008E1506"/>
    <w:rsid w:val="008E710C"/>
    <w:rsid w:val="008F3368"/>
    <w:rsid w:val="008F69D6"/>
    <w:rsid w:val="009014AD"/>
    <w:rsid w:val="00902823"/>
    <w:rsid w:val="00915CA6"/>
    <w:rsid w:val="00922BBA"/>
    <w:rsid w:val="00923A1B"/>
    <w:rsid w:val="00927834"/>
    <w:rsid w:val="00933B80"/>
    <w:rsid w:val="00943A2F"/>
    <w:rsid w:val="009500A6"/>
    <w:rsid w:val="00957C18"/>
    <w:rsid w:val="009659BA"/>
    <w:rsid w:val="00983040"/>
    <w:rsid w:val="009857B7"/>
    <w:rsid w:val="009B3FB9"/>
    <w:rsid w:val="009C2465"/>
    <w:rsid w:val="009D35A0"/>
    <w:rsid w:val="009D3CBB"/>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6C73"/>
    <w:rsid w:val="00A57968"/>
    <w:rsid w:val="00A94063"/>
    <w:rsid w:val="00AA6219"/>
    <w:rsid w:val="00AA74E0"/>
    <w:rsid w:val="00AB703F"/>
    <w:rsid w:val="00AC6BB8"/>
    <w:rsid w:val="00AE008F"/>
    <w:rsid w:val="00AE1B50"/>
    <w:rsid w:val="00B01FCD"/>
    <w:rsid w:val="00B1776C"/>
    <w:rsid w:val="00B211CC"/>
    <w:rsid w:val="00B33503"/>
    <w:rsid w:val="00B52583"/>
    <w:rsid w:val="00B52896"/>
    <w:rsid w:val="00B60926"/>
    <w:rsid w:val="00B83E03"/>
    <w:rsid w:val="00B95236"/>
    <w:rsid w:val="00B96BD9"/>
    <w:rsid w:val="00BA1B01"/>
    <w:rsid w:val="00BA2641"/>
    <w:rsid w:val="00BB37AA"/>
    <w:rsid w:val="00BC53A0"/>
    <w:rsid w:val="00BD0E12"/>
    <w:rsid w:val="00BE62AD"/>
    <w:rsid w:val="00BF121F"/>
    <w:rsid w:val="00BF1F80"/>
    <w:rsid w:val="00C166EF"/>
    <w:rsid w:val="00C17EB0"/>
    <w:rsid w:val="00C27F5F"/>
    <w:rsid w:val="00C30A0F"/>
    <w:rsid w:val="00C37DD9"/>
    <w:rsid w:val="00C37E61"/>
    <w:rsid w:val="00C70F1B"/>
    <w:rsid w:val="00C71A47"/>
    <w:rsid w:val="00C7464C"/>
    <w:rsid w:val="00C85588"/>
    <w:rsid w:val="00CD52D1"/>
    <w:rsid w:val="00CD6755"/>
    <w:rsid w:val="00CD6856"/>
    <w:rsid w:val="00CE0089"/>
    <w:rsid w:val="00CE1164"/>
    <w:rsid w:val="00CE793C"/>
    <w:rsid w:val="00CF193C"/>
    <w:rsid w:val="00D173F1"/>
    <w:rsid w:val="00D6038A"/>
    <w:rsid w:val="00D60423"/>
    <w:rsid w:val="00D624C3"/>
    <w:rsid w:val="00D74CB0"/>
    <w:rsid w:val="00D75F33"/>
    <w:rsid w:val="00D8088D"/>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3502"/>
    <w:rsid w:val="00F06F59"/>
    <w:rsid w:val="00F16DFA"/>
    <w:rsid w:val="00F17988"/>
    <w:rsid w:val="00F3494B"/>
    <w:rsid w:val="00F42F56"/>
    <w:rsid w:val="00F469F0"/>
    <w:rsid w:val="00F53273"/>
    <w:rsid w:val="00F55F51"/>
    <w:rsid w:val="00F755E4"/>
    <w:rsid w:val="00F77D02"/>
    <w:rsid w:val="00FB3A86"/>
    <w:rsid w:val="00FD36C8"/>
    <w:rsid w:val="00FE6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36A1B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BD0E1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181318"/>
    <w:pPr>
      <w:ind w:left="720"/>
      <w:contextualSpacing/>
    </w:pPr>
  </w:style>
  <w:style w:type="character" w:styleId="Strong">
    <w:name w:val="Strong"/>
    <w:basedOn w:val="DefaultParagraphFont"/>
    <w:uiPriority w:val="22"/>
    <w:qFormat/>
    <w:rsid w:val="002E340F"/>
    <w:rPr>
      <w:b/>
      <w:bCs/>
    </w:rPr>
  </w:style>
  <w:style w:type="character" w:customStyle="1" w:styleId="Heading4Char">
    <w:name w:val="Heading 4 Char"/>
    <w:basedOn w:val="DefaultParagraphFont"/>
    <w:link w:val="Heading4"/>
    <w:semiHidden/>
    <w:rsid w:val="00BD0E12"/>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agee.2020.106892" TargetMode="External"/><Relationship Id="rId18" Type="http://schemas.openxmlformats.org/officeDocument/2006/relationships/hyperlink" Target="https://doi.org/10.1002/wcc.301" TargetMode="External"/><Relationship Id="rId26" Type="http://schemas.openxmlformats.org/officeDocument/2006/relationships/hyperlink" Target="https://doi.org/10.9734/ijecc/2023/v13i113615" TargetMode="External"/><Relationship Id="rId39" Type="http://schemas.openxmlformats.org/officeDocument/2006/relationships/footer" Target="footer2.xml"/><Relationship Id="rId21" Type="http://schemas.openxmlformats.org/officeDocument/2006/relationships/hyperlink" Target="https://doi.org/10.9734/ijecc/2025/v15i54840" TargetMode="External"/><Relationship Id="rId34" Type="http://schemas.openxmlformats.org/officeDocument/2006/relationships/hyperlink" Target="https://doi.org/10.1007/s11027-007-9105-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7801/ajad2020.17.1.6" TargetMode="External"/><Relationship Id="rId20" Type="http://schemas.openxmlformats.org/officeDocument/2006/relationships/hyperlink" Target="https://doi.org/10.1007/s10457-019-00474-0" TargetMode="External"/><Relationship Id="rId29" Type="http://schemas.openxmlformats.org/officeDocument/2006/relationships/hyperlink" Target="https://doi.org/10.1016/j.landusepol.2021.105421"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11/j.1477-8947.2011.01386.x" TargetMode="External"/><Relationship Id="rId24" Type="http://schemas.openxmlformats.org/officeDocument/2006/relationships/hyperlink" Target="https://doi.org/10.1016/j.jrurstud.2023.06.003" TargetMode="External"/><Relationship Id="rId32" Type="http://schemas.openxmlformats.org/officeDocument/2006/relationships/hyperlink" Target="https://doi.org/10.1007/s10457-021-00727-3"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07/s00267-023-01816-x" TargetMode="External"/><Relationship Id="rId23" Type="http://schemas.openxmlformats.org/officeDocument/2006/relationships/hyperlink" Target="https://doi.org/10.1007/s10457-022-00777-5" TargetMode="External"/><Relationship Id="rId28" Type="http://schemas.openxmlformats.org/officeDocument/2006/relationships/hyperlink" Target="https://doi.org/10.9734/ijecc/2024/v14i114522" TargetMode="External"/><Relationship Id="rId36" Type="http://schemas.openxmlformats.org/officeDocument/2006/relationships/header" Target="header1.xml"/><Relationship Id="rId10" Type="http://schemas.openxmlformats.org/officeDocument/2006/relationships/hyperlink" Target="https://doi.org/10.1002/cli2.70018" TargetMode="External"/><Relationship Id="rId19" Type="http://schemas.openxmlformats.org/officeDocument/2006/relationships/hyperlink" Target="https://doi.org/10.1007/978-94-007-4676-3_9" TargetMode="External"/><Relationship Id="rId31" Type="http://schemas.openxmlformats.org/officeDocument/2006/relationships/hyperlink" Target="https://doi.org/10.4324/978042934174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478/eko-2023-0021" TargetMode="External"/><Relationship Id="rId22" Type="http://schemas.openxmlformats.org/officeDocument/2006/relationships/hyperlink" Target="https://doi.org/10.1007/s11104-024-06549-5" TargetMode="External"/><Relationship Id="rId27" Type="http://schemas.openxmlformats.org/officeDocument/2006/relationships/hyperlink" Target="https://doi.org/10.3390/land9120528" TargetMode="External"/><Relationship Id="rId30" Type="http://schemas.openxmlformats.org/officeDocument/2006/relationships/hyperlink" Target="https://doi.org/10.1111/sum.12932" TargetMode="External"/><Relationship Id="rId35" Type="http://schemas.openxmlformats.org/officeDocument/2006/relationships/hyperlink" Target="https://doi.org/10.1016/j.scitotenv.2023.161763"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1088/1748-9326/ad2b45" TargetMode="External"/><Relationship Id="rId17" Type="http://schemas.openxmlformats.org/officeDocument/2006/relationships/hyperlink" Target="https://doi.org/10.1016/j.ecolind.2024.112456" TargetMode="External"/><Relationship Id="rId25" Type="http://schemas.openxmlformats.org/officeDocument/2006/relationships/hyperlink" Target="https://doi.org/10.24259/fs.v6i2.22641" TargetMode="External"/><Relationship Id="rId33" Type="http://schemas.openxmlformats.org/officeDocument/2006/relationships/hyperlink" Target="https://doi.org/10.33545/26174693.2025.v9.i2f.3807" TargetMode="External"/><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29E1B-FF64-4E61-8103-C0B08E1CA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122</TotalTime>
  <Pages>17</Pages>
  <Words>6934</Words>
  <Characters>39525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46367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29</cp:revision>
  <cp:lastPrinted>1999-07-06T11:00:00Z</cp:lastPrinted>
  <dcterms:created xsi:type="dcterms:W3CDTF">2025-10-11T14:56:00Z</dcterms:created>
  <dcterms:modified xsi:type="dcterms:W3CDTF">2025-10-23T05:39:00Z</dcterms:modified>
</cp:coreProperties>
</file>