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A880D" w14:textId="11CD4440" w:rsidR="008F2990" w:rsidRPr="00893FFC" w:rsidRDefault="00893FFC" w:rsidP="00893FFC">
      <w:pPr>
        <w:jc w:val="right"/>
        <w:rPr>
          <w:rFonts w:ascii="Times New Roman" w:hAnsi="Times New Roman" w:cs="Times New Roman"/>
          <w:b/>
          <w:bCs/>
          <w:i/>
          <w:u w:val="single"/>
          <w:lang w:val="en-US"/>
        </w:rPr>
      </w:pPr>
      <w:r w:rsidRPr="00893FFC">
        <w:rPr>
          <w:rFonts w:ascii="Times New Roman" w:hAnsi="Times New Roman" w:cs="Times New Roman"/>
          <w:b/>
          <w:bCs/>
          <w:i/>
          <w:u w:val="single"/>
          <w:lang w:val="en-US"/>
        </w:rPr>
        <w:t>Original Research Article</w:t>
      </w:r>
    </w:p>
    <w:p w14:paraId="17E709B4" w14:textId="3FD9A85C" w:rsidR="008F2990" w:rsidRPr="00B651AC" w:rsidRDefault="00B651AC" w:rsidP="008F2990">
      <w:pPr>
        <w:jc w:val="center"/>
        <w:rPr>
          <w:rFonts w:ascii="Times New Roman" w:hAnsi="Times New Roman" w:cs="Times New Roman"/>
          <w:b/>
          <w:bCs/>
          <w:lang w:val="en-US"/>
        </w:rPr>
      </w:pPr>
      <w:r w:rsidRPr="00B651AC">
        <w:rPr>
          <w:b/>
          <w:highlight w:val="yellow"/>
          <w:lang w:val="en-GB"/>
        </w:rPr>
        <w:t>Epidemiological and Clinical Profile of Toxic Ornamental Plant Poisoning in Children: A Retrospective Study from Brazil</w:t>
      </w:r>
    </w:p>
    <w:p w14:paraId="5A508483" w14:textId="77777777" w:rsidR="00F5461D" w:rsidRDefault="00F5461D" w:rsidP="00F75A64">
      <w:pPr>
        <w:spacing w:after="0"/>
        <w:jc w:val="both"/>
        <w:rPr>
          <w:rFonts w:ascii="Times New Roman" w:hAnsi="Times New Roman" w:cs="Times New Roman"/>
          <w:b/>
          <w:bCs/>
          <w:lang w:val="en-US"/>
        </w:rPr>
      </w:pPr>
      <w:r w:rsidRPr="00F5461D">
        <w:rPr>
          <w:rFonts w:ascii="Times New Roman" w:hAnsi="Times New Roman" w:cs="Times New Roman"/>
          <w:b/>
          <w:bCs/>
          <w:lang w:val="en-US"/>
        </w:rPr>
        <w:t>Abstract</w:t>
      </w:r>
    </w:p>
    <w:p w14:paraId="117C52EB" w14:textId="77777777" w:rsidR="0005408A" w:rsidRPr="00F5461D" w:rsidRDefault="0005408A" w:rsidP="00F75A64">
      <w:pPr>
        <w:spacing w:after="0"/>
        <w:jc w:val="both"/>
        <w:rPr>
          <w:rFonts w:ascii="Times New Roman" w:hAnsi="Times New Roman" w:cs="Times New Roman"/>
          <w:b/>
          <w:bCs/>
          <w:lang w:val="en-US"/>
        </w:rPr>
      </w:pPr>
    </w:p>
    <w:p w14:paraId="5DF88322" w14:textId="77777777" w:rsidR="00F5461D" w:rsidRPr="00F5461D" w:rsidRDefault="00F5461D" w:rsidP="00F75A64">
      <w:pPr>
        <w:spacing w:after="0"/>
        <w:jc w:val="both"/>
        <w:rPr>
          <w:rFonts w:ascii="Times New Roman" w:hAnsi="Times New Roman" w:cs="Times New Roman"/>
          <w:lang w:val="en-US"/>
        </w:rPr>
      </w:pPr>
      <w:r w:rsidRPr="00F5461D">
        <w:rPr>
          <w:rFonts w:ascii="Times New Roman" w:hAnsi="Times New Roman" w:cs="Times New Roman"/>
          <w:b/>
          <w:bCs/>
          <w:lang w:val="en-US"/>
        </w:rPr>
        <w:t>Background:</w:t>
      </w:r>
      <w:r w:rsidRPr="00F5461D">
        <w:rPr>
          <w:rFonts w:ascii="Times New Roman" w:hAnsi="Times New Roman" w:cs="Times New Roman"/>
          <w:lang w:val="en-US"/>
        </w:rPr>
        <w:t xml:space="preserve"> Ornamental plants commonly found in households and public spaces contain bioactive metabolites such as alkaloids, cardiotonic glycosides, cyanogenic glycosides, calcium oxalate, and toxalbumins. These compounds can trigger clinical manifestations ranging from mild local irritation to severe cardiac arrhythmias and shock. In tropical regions, the high botanical diversity and easy access to such plants increase the risk of poisoning, particularly in children.</w:t>
      </w:r>
    </w:p>
    <w:p w14:paraId="21CB9E9F" w14:textId="77777777" w:rsidR="00F5461D" w:rsidRPr="00F5461D" w:rsidRDefault="00F5461D" w:rsidP="00F75A64">
      <w:pPr>
        <w:spacing w:after="0"/>
        <w:jc w:val="both"/>
        <w:rPr>
          <w:rFonts w:ascii="Times New Roman" w:hAnsi="Times New Roman" w:cs="Times New Roman"/>
          <w:lang w:val="en-US"/>
        </w:rPr>
      </w:pPr>
      <w:r w:rsidRPr="00F5461D">
        <w:rPr>
          <w:rFonts w:ascii="Times New Roman" w:hAnsi="Times New Roman" w:cs="Times New Roman"/>
          <w:b/>
          <w:bCs/>
          <w:lang w:val="en-US"/>
        </w:rPr>
        <w:t>Objective:</w:t>
      </w:r>
      <w:r w:rsidRPr="00F5461D">
        <w:rPr>
          <w:rFonts w:ascii="Times New Roman" w:hAnsi="Times New Roman" w:cs="Times New Roman"/>
          <w:lang w:val="en-US"/>
        </w:rPr>
        <w:t xml:space="preserve"> To describe the demographic, clinical, and outcome profiles of o</w:t>
      </w:r>
      <w:bookmarkStart w:id="0" w:name="_GoBack"/>
      <w:bookmarkEnd w:id="0"/>
      <w:r w:rsidRPr="00F5461D">
        <w:rPr>
          <w:rFonts w:ascii="Times New Roman" w:hAnsi="Times New Roman" w:cs="Times New Roman"/>
          <w:lang w:val="en-US"/>
        </w:rPr>
        <w:t xml:space="preserve">rnamental plant poisonings, with a focus on pediatric cases, based on notifications reported to a poison control center in Vitória, </w:t>
      </w:r>
      <w:proofErr w:type="spellStart"/>
      <w:r w:rsidRPr="00F5461D">
        <w:rPr>
          <w:rFonts w:ascii="Times New Roman" w:hAnsi="Times New Roman" w:cs="Times New Roman"/>
          <w:lang w:val="en-US"/>
        </w:rPr>
        <w:t>Espírito</w:t>
      </w:r>
      <w:proofErr w:type="spellEnd"/>
      <w:r w:rsidRPr="00F5461D">
        <w:rPr>
          <w:rFonts w:ascii="Times New Roman" w:hAnsi="Times New Roman" w:cs="Times New Roman"/>
          <w:lang w:val="en-US"/>
        </w:rPr>
        <w:t xml:space="preserve"> Santo, Brazil.</w:t>
      </w:r>
    </w:p>
    <w:p w14:paraId="1B91097D" w14:textId="77777777" w:rsidR="00F5461D" w:rsidRPr="00F5461D" w:rsidRDefault="00F5461D" w:rsidP="00F75A64">
      <w:pPr>
        <w:spacing w:after="0"/>
        <w:jc w:val="both"/>
        <w:rPr>
          <w:rFonts w:ascii="Times New Roman" w:hAnsi="Times New Roman" w:cs="Times New Roman"/>
          <w:lang w:val="en-US"/>
        </w:rPr>
      </w:pPr>
      <w:r w:rsidRPr="00F5461D">
        <w:rPr>
          <w:rFonts w:ascii="Times New Roman" w:hAnsi="Times New Roman" w:cs="Times New Roman"/>
          <w:b/>
          <w:bCs/>
          <w:lang w:val="en-US"/>
        </w:rPr>
        <w:t>Methods:</w:t>
      </w:r>
      <w:r w:rsidRPr="00F5461D">
        <w:rPr>
          <w:rFonts w:ascii="Times New Roman" w:hAnsi="Times New Roman" w:cs="Times New Roman"/>
          <w:lang w:val="en-US"/>
        </w:rPr>
        <w:t xml:space="preserve"> A retrospective and descriptive study was conducted based on 699 reports recorded by the Centro de </w:t>
      </w:r>
      <w:proofErr w:type="spellStart"/>
      <w:r w:rsidRPr="00F5461D">
        <w:rPr>
          <w:rFonts w:ascii="Times New Roman" w:hAnsi="Times New Roman" w:cs="Times New Roman"/>
          <w:lang w:val="en-US"/>
        </w:rPr>
        <w:t>Informação</w:t>
      </w:r>
      <w:proofErr w:type="spellEnd"/>
      <w:r w:rsidRPr="00F5461D">
        <w:rPr>
          <w:rFonts w:ascii="Times New Roman" w:hAnsi="Times New Roman" w:cs="Times New Roman"/>
          <w:lang w:val="en-US"/>
        </w:rPr>
        <w:t xml:space="preserve"> e </w:t>
      </w:r>
      <w:proofErr w:type="spellStart"/>
      <w:r w:rsidRPr="00F5461D">
        <w:rPr>
          <w:rFonts w:ascii="Times New Roman" w:hAnsi="Times New Roman" w:cs="Times New Roman"/>
          <w:lang w:val="en-US"/>
        </w:rPr>
        <w:t>Assistência</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lang w:val="en-US"/>
        </w:rPr>
        <w:t>Toxicológica</w:t>
      </w:r>
      <w:proofErr w:type="spellEnd"/>
      <w:r w:rsidRPr="00F5461D">
        <w:rPr>
          <w:rFonts w:ascii="Times New Roman" w:hAnsi="Times New Roman" w:cs="Times New Roman"/>
          <w:lang w:val="en-US"/>
        </w:rPr>
        <w:t xml:space="preserve"> (CIATOX) in Vitória, Brazil. Of these, 600 cases with confirmed botanical identification were analyzed. Variables included age, sex, plant part involved, circumstances of exposure, clinical manifestations, and outcomes. Poisoning severity was classified as absent, mild, moderate, or severe using a logarithmic function and further examined by logistic regression. Statistical analyses were performed using SPSS 21.0. Ethical approval followed the guidelines of Resolution CNS 466/2012.</w:t>
      </w:r>
    </w:p>
    <w:p w14:paraId="2625BE14" w14:textId="77777777" w:rsidR="00F5461D" w:rsidRPr="00F5461D" w:rsidRDefault="00F5461D" w:rsidP="00F75A64">
      <w:pPr>
        <w:spacing w:after="0"/>
        <w:jc w:val="both"/>
        <w:rPr>
          <w:rFonts w:ascii="Times New Roman" w:hAnsi="Times New Roman" w:cs="Times New Roman"/>
          <w:lang w:val="en-US"/>
        </w:rPr>
      </w:pPr>
      <w:r w:rsidRPr="00F5461D">
        <w:rPr>
          <w:rFonts w:ascii="Times New Roman" w:hAnsi="Times New Roman" w:cs="Times New Roman"/>
          <w:b/>
          <w:bCs/>
          <w:lang w:val="en-US"/>
        </w:rPr>
        <w:t>Results:</w:t>
      </w:r>
      <w:r w:rsidRPr="00F5461D">
        <w:rPr>
          <w:rFonts w:ascii="Times New Roman" w:hAnsi="Times New Roman" w:cs="Times New Roman"/>
          <w:lang w:val="en-US"/>
        </w:rPr>
        <w:t xml:space="preserve"> The mean age of affected individuals was 7.8 ± 10.2 years (median: 4 years), with 64.5% aged between 1 and 6 years. Accidental exposure accounted for 92.8% of cases. Leaves (43.7%) and seeds (35.8%) were the most frequently involved plant parts. Poisoning severity was moderate in 73.3% of cases and severe in 14.7%; 54.2% did not require hospitalization. Severe cases were primarily associated with </w:t>
      </w:r>
      <w:r w:rsidRPr="00F5461D">
        <w:rPr>
          <w:rFonts w:ascii="Times New Roman" w:hAnsi="Times New Roman" w:cs="Times New Roman"/>
          <w:i/>
          <w:iCs/>
          <w:lang w:val="en-US"/>
        </w:rPr>
        <w:t xml:space="preserve">Dieffenbachia </w:t>
      </w:r>
      <w:proofErr w:type="spellStart"/>
      <w:r w:rsidRPr="00F5461D">
        <w:rPr>
          <w:rFonts w:ascii="Times New Roman" w:hAnsi="Times New Roman" w:cs="Times New Roman"/>
          <w:i/>
          <w:iCs/>
          <w:lang w:val="en-US"/>
        </w:rPr>
        <w:t>picta</w:t>
      </w:r>
      <w:proofErr w:type="spellEnd"/>
      <w:r w:rsidRPr="00F5461D">
        <w:rPr>
          <w:rFonts w:ascii="Times New Roman" w:hAnsi="Times New Roman" w:cs="Times New Roman"/>
          <w:lang w:val="en-US"/>
        </w:rPr>
        <w:t xml:space="preserve">, </w:t>
      </w:r>
      <w:r w:rsidRPr="00F5461D">
        <w:rPr>
          <w:rFonts w:ascii="Times New Roman" w:hAnsi="Times New Roman" w:cs="Times New Roman"/>
          <w:i/>
          <w:iCs/>
          <w:lang w:val="en-US"/>
        </w:rPr>
        <w:t xml:space="preserve">Jatropha </w:t>
      </w:r>
      <w:proofErr w:type="spellStart"/>
      <w:r w:rsidRPr="00F5461D">
        <w:rPr>
          <w:rFonts w:ascii="Times New Roman" w:hAnsi="Times New Roman" w:cs="Times New Roman"/>
          <w:i/>
          <w:iCs/>
          <w:lang w:val="en-US"/>
        </w:rPr>
        <w:t>curcas</w:t>
      </w:r>
      <w:proofErr w:type="spellEnd"/>
      <w:r w:rsidRPr="00F5461D">
        <w:rPr>
          <w:rFonts w:ascii="Times New Roman" w:hAnsi="Times New Roman" w:cs="Times New Roman"/>
          <w:lang w:val="en-US"/>
        </w:rPr>
        <w:t xml:space="preserve">, </w:t>
      </w:r>
      <w:r w:rsidRPr="00F5461D">
        <w:rPr>
          <w:rFonts w:ascii="Times New Roman" w:hAnsi="Times New Roman" w:cs="Times New Roman"/>
          <w:i/>
          <w:iCs/>
          <w:lang w:val="en-US"/>
        </w:rPr>
        <w:t xml:space="preserve">Jatropha </w:t>
      </w:r>
      <w:proofErr w:type="spellStart"/>
      <w:r w:rsidRPr="00F5461D">
        <w:rPr>
          <w:rFonts w:ascii="Times New Roman" w:hAnsi="Times New Roman" w:cs="Times New Roman"/>
          <w:i/>
          <w:iCs/>
          <w:lang w:val="en-US"/>
        </w:rPr>
        <w:t>gossypiifolia</w:t>
      </w:r>
      <w:proofErr w:type="spellEnd"/>
      <w:r w:rsidRPr="00F5461D">
        <w:rPr>
          <w:rFonts w:ascii="Times New Roman" w:hAnsi="Times New Roman" w:cs="Times New Roman"/>
          <w:lang w:val="en-US"/>
        </w:rPr>
        <w:t xml:space="preserve">, </w:t>
      </w:r>
      <w:r w:rsidRPr="00F5461D">
        <w:rPr>
          <w:rFonts w:ascii="Times New Roman" w:hAnsi="Times New Roman" w:cs="Times New Roman"/>
          <w:i/>
          <w:iCs/>
          <w:lang w:val="en-US"/>
        </w:rPr>
        <w:t>Manihot esculenta</w:t>
      </w:r>
      <w:r w:rsidRPr="00F5461D">
        <w:rPr>
          <w:rFonts w:ascii="Times New Roman" w:hAnsi="Times New Roman" w:cs="Times New Roman"/>
          <w:lang w:val="en-US"/>
        </w:rPr>
        <w:t xml:space="preserve">, </w:t>
      </w:r>
      <w:r w:rsidRPr="00F5461D">
        <w:rPr>
          <w:rFonts w:ascii="Times New Roman" w:hAnsi="Times New Roman" w:cs="Times New Roman"/>
          <w:i/>
          <w:iCs/>
          <w:lang w:val="en-US"/>
        </w:rPr>
        <w:t xml:space="preserve">Luffa </w:t>
      </w:r>
      <w:proofErr w:type="spellStart"/>
      <w:r w:rsidRPr="00F5461D">
        <w:rPr>
          <w:rFonts w:ascii="Times New Roman" w:hAnsi="Times New Roman" w:cs="Times New Roman"/>
          <w:i/>
          <w:iCs/>
          <w:lang w:val="en-US"/>
        </w:rPr>
        <w:t>operculata</w:t>
      </w:r>
      <w:proofErr w:type="spellEnd"/>
      <w:r w:rsidRPr="00F5461D">
        <w:rPr>
          <w:rFonts w:ascii="Times New Roman" w:hAnsi="Times New Roman" w:cs="Times New Roman"/>
          <w:lang w:val="en-US"/>
        </w:rPr>
        <w:t xml:space="preserve">, </w:t>
      </w:r>
      <w:r w:rsidRPr="00F5461D">
        <w:rPr>
          <w:rFonts w:ascii="Times New Roman" w:hAnsi="Times New Roman" w:cs="Times New Roman"/>
          <w:i/>
          <w:iCs/>
          <w:lang w:val="en-US"/>
        </w:rPr>
        <w:t xml:space="preserve">Ricinus </w:t>
      </w:r>
      <w:proofErr w:type="spellStart"/>
      <w:r w:rsidRPr="00F5461D">
        <w:rPr>
          <w:rFonts w:ascii="Times New Roman" w:hAnsi="Times New Roman" w:cs="Times New Roman"/>
          <w:i/>
          <w:iCs/>
          <w:lang w:val="en-US"/>
        </w:rPr>
        <w:t>communis</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i/>
          <w:iCs/>
          <w:lang w:val="en-US"/>
        </w:rPr>
        <w:t>Trevetia</w:t>
      </w:r>
      <w:proofErr w:type="spellEnd"/>
      <w:r w:rsidRPr="00F5461D">
        <w:rPr>
          <w:rFonts w:ascii="Times New Roman" w:hAnsi="Times New Roman" w:cs="Times New Roman"/>
          <w:i/>
          <w:iCs/>
          <w:lang w:val="en-US"/>
        </w:rPr>
        <w:t xml:space="preserve"> </w:t>
      </w:r>
      <w:proofErr w:type="spellStart"/>
      <w:r w:rsidRPr="00F5461D">
        <w:rPr>
          <w:rFonts w:ascii="Times New Roman" w:hAnsi="Times New Roman" w:cs="Times New Roman"/>
          <w:i/>
          <w:iCs/>
          <w:lang w:val="en-US"/>
        </w:rPr>
        <w:t>nerrifolia</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i/>
          <w:iCs/>
          <w:lang w:val="en-US"/>
        </w:rPr>
        <w:t>Brugmansia</w:t>
      </w:r>
      <w:proofErr w:type="spellEnd"/>
      <w:r w:rsidRPr="00F5461D">
        <w:rPr>
          <w:rFonts w:ascii="Times New Roman" w:hAnsi="Times New Roman" w:cs="Times New Roman"/>
          <w:i/>
          <w:iCs/>
          <w:lang w:val="en-US"/>
        </w:rPr>
        <w:t xml:space="preserve"> </w:t>
      </w:r>
      <w:proofErr w:type="spellStart"/>
      <w:r w:rsidRPr="00F5461D">
        <w:rPr>
          <w:rFonts w:ascii="Times New Roman" w:hAnsi="Times New Roman" w:cs="Times New Roman"/>
          <w:i/>
          <w:iCs/>
          <w:lang w:val="en-US"/>
        </w:rPr>
        <w:t>suaveolens</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i/>
          <w:iCs/>
          <w:lang w:val="en-US"/>
        </w:rPr>
        <w:t>Joannesia</w:t>
      </w:r>
      <w:proofErr w:type="spellEnd"/>
      <w:r w:rsidRPr="00F5461D">
        <w:rPr>
          <w:rFonts w:ascii="Times New Roman" w:hAnsi="Times New Roman" w:cs="Times New Roman"/>
          <w:i/>
          <w:iCs/>
          <w:lang w:val="en-US"/>
        </w:rPr>
        <w:t xml:space="preserve"> princeps</w:t>
      </w:r>
      <w:r w:rsidRPr="00F5461D">
        <w:rPr>
          <w:rFonts w:ascii="Times New Roman" w:hAnsi="Times New Roman" w:cs="Times New Roman"/>
          <w:lang w:val="en-US"/>
        </w:rPr>
        <w:t xml:space="preserve">, and </w:t>
      </w:r>
      <w:r w:rsidRPr="00F5461D">
        <w:rPr>
          <w:rFonts w:ascii="Times New Roman" w:hAnsi="Times New Roman" w:cs="Times New Roman"/>
          <w:i/>
          <w:iCs/>
          <w:lang w:val="en-US"/>
        </w:rPr>
        <w:t>Nerium oleander</w:t>
      </w:r>
      <w:r w:rsidRPr="00F5461D">
        <w:rPr>
          <w:rFonts w:ascii="Times New Roman" w:hAnsi="Times New Roman" w:cs="Times New Roman"/>
          <w:lang w:val="en-US"/>
        </w:rPr>
        <w:t>. Greater severity was observed in children under four years of age (p &lt; 0.01) and was significantly associated with the ingested plant part (p &lt; 0.01); no significant differences were found by sex.</w:t>
      </w:r>
    </w:p>
    <w:p w14:paraId="10F9CB8D" w14:textId="77777777" w:rsidR="00F5461D" w:rsidRPr="00F5461D" w:rsidRDefault="00F5461D" w:rsidP="00F75A64">
      <w:pPr>
        <w:spacing w:after="0"/>
        <w:jc w:val="both"/>
        <w:rPr>
          <w:rFonts w:ascii="Times New Roman" w:hAnsi="Times New Roman" w:cs="Times New Roman"/>
          <w:lang w:val="en-US"/>
        </w:rPr>
      </w:pPr>
      <w:r w:rsidRPr="00F5461D">
        <w:rPr>
          <w:rFonts w:ascii="Times New Roman" w:hAnsi="Times New Roman" w:cs="Times New Roman"/>
          <w:b/>
          <w:bCs/>
          <w:lang w:val="en-US"/>
        </w:rPr>
        <w:t>Conclusions:</w:t>
      </w:r>
      <w:r w:rsidRPr="00F5461D">
        <w:rPr>
          <w:rFonts w:ascii="Times New Roman" w:hAnsi="Times New Roman" w:cs="Times New Roman"/>
          <w:lang w:val="en-US"/>
        </w:rPr>
        <w:t xml:space="preserve"> Poisonings caused by ornamental plants represent a significant public health issue in childhood. Educational interventions targeting families and schools, proper labeling and safe handling of toxic species, professional training, standardized clinical protocols, and public health policies can reduce exposures and associated morbidity and mortality.</w:t>
      </w:r>
    </w:p>
    <w:p w14:paraId="5A02A23C" w14:textId="77777777" w:rsidR="00F5461D" w:rsidRPr="00F5461D" w:rsidRDefault="00F5461D" w:rsidP="00F75A64">
      <w:pPr>
        <w:spacing w:after="0"/>
        <w:jc w:val="both"/>
        <w:rPr>
          <w:rFonts w:ascii="Times New Roman" w:hAnsi="Times New Roman" w:cs="Times New Roman"/>
          <w:lang w:val="en-US"/>
        </w:rPr>
      </w:pPr>
      <w:r w:rsidRPr="00F5461D">
        <w:rPr>
          <w:rFonts w:ascii="Times New Roman" w:hAnsi="Times New Roman" w:cs="Times New Roman"/>
          <w:b/>
          <w:bCs/>
          <w:lang w:val="en-US"/>
        </w:rPr>
        <w:t>Keywords:</w:t>
      </w:r>
      <w:r w:rsidRPr="00F5461D">
        <w:rPr>
          <w:rFonts w:ascii="Times New Roman" w:hAnsi="Times New Roman" w:cs="Times New Roman"/>
          <w:lang w:val="en-US"/>
        </w:rPr>
        <w:t xml:space="preserve"> Ornamental plants; Toxicity; Children; Public health; Accidental poisoning.</w:t>
      </w:r>
    </w:p>
    <w:p w14:paraId="3216B29C" w14:textId="24CDF801" w:rsidR="00F5461D" w:rsidRDefault="00F5461D" w:rsidP="008F2990">
      <w:pPr>
        <w:jc w:val="both"/>
        <w:rPr>
          <w:rFonts w:ascii="Times New Roman" w:hAnsi="Times New Roman" w:cs="Times New Roman"/>
          <w:lang w:val="en-US"/>
        </w:rPr>
      </w:pPr>
    </w:p>
    <w:p w14:paraId="4BBC6061" w14:textId="77777777" w:rsidR="0005408A" w:rsidRDefault="0005408A" w:rsidP="00CF3A74">
      <w:pPr>
        <w:spacing w:line="360" w:lineRule="auto"/>
        <w:jc w:val="both"/>
        <w:rPr>
          <w:rFonts w:ascii="Times New Roman" w:hAnsi="Times New Roman" w:cs="Times New Roman"/>
          <w:lang w:val="en-US"/>
        </w:rPr>
      </w:pPr>
    </w:p>
    <w:p w14:paraId="2BCEEA35" w14:textId="77777777" w:rsidR="00F5461D" w:rsidRPr="00F5461D" w:rsidRDefault="00F5461D" w:rsidP="00CF3A74">
      <w:pPr>
        <w:spacing w:line="360" w:lineRule="auto"/>
        <w:jc w:val="both"/>
        <w:rPr>
          <w:rFonts w:ascii="Times New Roman" w:hAnsi="Times New Roman" w:cs="Times New Roman"/>
          <w:b/>
          <w:bCs/>
          <w:lang w:val="en-US"/>
        </w:rPr>
      </w:pPr>
      <w:r w:rsidRPr="00F5461D">
        <w:rPr>
          <w:rFonts w:ascii="Times New Roman" w:hAnsi="Times New Roman" w:cs="Times New Roman"/>
          <w:b/>
          <w:bCs/>
          <w:lang w:val="en-US"/>
        </w:rPr>
        <w:t>Introduction</w:t>
      </w:r>
    </w:p>
    <w:p w14:paraId="3BFBBD6F" w14:textId="00F09B91"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lastRenderedPageBreak/>
        <w:t>Plant poisoning remains a significant global public health concern with profound clinical, epidemiological, and socioeconomic implications. The widespread presence of potentially toxic plant species</w:t>
      </w:r>
      <w:r w:rsidR="005E5029">
        <w:rPr>
          <w:rFonts w:ascii="Times New Roman" w:hAnsi="Times New Roman" w:cs="Times New Roman"/>
          <w:lang w:val="en-US"/>
        </w:rPr>
        <w:t xml:space="preserve">, </w:t>
      </w:r>
      <w:r w:rsidRPr="00F5461D">
        <w:rPr>
          <w:rFonts w:ascii="Times New Roman" w:hAnsi="Times New Roman" w:cs="Times New Roman"/>
          <w:lang w:val="en-US"/>
        </w:rPr>
        <w:t>many cultivated for ornamental or medicinal purposes</w:t>
      </w:r>
      <w:r w:rsidR="005E5029">
        <w:rPr>
          <w:rFonts w:ascii="Times New Roman" w:hAnsi="Times New Roman" w:cs="Times New Roman"/>
          <w:lang w:val="en-US"/>
        </w:rPr>
        <w:t xml:space="preserve">, </w:t>
      </w:r>
      <w:r w:rsidRPr="00F5461D">
        <w:rPr>
          <w:rFonts w:ascii="Times New Roman" w:hAnsi="Times New Roman" w:cs="Times New Roman"/>
          <w:lang w:val="en-US"/>
        </w:rPr>
        <w:t>combined with public unawareness and easy access, contributes to a high incidence of poisoning cases worldwide. These plants contain secondary metabolites, such as alkaloids, cardiotonic glycosides, cyanogenic glycosides, tannins, saponins, calcium oxalate, and toxalbumins, capable of causing metabolic alterations ranging from asymptomatic conditions to severe and potentially fatal clinical manifestations (</w:t>
      </w:r>
      <w:bookmarkStart w:id="1" w:name="_Hlk210575510"/>
      <w:r w:rsidRPr="00F5461D">
        <w:rPr>
          <w:rFonts w:ascii="Times New Roman" w:hAnsi="Times New Roman" w:cs="Times New Roman"/>
          <w:lang w:val="en-US"/>
        </w:rPr>
        <w:t>da Silva &amp; Antonelli-</w:t>
      </w:r>
      <w:proofErr w:type="spellStart"/>
      <w:r w:rsidRPr="00F5461D">
        <w:rPr>
          <w:rFonts w:ascii="Times New Roman" w:hAnsi="Times New Roman" w:cs="Times New Roman"/>
          <w:lang w:val="en-US"/>
        </w:rPr>
        <w:t>Ushirobira</w:t>
      </w:r>
      <w:proofErr w:type="spellEnd"/>
      <w:r w:rsidRPr="00F5461D">
        <w:rPr>
          <w:rFonts w:ascii="Times New Roman" w:hAnsi="Times New Roman" w:cs="Times New Roman"/>
          <w:lang w:val="en-US"/>
        </w:rPr>
        <w:t>, 2021; de Melo et al., 2021</w:t>
      </w:r>
      <w:bookmarkEnd w:id="1"/>
      <w:r w:rsidRPr="00F5461D">
        <w:rPr>
          <w:rFonts w:ascii="Times New Roman" w:hAnsi="Times New Roman" w:cs="Times New Roman"/>
          <w:lang w:val="en-US"/>
        </w:rPr>
        <w:t>).</w:t>
      </w:r>
    </w:p>
    <w:p w14:paraId="439F1E6B" w14:textId="7777777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Accidental or intentional ingestion of toxic plants remains one of the main causes of hospital admissions and mortality worldwide. In Brazil, between 2016 and 2017, more than 50% of reported cases occurred in children aged 1 to 9 years, most of which were accidental and occurred in urban settings, typically linked to a lack of knowledge about plant toxicity (</w:t>
      </w:r>
      <w:bookmarkStart w:id="2" w:name="_Hlk210575538"/>
      <w:r w:rsidRPr="00F5461D">
        <w:rPr>
          <w:rFonts w:ascii="Times New Roman" w:hAnsi="Times New Roman" w:cs="Times New Roman"/>
          <w:lang w:val="en-US"/>
        </w:rPr>
        <w:t>de Melo et al., 2021; dos Santos et al., 2021</w:t>
      </w:r>
      <w:bookmarkEnd w:id="2"/>
      <w:r w:rsidRPr="00F5461D">
        <w:rPr>
          <w:rFonts w:ascii="Times New Roman" w:hAnsi="Times New Roman" w:cs="Times New Roman"/>
          <w:lang w:val="en-US"/>
        </w:rPr>
        <w:t>). Additionally, over 80% of reported cases involved children under nine, especially those aged one to four years, underscoring the vulnerability of this age group (</w:t>
      </w:r>
      <w:bookmarkStart w:id="3" w:name="_Hlk210575564"/>
      <w:r w:rsidRPr="00F5461D">
        <w:rPr>
          <w:rFonts w:ascii="Times New Roman" w:hAnsi="Times New Roman" w:cs="Times New Roman"/>
          <w:lang w:val="en-US"/>
        </w:rPr>
        <w:t>da Silva &amp; Antonelli-</w:t>
      </w:r>
      <w:proofErr w:type="spellStart"/>
      <w:r w:rsidRPr="00F5461D">
        <w:rPr>
          <w:rFonts w:ascii="Times New Roman" w:hAnsi="Times New Roman" w:cs="Times New Roman"/>
          <w:lang w:val="en-US"/>
        </w:rPr>
        <w:t>Ushirobira</w:t>
      </w:r>
      <w:proofErr w:type="spellEnd"/>
      <w:r w:rsidRPr="00F5461D">
        <w:rPr>
          <w:rFonts w:ascii="Times New Roman" w:hAnsi="Times New Roman" w:cs="Times New Roman"/>
          <w:lang w:val="en-US"/>
        </w:rPr>
        <w:t xml:space="preserve">, 2021; </w:t>
      </w:r>
      <w:proofErr w:type="spellStart"/>
      <w:r w:rsidRPr="00F5461D">
        <w:rPr>
          <w:rFonts w:ascii="Times New Roman" w:hAnsi="Times New Roman" w:cs="Times New Roman"/>
          <w:lang w:val="en-US"/>
        </w:rPr>
        <w:t>Martinho</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lang w:val="en-US"/>
        </w:rPr>
        <w:t>D’samontes</w:t>
      </w:r>
      <w:proofErr w:type="spellEnd"/>
      <w:r w:rsidRPr="00F5461D">
        <w:rPr>
          <w:rFonts w:ascii="Times New Roman" w:hAnsi="Times New Roman" w:cs="Times New Roman"/>
          <w:lang w:val="en-US"/>
        </w:rPr>
        <w:t xml:space="preserve"> &amp; Felix-Silva, 2021</w:t>
      </w:r>
      <w:bookmarkEnd w:id="3"/>
      <w:r w:rsidRPr="00F5461D">
        <w:rPr>
          <w:rFonts w:ascii="Times New Roman" w:hAnsi="Times New Roman" w:cs="Times New Roman"/>
          <w:lang w:val="en-US"/>
        </w:rPr>
        <w:t>).</w:t>
      </w:r>
    </w:p>
    <w:p w14:paraId="4A5ED992" w14:textId="7777777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 xml:space="preserve">Multiple plant families are implicated in poisoning incidents, including </w:t>
      </w:r>
      <w:proofErr w:type="spellStart"/>
      <w:r w:rsidRPr="00F5461D">
        <w:rPr>
          <w:rFonts w:ascii="Times New Roman" w:hAnsi="Times New Roman" w:cs="Times New Roman"/>
          <w:lang w:val="en-US"/>
        </w:rPr>
        <w:t>Araceae</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lang w:val="en-US"/>
        </w:rPr>
        <w:t>Euphorbiaceae</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lang w:val="en-US"/>
        </w:rPr>
        <w:t>Apocynaceae</w:t>
      </w:r>
      <w:proofErr w:type="spellEnd"/>
      <w:r w:rsidRPr="00F5461D">
        <w:rPr>
          <w:rFonts w:ascii="Times New Roman" w:hAnsi="Times New Roman" w:cs="Times New Roman"/>
          <w:lang w:val="en-US"/>
        </w:rPr>
        <w:t xml:space="preserve">, Liliaceae, Cucurbitaceae, </w:t>
      </w:r>
      <w:proofErr w:type="spellStart"/>
      <w:r w:rsidRPr="00F5461D">
        <w:rPr>
          <w:rFonts w:ascii="Times New Roman" w:hAnsi="Times New Roman" w:cs="Times New Roman"/>
          <w:lang w:val="en-US"/>
        </w:rPr>
        <w:t>Annonaceae</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lang w:val="en-US"/>
        </w:rPr>
        <w:t>Dioscoreaceae</w:t>
      </w:r>
      <w:proofErr w:type="spellEnd"/>
      <w:r w:rsidRPr="00F5461D">
        <w:rPr>
          <w:rFonts w:ascii="Times New Roman" w:hAnsi="Times New Roman" w:cs="Times New Roman"/>
          <w:lang w:val="en-US"/>
        </w:rPr>
        <w:t xml:space="preserve">, Solanaceae, Labiatae, and Fabaceae, each containing compounds with distinct mechanisms of action and varying toxicity </w:t>
      </w:r>
      <w:r w:rsidRPr="00A15ACC">
        <w:rPr>
          <w:rFonts w:ascii="Times New Roman" w:hAnsi="Times New Roman" w:cs="Times New Roman"/>
          <w:lang w:val="en-US"/>
        </w:rPr>
        <w:t>levels (</w:t>
      </w:r>
      <w:bookmarkStart w:id="4" w:name="_Hlk210575604"/>
      <w:r w:rsidRPr="00A15ACC">
        <w:rPr>
          <w:rFonts w:ascii="Times New Roman" w:hAnsi="Times New Roman" w:cs="Times New Roman"/>
          <w:lang w:val="en-US"/>
        </w:rPr>
        <w:t xml:space="preserve">de Oliveira et al., 2018; </w:t>
      </w:r>
      <w:proofErr w:type="spellStart"/>
      <w:r w:rsidRPr="00A15ACC">
        <w:rPr>
          <w:rFonts w:ascii="Times New Roman" w:hAnsi="Times New Roman" w:cs="Times New Roman"/>
          <w:lang w:val="en-US"/>
        </w:rPr>
        <w:t>Omokhua-Uyi</w:t>
      </w:r>
      <w:proofErr w:type="spellEnd"/>
      <w:r w:rsidRPr="00A15ACC">
        <w:rPr>
          <w:rFonts w:ascii="Times New Roman" w:hAnsi="Times New Roman" w:cs="Times New Roman"/>
          <w:lang w:val="en-US"/>
        </w:rPr>
        <w:t xml:space="preserve"> </w:t>
      </w:r>
      <w:r w:rsidRPr="00F5461D">
        <w:rPr>
          <w:rFonts w:ascii="Times New Roman" w:hAnsi="Times New Roman" w:cs="Times New Roman"/>
          <w:lang w:val="en-US"/>
        </w:rPr>
        <w:t xml:space="preserve">&amp; Van </w:t>
      </w:r>
      <w:proofErr w:type="spellStart"/>
      <w:r w:rsidRPr="00F5461D">
        <w:rPr>
          <w:rFonts w:ascii="Times New Roman" w:hAnsi="Times New Roman" w:cs="Times New Roman"/>
          <w:lang w:val="en-US"/>
        </w:rPr>
        <w:t>Staden</w:t>
      </w:r>
      <w:proofErr w:type="spellEnd"/>
      <w:r w:rsidRPr="00F5461D">
        <w:rPr>
          <w:rFonts w:ascii="Times New Roman" w:hAnsi="Times New Roman" w:cs="Times New Roman"/>
          <w:lang w:val="en-US"/>
        </w:rPr>
        <w:t xml:space="preserve">, 2020; de Andrade Costa &amp; Aoyama, 2021; </w:t>
      </w:r>
      <w:proofErr w:type="spellStart"/>
      <w:r w:rsidRPr="00F5461D">
        <w:rPr>
          <w:rFonts w:ascii="Times New Roman" w:hAnsi="Times New Roman" w:cs="Times New Roman"/>
          <w:lang w:val="en-US"/>
        </w:rPr>
        <w:t>Domina</w:t>
      </w:r>
      <w:proofErr w:type="spellEnd"/>
      <w:r w:rsidRPr="00F5461D">
        <w:rPr>
          <w:rFonts w:ascii="Times New Roman" w:hAnsi="Times New Roman" w:cs="Times New Roman"/>
          <w:lang w:val="en-US"/>
        </w:rPr>
        <w:t xml:space="preserve">, Di </w:t>
      </w:r>
      <w:proofErr w:type="spellStart"/>
      <w:r w:rsidRPr="00F5461D">
        <w:rPr>
          <w:rFonts w:ascii="Times New Roman" w:hAnsi="Times New Roman" w:cs="Times New Roman"/>
          <w:lang w:val="en-US"/>
        </w:rPr>
        <w:t>Gristina</w:t>
      </w:r>
      <w:proofErr w:type="spellEnd"/>
      <w:r w:rsidRPr="00F5461D">
        <w:rPr>
          <w:rFonts w:ascii="Times New Roman" w:hAnsi="Times New Roman" w:cs="Times New Roman"/>
          <w:lang w:val="en-US"/>
        </w:rPr>
        <w:t xml:space="preserve"> &amp; Barone, 2024</w:t>
      </w:r>
      <w:bookmarkEnd w:id="4"/>
      <w:r w:rsidRPr="00F5461D">
        <w:rPr>
          <w:rFonts w:ascii="Times New Roman" w:hAnsi="Times New Roman" w:cs="Times New Roman"/>
          <w:lang w:val="en-US"/>
        </w:rPr>
        <w:t>).</w:t>
      </w:r>
    </w:p>
    <w:p w14:paraId="33CD82B1" w14:textId="7777777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The clinical manifestations of plant poisoning vary according to the plant species, ingested dose, and route of exposure. Mild cases may present with nausea, vomiting, and mucosal irritation, whereas severe cases may involve multi-organ dysfunction, including cardiovascular, neurological, hepatic, and renal systems (</w:t>
      </w:r>
      <w:bookmarkStart w:id="5" w:name="_Hlk210575639"/>
      <w:r w:rsidRPr="00F5461D">
        <w:rPr>
          <w:rFonts w:ascii="Times New Roman" w:hAnsi="Times New Roman" w:cs="Times New Roman"/>
          <w:lang w:val="en-US"/>
        </w:rPr>
        <w:t>de Vasconcelos &amp; Ramos, 2023</w:t>
      </w:r>
      <w:bookmarkEnd w:id="5"/>
      <w:r w:rsidRPr="00F5461D">
        <w:rPr>
          <w:rFonts w:ascii="Times New Roman" w:hAnsi="Times New Roman" w:cs="Times New Roman"/>
          <w:lang w:val="en-US"/>
        </w:rPr>
        <w:t>).</w:t>
      </w:r>
    </w:p>
    <w:p w14:paraId="6E1B932B" w14:textId="563E068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 xml:space="preserve">Cardiotonic glycosides from the </w:t>
      </w:r>
      <w:proofErr w:type="spellStart"/>
      <w:r w:rsidRPr="00F5461D">
        <w:rPr>
          <w:rFonts w:ascii="Times New Roman" w:hAnsi="Times New Roman" w:cs="Times New Roman"/>
          <w:lang w:val="en-US"/>
        </w:rPr>
        <w:t>Apocynaceae</w:t>
      </w:r>
      <w:proofErr w:type="spellEnd"/>
      <w:r w:rsidRPr="00F5461D">
        <w:rPr>
          <w:rFonts w:ascii="Times New Roman" w:hAnsi="Times New Roman" w:cs="Times New Roman"/>
          <w:lang w:val="en-US"/>
        </w:rPr>
        <w:t xml:space="preserve"> family, for instance, can cause severe cardiac arrhythmias and multi-organ failure </w:t>
      </w:r>
      <w:bookmarkStart w:id="6" w:name="_Hlk210575656"/>
      <w:r w:rsidR="008C0DFF">
        <w:rPr>
          <w:rFonts w:ascii="Times New Roman" w:hAnsi="Times New Roman" w:cs="Times New Roman"/>
          <w:lang w:val="en-US"/>
        </w:rPr>
        <w:t>(</w:t>
      </w:r>
      <w:bookmarkStart w:id="7" w:name="_Hlk211345546"/>
      <w:proofErr w:type="spellStart"/>
      <w:r w:rsidRPr="00F5461D">
        <w:rPr>
          <w:rFonts w:ascii="Times New Roman" w:hAnsi="Times New Roman" w:cs="Times New Roman"/>
          <w:lang w:val="en-US"/>
        </w:rPr>
        <w:t>Induja</w:t>
      </w:r>
      <w:proofErr w:type="spellEnd"/>
      <w:r w:rsidRPr="00F5461D">
        <w:rPr>
          <w:rFonts w:ascii="Times New Roman" w:hAnsi="Times New Roman" w:cs="Times New Roman"/>
          <w:lang w:val="en-US"/>
        </w:rPr>
        <w:t xml:space="preserve"> et al., 2024; Okuda et al., 2024</w:t>
      </w:r>
      <w:bookmarkEnd w:id="6"/>
      <w:bookmarkEnd w:id="7"/>
      <w:r w:rsidRPr="00F5461D">
        <w:rPr>
          <w:rFonts w:ascii="Times New Roman" w:hAnsi="Times New Roman" w:cs="Times New Roman"/>
          <w:lang w:val="en-US"/>
        </w:rPr>
        <w:t xml:space="preserve">). Exposure to ricin, a potent toxalbumin from </w:t>
      </w:r>
      <w:r w:rsidRPr="00F5461D">
        <w:rPr>
          <w:rFonts w:ascii="Times New Roman" w:hAnsi="Times New Roman" w:cs="Times New Roman"/>
          <w:i/>
          <w:iCs/>
          <w:lang w:val="en-US"/>
        </w:rPr>
        <w:t xml:space="preserve">Ricinus </w:t>
      </w:r>
      <w:proofErr w:type="spellStart"/>
      <w:r w:rsidRPr="00F5461D">
        <w:rPr>
          <w:rFonts w:ascii="Times New Roman" w:hAnsi="Times New Roman" w:cs="Times New Roman"/>
          <w:i/>
          <w:iCs/>
          <w:lang w:val="en-US"/>
        </w:rPr>
        <w:t>communis</w:t>
      </w:r>
      <w:proofErr w:type="spellEnd"/>
      <w:r w:rsidRPr="00F5461D">
        <w:rPr>
          <w:rFonts w:ascii="Times New Roman" w:hAnsi="Times New Roman" w:cs="Times New Roman"/>
          <w:lang w:val="en-US"/>
        </w:rPr>
        <w:t>, results in severe gastroenteritis, circulatory shock, and death within 72 hours (</w:t>
      </w:r>
      <w:bookmarkStart w:id="8" w:name="_Hlk211345568"/>
      <w:r w:rsidR="004D5D72" w:rsidRPr="002D075F">
        <w:rPr>
          <w:rFonts w:ascii="Times New Roman" w:hAnsi="Times New Roman" w:cs="Times New Roman"/>
        </w:rPr>
        <w:t xml:space="preserve">Noumi Noumi, Lysette </w:t>
      </w:r>
      <w:r w:rsidR="004D5D72" w:rsidRPr="002D075F">
        <w:rPr>
          <w:rFonts w:ascii="Times New Roman" w:hAnsi="Times New Roman" w:cs="Times New Roman"/>
        </w:rPr>
        <w:lastRenderedPageBreak/>
        <w:t>Joelle, et al.</w:t>
      </w:r>
      <w:r w:rsidR="004D5D72">
        <w:rPr>
          <w:rFonts w:ascii="Times New Roman" w:hAnsi="Times New Roman" w:cs="Times New Roman"/>
        </w:rPr>
        <w:t xml:space="preserve"> 2024</w:t>
      </w:r>
      <w:bookmarkEnd w:id="8"/>
      <w:r w:rsidRPr="00F5461D">
        <w:rPr>
          <w:rFonts w:ascii="Times New Roman" w:hAnsi="Times New Roman" w:cs="Times New Roman"/>
          <w:lang w:val="en-US"/>
        </w:rPr>
        <w:t xml:space="preserve">). Cyanogenic compounds from </w:t>
      </w:r>
      <w:r w:rsidRPr="00F5461D">
        <w:rPr>
          <w:rFonts w:ascii="Times New Roman" w:hAnsi="Times New Roman" w:cs="Times New Roman"/>
          <w:i/>
          <w:iCs/>
          <w:lang w:val="en-US"/>
        </w:rPr>
        <w:t>Manihot esculenta</w:t>
      </w:r>
      <w:r w:rsidRPr="00F5461D">
        <w:rPr>
          <w:rFonts w:ascii="Times New Roman" w:hAnsi="Times New Roman" w:cs="Times New Roman"/>
          <w:lang w:val="en-US"/>
        </w:rPr>
        <w:t xml:space="preserve"> reduce protein bioavailability and can cause significant neurological and metabolic toxicity (</w:t>
      </w:r>
      <w:bookmarkStart w:id="9" w:name="_Hlk210575695"/>
      <w:r w:rsidRPr="007F526E">
        <w:rPr>
          <w:rFonts w:ascii="Times New Roman" w:hAnsi="Times New Roman" w:cs="Times New Roman"/>
          <w:lang w:val="en-US"/>
        </w:rPr>
        <w:t xml:space="preserve">Patra &amp; </w:t>
      </w:r>
      <w:proofErr w:type="spellStart"/>
      <w:r w:rsidRPr="007F526E">
        <w:rPr>
          <w:rFonts w:ascii="Times New Roman" w:hAnsi="Times New Roman" w:cs="Times New Roman"/>
          <w:lang w:val="en-US"/>
        </w:rPr>
        <w:t>Prasath</w:t>
      </w:r>
      <w:proofErr w:type="spellEnd"/>
      <w:r w:rsidRPr="007F526E">
        <w:rPr>
          <w:rFonts w:ascii="Times New Roman" w:hAnsi="Times New Roman" w:cs="Times New Roman"/>
          <w:lang w:val="en-US"/>
        </w:rPr>
        <w:t>, 2024; Oliveira, 2012</w:t>
      </w:r>
      <w:bookmarkEnd w:id="9"/>
      <w:r w:rsidRPr="00F5461D">
        <w:rPr>
          <w:rFonts w:ascii="Times New Roman" w:hAnsi="Times New Roman" w:cs="Times New Roman"/>
          <w:lang w:val="en-US"/>
        </w:rPr>
        <w:t>).</w:t>
      </w:r>
    </w:p>
    <w:p w14:paraId="32E9D4C7" w14:textId="7777777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The most common causes of poisoning include accidental ingestion, misuse of medicinal plants, suicide attempts, and misidentification of edible versus toxic species. All plant parts—including leaves, stems, flowers, fruits, seeds, and roots—can contain harmful substances, with seeds and leaves most frequently implicated (</w:t>
      </w:r>
      <w:bookmarkStart w:id="10" w:name="_Hlk210576394"/>
      <w:proofErr w:type="spellStart"/>
      <w:r w:rsidRPr="00F5461D">
        <w:rPr>
          <w:rFonts w:ascii="Times New Roman" w:hAnsi="Times New Roman" w:cs="Times New Roman"/>
          <w:lang w:val="en-US"/>
        </w:rPr>
        <w:t>Omokhua-Uyi</w:t>
      </w:r>
      <w:proofErr w:type="spellEnd"/>
      <w:r w:rsidRPr="00F5461D">
        <w:rPr>
          <w:rFonts w:ascii="Times New Roman" w:hAnsi="Times New Roman" w:cs="Times New Roman"/>
          <w:lang w:val="en-US"/>
        </w:rPr>
        <w:t xml:space="preserve"> &amp; Van </w:t>
      </w:r>
      <w:proofErr w:type="spellStart"/>
      <w:r w:rsidRPr="00F5461D">
        <w:rPr>
          <w:rFonts w:ascii="Times New Roman" w:hAnsi="Times New Roman" w:cs="Times New Roman"/>
          <w:lang w:val="en-US"/>
        </w:rPr>
        <w:t>Staden</w:t>
      </w:r>
      <w:proofErr w:type="spellEnd"/>
      <w:r w:rsidRPr="00F5461D">
        <w:rPr>
          <w:rFonts w:ascii="Times New Roman" w:hAnsi="Times New Roman" w:cs="Times New Roman"/>
          <w:lang w:val="en-US"/>
        </w:rPr>
        <w:t>, 2020; dos Santos et al., 2021</w:t>
      </w:r>
      <w:bookmarkEnd w:id="10"/>
      <w:r w:rsidRPr="00F5461D">
        <w:rPr>
          <w:rFonts w:ascii="Times New Roman" w:hAnsi="Times New Roman" w:cs="Times New Roman"/>
          <w:lang w:val="en-US"/>
        </w:rPr>
        <w:t>).</w:t>
      </w:r>
    </w:p>
    <w:p w14:paraId="4F94AF62" w14:textId="7777777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Public unawareness regarding plant toxicity and the widespread cultivation of ornamental species in homes and schools significantly increase the risk of poisoning in children. Furthermore, the absence of standardized clinical protocols exacerbates clinical outcomes and hinders the effectiveness of healthcare responses (</w:t>
      </w:r>
      <w:bookmarkStart w:id="11" w:name="_Hlk210576420"/>
      <w:r w:rsidRPr="00F5461D">
        <w:rPr>
          <w:rFonts w:ascii="Times New Roman" w:hAnsi="Times New Roman" w:cs="Times New Roman"/>
          <w:lang w:val="en-US"/>
        </w:rPr>
        <w:t>Torrents et al., 2023</w:t>
      </w:r>
      <w:bookmarkEnd w:id="11"/>
      <w:r w:rsidRPr="00F5461D">
        <w:rPr>
          <w:rFonts w:ascii="Times New Roman" w:hAnsi="Times New Roman" w:cs="Times New Roman"/>
          <w:lang w:val="en-US"/>
        </w:rPr>
        <w:t>).</w:t>
      </w:r>
    </w:p>
    <w:p w14:paraId="16191B52" w14:textId="7777777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The global impact of plant poisoning extends beyond immediate clinical outcomes, encompassing substantial costs associated with emergency services, prolonged hospital stays, and economic losses due to decreased productivity. In tropical and Mediterranean countries, approximately 71% of severe cases result from intentional poisonings, frequently linked to suicide attempts (Torrents et al., 2023).</w:t>
      </w:r>
    </w:p>
    <w:p w14:paraId="5C39CEA9" w14:textId="7777777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 xml:space="preserve">Given the magnitude of the problem, preventive strategies are essential. Effective measures include environmental education, identification and labeling of toxic species, regulation of ornamental plant use in public areas, and targeted awareness campaigns directed at parents, caregivers, and healthcare professionals </w:t>
      </w:r>
      <w:bookmarkStart w:id="12" w:name="_Hlk210576442"/>
      <w:r w:rsidRPr="00F5461D">
        <w:rPr>
          <w:rFonts w:ascii="Times New Roman" w:hAnsi="Times New Roman" w:cs="Times New Roman"/>
          <w:lang w:val="en-US"/>
        </w:rPr>
        <w:t>(</w:t>
      </w:r>
      <w:bookmarkStart w:id="13" w:name="_Hlk211345684"/>
      <w:r w:rsidRPr="00F5461D">
        <w:rPr>
          <w:rFonts w:ascii="Times New Roman" w:hAnsi="Times New Roman" w:cs="Times New Roman"/>
          <w:lang w:val="en-US"/>
        </w:rPr>
        <w:t>da Silva &amp; Antonelli-</w:t>
      </w:r>
      <w:proofErr w:type="spellStart"/>
      <w:r w:rsidRPr="00F5461D">
        <w:rPr>
          <w:rFonts w:ascii="Times New Roman" w:hAnsi="Times New Roman" w:cs="Times New Roman"/>
          <w:lang w:val="en-US"/>
        </w:rPr>
        <w:t>Ushirobira</w:t>
      </w:r>
      <w:proofErr w:type="spellEnd"/>
      <w:r w:rsidRPr="00F5461D">
        <w:rPr>
          <w:rFonts w:ascii="Times New Roman" w:hAnsi="Times New Roman" w:cs="Times New Roman"/>
          <w:lang w:val="en-US"/>
        </w:rPr>
        <w:t>, 2021; de Melo et al., 2021</w:t>
      </w:r>
      <w:bookmarkEnd w:id="12"/>
      <w:bookmarkEnd w:id="13"/>
      <w:r w:rsidRPr="00F5461D">
        <w:rPr>
          <w:rFonts w:ascii="Times New Roman" w:hAnsi="Times New Roman" w:cs="Times New Roman"/>
          <w:lang w:val="en-US"/>
        </w:rPr>
        <w:t>). Such strategies are fundamental to reducing the incidence of cases, minimizing severity, and protecting vulnerable populations.</w:t>
      </w:r>
    </w:p>
    <w:p w14:paraId="30BA1A3D" w14:textId="77777777" w:rsid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To address these gaps, this study aims to characterize the epidemiological and clinical profile of plant poisoning in children treated at a toxicological information center, identifying plant species and parts involved, exposure circumstances, factors associated with severity, and clinical outcomes. Additionally, it seeks to critically analyze surveillance limitations, discuss clinical and public health implications, and propose prevention strategies, including the development of a local list of “sentinel species” and recommendations for standardized management.</w:t>
      </w:r>
    </w:p>
    <w:p w14:paraId="58898C7D" w14:textId="77777777" w:rsidR="00F75A64" w:rsidRPr="00F5461D" w:rsidRDefault="00F75A64" w:rsidP="00CF3A74">
      <w:pPr>
        <w:spacing w:line="360" w:lineRule="auto"/>
        <w:jc w:val="both"/>
        <w:rPr>
          <w:rFonts w:ascii="Times New Roman" w:hAnsi="Times New Roman" w:cs="Times New Roman"/>
          <w:lang w:val="en-US"/>
        </w:rPr>
      </w:pPr>
    </w:p>
    <w:p w14:paraId="094E6670" w14:textId="77777777" w:rsidR="00ED11A0" w:rsidRPr="00ED11A0" w:rsidRDefault="00ED11A0" w:rsidP="00CF3A74">
      <w:pPr>
        <w:spacing w:line="360" w:lineRule="auto"/>
        <w:jc w:val="both"/>
        <w:rPr>
          <w:rFonts w:ascii="Times New Roman" w:hAnsi="Times New Roman" w:cs="Times New Roman"/>
          <w:b/>
          <w:bCs/>
          <w:lang w:val="en-US"/>
        </w:rPr>
      </w:pPr>
      <w:r w:rsidRPr="00ED11A0">
        <w:rPr>
          <w:rFonts w:ascii="Times New Roman" w:hAnsi="Times New Roman" w:cs="Times New Roman"/>
          <w:b/>
          <w:bCs/>
          <w:lang w:val="en-US"/>
        </w:rPr>
        <w:lastRenderedPageBreak/>
        <w:t>Methods</w:t>
      </w:r>
    </w:p>
    <w:p w14:paraId="1FBC8B97" w14:textId="77777777" w:rsidR="00ED11A0" w:rsidRPr="00ED11A0" w:rsidRDefault="00ED11A0" w:rsidP="00CF3A74">
      <w:pPr>
        <w:spacing w:line="360" w:lineRule="auto"/>
        <w:jc w:val="both"/>
        <w:rPr>
          <w:rFonts w:ascii="Times New Roman" w:hAnsi="Times New Roman" w:cs="Times New Roman"/>
          <w:b/>
          <w:bCs/>
          <w:lang w:val="en-US"/>
        </w:rPr>
      </w:pPr>
      <w:r w:rsidRPr="00ED11A0">
        <w:rPr>
          <w:rFonts w:ascii="Times New Roman" w:hAnsi="Times New Roman" w:cs="Times New Roman"/>
          <w:b/>
          <w:bCs/>
          <w:lang w:val="en-US"/>
        </w:rPr>
        <w:t>Study Design and Setting</w:t>
      </w:r>
    </w:p>
    <w:p w14:paraId="1F43DC7A"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 xml:space="preserve">This study was conducted between 1992 and 1998 with the objective of analyzing epidemiological, clinical, and outcome data related to ornamental plant poisonings, with a particular focus on the pediatric population. A retrospective, observational, and descriptive design was employed, based on the systematic collection and analysis of medical records from patients treated at the Emergency Department of Hospital </w:t>
      </w:r>
      <w:proofErr w:type="spellStart"/>
      <w:r w:rsidRPr="00ED11A0">
        <w:rPr>
          <w:rFonts w:ascii="Times New Roman" w:hAnsi="Times New Roman" w:cs="Times New Roman"/>
          <w:lang w:val="en-US"/>
        </w:rPr>
        <w:t>Infantil</w:t>
      </w:r>
      <w:proofErr w:type="spellEnd"/>
      <w:r w:rsidRPr="00ED11A0">
        <w:rPr>
          <w:rFonts w:ascii="Times New Roman" w:hAnsi="Times New Roman" w:cs="Times New Roman"/>
          <w:lang w:val="en-US"/>
        </w:rPr>
        <w:t xml:space="preserve"> </w:t>
      </w:r>
      <w:proofErr w:type="spellStart"/>
      <w:r w:rsidRPr="00ED11A0">
        <w:rPr>
          <w:rFonts w:ascii="Times New Roman" w:hAnsi="Times New Roman" w:cs="Times New Roman"/>
          <w:lang w:val="en-US"/>
        </w:rPr>
        <w:t>Nossa</w:t>
      </w:r>
      <w:proofErr w:type="spellEnd"/>
      <w:r w:rsidRPr="00ED11A0">
        <w:rPr>
          <w:rFonts w:ascii="Times New Roman" w:hAnsi="Times New Roman" w:cs="Times New Roman"/>
          <w:lang w:val="en-US"/>
        </w:rPr>
        <w:t xml:space="preserve"> Senhora da </w:t>
      </w:r>
      <w:proofErr w:type="spellStart"/>
      <w:r w:rsidRPr="00ED11A0">
        <w:rPr>
          <w:rFonts w:ascii="Times New Roman" w:hAnsi="Times New Roman" w:cs="Times New Roman"/>
          <w:lang w:val="en-US"/>
        </w:rPr>
        <w:t>Glória</w:t>
      </w:r>
      <w:proofErr w:type="spellEnd"/>
      <w:r w:rsidRPr="00ED11A0">
        <w:rPr>
          <w:rFonts w:ascii="Times New Roman" w:hAnsi="Times New Roman" w:cs="Times New Roman"/>
          <w:lang w:val="en-US"/>
        </w:rPr>
        <w:t xml:space="preserve">, Vitória, </w:t>
      </w:r>
      <w:proofErr w:type="spellStart"/>
      <w:r w:rsidRPr="00ED11A0">
        <w:rPr>
          <w:rFonts w:ascii="Times New Roman" w:hAnsi="Times New Roman" w:cs="Times New Roman"/>
          <w:lang w:val="en-US"/>
        </w:rPr>
        <w:t>Espírito</w:t>
      </w:r>
      <w:proofErr w:type="spellEnd"/>
      <w:r w:rsidRPr="00ED11A0">
        <w:rPr>
          <w:rFonts w:ascii="Times New Roman" w:hAnsi="Times New Roman" w:cs="Times New Roman"/>
          <w:lang w:val="en-US"/>
        </w:rPr>
        <w:t xml:space="preserve"> Santo, Brazil. All cases were supervised by physicians from the Centro de </w:t>
      </w:r>
      <w:proofErr w:type="spellStart"/>
      <w:r w:rsidRPr="00ED11A0">
        <w:rPr>
          <w:rFonts w:ascii="Times New Roman" w:hAnsi="Times New Roman" w:cs="Times New Roman"/>
          <w:lang w:val="en-US"/>
        </w:rPr>
        <w:t>Informação</w:t>
      </w:r>
      <w:proofErr w:type="spellEnd"/>
      <w:r w:rsidRPr="00ED11A0">
        <w:rPr>
          <w:rFonts w:ascii="Times New Roman" w:hAnsi="Times New Roman" w:cs="Times New Roman"/>
          <w:lang w:val="en-US"/>
        </w:rPr>
        <w:t xml:space="preserve"> e </w:t>
      </w:r>
      <w:proofErr w:type="spellStart"/>
      <w:r w:rsidRPr="00ED11A0">
        <w:rPr>
          <w:rFonts w:ascii="Times New Roman" w:hAnsi="Times New Roman" w:cs="Times New Roman"/>
          <w:lang w:val="en-US"/>
        </w:rPr>
        <w:t>Assistência</w:t>
      </w:r>
      <w:proofErr w:type="spellEnd"/>
      <w:r w:rsidRPr="00ED11A0">
        <w:rPr>
          <w:rFonts w:ascii="Times New Roman" w:hAnsi="Times New Roman" w:cs="Times New Roman"/>
          <w:lang w:val="en-US"/>
        </w:rPr>
        <w:t xml:space="preserve"> </w:t>
      </w:r>
      <w:proofErr w:type="spellStart"/>
      <w:r w:rsidRPr="00ED11A0">
        <w:rPr>
          <w:rFonts w:ascii="Times New Roman" w:hAnsi="Times New Roman" w:cs="Times New Roman"/>
          <w:lang w:val="en-US"/>
        </w:rPr>
        <w:t>Toxicológica</w:t>
      </w:r>
      <w:proofErr w:type="spellEnd"/>
      <w:r w:rsidRPr="00ED11A0">
        <w:rPr>
          <w:rFonts w:ascii="Times New Roman" w:hAnsi="Times New Roman" w:cs="Times New Roman"/>
          <w:b/>
          <w:bCs/>
          <w:lang w:val="en-US"/>
        </w:rPr>
        <w:t xml:space="preserve"> (TOXEN)</w:t>
      </w:r>
      <w:r w:rsidRPr="00ED11A0">
        <w:rPr>
          <w:rFonts w:ascii="Times New Roman" w:hAnsi="Times New Roman" w:cs="Times New Roman"/>
          <w:lang w:val="en-US"/>
        </w:rPr>
        <w:t>, located within the same institution.</w:t>
      </w:r>
    </w:p>
    <w:p w14:paraId="096DE5C7" w14:textId="77777777" w:rsidR="00ED11A0" w:rsidRPr="00ED11A0" w:rsidRDefault="00ED11A0" w:rsidP="00CF3A74">
      <w:pPr>
        <w:spacing w:line="360" w:lineRule="auto"/>
        <w:jc w:val="both"/>
        <w:rPr>
          <w:rFonts w:ascii="Times New Roman" w:hAnsi="Times New Roman" w:cs="Times New Roman"/>
          <w:b/>
          <w:bCs/>
          <w:lang w:val="en-US"/>
        </w:rPr>
      </w:pPr>
      <w:r w:rsidRPr="00ED11A0">
        <w:rPr>
          <w:rFonts w:ascii="Times New Roman" w:hAnsi="Times New Roman" w:cs="Times New Roman"/>
          <w:b/>
          <w:bCs/>
          <w:lang w:val="en-US"/>
        </w:rPr>
        <w:t>Botanical Identification Procedures</w:t>
      </w:r>
    </w:p>
    <w:p w14:paraId="5814B246"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In all suspected cases of plant poisoning, caregivers were requested to bring a sample of the suspected plant for identification. These samples were herborized and stored for further analysis. Botanical identification was carried out using taxonomic keys, which are widely recognized as essential tools for the classification and differentiation of plant species.</w:t>
      </w:r>
    </w:p>
    <w:p w14:paraId="2D07FD00" w14:textId="1C11B9AC"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 xml:space="preserve">Whenever necessary, plant identification was confirmed through consultation with specialists from the </w:t>
      </w:r>
      <w:r w:rsidR="00182DB6" w:rsidRPr="00182DB6">
        <w:rPr>
          <w:rFonts w:ascii="Times New Roman" w:hAnsi="Times New Roman" w:cs="Times New Roman"/>
          <w:lang w:val="en-US"/>
        </w:rPr>
        <w:t>Central Herbarium</w:t>
      </w:r>
      <w:r w:rsidR="00182DB6">
        <w:rPr>
          <w:rFonts w:ascii="Times New Roman" w:hAnsi="Times New Roman" w:cs="Times New Roman"/>
          <w:lang w:val="en-US"/>
        </w:rPr>
        <w:t xml:space="preserve"> </w:t>
      </w:r>
      <w:r w:rsidRPr="00ED11A0">
        <w:rPr>
          <w:rFonts w:ascii="Times New Roman" w:hAnsi="Times New Roman" w:cs="Times New Roman"/>
          <w:lang w:val="en-US"/>
        </w:rPr>
        <w:t xml:space="preserve">at the Federal University of </w:t>
      </w:r>
      <w:proofErr w:type="spellStart"/>
      <w:r w:rsidRPr="00ED11A0">
        <w:rPr>
          <w:rFonts w:ascii="Times New Roman" w:hAnsi="Times New Roman" w:cs="Times New Roman"/>
          <w:lang w:val="en-US"/>
        </w:rPr>
        <w:t>Espírito</w:t>
      </w:r>
      <w:proofErr w:type="spellEnd"/>
      <w:r w:rsidRPr="00ED11A0">
        <w:rPr>
          <w:rFonts w:ascii="Times New Roman" w:hAnsi="Times New Roman" w:cs="Times New Roman"/>
          <w:lang w:val="en-US"/>
        </w:rPr>
        <w:t xml:space="preserve"> Santo</w:t>
      </w:r>
      <w:r w:rsidRPr="00ED11A0">
        <w:rPr>
          <w:rFonts w:ascii="Times New Roman" w:hAnsi="Times New Roman" w:cs="Times New Roman"/>
          <w:b/>
          <w:bCs/>
          <w:lang w:val="en-US"/>
        </w:rPr>
        <w:t xml:space="preserve"> (UFES)</w:t>
      </w:r>
      <w:r w:rsidRPr="00ED11A0">
        <w:rPr>
          <w:rFonts w:ascii="Times New Roman" w:hAnsi="Times New Roman" w:cs="Times New Roman"/>
          <w:lang w:val="en-US"/>
        </w:rPr>
        <w:t>. Cases in which plant samples could not be obtained—despite clinical manifestations suggesting plant poisoning—were excluded from the study.</w:t>
      </w:r>
    </w:p>
    <w:p w14:paraId="2681AD1D" w14:textId="77777777" w:rsidR="00ED11A0" w:rsidRPr="00ED11A0" w:rsidRDefault="00ED11A0" w:rsidP="00CF3A74">
      <w:pPr>
        <w:spacing w:line="360" w:lineRule="auto"/>
        <w:jc w:val="both"/>
        <w:rPr>
          <w:rFonts w:ascii="Times New Roman" w:hAnsi="Times New Roman" w:cs="Times New Roman"/>
          <w:b/>
          <w:bCs/>
          <w:lang w:val="en-US"/>
        </w:rPr>
      </w:pPr>
      <w:r w:rsidRPr="00ED11A0">
        <w:rPr>
          <w:rFonts w:ascii="Times New Roman" w:hAnsi="Times New Roman" w:cs="Times New Roman"/>
          <w:b/>
          <w:bCs/>
          <w:lang w:val="en-US"/>
        </w:rPr>
        <w:t>Data Collection and Variables</w:t>
      </w:r>
    </w:p>
    <w:p w14:paraId="57DAE948"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 xml:space="preserve">Clinical data were collected using a structured form adapted by the principal investigator — a board-certified pediatrician and pediatric intensive care specialist, biologist, and MSc in Plant Biology — from the standardized instrument developed by the Sistema Nacional de </w:t>
      </w:r>
      <w:proofErr w:type="spellStart"/>
      <w:r w:rsidRPr="00ED11A0">
        <w:rPr>
          <w:rFonts w:ascii="Times New Roman" w:hAnsi="Times New Roman" w:cs="Times New Roman"/>
          <w:lang w:val="en-US"/>
        </w:rPr>
        <w:t>Informações</w:t>
      </w:r>
      <w:proofErr w:type="spellEnd"/>
      <w:r w:rsidRPr="00ED11A0">
        <w:rPr>
          <w:rFonts w:ascii="Times New Roman" w:hAnsi="Times New Roman" w:cs="Times New Roman"/>
          <w:lang w:val="en-US"/>
        </w:rPr>
        <w:t xml:space="preserve"> </w:t>
      </w:r>
      <w:proofErr w:type="spellStart"/>
      <w:r w:rsidRPr="00ED11A0">
        <w:rPr>
          <w:rFonts w:ascii="Times New Roman" w:hAnsi="Times New Roman" w:cs="Times New Roman"/>
          <w:lang w:val="en-US"/>
        </w:rPr>
        <w:t>Tóxico-Farmacológicas</w:t>
      </w:r>
      <w:proofErr w:type="spellEnd"/>
      <w:r w:rsidRPr="00ED11A0">
        <w:rPr>
          <w:rFonts w:ascii="Times New Roman" w:hAnsi="Times New Roman" w:cs="Times New Roman"/>
          <w:b/>
          <w:bCs/>
          <w:lang w:val="en-US"/>
        </w:rPr>
        <w:t xml:space="preserve"> (SINITOX, Brazil)</w:t>
      </w:r>
      <w:r w:rsidRPr="00ED11A0">
        <w:rPr>
          <w:rFonts w:ascii="Times New Roman" w:hAnsi="Times New Roman" w:cs="Times New Roman"/>
          <w:lang w:val="en-US"/>
        </w:rPr>
        <w:t>.</w:t>
      </w:r>
    </w:p>
    <w:p w14:paraId="04344E65"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The form included the following variables:</w:t>
      </w:r>
    </w:p>
    <w:p w14:paraId="65B026FF" w14:textId="77777777" w:rsidR="00ED11A0" w:rsidRPr="00ED11A0" w:rsidRDefault="00ED11A0" w:rsidP="00CF3A74">
      <w:pPr>
        <w:numPr>
          <w:ilvl w:val="0"/>
          <w:numId w:val="1"/>
        </w:numPr>
        <w:spacing w:line="360" w:lineRule="auto"/>
        <w:jc w:val="both"/>
        <w:rPr>
          <w:rFonts w:ascii="Times New Roman" w:hAnsi="Times New Roman" w:cs="Times New Roman"/>
          <w:lang w:val="en-US"/>
        </w:rPr>
      </w:pPr>
      <w:r w:rsidRPr="00ED11A0">
        <w:rPr>
          <w:rFonts w:ascii="Times New Roman" w:hAnsi="Times New Roman" w:cs="Times New Roman"/>
          <w:lang w:val="en-US"/>
        </w:rPr>
        <w:t>Demographic characteristics: age, sex</w:t>
      </w:r>
    </w:p>
    <w:p w14:paraId="31D4E838" w14:textId="77777777" w:rsidR="00ED11A0" w:rsidRPr="00ED11A0" w:rsidRDefault="00ED11A0" w:rsidP="00CF3A74">
      <w:pPr>
        <w:numPr>
          <w:ilvl w:val="0"/>
          <w:numId w:val="1"/>
        </w:numPr>
        <w:spacing w:line="360" w:lineRule="auto"/>
        <w:jc w:val="both"/>
        <w:rPr>
          <w:rFonts w:ascii="Times New Roman" w:hAnsi="Times New Roman" w:cs="Times New Roman"/>
          <w:lang w:val="en-US"/>
        </w:rPr>
      </w:pPr>
      <w:r w:rsidRPr="00ED11A0">
        <w:rPr>
          <w:rFonts w:ascii="Times New Roman" w:hAnsi="Times New Roman" w:cs="Times New Roman"/>
          <w:lang w:val="en-US"/>
        </w:rPr>
        <w:t>Exposure details: part of the plant ingested, circumstances of poisoning (accidental, attempted suicide, etc.)</w:t>
      </w:r>
    </w:p>
    <w:p w14:paraId="4FDD6F2E" w14:textId="77777777" w:rsidR="00ED11A0" w:rsidRPr="00ED11A0" w:rsidRDefault="00ED11A0" w:rsidP="00CF3A74">
      <w:pPr>
        <w:numPr>
          <w:ilvl w:val="0"/>
          <w:numId w:val="1"/>
        </w:numPr>
        <w:spacing w:line="360" w:lineRule="auto"/>
        <w:jc w:val="both"/>
        <w:rPr>
          <w:rFonts w:ascii="Times New Roman" w:hAnsi="Times New Roman" w:cs="Times New Roman"/>
          <w:lang w:val="en-US"/>
        </w:rPr>
      </w:pPr>
      <w:r w:rsidRPr="00ED11A0">
        <w:rPr>
          <w:rFonts w:ascii="Times New Roman" w:hAnsi="Times New Roman" w:cs="Times New Roman"/>
          <w:lang w:val="en-US"/>
        </w:rPr>
        <w:lastRenderedPageBreak/>
        <w:t>Clinical manifestations: signs and symptoms</w:t>
      </w:r>
    </w:p>
    <w:p w14:paraId="7CFF1272" w14:textId="77777777" w:rsidR="00ED11A0" w:rsidRDefault="00ED11A0" w:rsidP="00CF3A74">
      <w:pPr>
        <w:numPr>
          <w:ilvl w:val="0"/>
          <w:numId w:val="1"/>
        </w:numPr>
        <w:spacing w:line="360" w:lineRule="auto"/>
        <w:jc w:val="both"/>
        <w:rPr>
          <w:rFonts w:ascii="Times New Roman" w:hAnsi="Times New Roman" w:cs="Times New Roman"/>
          <w:lang w:val="en-US"/>
        </w:rPr>
      </w:pPr>
      <w:r w:rsidRPr="00ED11A0">
        <w:rPr>
          <w:rFonts w:ascii="Times New Roman" w:hAnsi="Times New Roman" w:cs="Times New Roman"/>
          <w:lang w:val="en-US"/>
        </w:rPr>
        <w:t>Outcome measures: disease progression and hospitalization status</w:t>
      </w:r>
    </w:p>
    <w:p w14:paraId="60739E57" w14:textId="77777777" w:rsidR="00ED11A0" w:rsidRPr="00ED11A0" w:rsidRDefault="00ED11A0" w:rsidP="00CF3A74">
      <w:pPr>
        <w:spacing w:line="360" w:lineRule="auto"/>
        <w:jc w:val="both"/>
        <w:rPr>
          <w:rFonts w:ascii="Times New Roman" w:hAnsi="Times New Roman" w:cs="Times New Roman"/>
          <w:b/>
          <w:bCs/>
          <w:lang w:val="en-US"/>
        </w:rPr>
      </w:pPr>
      <w:r w:rsidRPr="00ED11A0">
        <w:rPr>
          <w:rFonts w:ascii="Times New Roman" w:hAnsi="Times New Roman" w:cs="Times New Roman"/>
          <w:b/>
          <w:bCs/>
          <w:lang w:val="en-US"/>
        </w:rPr>
        <w:t>Clinical Classification of Poisoning Severity</w:t>
      </w:r>
    </w:p>
    <w:p w14:paraId="4E8E646B"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Clinical severity was categorized into three main levels based on clinical manifestations:</w:t>
      </w:r>
    </w:p>
    <w:p w14:paraId="47AF3D87" w14:textId="77777777" w:rsidR="00ED11A0" w:rsidRPr="00ED11A0" w:rsidRDefault="00ED11A0" w:rsidP="00CF3A74">
      <w:pPr>
        <w:numPr>
          <w:ilvl w:val="0"/>
          <w:numId w:val="2"/>
        </w:numPr>
        <w:spacing w:line="360" w:lineRule="auto"/>
        <w:jc w:val="both"/>
        <w:rPr>
          <w:rFonts w:ascii="Times New Roman" w:hAnsi="Times New Roman" w:cs="Times New Roman"/>
          <w:lang w:val="en-US"/>
        </w:rPr>
      </w:pPr>
      <w:r w:rsidRPr="00ED11A0">
        <w:rPr>
          <w:rFonts w:ascii="Times New Roman" w:hAnsi="Times New Roman" w:cs="Times New Roman"/>
          <w:lang w:val="en-US"/>
        </w:rPr>
        <w:t xml:space="preserve">Mild: characterized by fever, local pain, and </w:t>
      </w:r>
      <w:proofErr w:type="spellStart"/>
      <w:r w:rsidRPr="00ED11A0">
        <w:rPr>
          <w:rFonts w:ascii="Times New Roman" w:hAnsi="Times New Roman" w:cs="Times New Roman"/>
          <w:lang w:val="en-US"/>
        </w:rPr>
        <w:t>papular</w:t>
      </w:r>
      <w:proofErr w:type="spellEnd"/>
      <w:r w:rsidRPr="00ED11A0">
        <w:rPr>
          <w:rFonts w:ascii="Times New Roman" w:hAnsi="Times New Roman" w:cs="Times New Roman"/>
          <w:lang w:val="en-US"/>
        </w:rPr>
        <w:t xml:space="preserve"> or pruritic skin lesions.</w:t>
      </w:r>
    </w:p>
    <w:p w14:paraId="28D84A06" w14:textId="77777777" w:rsidR="00ED11A0" w:rsidRPr="00ED11A0" w:rsidRDefault="00ED11A0" w:rsidP="00CF3A74">
      <w:pPr>
        <w:numPr>
          <w:ilvl w:val="0"/>
          <w:numId w:val="2"/>
        </w:numPr>
        <w:spacing w:line="360" w:lineRule="auto"/>
        <w:jc w:val="both"/>
        <w:rPr>
          <w:rFonts w:ascii="Times New Roman" w:hAnsi="Times New Roman" w:cs="Times New Roman"/>
          <w:lang w:val="en-US"/>
        </w:rPr>
      </w:pPr>
      <w:r w:rsidRPr="00ED11A0">
        <w:rPr>
          <w:rFonts w:ascii="Times New Roman" w:hAnsi="Times New Roman" w:cs="Times New Roman"/>
          <w:lang w:val="en-US"/>
        </w:rPr>
        <w:t>Moderate: cases presenting with vomiting, diarrhea, or abdominal pain that resolved with clinical management.</w:t>
      </w:r>
    </w:p>
    <w:p w14:paraId="0C9C83D3" w14:textId="77777777" w:rsidR="00ED11A0" w:rsidRPr="00ED11A0" w:rsidRDefault="00ED11A0" w:rsidP="00CF3A74">
      <w:pPr>
        <w:numPr>
          <w:ilvl w:val="0"/>
          <w:numId w:val="2"/>
        </w:numPr>
        <w:spacing w:line="360" w:lineRule="auto"/>
        <w:jc w:val="both"/>
        <w:rPr>
          <w:rFonts w:ascii="Times New Roman" w:hAnsi="Times New Roman" w:cs="Times New Roman"/>
          <w:lang w:val="en-US"/>
        </w:rPr>
      </w:pPr>
      <w:r w:rsidRPr="00ED11A0">
        <w:rPr>
          <w:rFonts w:ascii="Times New Roman" w:hAnsi="Times New Roman" w:cs="Times New Roman"/>
          <w:lang w:val="en-US"/>
        </w:rPr>
        <w:t>Severe: cases associated with dehydration, altered level of consciousness, arrhythmias, or seizures.</w:t>
      </w:r>
    </w:p>
    <w:p w14:paraId="6B79FF9B"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A logarithmic transformation model was applied to the sum of clinical manifestations for each patient using Microsoft Excel, with results rounded to one decimal place. Classification was defined as follows:</w:t>
      </w:r>
    </w:p>
    <w:p w14:paraId="424FC1DD" w14:textId="77777777" w:rsidR="00ED11A0" w:rsidRPr="00ED11A0" w:rsidRDefault="00ED11A0" w:rsidP="00CF3A74">
      <w:pPr>
        <w:numPr>
          <w:ilvl w:val="0"/>
          <w:numId w:val="3"/>
        </w:numPr>
        <w:spacing w:line="360" w:lineRule="auto"/>
        <w:jc w:val="both"/>
        <w:rPr>
          <w:rFonts w:ascii="Times New Roman" w:hAnsi="Times New Roman" w:cs="Times New Roman"/>
          <w:lang w:val="en-US"/>
        </w:rPr>
      </w:pPr>
      <w:r w:rsidRPr="00ED11A0">
        <w:rPr>
          <w:rFonts w:ascii="Times New Roman" w:hAnsi="Times New Roman" w:cs="Times New Roman"/>
          <w:lang w:val="en-US"/>
        </w:rPr>
        <w:t>0: Asymptomatic</w:t>
      </w:r>
    </w:p>
    <w:p w14:paraId="08CD0C23" w14:textId="77777777" w:rsidR="00ED11A0" w:rsidRPr="00ED11A0" w:rsidRDefault="00ED11A0" w:rsidP="00CF3A74">
      <w:pPr>
        <w:numPr>
          <w:ilvl w:val="0"/>
          <w:numId w:val="3"/>
        </w:numPr>
        <w:spacing w:line="360" w:lineRule="auto"/>
        <w:jc w:val="both"/>
        <w:rPr>
          <w:rFonts w:ascii="Times New Roman" w:hAnsi="Times New Roman" w:cs="Times New Roman"/>
          <w:lang w:val="en-US"/>
        </w:rPr>
      </w:pPr>
      <w:r w:rsidRPr="00ED11A0">
        <w:rPr>
          <w:rFonts w:ascii="Times New Roman" w:hAnsi="Times New Roman" w:cs="Times New Roman"/>
          <w:lang w:val="en-US"/>
        </w:rPr>
        <w:t>0.1 – 0.9: Mild poisoning</w:t>
      </w:r>
    </w:p>
    <w:p w14:paraId="3D574DD1" w14:textId="77777777" w:rsidR="00ED11A0" w:rsidRPr="00ED11A0" w:rsidRDefault="00ED11A0" w:rsidP="00CF3A74">
      <w:pPr>
        <w:numPr>
          <w:ilvl w:val="0"/>
          <w:numId w:val="3"/>
        </w:numPr>
        <w:spacing w:line="360" w:lineRule="auto"/>
        <w:jc w:val="both"/>
        <w:rPr>
          <w:rFonts w:ascii="Times New Roman" w:hAnsi="Times New Roman" w:cs="Times New Roman"/>
          <w:lang w:val="en-US"/>
        </w:rPr>
      </w:pPr>
      <w:r w:rsidRPr="00ED11A0">
        <w:rPr>
          <w:rFonts w:ascii="Times New Roman" w:hAnsi="Times New Roman" w:cs="Times New Roman"/>
          <w:lang w:val="en-US"/>
        </w:rPr>
        <w:t>1.0 – 1.9: Moderate poisoning</w:t>
      </w:r>
    </w:p>
    <w:p w14:paraId="5951201E" w14:textId="77777777" w:rsidR="00ED11A0" w:rsidRPr="00ED11A0" w:rsidRDefault="00ED11A0" w:rsidP="00CF3A74">
      <w:pPr>
        <w:numPr>
          <w:ilvl w:val="0"/>
          <w:numId w:val="3"/>
        </w:numPr>
        <w:spacing w:line="360" w:lineRule="auto"/>
        <w:jc w:val="both"/>
        <w:rPr>
          <w:rFonts w:ascii="Times New Roman" w:hAnsi="Times New Roman" w:cs="Times New Roman"/>
          <w:lang w:val="en-US"/>
        </w:rPr>
      </w:pPr>
      <w:r w:rsidRPr="00ED11A0">
        <w:rPr>
          <w:rFonts w:ascii="Times New Roman" w:hAnsi="Times New Roman" w:cs="Times New Roman"/>
          <w:lang w:val="en-US"/>
        </w:rPr>
        <w:t>≥ 2.0: Severe poisoning</w:t>
      </w:r>
    </w:p>
    <w:p w14:paraId="184A0CE5" w14:textId="77777777" w:rsid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This approach allowed the stratification of poisoning severity into four categories: absent, mild, moderate, and severe using the function:</w:t>
      </w:r>
    </w:p>
    <w:p w14:paraId="7A0832C6" w14:textId="6FD84534" w:rsidR="0005408A" w:rsidRPr="0005408A" w:rsidRDefault="0005408A" w:rsidP="00CF3A74">
      <w:pPr>
        <w:spacing w:line="360" w:lineRule="auto"/>
        <w:jc w:val="both"/>
        <w:rPr>
          <w:rFonts w:ascii="Times New Roman" w:hAnsi="Times New Roman" w:cs="Times New Roman"/>
          <w:lang w:val="en-US"/>
        </w:rPr>
      </w:pPr>
      <w:bookmarkStart w:id="14" w:name="_Hlk210552422"/>
      <w:r w:rsidRPr="0005408A">
        <w:rPr>
          <w:rFonts w:ascii="Times New Roman" w:hAnsi="Times New Roman" w:cs="Times New Roman"/>
          <w:lang w:val="en-US"/>
        </w:rPr>
        <w:t>f(x)=log(ax)f(x) = \log(ax)f(x)=log(ax)</w:t>
      </w:r>
    </w:p>
    <w:bookmarkEnd w:id="14"/>
    <w:p w14:paraId="70EA05FC" w14:textId="77777777" w:rsidR="00ED11A0" w:rsidRPr="00ED11A0" w:rsidRDefault="00ED11A0" w:rsidP="00CF3A74">
      <w:pPr>
        <w:spacing w:line="360" w:lineRule="auto"/>
        <w:jc w:val="both"/>
        <w:rPr>
          <w:rFonts w:ascii="Times New Roman" w:hAnsi="Times New Roman" w:cs="Times New Roman"/>
          <w:b/>
          <w:bCs/>
          <w:lang w:val="en-US"/>
        </w:rPr>
      </w:pPr>
      <w:r w:rsidRPr="00ED11A0">
        <w:rPr>
          <w:rFonts w:ascii="Times New Roman" w:hAnsi="Times New Roman" w:cs="Times New Roman"/>
          <w:b/>
          <w:bCs/>
          <w:lang w:val="en-US"/>
        </w:rPr>
        <w:t>Data Analysis</w:t>
      </w:r>
    </w:p>
    <w:p w14:paraId="5CF47A00"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Epidemiological data were organized according to demographic variables (age, sex, location of occurrence, and circumstances of the event), clinical characteristics (symptoms, affected systems, and disease progression), and toxicological profile of the involved plant species.</w:t>
      </w:r>
    </w:p>
    <w:p w14:paraId="29F929BE"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 xml:space="preserve">Data analysis was primarily </w:t>
      </w:r>
      <w:r w:rsidRPr="00917DDE">
        <w:rPr>
          <w:rFonts w:ascii="Times New Roman" w:hAnsi="Times New Roman" w:cs="Times New Roman"/>
          <w:lang w:val="en-US"/>
        </w:rPr>
        <w:t>descriptive, with results expressed as absolute and relative frequencies. Statistical analyses were performed using IBM SPSS Statistics version 21.0</w:t>
      </w:r>
      <w:r w:rsidRPr="00ED11A0">
        <w:rPr>
          <w:rFonts w:ascii="Times New Roman" w:hAnsi="Times New Roman" w:cs="Times New Roman"/>
          <w:lang w:val="en-US"/>
        </w:rPr>
        <w:t xml:space="preserve"> (IBM Corp., Armonk, NY, USA).</w:t>
      </w:r>
    </w:p>
    <w:p w14:paraId="399F0F8F" w14:textId="77777777" w:rsidR="00BE40DD" w:rsidRDefault="00ED11A0" w:rsidP="00CF3A74">
      <w:pPr>
        <w:spacing w:line="360" w:lineRule="auto"/>
        <w:jc w:val="both"/>
        <w:rPr>
          <w:rFonts w:ascii="Times New Roman" w:hAnsi="Times New Roman" w:cs="Times New Roman"/>
          <w:b/>
          <w:bCs/>
          <w:lang w:val="en-US"/>
        </w:rPr>
      </w:pPr>
      <w:r w:rsidRPr="00ED11A0">
        <w:rPr>
          <w:rFonts w:ascii="Times New Roman" w:hAnsi="Times New Roman" w:cs="Times New Roman"/>
          <w:b/>
          <w:bCs/>
          <w:lang w:val="en-US"/>
        </w:rPr>
        <w:lastRenderedPageBreak/>
        <w:t>Ethical Considerations</w:t>
      </w:r>
    </w:p>
    <w:p w14:paraId="188B1EBF" w14:textId="51C97BCC"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 xml:space="preserve">All procedures adhered to the ethical principles outlined in </w:t>
      </w:r>
      <w:bookmarkStart w:id="15" w:name="_Hlk211345728"/>
      <w:r w:rsidRPr="00917DDE">
        <w:rPr>
          <w:rFonts w:ascii="Times New Roman" w:hAnsi="Times New Roman" w:cs="Times New Roman"/>
          <w:lang w:val="en-US"/>
        </w:rPr>
        <w:t xml:space="preserve">Resolution No. 466/2012 </w:t>
      </w:r>
      <w:bookmarkEnd w:id="15"/>
      <w:r w:rsidRPr="00917DDE">
        <w:rPr>
          <w:rFonts w:ascii="Times New Roman" w:hAnsi="Times New Roman" w:cs="Times New Roman"/>
          <w:lang w:val="en-US"/>
        </w:rPr>
        <w:t xml:space="preserve">of the National Health Council of Brazil. The study protocol was reviewed and approved by the Research Ethics Committee of Hospital </w:t>
      </w:r>
      <w:proofErr w:type="spellStart"/>
      <w:r w:rsidRPr="00917DDE">
        <w:rPr>
          <w:rFonts w:ascii="Times New Roman" w:hAnsi="Times New Roman" w:cs="Times New Roman"/>
          <w:lang w:val="en-US"/>
        </w:rPr>
        <w:t>Estadual</w:t>
      </w:r>
      <w:proofErr w:type="spellEnd"/>
      <w:r w:rsidRPr="00917DDE">
        <w:rPr>
          <w:rFonts w:ascii="Times New Roman" w:hAnsi="Times New Roman" w:cs="Times New Roman"/>
          <w:lang w:val="en-US"/>
        </w:rPr>
        <w:t xml:space="preserve"> </w:t>
      </w:r>
      <w:proofErr w:type="spellStart"/>
      <w:r w:rsidRPr="00917DDE">
        <w:rPr>
          <w:rFonts w:ascii="Times New Roman" w:hAnsi="Times New Roman" w:cs="Times New Roman"/>
          <w:lang w:val="en-US"/>
        </w:rPr>
        <w:t>Infantil</w:t>
      </w:r>
      <w:proofErr w:type="spellEnd"/>
      <w:r w:rsidRPr="00917DDE">
        <w:rPr>
          <w:rFonts w:ascii="Times New Roman" w:hAnsi="Times New Roman" w:cs="Times New Roman"/>
          <w:lang w:val="en-US"/>
        </w:rPr>
        <w:t xml:space="preserve"> </w:t>
      </w:r>
      <w:proofErr w:type="spellStart"/>
      <w:r w:rsidRPr="00917DDE">
        <w:rPr>
          <w:rFonts w:ascii="Times New Roman" w:hAnsi="Times New Roman" w:cs="Times New Roman"/>
          <w:lang w:val="en-US"/>
        </w:rPr>
        <w:t>Nossa</w:t>
      </w:r>
      <w:proofErr w:type="spellEnd"/>
      <w:r w:rsidRPr="00917DDE">
        <w:rPr>
          <w:rFonts w:ascii="Times New Roman" w:hAnsi="Times New Roman" w:cs="Times New Roman"/>
          <w:lang w:val="en-US"/>
        </w:rPr>
        <w:t xml:space="preserve"> Senhora da </w:t>
      </w:r>
      <w:proofErr w:type="spellStart"/>
      <w:r w:rsidRPr="00917DDE">
        <w:rPr>
          <w:rFonts w:ascii="Times New Roman" w:hAnsi="Times New Roman" w:cs="Times New Roman"/>
          <w:lang w:val="en-US"/>
        </w:rPr>
        <w:t>Glória</w:t>
      </w:r>
      <w:proofErr w:type="spellEnd"/>
      <w:r w:rsidRPr="00917DDE">
        <w:rPr>
          <w:rFonts w:ascii="Times New Roman" w:hAnsi="Times New Roman" w:cs="Times New Roman"/>
          <w:lang w:val="en-US"/>
        </w:rPr>
        <w:t>.</w:t>
      </w:r>
    </w:p>
    <w:p w14:paraId="0184DE39" w14:textId="77777777" w:rsidR="00F5461D" w:rsidRDefault="00F5461D" w:rsidP="008F2990">
      <w:pPr>
        <w:jc w:val="both"/>
        <w:rPr>
          <w:rFonts w:ascii="Times New Roman" w:hAnsi="Times New Roman" w:cs="Times New Roman"/>
          <w:lang w:val="en-US"/>
        </w:rPr>
      </w:pPr>
    </w:p>
    <w:p w14:paraId="5EA86EAB" w14:textId="77777777" w:rsidR="00CF3A74" w:rsidRDefault="00CF3A74" w:rsidP="008F2990">
      <w:pPr>
        <w:jc w:val="both"/>
        <w:rPr>
          <w:rFonts w:ascii="Times New Roman" w:hAnsi="Times New Roman" w:cs="Times New Roman"/>
          <w:lang w:val="en-US"/>
        </w:rPr>
      </w:pPr>
    </w:p>
    <w:p w14:paraId="6E6D4151" w14:textId="77777777" w:rsidR="00CF3A74" w:rsidRDefault="00CF3A74" w:rsidP="008F2990">
      <w:pPr>
        <w:jc w:val="both"/>
        <w:rPr>
          <w:rFonts w:ascii="Times New Roman" w:hAnsi="Times New Roman" w:cs="Times New Roman"/>
          <w:lang w:val="en-US"/>
        </w:rPr>
      </w:pPr>
    </w:p>
    <w:p w14:paraId="0929BEA7" w14:textId="77777777" w:rsidR="00CF3A74" w:rsidRDefault="00CF3A74" w:rsidP="008F2990">
      <w:pPr>
        <w:jc w:val="both"/>
        <w:rPr>
          <w:rFonts w:ascii="Times New Roman" w:hAnsi="Times New Roman" w:cs="Times New Roman"/>
          <w:lang w:val="en-US"/>
        </w:rPr>
      </w:pPr>
    </w:p>
    <w:p w14:paraId="5937FD0A" w14:textId="77777777" w:rsidR="00CF3A74" w:rsidRDefault="00CF3A74" w:rsidP="008F2990">
      <w:pPr>
        <w:jc w:val="both"/>
        <w:rPr>
          <w:rFonts w:ascii="Times New Roman" w:hAnsi="Times New Roman" w:cs="Times New Roman"/>
          <w:lang w:val="en-US"/>
        </w:rPr>
      </w:pPr>
    </w:p>
    <w:p w14:paraId="3849969C" w14:textId="77777777" w:rsidR="00CF3A74" w:rsidRDefault="00CF3A74" w:rsidP="008F2990">
      <w:pPr>
        <w:jc w:val="both"/>
        <w:rPr>
          <w:rFonts w:ascii="Times New Roman" w:hAnsi="Times New Roman" w:cs="Times New Roman"/>
          <w:lang w:val="en-US"/>
        </w:rPr>
      </w:pPr>
    </w:p>
    <w:p w14:paraId="46A6D40E" w14:textId="77777777" w:rsidR="00CF3A74" w:rsidRDefault="00CF3A74" w:rsidP="008F2990">
      <w:pPr>
        <w:jc w:val="both"/>
        <w:rPr>
          <w:rFonts w:ascii="Times New Roman" w:hAnsi="Times New Roman" w:cs="Times New Roman"/>
          <w:lang w:val="en-US"/>
        </w:rPr>
      </w:pPr>
    </w:p>
    <w:p w14:paraId="78BFA01C" w14:textId="77777777" w:rsidR="00CF3A74" w:rsidRDefault="00CF3A74" w:rsidP="008F2990">
      <w:pPr>
        <w:jc w:val="both"/>
        <w:rPr>
          <w:rFonts w:ascii="Times New Roman" w:hAnsi="Times New Roman" w:cs="Times New Roman"/>
          <w:lang w:val="en-US"/>
        </w:rPr>
      </w:pPr>
    </w:p>
    <w:p w14:paraId="2366D520" w14:textId="77777777" w:rsidR="00CF3A74" w:rsidRDefault="00CF3A74" w:rsidP="008F2990">
      <w:pPr>
        <w:jc w:val="both"/>
        <w:rPr>
          <w:rFonts w:ascii="Times New Roman" w:hAnsi="Times New Roman" w:cs="Times New Roman"/>
          <w:lang w:val="en-US"/>
        </w:rPr>
      </w:pPr>
    </w:p>
    <w:p w14:paraId="3037BE16" w14:textId="77777777" w:rsidR="00CF3A74" w:rsidRDefault="00CF3A74" w:rsidP="008F2990">
      <w:pPr>
        <w:jc w:val="both"/>
        <w:rPr>
          <w:rFonts w:ascii="Times New Roman" w:hAnsi="Times New Roman" w:cs="Times New Roman"/>
          <w:lang w:val="en-US"/>
        </w:rPr>
      </w:pPr>
    </w:p>
    <w:p w14:paraId="185C1588" w14:textId="77777777" w:rsidR="00CF3A74" w:rsidRDefault="00CF3A74" w:rsidP="008F2990">
      <w:pPr>
        <w:jc w:val="both"/>
        <w:rPr>
          <w:rFonts w:ascii="Times New Roman" w:hAnsi="Times New Roman" w:cs="Times New Roman"/>
          <w:lang w:val="en-US"/>
        </w:rPr>
      </w:pPr>
    </w:p>
    <w:p w14:paraId="26D5C6D1" w14:textId="77777777" w:rsidR="00CF3A74" w:rsidRDefault="00CF3A74" w:rsidP="008F2990">
      <w:pPr>
        <w:jc w:val="both"/>
        <w:rPr>
          <w:rFonts w:ascii="Times New Roman" w:hAnsi="Times New Roman" w:cs="Times New Roman"/>
          <w:lang w:val="en-US"/>
        </w:rPr>
      </w:pPr>
    </w:p>
    <w:p w14:paraId="11FD78A1" w14:textId="77777777" w:rsidR="00CF3A74" w:rsidRDefault="00CF3A74" w:rsidP="008F2990">
      <w:pPr>
        <w:jc w:val="both"/>
        <w:rPr>
          <w:rFonts w:ascii="Times New Roman" w:hAnsi="Times New Roman" w:cs="Times New Roman"/>
          <w:lang w:val="en-US"/>
        </w:rPr>
      </w:pPr>
    </w:p>
    <w:p w14:paraId="3BC14EE6" w14:textId="77777777" w:rsidR="00CF3A74" w:rsidRDefault="00CF3A74" w:rsidP="008F2990">
      <w:pPr>
        <w:jc w:val="both"/>
        <w:rPr>
          <w:rFonts w:ascii="Times New Roman" w:hAnsi="Times New Roman" w:cs="Times New Roman"/>
          <w:lang w:val="en-US"/>
        </w:rPr>
      </w:pPr>
    </w:p>
    <w:p w14:paraId="53BD2A3A" w14:textId="77777777" w:rsidR="00CF3A74" w:rsidRDefault="00CF3A74" w:rsidP="008F2990">
      <w:pPr>
        <w:jc w:val="both"/>
        <w:rPr>
          <w:rFonts w:ascii="Times New Roman" w:hAnsi="Times New Roman" w:cs="Times New Roman"/>
          <w:lang w:val="en-US"/>
        </w:rPr>
      </w:pPr>
    </w:p>
    <w:p w14:paraId="62182E8B" w14:textId="77777777" w:rsidR="00CF3A74" w:rsidRPr="00F75A64" w:rsidRDefault="00CF3A74" w:rsidP="008F2990">
      <w:pPr>
        <w:jc w:val="both"/>
        <w:rPr>
          <w:rFonts w:ascii="Times New Roman" w:hAnsi="Times New Roman" w:cs="Times New Roman"/>
          <w:lang w:val="en-US"/>
        </w:rPr>
      </w:pPr>
    </w:p>
    <w:p w14:paraId="5695D141" w14:textId="77777777" w:rsidR="00ED11A0" w:rsidRPr="00F930BF" w:rsidRDefault="00ED11A0" w:rsidP="00CF3A74">
      <w:pPr>
        <w:spacing w:line="360" w:lineRule="auto"/>
        <w:jc w:val="both"/>
        <w:rPr>
          <w:rFonts w:ascii="Times New Roman" w:hAnsi="Times New Roman" w:cs="Times New Roman"/>
          <w:b/>
          <w:bCs/>
          <w:lang w:val="en-US"/>
        </w:rPr>
      </w:pPr>
      <w:r w:rsidRPr="00F930BF">
        <w:rPr>
          <w:rFonts w:ascii="Times New Roman" w:hAnsi="Times New Roman" w:cs="Times New Roman"/>
          <w:b/>
          <w:bCs/>
          <w:lang w:val="en-US"/>
        </w:rPr>
        <w:t>Results</w:t>
      </w:r>
    </w:p>
    <w:p w14:paraId="4C899B61" w14:textId="77777777" w:rsidR="00ED11A0" w:rsidRPr="00F930BF" w:rsidRDefault="00ED11A0" w:rsidP="00CF3A74">
      <w:pPr>
        <w:spacing w:line="360" w:lineRule="auto"/>
        <w:jc w:val="both"/>
        <w:rPr>
          <w:rFonts w:ascii="Times New Roman" w:hAnsi="Times New Roman" w:cs="Times New Roman"/>
          <w:lang w:val="en-US"/>
        </w:rPr>
      </w:pPr>
      <w:r w:rsidRPr="00F930BF">
        <w:rPr>
          <w:rFonts w:ascii="Times New Roman" w:hAnsi="Times New Roman" w:cs="Times New Roman"/>
          <w:lang w:val="en-US"/>
        </w:rPr>
        <w:t>A total of 699 cases of toxic ornamental plant poisoning were reported during the study period. Of these, 99 cases (14.2%) were excluded due to the lack of botanical identification, leaving 600 cases for detailed analysis. The distribution by sex was nearly equal, with 298 males (49.6%) and 302 females (50.4%). The mean age of patients was 7.8 ± 10.2 years (median: 4 years). The majority of cases occurred in children aged 1 to 6 years (62.5%), and most clinical presentations were of moderate severity.</w:t>
      </w:r>
    </w:p>
    <w:p w14:paraId="561AC03D" w14:textId="1A945164" w:rsidR="00ED11A0" w:rsidRPr="00F930BF" w:rsidRDefault="00ED11A0" w:rsidP="00CF3A74">
      <w:pPr>
        <w:spacing w:line="360" w:lineRule="auto"/>
        <w:jc w:val="both"/>
        <w:rPr>
          <w:rFonts w:ascii="Times New Roman" w:hAnsi="Times New Roman" w:cs="Times New Roman"/>
          <w:lang w:val="en-US"/>
        </w:rPr>
      </w:pPr>
      <w:r w:rsidRPr="00F930BF">
        <w:rPr>
          <w:rFonts w:ascii="Times New Roman" w:hAnsi="Times New Roman" w:cs="Times New Roman"/>
          <w:lang w:val="en-US"/>
        </w:rPr>
        <w:t xml:space="preserve">More than half of the cases (54.2%) did not require hospitalization, while 37.6% were hospitalized for up to 12 hours, and 8.2% required hospitalization for more than 12 hours. </w:t>
      </w:r>
      <w:r w:rsidRPr="00F930BF">
        <w:rPr>
          <w:rFonts w:ascii="Times New Roman" w:hAnsi="Times New Roman" w:cs="Times New Roman"/>
          <w:lang w:val="en-US"/>
        </w:rPr>
        <w:lastRenderedPageBreak/>
        <w:t>Accidental exposure was the predominant route (92.8%), followed by abortion attempts (3.2%), suicide attempts (2.5%), and recreational plant use (1.5%)</w:t>
      </w:r>
      <w:r w:rsidR="00CF3A74">
        <w:rPr>
          <w:rFonts w:ascii="Times New Roman" w:hAnsi="Times New Roman" w:cs="Times New Roman"/>
          <w:lang w:val="en-US"/>
        </w:rPr>
        <w:t xml:space="preserve">. </w:t>
      </w:r>
      <w:r w:rsidR="00CF3A74" w:rsidRPr="00CF3A74">
        <w:rPr>
          <w:rFonts w:ascii="Times New Roman" w:hAnsi="Times New Roman" w:cs="Times New Roman"/>
          <w:lang w:val="en-US"/>
        </w:rPr>
        <w:t>Described in Table 1</w:t>
      </w:r>
      <w:r w:rsidR="00CF3A74">
        <w:rPr>
          <w:rFonts w:ascii="Times New Roman" w:hAnsi="Times New Roman" w:cs="Times New Roman"/>
          <w:lang w:val="en-US"/>
        </w:rPr>
        <w:t>.</w:t>
      </w:r>
    </w:p>
    <w:p w14:paraId="27BA21CE" w14:textId="73684CF9" w:rsidR="00CF3A74" w:rsidRPr="00CF3A74" w:rsidRDefault="00F930BF" w:rsidP="00CF3A74">
      <w:pPr>
        <w:jc w:val="both"/>
        <w:rPr>
          <w:rFonts w:ascii="Times New Roman" w:hAnsi="Times New Roman" w:cs="Times New Roman"/>
        </w:rPr>
      </w:pPr>
      <w:r w:rsidRPr="00F930BF">
        <w:rPr>
          <w:rFonts w:ascii="Times New Roman" w:hAnsi="Times New Roman" w:cs="Times New Roman"/>
          <w:lang w:val="en-US"/>
        </w:rPr>
        <w:t>Table 1. Demographic Characteristics, Severity, Hospitalization Time, and Circumstances of Poisoning (n = 600)</w:t>
      </w:r>
      <w:r w:rsidR="00CF3A74">
        <w:rPr>
          <w:rFonts w:ascii="Times New Roman" w:hAnsi="Times New Roman" w:cs="Times New Roman"/>
          <w:lang w:val="en-US"/>
        </w:rPr>
        <w:t>.</w:t>
      </w:r>
    </w:p>
    <w:tbl>
      <w:tblPr>
        <w:tblStyle w:val="TableGrid"/>
        <w:tblW w:w="849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930BF" w:rsidRPr="00CF3A74" w14:paraId="41B3985B" w14:textId="77777777" w:rsidTr="00272563">
        <w:tc>
          <w:tcPr>
            <w:tcW w:w="4247" w:type="dxa"/>
            <w:tcBorders>
              <w:top w:val="single" w:sz="12" w:space="0" w:color="auto"/>
              <w:bottom w:val="single" w:sz="12" w:space="0" w:color="auto"/>
            </w:tcBorders>
            <w:vAlign w:val="center"/>
          </w:tcPr>
          <w:p w14:paraId="1346EC10" w14:textId="486FEE36" w:rsidR="00F930BF" w:rsidRPr="00CF3A74" w:rsidRDefault="00F930BF" w:rsidP="00F930BF">
            <w:pPr>
              <w:jc w:val="both"/>
              <w:rPr>
                <w:rFonts w:ascii="Times New Roman" w:hAnsi="Times New Roman" w:cs="Times New Roman"/>
                <w:b/>
                <w:bCs/>
              </w:rPr>
            </w:pPr>
            <w:r w:rsidRPr="00CF3A74">
              <w:rPr>
                <w:rFonts w:ascii="Times New Roman" w:hAnsi="Times New Roman" w:cs="Times New Roman"/>
                <w:b/>
                <w:bCs/>
                <w:lang w:val="en-US"/>
              </w:rPr>
              <w:t>Variable</w:t>
            </w:r>
          </w:p>
        </w:tc>
        <w:tc>
          <w:tcPr>
            <w:tcW w:w="4247" w:type="dxa"/>
            <w:tcBorders>
              <w:top w:val="single" w:sz="12" w:space="0" w:color="auto"/>
              <w:bottom w:val="single" w:sz="12" w:space="0" w:color="auto"/>
            </w:tcBorders>
            <w:vAlign w:val="center"/>
          </w:tcPr>
          <w:p w14:paraId="22DADF41" w14:textId="22E0FC20" w:rsidR="00F930BF" w:rsidRPr="00CF3A74" w:rsidRDefault="00F930BF" w:rsidP="00F930BF">
            <w:pPr>
              <w:jc w:val="center"/>
              <w:rPr>
                <w:rFonts w:ascii="Times New Roman" w:hAnsi="Times New Roman" w:cs="Times New Roman"/>
                <w:b/>
                <w:bCs/>
              </w:rPr>
            </w:pPr>
            <w:r w:rsidRPr="00CF3A74">
              <w:rPr>
                <w:rFonts w:ascii="Times New Roman" w:hAnsi="Times New Roman" w:cs="Times New Roman"/>
                <w:b/>
                <w:bCs/>
                <w:lang w:val="en-US"/>
              </w:rPr>
              <w:t>Frequency (%)</w:t>
            </w:r>
          </w:p>
        </w:tc>
      </w:tr>
      <w:tr w:rsidR="00F930BF" w:rsidRPr="00CF3A74" w14:paraId="3BDA5940" w14:textId="77777777" w:rsidTr="00272563">
        <w:tc>
          <w:tcPr>
            <w:tcW w:w="4247" w:type="dxa"/>
            <w:tcBorders>
              <w:top w:val="single" w:sz="12" w:space="0" w:color="auto"/>
            </w:tcBorders>
          </w:tcPr>
          <w:p w14:paraId="14C29EC4" w14:textId="7317EF6E" w:rsidR="00CF3A74" w:rsidRPr="00CF3A74" w:rsidRDefault="00CF3A74" w:rsidP="00CF3A74">
            <w:pPr>
              <w:jc w:val="both"/>
              <w:rPr>
                <w:rFonts w:ascii="Times New Roman" w:hAnsi="Times New Roman" w:cs="Times New Roman"/>
                <w:b/>
                <w:bCs/>
              </w:rPr>
            </w:pPr>
            <w:r w:rsidRPr="00CF3A74">
              <w:rPr>
                <w:rFonts w:ascii="Times New Roman" w:hAnsi="Times New Roman" w:cs="Times New Roman"/>
                <w:b/>
                <w:bCs/>
              </w:rPr>
              <w:t>Age</w:t>
            </w:r>
          </w:p>
          <w:p w14:paraId="36028512" w14:textId="39DAAA43" w:rsidR="00F930BF" w:rsidRPr="00CF3A74" w:rsidRDefault="00F930BF" w:rsidP="00F930BF">
            <w:pPr>
              <w:pStyle w:val="ListParagraph"/>
              <w:numPr>
                <w:ilvl w:val="0"/>
                <w:numId w:val="11"/>
              </w:numPr>
              <w:jc w:val="both"/>
              <w:rPr>
                <w:rFonts w:ascii="Times New Roman" w:hAnsi="Times New Roman" w:cs="Times New Roman"/>
              </w:rPr>
            </w:pPr>
            <w:r w:rsidRPr="00CF3A74">
              <w:rPr>
                <w:rFonts w:ascii="Times New Roman" w:hAnsi="Times New Roman" w:cs="Times New Roman"/>
              </w:rPr>
              <w:t xml:space="preserve">&lt;1 </w:t>
            </w:r>
            <w:r w:rsidRPr="00CF3A74">
              <w:rPr>
                <w:rFonts w:ascii="Times New Roman" w:hAnsi="Times New Roman" w:cs="Times New Roman"/>
                <w:lang w:val="en-US"/>
              </w:rPr>
              <w:t>year</w:t>
            </w:r>
          </w:p>
        </w:tc>
        <w:tc>
          <w:tcPr>
            <w:tcW w:w="4247" w:type="dxa"/>
            <w:tcBorders>
              <w:top w:val="single" w:sz="12" w:space="0" w:color="auto"/>
            </w:tcBorders>
          </w:tcPr>
          <w:p w14:paraId="147009D1" w14:textId="77777777" w:rsidR="00CF3A74" w:rsidRPr="00CF3A74" w:rsidRDefault="00CF3A74" w:rsidP="0097398F">
            <w:pPr>
              <w:jc w:val="center"/>
              <w:rPr>
                <w:rFonts w:ascii="Times New Roman" w:hAnsi="Times New Roman" w:cs="Times New Roman"/>
              </w:rPr>
            </w:pPr>
          </w:p>
          <w:p w14:paraId="19B7D105" w14:textId="09517131" w:rsidR="00F930BF" w:rsidRPr="00CF3A74" w:rsidRDefault="00F930BF" w:rsidP="0097398F">
            <w:pPr>
              <w:jc w:val="center"/>
              <w:rPr>
                <w:rFonts w:ascii="Times New Roman" w:hAnsi="Times New Roman" w:cs="Times New Roman"/>
              </w:rPr>
            </w:pPr>
            <w:r w:rsidRPr="00CF3A74">
              <w:rPr>
                <w:rFonts w:ascii="Times New Roman" w:hAnsi="Times New Roman" w:cs="Times New Roman"/>
              </w:rPr>
              <w:t xml:space="preserve">14 (2,3) </w:t>
            </w:r>
          </w:p>
        </w:tc>
      </w:tr>
      <w:tr w:rsidR="00F930BF" w:rsidRPr="00CF3A74" w14:paraId="48774201" w14:textId="77777777" w:rsidTr="00272563">
        <w:tc>
          <w:tcPr>
            <w:tcW w:w="4247" w:type="dxa"/>
          </w:tcPr>
          <w:p w14:paraId="429EBB13" w14:textId="60551491" w:rsidR="00F930BF" w:rsidRPr="00CF3A74" w:rsidRDefault="00F930BF" w:rsidP="00F930BF">
            <w:pPr>
              <w:pStyle w:val="ListParagraph"/>
              <w:numPr>
                <w:ilvl w:val="0"/>
                <w:numId w:val="11"/>
              </w:numPr>
              <w:jc w:val="both"/>
              <w:rPr>
                <w:rFonts w:ascii="Times New Roman" w:hAnsi="Times New Roman" w:cs="Times New Roman"/>
              </w:rPr>
            </w:pPr>
            <w:r w:rsidRPr="00CF3A74">
              <w:rPr>
                <w:rFonts w:ascii="Times New Roman" w:hAnsi="Times New Roman" w:cs="Times New Roman"/>
              </w:rPr>
              <w:t xml:space="preserve">&gt;1 a 6 </w:t>
            </w:r>
            <w:r w:rsidRPr="00CF3A74">
              <w:rPr>
                <w:rFonts w:ascii="Times New Roman" w:hAnsi="Times New Roman" w:cs="Times New Roman"/>
                <w:lang w:val="en-US"/>
              </w:rPr>
              <w:t>years</w:t>
            </w:r>
          </w:p>
        </w:tc>
        <w:tc>
          <w:tcPr>
            <w:tcW w:w="4247" w:type="dxa"/>
          </w:tcPr>
          <w:p w14:paraId="5E7BA509" w14:textId="77777777" w:rsidR="00F930BF" w:rsidRPr="00CF3A74" w:rsidRDefault="00F930BF" w:rsidP="0097398F">
            <w:pPr>
              <w:jc w:val="center"/>
              <w:rPr>
                <w:rFonts w:ascii="Times New Roman" w:hAnsi="Times New Roman" w:cs="Times New Roman"/>
              </w:rPr>
            </w:pPr>
            <w:r w:rsidRPr="00CF3A74">
              <w:rPr>
                <w:rFonts w:ascii="Times New Roman" w:hAnsi="Times New Roman" w:cs="Times New Roman"/>
              </w:rPr>
              <w:t>375 (62,5)</w:t>
            </w:r>
          </w:p>
        </w:tc>
      </w:tr>
      <w:tr w:rsidR="00F930BF" w:rsidRPr="00CF3A74" w14:paraId="0BBBD10E" w14:textId="77777777" w:rsidTr="00272563">
        <w:tc>
          <w:tcPr>
            <w:tcW w:w="4247" w:type="dxa"/>
          </w:tcPr>
          <w:p w14:paraId="222C043F" w14:textId="7AB70967" w:rsidR="00F930BF" w:rsidRPr="00CF3A74" w:rsidRDefault="00F930BF" w:rsidP="00F930BF">
            <w:pPr>
              <w:pStyle w:val="ListParagraph"/>
              <w:numPr>
                <w:ilvl w:val="0"/>
                <w:numId w:val="11"/>
              </w:numPr>
              <w:jc w:val="both"/>
              <w:rPr>
                <w:rFonts w:ascii="Times New Roman" w:hAnsi="Times New Roman" w:cs="Times New Roman"/>
              </w:rPr>
            </w:pPr>
            <w:r w:rsidRPr="00CF3A74">
              <w:rPr>
                <w:rFonts w:ascii="Times New Roman" w:hAnsi="Times New Roman" w:cs="Times New Roman"/>
              </w:rPr>
              <w:t xml:space="preserve">&gt;7 a 12 </w:t>
            </w:r>
            <w:r w:rsidRPr="00CF3A74">
              <w:rPr>
                <w:rFonts w:ascii="Times New Roman" w:hAnsi="Times New Roman" w:cs="Times New Roman"/>
                <w:lang w:val="en-US"/>
              </w:rPr>
              <w:t>years</w:t>
            </w:r>
          </w:p>
        </w:tc>
        <w:tc>
          <w:tcPr>
            <w:tcW w:w="4247" w:type="dxa"/>
          </w:tcPr>
          <w:p w14:paraId="0DAB9D3C" w14:textId="77777777" w:rsidR="00F930BF" w:rsidRPr="00CF3A74" w:rsidRDefault="00F930BF" w:rsidP="0097398F">
            <w:pPr>
              <w:jc w:val="center"/>
              <w:rPr>
                <w:rFonts w:ascii="Times New Roman" w:hAnsi="Times New Roman" w:cs="Times New Roman"/>
              </w:rPr>
            </w:pPr>
            <w:r w:rsidRPr="00CF3A74">
              <w:rPr>
                <w:rFonts w:ascii="Times New Roman" w:hAnsi="Times New Roman" w:cs="Times New Roman"/>
              </w:rPr>
              <w:t>125 (20,9)</w:t>
            </w:r>
          </w:p>
        </w:tc>
      </w:tr>
      <w:tr w:rsidR="00F930BF" w:rsidRPr="00CF3A74" w14:paraId="74AFCC9B" w14:textId="77777777" w:rsidTr="00272563">
        <w:tc>
          <w:tcPr>
            <w:tcW w:w="4247" w:type="dxa"/>
          </w:tcPr>
          <w:p w14:paraId="3F4FB9C9" w14:textId="5CE4053D" w:rsidR="00F930BF" w:rsidRPr="00CF3A74" w:rsidRDefault="00F930BF" w:rsidP="00F930BF">
            <w:pPr>
              <w:pStyle w:val="ListParagraph"/>
              <w:numPr>
                <w:ilvl w:val="0"/>
                <w:numId w:val="11"/>
              </w:numPr>
              <w:jc w:val="both"/>
              <w:rPr>
                <w:rFonts w:ascii="Times New Roman" w:hAnsi="Times New Roman" w:cs="Times New Roman"/>
              </w:rPr>
            </w:pPr>
            <w:r w:rsidRPr="00CF3A74">
              <w:rPr>
                <w:rFonts w:ascii="Times New Roman" w:hAnsi="Times New Roman" w:cs="Times New Roman"/>
              </w:rPr>
              <w:t xml:space="preserve">&gt;12 </w:t>
            </w:r>
            <w:r w:rsidRPr="00CF3A74">
              <w:rPr>
                <w:rFonts w:ascii="Times New Roman" w:hAnsi="Times New Roman" w:cs="Times New Roman"/>
                <w:lang w:val="en-US"/>
              </w:rPr>
              <w:t>years</w:t>
            </w:r>
          </w:p>
        </w:tc>
        <w:tc>
          <w:tcPr>
            <w:tcW w:w="4247" w:type="dxa"/>
          </w:tcPr>
          <w:p w14:paraId="70973A98" w14:textId="77777777" w:rsidR="00F930BF" w:rsidRPr="00CF3A74" w:rsidRDefault="00F930BF" w:rsidP="0097398F">
            <w:pPr>
              <w:jc w:val="center"/>
              <w:rPr>
                <w:rFonts w:ascii="Times New Roman" w:hAnsi="Times New Roman" w:cs="Times New Roman"/>
              </w:rPr>
            </w:pPr>
            <w:r w:rsidRPr="00CF3A74">
              <w:rPr>
                <w:rFonts w:ascii="Times New Roman" w:hAnsi="Times New Roman" w:cs="Times New Roman"/>
              </w:rPr>
              <w:t>86 (14,3)</w:t>
            </w:r>
          </w:p>
        </w:tc>
      </w:tr>
      <w:tr w:rsidR="00AE489A" w:rsidRPr="00CF3A74" w14:paraId="45F2E8AB" w14:textId="77777777" w:rsidTr="00571868">
        <w:tc>
          <w:tcPr>
            <w:tcW w:w="4247" w:type="dxa"/>
          </w:tcPr>
          <w:p w14:paraId="5240E40F" w14:textId="61CCD07A" w:rsidR="00AE489A" w:rsidRPr="00CF3A74" w:rsidRDefault="00AE489A" w:rsidP="00AE489A">
            <w:pPr>
              <w:jc w:val="both"/>
              <w:rPr>
                <w:rFonts w:ascii="Times New Roman" w:hAnsi="Times New Roman" w:cs="Times New Roman"/>
                <w:b/>
                <w:bCs/>
                <w:lang w:val="en-US"/>
              </w:rPr>
            </w:pPr>
            <w:r w:rsidRPr="00CF3A74">
              <w:rPr>
                <w:rFonts w:ascii="Times New Roman" w:hAnsi="Times New Roman" w:cs="Times New Roman"/>
                <w:b/>
                <w:bCs/>
                <w:lang w:val="en-US"/>
              </w:rPr>
              <w:t>Severity of Poisoning</w:t>
            </w:r>
          </w:p>
        </w:tc>
        <w:tc>
          <w:tcPr>
            <w:tcW w:w="4247" w:type="dxa"/>
          </w:tcPr>
          <w:p w14:paraId="1E79E92B" w14:textId="77777777" w:rsidR="00AE489A" w:rsidRPr="00CF3A74" w:rsidRDefault="00AE489A" w:rsidP="00AE489A">
            <w:pPr>
              <w:jc w:val="center"/>
              <w:rPr>
                <w:rFonts w:ascii="Times New Roman" w:hAnsi="Times New Roman" w:cs="Times New Roman"/>
              </w:rPr>
            </w:pPr>
          </w:p>
        </w:tc>
      </w:tr>
      <w:tr w:rsidR="00AE489A" w:rsidRPr="00CF3A74" w14:paraId="620988D1" w14:textId="77777777" w:rsidTr="00272563">
        <w:tc>
          <w:tcPr>
            <w:tcW w:w="4247" w:type="dxa"/>
          </w:tcPr>
          <w:p w14:paraId="12D4BDFE" w14:textId="6F49A1F0" w:rsidR="00AE489A" w:rsidRPr="00CF3A74" w:rsidRDefault="00833626" w:rsidP="00833626">
            <w:pPr>
              <w:pStyle w:val="ListParagraph"/>
              <w:numPr>
                <w:ilvl w:val="0"/>
                <w:numId w:val="11"/>
              </w:numPr>
              <w:jc w:val="both"/>
              <w:rPr>
                <w:rFonts w:ascii="Times New Roman" w:hAnsi="Times New Roman" w:cs="Times New Roman"/>
                <w:lang w:val="en-US"/>
              </w:rPr>
            </w:pPr>
            <w:r w:rsidRPr="00CF3A74">
              <w:rPr>
                <w:rFonts w:ascii="Times New Roman" w:hAnsi="Times New Roman" w:cs="Times New Roman"/>
                <w:lang w:val="en-US"/>
              </w:rPr>
              <w:t>Absent</w:t>
            </w:r>
          </w:p>
        </w:tc>
        <w:tc>
          <w:tcPr>
            <w:tcW w:w="4247" w:type="dxa"/>
          </w:tcPr>
          <w:p w14:paraId="068972E6" w14:textId="77777777" w:rsidR="00AE489A" w:rsidRPr="00CF3A74" w:rsidRDefault="00AE489A" w:rsidP="00AE489A">
            <w:pPr>
              <w:jc w:val="center"/>
              <w:rPr>
                <w:rFonts w:ascii="Times New Roman" w:hAnsi="Times New Roman" w:cs="Times New Roman"/>
              </w:rPr>
            </w:pPr>
            <w:r w:rsidRPr="00CF3A74">
              <w:rPr>
                <w:rFonts w:ascii="Times New Roman" w:hAnsi="Times New Roman" w:cs="Times New Roman"/>
              </w:rPr>
              <w:t>325 (54,2)</w:t>
            </w:r>
          </w:p>
        </w:tc>
      </w:tr>
      <w:tr w:rsidR="00AE489A" w:rsidRPr="00CF3A74" w14:paraId="58CC53B4" w14:textId="77777777" w:rsidTr="00272563">
        <w:tc>
          <w:tcPr>
            <w:tcW w:w="4247" w:type="dxa"/>
          </w:tcPr>
          <w:p w14:paraId="22D29AA9" w14:textId="6BAD03FF" w:rsidR="00AE489A" w:rsidRPr="00CF3A74" w:rsidRDefault="00833626" w:rsidP="00833626">
            <w:pPr>
              <w:pStyle w:val="ListParagraph"/>
              <w:numPr>
                <w:ilvl w:val="0"/>
                <w:numId w:val="11"/>
              </w:numPr>
              <w:jc w:val="both"/>
              <w:rPr>
                <w:rFonts w:ascii="Times New Roman" w:hAnsi="Times New Roman" w:cs="Times New Roman"/>
                <w:lang w:val="en-US"/>
              </w:rPr>
            </w:pPr>
            <w:r w:rsidRPr="00CF3A74">
              <w:rPr>
                <w:rFonts w:ascii="Times New Roman" w:hAnsi="Times New Roman" w:cs="Times New Roman"/>
                <w:lang w:val="en-US"/>
              </w:rPr>
              <w:t>Mild</w:t>
            </w:r>
          </w:p>
        </w:tc>
        <w:tc>
          <w:tcPr>
            <w:tcW w:w="4247" w:type="dxa"/>
          </w:tcPr>
          <w:p w14:paraId="04840BFB" w14:textId="77777777" w:rsidR="00AE489A" w:rsidRPr="00CF3A74" w:rsidRDefault="00AE489A" w:rsidP="00AE489A">
            <w:pPr>
              <w:jc w:val="center"/>
              <w:rPr>
                <w:rFonts w:ascii="Times New Roman" w:hAnsi="Times New Roman" w:cs="Times New Roman"/>
              </w:rPr>
            </w:pPr>
            <w:r w:rsidRPr="00CF3A74">
              <w:rPr>
                <w:rFonts w:ascii="Times New Roman" w:hAnsi="Times New Roman" w:cs="Times New Roman"/>
              </w:rPr>
              <w:t>225 (37,6)</w:t>
            </w:r>
          </w:p>
        </w:tc>
      </w:tr>
      <w:tr w:rsidR="00AE489A" w:rsidRPr="00CF3A74" w14:paraId="76CABCD9" w14:textId="77777777" w:rsidTr="00272563">
        <w:tc>
          <w:tcPr>
            <w:tcW w:w="4247" w:type="dxa"/>
          </w:tcPr>
          <w:p w14:paraId="31B41115" w14:textId="30F698BC" w:rsidR="00AE489A" w:rsidRPr="00CF3A74" w:rsidRDefault="00833626" w:rsidP="00833626">
            <w:pPr>
              <w:pStyle w:val="ListParagraph"/>
              <w:numPr>
                <w:ilvl w:val="0"/>
                <w:numId w:val="11"/>
              </w:numPr>
              <w:jc w:val="both"/>
              <w:rPr>
                <w:rFonts w:ascii="Times New Roman" w:hAnsi="Times New Roman" w:cs="Times New Roman"/>
                <w:lang w:val="en-US"/>
              </w:rPr>
            </w:pPr>
            <w:r w:rsidRPr="00CF3A74">
              <w:rPr>
                <w:rFonts w:ascii="Times New Roman" w:hAnsi="Times New Roman" w:cs="Times New Roman"/>
                <w:lang w:val="en-US"/>
              </w:rPr>
              <w:t>Moderate</w:t>
            </w:r>
          </w:p>
        </w:tc>
        <w:tc>
          <w:tcPr>
            <w:tcW w:w="4247" w:type="dxa"/>
          </w:tcPr>
          <w:p w14:paraId="640033A9" w14:textId="77777777" w:rsidR="00AE489A" w:rsidRPr="00CF3A74" w:rsidRDefault="00AE489A" w:rsidP="00AE489A">
            <w:pPr>
              <w:jc w:val="center"/>
              <w:rPr>
                <w:rFonts w:ascii="Times New Roman" w:hAnsi="Times New Roman" w:cs="Times New Roman"/>
              </w:rPr>
            </w:pPr>
            <w:r w:rsidRPr="00CF3A74">
              <w:rPr>
                <w:rFonts w:ascii="Times New Roman" w:hAnsi="Times New Roman" w:cs="Times New Roman"/>
              </w:rPr>
              <w:t>25 (4,1)</w:t>
            </w:r>
          </w:p>
        </w:tc>
      </w:tr>
      <w:tr w:rsidR="00AE489A" w:rsidRPr="00CF3A74" w14:paraId="5DB087F6" w14:textId="77777777" w:rsidTr="00833626">
        <w:tc>
          <w:tcPr>
            <w:tcW w:w="4247" w:type="dxa"/>
            <w:tcBorders>
              <w:bottom w:val="nil"/>
            </w:tcBorders>
          </w:tcPr>
          <w:p w14:paraId="208D1E6F" w14:textId="77777777" w:rsidR="00AE489A" w:rsidRPr="00CF3A74" w:rsidRDefault="00833626" w:rsidP="00833626">
            <w:pPr>
              <w:pStyle w:val="ListParagraph"/>
              <w:numPr>
                <w:ilvl w:val="0"/>
                <w:numId w:val="11"/>
              </w:numPr>
              <w:jc w:val="both"/>
              <w:rPr>
                <w:rFonts w:ascii="Times New Roman" w:hAnsi="Times New Roman" w:cs="Times New Roman"/>
                <w:lang w:val="en-US"/>
              </w:rPr>
            </w:pPr>
            <w:r w:rsidRPr="00CF3A74">
              <w:rPr>
                <w:rFonts w:ascii="Times New Roman" w:hAnsi="Times New Roman" w:cs="Times New Roman"/>
                <w:lang w:val="en-US"/>
              </w:rPr>
              <w:t>Severe</w:t>
            </w:r>
          </w:p>
          <w:p w14:paraId="5ABBC498" w14:textId="4061D284" w:rsidR="00833626" w:rsidRPr="00CF3A74" w:rsidRDefault="00833626" w:rsidP="00833626">
            <w:pPr>
              <w:jc w:val="both"/>
              <w:rPr>
                <w:rFonts w:ascii="Times New Roman" w:hAnsi="Times New Roman" w:cs="Times New Roman"/>
                <w:b/>
                <w:bCs/>
                <w:lang w:val="en-US"/>
              </w:rPr>
            </w:pPr>
            <w:r w:rsidRPr="00CF3A74">
              <w:rPr>
                <w:rFonts w:ascii="Times New Roman" w:hAnsi="Times New Roman" w:cs="Times New Roman"/>
                <w:b/>
                <w:bCs/>
                <w:lang w:val="en-US"/>
              </w:rPr>
              <w:t>Hospitalization Length (hours)</w:t>
            </w:r>
          </w:p>
        </w:tc>
        <w:tc>
          <w:tcPr>
            <w:tcW w:w="4247" w:type="dxa"/>
            <w:tcBorders>
              <w:bottom w:val="nil"/>
            </w:tcBorders>
          </w:tcPr>
          <w:p w14:paraId="7071ED7B" w14:textId="77777777" w:rsidR="00AE489A" w:rsidRPr="00CF3A74" w:rsidRDefault="00AE489A" w:rsidP="00AE489A">
            <w:pPr>
              <w:jc w:val="center"/>
              <w:rPr>
                <w:rFonts w:ascii="Times New Roman" w:hAnsi="Times New Roman" w:cs="Times New Roman"/>
              </w:rPr>
            </w:pPr>
            <w:r w:rsidRPr="00CF3A74">
              <w:rPr>
                <w:rFonts w:ascii="Times New Roman" w:hAnsi="Times New Roman" w:cs="Times New Roman"/>
              </w:rPr>
              <w:t>25 (4,1)</w:t>
            </w:r>
          </w:p>
        </w:tc>
      </w:tr>
      <w:tr w:rsidR="00833626" w:rsidRPr="00CF3A74" w14:paraId="3C2E8B3D" w14:textId="77777777" w:rsidTr="00833626">
        <w:tc>
          <w:tcPr>
            <w:tcW w:w="4247" w:type="dxa"/>
            <w:tcBorders>
              <w:top w:val="nil"/>
            </w:tcBorders>
          </w:tcPr>
          <w:p w14:paraId="585CC102" w14:textId="5EEB49B6" w:rsidR="00833626" w:rsidRPr="00CF3A74" w:rsidRDefault="00833626" w:rsidP="00833626">
            <w:pPr>
              <w:pStyle w:val="ListParagraph"/>
              <w:numPr>
                <w:ilvl w:val="0"/>
                <w:numId w:val="12"/>
              </w:numPr>
              <w:jc w:val="both"/>
              <w:rPr>
                <w:rFonts w:ascii="Times New Roman" w:hAnsi="Times New Roman" w:cs="Times New Roman"/>
                <w:b/>
                <w:bCs/>
                <w:lang w:val="en-US"/>
              </w:rPr>
            </w:pPr>
            <w:r w:rsidRPr="00CF3A74">
              <w:rPr>
                <w:rFonts w:ascii="Times New Roman" w:hAnsi="Times New Roman" w:cs="Times New Roman"/>
                <w:lang w:val="en-US"/>
              </w:rPr>
              <w:t xml:space="preserve">None </w:t>
            </w:r>
          </w:p>
        </w:tc>
        <w:tc>
          <w:tcPr>
            <w:tcW w:w="4247" w:type="dxa"/>
            <w:tcBorders>
              <w:top w:val="nil"/>
            </w:tcBorders>
          </w:tcPr>
          <w:p w14:paraId="79653EFE" w14:textId="25861C53" w:rsidR="00833626" w:rsidRPr="00CF3A74" w:rsidRDefault="00833626" w:rsidP="00833626">
            <w:pPr>
              <w:jc w:val="center"/>
              <w:rPr>
                <w:rFonts w:ascii="Times New Roman" w:hAnsi="Times New Roman" w:cs="Times New Roman"/>
              </w:rPr>
            </w:pPr>
            <w:r w:rsidRPr="00CF3A74">
              <w:rPr>
                <w:rFonts w:ascii="Times New Roman" w:hAnsi="Times New Roman" w:cs="Times New Roman"/>
              </w:rPr>
              <w:t>557 (92,8)</w:t>
            </w:r>
          </w:p>
        </w:tc>
      </w:tr>
      <w:tr w:rsidR="00833626" w:rsidRPr="00CF3A74" w14:paraId="26C2E776" w14:textId="77777777" w:rsidTr="00865353">
        <w:tc>
          <w:tcPr>
            <w:tcW w:w="4247" w:type="dxa"/>
          </w:tcPr>
          <w:p w14:paraId="60A06B77" w14:textId="29A2A045" w:rsidR="00833626" w:rsidRPr="00CF3A74" w:rsidRDefault="00833626" w:rsidP="00833626">
            <w:pPr>
              <w:pStyle w:val="ListParagraph"/>
              <w:numPr>
                <w:ilvl w:val="0"/>
                <w:numId w:val="12"/>
              </w:numPr>
              <w:jc w:val="both"/>
              <w:rPr>
                <w:rFonts w:ascii="Times New Roman" w:hAnsi="Times New Roman" w:cs="Times New Roman"/>
                <w:lang w:val="en-US"/>
              </w:rPr>
            </w:pPr>
            <w:r w:rsidRPr="00CF3A74">
              <w:rPr>
                <w:rFonts w:ascii="Times New Roman" w:hAnsi="Times New Roman" w:cs="Times New Roman"/>
                <w:lang w:val="en-US"/>
              </w:rPr>
              <w:t>1 - 12</w:t>
            </w:r>
          </w:p>
        </w:tc>
        <w:tc>
          <w:tcPr>
            <w:tcW w:w="4247" w:type="dxa"/>
          </w:tcPr>
          <w:p w14:paraId="054798F0" w14:textId="24F954F3" w:rsidR="00833626" w:rsidRPr="00CF3A74" w:rsidRDefault="00833626" w:rsidP="00833626">
            <w:pPr>
              <w:jc w:val="center"/>
              <w:rPr>
                <w:rFonts w:ascii="Times New Roman" w:hAnsi="Times New Roman" w:cs="Times New Roman"/>
              </w:rPr>
            </w:pPr>
            <w:r w:rsidRPr="00CF3A74">
              <w:rPr>
                <w:rFonts w:ascii="Times New Roman" w:hAnsi="Times New Roman" w:cs="Times New Roman"/>
              </w:rPr>
              <w:t>19 (3,2)</w:t>
            </w:r>
          </w:p>
        </w:tc>
      </w:tr>
      <w:tr w:rsidR="00833626" w:rsidRPr="00CF3A74" w14:paraId="764285E5" w14:textId="77777777" w:rsidTr="00833626">
        <w:tc>
          <w:tcPr>
            <w:tcW w:w="4247" w:type="dxa"/>
            <w:tcBorders>
              <w:bottom w:val="nil"/>
            </w:tcBorders>
          </w:tcPr>
          <w:p w14:paraId="1E365D28" w14:textId="6B66E7E8" w:rsidR="00833626" w:rsidRPr="00CF3A74" w:rsidRDefault="00833626" w:rsidP="00833626">
            <w:pPr>
              <w:pStyle w:val="ListParagraph"/>
              <w:numPr>
                <w:ilvl w:val="0"/>
                <w:numId w:val="15"/>
              </w:numPr>
              <w:jc w:val="both"/>
              <w:rPr>
                <w:rFonts w:ascii="Times New Roman" w:hAnsi="Times New Roman" w:cs="Times New Roman"/>
                <w:lang w:val="en-US"/>
              </w:rPr>
            </w:pPr>
            <w:r w:rsidRPr="00CF3A74">
              <w:rPr>
                <w:rFonts w:ascii="Times New Roman" w:hAnsi="Times New Roman" w:cs="Times New Roman"/>
                <w:lang w:val="en-US"/>
              </w:rPr>
              <w:t>&gt;12 - 24</w:t>
            </w:r>
          </w:p>
        </w:tc>
        <w:tc>
          <w:tcPr>
            <w:tcW w:w="4247" w:type="dxa"/>
            <w:tcBorders>
              <w:bottom w:val="nil"/>
            </w:tcBorders>
          </w:tcPr>
          <w:p w14:paraId="26A07F5B" w14:textId="0C3CBBFB" w:rsidR="00833626" w:rsidRPr="00CF3A74" w:rsidRDefault="00833626" w:rsidP="00833626">
            <w:pPr>
              <w:jc w:val="center"/>
              <w:rPr>
                <w:rFonts w:ascii="Times New Roman" w:hAnsi="Times New Roman" w:cs="Times New Roman"/>
              </w:rPr>
            </w:pPr>
            <w:r w:rsidRPr="00CF3A74">
              <w:rPr>
                <w:rFonts w:ascii="Times New Roman" w:hAnsi="Times New Roman" w:cs="Times New Roman"/>
              </w:rPr>
              <w:t>15 (2,5)</w:t>
            </w:r>
          </w:p>
        </w:tc>
      </w:tr>
      <w:tr w:rsidR="00833626" w:rsidRPr="00CF3A74" w14:paraId="4C8A34AD" w14:textId="77777777" w:rsidTr="00833626">
        <w:tc>
          <w:tcPr>
            <w:tcW w:w="4247" w:type="dxa"/>
            <w:tcBorders>
              <w:top w:val="nil"/>
              <w:bottom w:val="single" w:sz="12" w:space="0" w:color="auto"/>
            </w:tcBorders>
          </w:tcPr>
          <w:p w14:paraId="7CA09D45" w14:textId="77777777" w:rsidR="00833626" w:rsidRPr="00CF3A74" w:rsidRDefault="00833626" w:rsidP="00833626">
            <w:pPr>
              <w:pStyle w:val="ListParagraph"/>
              <w:numPr>
                <w:ilvl w:val="0"/>
                <w:numId w:val="15"/>
              </w:numPr>
              <w:jc w:val="both"/>
              <w:rPr>
                <w:rFonts w:ascii="Times New Roman" w:hAnsi="Times New Roman" w:cs="Times New Roman"/>
                <w:lang w:val="en-US"/>
              </w:rPr>
            </w:pPr>
            <w:r w:rsidRPr="00CF3A74">
              <w:rPr>
                <w:rFonts w:ascii="Times New Roman" w:hAnsi="Times New Roman" w:cs="Times New Roman"/>
                <w:lang w:val="en-US"/>
              </w:rPr>
              <w:t>&gt;24</w:t>
            </w:r>
          </w:p>
          <w:p w14:paraId="6A5CC2C8" w14:textId="35F1ACC7" w:rsidR="00833626" w:rsidRPr="00CF3A74" w:rsidRDefault="003F6249" w:rsidP="00833626">
            <w:pPr>
              <w:jc w:val="both"/>
              <w:rPr>
                <w:rFonts w:ascii="Times New Roman" w:hAnsi="Times New Roman" w:cs="Times New Roman"/>
                <w:b/>
                <w:bCs/>
                <w:lang w:val="en-US"/>
              </w:rPr>
            </w:pPr>
            <w:r w:rsidRPr="00CF3A74">
              <w:rPr>
                <w:rFonts w:ascii="Times New Roman" w:hAnsi="Times New Roman" w:cs="Times New Roman"/>
                <w:b/>
                <w:bCs/>
                <w:lang w:val="en-US"/>
              </w:rPr>
              <w:t>Circumstance of Poisoning</w:t>
            </w:r>
          </w:p>
          <w:p w14:paraId="18107556" w14:textId="673B9006" w:rsidR="00833626" w:rsidRPr="00CF3A74" w:rsidRDefault="00833626" w:rsidP="00833626">
            <w:pPr>
              <w:pStyle w:val="ListParagraph"/>
              <w:numPr>
                <w:ilvl w:val="0"/>
                <w:numId w:val="15"/>
              </w:numPr>
              <w:jc w:val="both"/>
              <w:rPr>
                <w:rFonts w:ascii="Times New Roman" w:hAnsi="Times New Roman" w:cs="Times New Roman"/>
                <w:lang w:val="en-US"/>
              </w:rPr>
            </w:pPr>
            <w:r w:rsidRPr="00CF3A74">
              <w:rPr>
                <w:rFonts w:ascii="Times New Roman" w:hAnsi="Times New Roman" w:cs="Times New Roman"/>
                <w:lang w:val="en-US"/>
              </w:rPr>
              <w:t>Accidental</w:t>
            </w:r>
          </w:p>
          <w:p w14:paraId="4A7231DE" w14:textId="77777777" w:rsidR="00833626" w:rsidRPr="00CF3A74" w:rsidRDefault="00833626" w:rsidP="00833626">
            <w:pPr>
              <w:pStyle w:val="ListParagraph"/>
              <w:numPr>
                <w:ilvl w:val="0"/>
                <w:numId w:val="15"/>
              </w:numPr>
              <w:jc w:val="both"/>
              <w:rPr>
                <w:rFonts w:ascii="Times New Roman" w:hAnsi="Times New Roman" w:cs="Times New Roman"/>
                <w:lang w:val="en-US"/>
              </w:rPr>
            </w:pPr>
            <w:r w:rsidRPr="00CF3A74">
              <w:rPr>
                <w:rFonts w:ascii="Times New Roman" w:hAnsi="Times New Roman" w:cs="Times New Roman"/>
                <w:lang w:val="en-US"/>
              </w:rPr>
              <w:t>Abortion Attempt</w:t>
            </w:r>
          </w:p>
          <w:p w14:paraId="19EFF262" w14:textId="77777777" w:rsidR="00833626" w:rsidRPr="00CF3A74" w:rsidRDefault="00833626" w:rsidP="00833626">
            <w:pPr>
              <w:pStyle w:val="ListParagraph"/>
              <w:numPr>
                <w:ilvl w:val="0"/>
                <w:numId w:val="15"/>
              </w:numPr>
              <w:jc w:val="both"/>
              <w:rPr>
                <w:rFonts w:ascii="Times New Roman" w:hAnsi="Times New Roman" w:cs="Times New Roman"/>
                <w:lang w:val="en-US"/>
              </w:rPr>
            </w:pPr>
            <w:r w:rsidRPr="00CF3A74">
              <w:rPr>
                <w:rFonts w:ascii="Times New Roman" w:hAnsi="Times New Roman" w:cs="Times New Roman"/>
                <w:lang w:val="en-US"/>
              </w:rPr>
              <w:t>Suicide Attempt</w:t>
            </w:r>
          </w:p>
          <w:p w14:paraId="7117991A" w14:textId="1C6978F4" w:rsidR="00833626" w:rsidRPr="00CF3A74" w:rsidRDefault="00833626" w:rsidP="00833626">
            <w:pPr>
              <w:pStyle w:val="ListParagraph"/>
              <w:numPr>
                <w:ilvl w:val="0"/>
                <w:numId w:val="15"/>
              </w:numPr>
              <w:jc w:val="both"/>
              <w:rPr>
                <w:rFonts w:ascii="Times New Roman" w:hAnsi="Times New Roman" w:cs="Times New Roman"/>
                <w:lang w:val="en-US"/>
              </w:rPr>
            </w:pPr>
            <w:r w:rsidRPr="00CF3A74">
              <w:rPr>
                <w:rFonts w:ascii="Times New Roman" w:hAnsi="Times New Roman" w:cs="Times New Roman"/>
                <w:lang w:val="en-US"/>
              </w:rPr>
              <w:t>Recreational use</w:t>
            </w:r>
          </w:p>
        </w:tc>
        <w:tc>
          <w:tcPr>
            <w:tcW w:w="4247" w:type="dxa"/>
            <w:tcBorders>
              <w:top w:val="nil"/>
              <w:bottom w:val="single" w:sz="12" w:space="0" w:color="auto"/>
            </w:tcBorders>
          </w:tcPr>
          <w:p w14:paraId="66B2E2AB" w14:textId="77777777" w:rsidR="00833626" w:rsidRPr="00CF3A74" w:rsidRDefault="00833626" w:rsidP="00833626">
            <w:pPr>
              <w:jc w:val="center"/>
              <w:rPr>
                <w:rFonts w:ascii="Times New Roman" w:hAnsi="Times New Roman" w:cs="Times New Roman"/>
              </w:rPr>
            </w:pPr>
            <w:r w:rsidRPr="00CF3A74">
              <w:rPr>
                <w:rFonts w:ascii="Times New Roman" w:hAnsi="Times New Roman" w:cs="Times New Roman"/>
              </w:rPr>
              <w:t>9 (1,5%)</w:t>
            </w:r>
          </w:p>
          <w:p w14:paraId="79571337" w14:textId="77777777" w:rsidR="003F6249" w:rsidRPr="00CF3A74" w:rsidRDefault="003F6249" w:rsidP="00833626">
            <w:pPr>
              <w:jc w:val="center"/>
              <w:rPr>
                <w:rFonts w:ascii="Times New Roman" w:hAnsi="Times New Roman" w:cs="Times New Roman"/>
              </w:rPr>
            </w:pPr>
          </w:p>
          <w:p w14:paraId="51760FA6" w14:textId="5F81C550" w:rsidR="003F6249" w:rsidRPr="00CF3A74" w:rsidRDefault="003F6249" w:rsidP="00833626">
            <w:pPr>
              <w:jc w:val="center"/>
              <w:rPr>
                <w:rFonts w:ascii="Times New Roman" w:hAnsi="Times New Roman" w:cs="Times New Roman"/>
              </w:rPr>
            </w:pPr>
            <w:r w:rsidRPr="00CF3A74">
              <w:rPr>
                <w:rFonts w:ascii="Times New Roman" w:hAnsi="Times New Roman" w:cs="Times New Roman"/>
              </w:rPr>
              <w:t>557,0 (92,8)</w:t>
            </w:r>
          </w:p>
          <w:p w14:paraId="6DBA67A2" w14:textId="30A618D7" w:rsidR="003F6249" w:rsidRPr="00CF3A74" w:rsidRDefault="003F6249" w:rsidP="00833626">
            <w:pPr>
              <w:jc w:val="center"/>
              <w:rPr>
                <w:rFonts w:ascii="Times New Roman" w:hAnsi="Times New Roman" w:cs="Times New Roman"/>
              </w:rPr>
            </w:pPr>
            <w:r w:rsidRPr="00CF3A74">
              <w:rPr>
                <w:rFonts w:ascii="Times New Roman" w:hAnsi="Times New Roman" w:cs="Times New Roman"/>
              </w:rPr>
              <w:t>19 (3,2)</w:t>
            </w:r>
          </w:p>
          <w:p w14:paraId="04ECB6CD" w14:textId="5D8B29C4" w:rsidR="003F6249" w:rsidRPr="00CF3A74" w:rsidRDefault="003F6249" w:rsidP="00833626">
            <w:pPr>
              <w:jc w:val="center"/>
              <w:rPr>
                <w:rFonts w:ascii="Times New Roman" w:hAnsi="Times New Roman" w:cs="Times New Roman"/>
              </w:rPr>
            </w:pPr>
            <w:r w:rsidRPr="00CF3A74">
              <w:rPr>
                <w:rFonts w:ascii="Times New Roman" w:hAnsi="Times New Roman" w:cs="Times New Roman"/>
              </w:rPr>
              <w:t>15 (2,5)</w:t>
            </w:r>
          </w:p>
          <w:p w14:paraId="31595E7A" w14:textId="4D5541F0" w:rsidR="003F6249" w:rsidRPr="00CF3A74" w:rsidRDefault="003F6249" w:rsidP="00833626">
            <w:pPr>
              <w:jc w:val="center"/>
              <w:rPr>
                <w:rFonts w:ascii="Times New Roman" w:hAnsi="Times New Roman" w:cs="Times New Roman"/>
              </w:rPr>
            </w:pPr>
            <w:r w:rsidRPr="00CF3A74">
              <w:rPr>
                <w:rFonts w:ascii="Times New Roman" w:hAnsi="Times New Roman" w:cs="Times New Roman"/>
              </w:rPr>
              <w:t>9 (1,5)</w:t>
            </w:r>
          </w:p>
        </w:tc>
      </w:tr>
    </w:tbl>
    <w:p w14:paraId="43432D92" w14:textId="77777777" w:rsidR="003F6249" w:rsidRDefault="003F6249" w:rsidP="008F2990">
      <w:pPr>
        <w:jc w:val="both"/>
        <w:rPr>
          <w:rFonts w:ascii="Times New Roman" w:hAnsi="Times New Roman" w:cs="Times New Roman"/>
          <w:lang w:val="en-US"/>
        </w:rPr>
      </w:pPr>
    </w:p>
    <w:p w14:paraId="434D3829" w14:textId="77777777" w:rsidR="00CF3A74" w:rsidRDefault="00CF3A74" w:rsidP="008F2990">
      <w:pPr>
        <w:jc w:val="both"/>
        <w:rPr>
          <w:rFonts w:ascii="Times New Roman" w:hAnsi="Times New Roman" w:cs="Times New Roman"/>
          <w:lang w:val="en-US"/>
        </w:rPr>
      </w:pPr>
    </w:p>
    <w:p w14:paraId="666888B2" w14:textId="77777777" w:rsidR="00CF3A74" w:rsidRDefault="00CF3A74" w:rsidP="008F2990">
      <w:pPr>
        <w:jc w:val="both"/>
        <w:rPr>
          <w:rFonts w:ascii="Times New Roman" w:hAnsi="Times New Roman" w:cs="Times New Roman"/>
          <w:lang w:val="en-US"/>
        </w:rPr>
      </w:pPr>
    </w:p>
    <w:p w14:paraId="68807B7B" w14:textId="77777777" w:rsidR="00CF3A74" w:rsidRDefault="00CF3A74" w:rsidP="008F2990">
      <w:pPr>
        <w:jc w:val="both"/>
        <w:rPr>
          <w:rFonts w:ascii="Times New Roman" w:hAnsi="Times New Roman" w:cs="Times New Roman"/>
          <w:lang w:val="en-US"/>
        </w:rPr>
      </w:pPr>
    </w:p>
    <w:p w14:paraId="4C5B421C" w14:textId="77777777" w:rsidR="00CF3A74" w:rsidRDefault="00CF3A74" w:rsidP="008F2990">
      <w:pPr>
        <w:jc w:val="both"/>
        <w:rPr>
          <w:rFonts w:ascii="Times New Roman" w:hAnsi="Times New Roman" w:cs="Times New Roman"/>
          <w:lang w:val="en-US"/>
        </w:rPr>
      </w:pPr>
    </w:p>
    <w:p w14:paraId="0C0AF460" w14:textId="77777777" w:rsidR="00CF3A74" w:rsidRDefault="00CF3A74" w:rsidP="008F2990">
      <w:pPr>
        <w:jc w:val="both"/>
        <w:rPr>
          <w:rFonts w:ascii="Times New Roman" w:hAnsi="Times New Roman" w:cs="Times New Roman"/>
          <w:lang w:val="en-US"/>
        </w:rPr>
      </w:pPr>
    </w:p>
    <w:p w14:paraId="0E7A5150" w14:textId="77777777" w:rsidR="00CF3A74" w:rsidRDefault="00CF3A74" w:rsidP="008F2990">
      <w:pPr>
        <w:jc w:val="both"/>
        <w:rPr>
          <w:rFonts w:ascii="Times New Roman" w:hAnsi="Times New Roman" w:cs="Times New Roman"/>
          <w:lang w:val="en-US"/>
        </w:rPr>
      </w:pPr>
    </w:p>
    <w:p w14:paraId="386924CC" w14:textId="77777777" w:rsidR="00CF3A74" w:rsidRDefault="00CF3A74" w:rsidP="008F2990">
      <w:pPr>
        <w:jc w:val="both"/>
        <w:rPr>
          <w:rFonts w:ascii="Times New Roman" w:hAnsi="Times New Roman" w:cs="Times New Roman"/>
          <w:lang w:val="en-US"/>
        </w:rPr>
      </w:pPr>
    </w:p>
    <w:p w14:paraId="30035595" w14:textId="77777777" w:rsidR="00CF3A74" w:rsidRPr="00CF3A74" w:rsidRDefault="00CF3A74" w:rsidP="008F2990">
      <w:pPr>
        <w:jc w:val="both"/>
        <w:rPr>
          <w:rFonts w:ascii="Times New Roman" w:hAnsi="Times New Roman" w:cs="Times New Roman"/>
          <w:lang w:val="en-US"/>
        </w:rPr>
      </w:pPr>
    </w:p>
    <w:p w14:paraId="2FE1D4AF" w14:textId="2B8909A1" w:rsidR="00ED11A0" w:rsidRPr="00CF3A74" w:rsidRDefault="00ED11A0" w:rsidP="008F2990">
      <w:pPr>
        <w:jc w:val="both"/>
        <w:rPr>
          <w:rFonts w:ascii="Times New Roman" w:hAnsi="Times New Roman" w:cs="Times New Roman"/>
          <w:b/>
          <w:bCs/>
          <w:lang w:val="en-US"/>
        </w:rPr>
      </w:pPr>
      <w:r w:rsidRPr="00CF3A74">
        <w:rPr>
          <w:rFonts w:ascii="Times New Roman" w:hAnsi="Times New Roman" w:cs="Times New Roman"/>
          <w:b/>
          <w:bCs/>
          <w:lang w:val="en-US"/>
        </w:rPr>
        <w:t>Plant Species and Clinical Severity</w:t>
      </w:r>
    </w:p>
    <w:p w14:paraId="05A8FEEA" w14:textId="424C74AB" w:rsidR="00ED11A0" w:rsidRPr="00F930BF" w:rsidRDefault="00ED11A0" w:rsidP="008F2990">
      <w:pPr>
        <w:jc w:val="both"/>
        <w:rPr>
          <w:rFonts w:ascii="Times New Roman" w:hAnsi="Times New Roman" w:cs="Times New Roman"/>
          <w:lang w:val="en-US"/>
        </w:rPr>
      </w:pPr>
      <w:r w:rsidRPr="00F930BF">
        <w:rPr>
          <w:rFonts w:ascii="Times New Roman" w:hAnsi="Times New Roman" w:cs="Times New Roman"/>
          <w:lang w:val="en-US"/>
        </w:rPr>
        <w:t xml:space="preserve">The plant species most frequently associated with severe poisoning cases included Dieffenbachia </w:t>
      </w:r>
      <w:proofErr w:type="spellStart"/>
      <w:r w:rsidRPr="00F930BF">
        <w:rPr>
          <w:rFonts w:ascii="Times New Roman" w:hAnsi="Times New Roman" w:cs="Times New Roman"/>
          <w:lang w:val="en-US"/>
        </w:rPr>
        <w:t>picta</w:t>
      </w:r>
      <w:proofErr w:type="spellEnd"/>
      <w:r w:rsidRPr="00F930BF">
        <w:rPr>
          <w:rFonts w:ascii="Times New Roman" w:hAnsi="Times New Roman" w:cs="Times New Roman"/>
          <w:lang w:val="en-US"/>
        </w:rPr>
        <w:t xml:space="preserve">, Jatropha </w:t>
      </w:r>
      <w:proofErr w:type="spellStart"/>
      <w:r w:rsidRPr="00F930BF">
        <w:rPr>
          <w:rFonts w:ascii="Times New Roman" w:hAnsi="Times New Roman" w:cs="Times New Roman"/>
          <w:lang w:val="en-US"/>
        </w:rPr>
        <w:t>curcas</w:t>
      </w:r>
      <w:proofErr w:type="spellEnd"/>
      <w:r w:rsidRPr="00F930BF">
        <w:rPr>
          <w:rFonts w:ascii="Times New Roman" w:hAnsi="Times New Roman" w:cs="Times New Roman"/>
          <w:lang w:val="en-US"/>
        </w:rPr>
        <w:t xml:space="preserve">, Jatropha </w:t>
      </w:r>
      <w:proofErr w:type="spellStart"/>
      <w:r w:rsidRPr="00F930BF">
        <w:rPr>
          <w:rFonts w:ascii="Times New Roman" w:hAnsi="Times New Roman" w:cs="Times New Roman"/>
          <w:lang w:val="en-US"/>
        </w:rPr>
        <w:t>gossypiifolia</w:t>
      </w:r>
      <w:proofErr w:type="spellEnd"/>
      <w:r w:rsidRPr="00F930BF">
        <w:rPr>
          <w:rFonts w:ascii="Times New Roman" w:hAnsi="Times New Roman" w:cs="Times New Roman"/>
          <w:lang w:val="en-US"/>
        </w:rPr>
        <w:t xml:space="preserve">, Manihot esculenta, Luffa </w:t>
      </w:r>
      <w:proofErr w:type="spellStart"/>
      <w:r w:rsidRPr="00F930BF">
        <w:rPr>
          <w:rFonts w:ascii="Times New Roman" w:hAnsi="Times New Roman" w:cs="Times New Roman"/>
          <w:lang w:val="en-US"/>
        </w:rPr>
        <w:t>operculata</w:t>
      </w:r>
      <w:proofErr w:type="spellEnd"/>
      <w:r w:rsidRPr="00F930BF">
        <w:rPr>
          <w:rFonts w:ascii="Times New Roman" w:hAnsi="Times New Roman" w:cs="Times New Roman"/>
          <w:lang w:val="en-US"/>
        </w:rPr>
        <w:t xml:space="preserve">, Ricinus </w:t>
      </w:r>
      <w:proofErr w:type="spellStart"/>
      <w:r w:rsidRPr="00F930BF">
        <w:rPr>
          <w:rFonts w:ascii="Times New Roman" w:hAnsi="Times New Roman" w:cs="Times New Roman"/>
          <w:lang w:val="en-US"/>
        </w:rPr>
        <w:t>communis</w:t>
      </w:r>
      <w:proofErr w:type="spellEnd"/>
      <w:r w:rsidRPr="00F930BF">
        <w:rPr>
          <w:rFonts w:ascii="Times New Roman" w:hAnsi="Times New Roman" w:cs="Times New Roman"/>
          <w:lang w:val="en-US"/>
        </w:rPr>
        <w:t xml:space="preserve">, </w:t>
      </w:r>
      <w:proofErr w:type="spellStart"/>
      <w:r w:rsidRPr="00F930BF">
        <w:rPr>
          <w:rFonts w:ascii="Times New Roman" w:hAnsi="Times New Roman" w:cs="Times New Roman"/>
          <w:lang w:val="en-US"/>
        </w:rPr>
        <w:t>Trevetia</w:t>
      </w:r>
      <w:proofErr w:type="spellEnd"/>
      <w:r w:rsidRPr="00F930BF">
        <w:rPr>
          <w:rFonts w:ascii="Times New Roman" w:hAnsi="Times New Roman" w:cs="Times New Roman"/>
          <w:lang w:val="en-US"/>
        </w:rPr>
        <w:t xml:space="preserve"> </w:t>
      </w:r>
      <w:proofErr w:type="spellStart"/>
      <w:r w:rsidRPr="00F930BF">
        <w:rPr>
          <w:rFonts w:ascii="Times New Roman" w:hAnsi="Times New Roman" w:cs="Times New Roman"/>
          <w:lang w:val="en-US"/>
        </w:rPr>
        <w:t>nerrifolia</w:t>
      </w:r>
      <w:proofErr w:type="spellEnd"/>
      <w:r w:rsidRPr="00F930BF">
        <w:rPr>
          <w:rFonts w:ascii="Times New Roman" w:hAnsi="Times New Roman" w:cs="Times New Roman"/>
          <w:lang w:val="en-US"/>
        </w:rPr>
        <w:t xml:space="preserve">, </w:t>
      </w:r>
      <w:proofErr w:type="spellStart"/>
      <w:r w:rsidRPr="00F930BF">
        <w:rPr>
          <w:rFonts w:ascii="Times New Roman" w:hAnsi="Times New Roman" w:cs="Times New Roman"/>
          <w:lang w:val="en-US"/>
        </w:rPr>
        <w:t>Brugmansia</w:t>
      </w:r>
      <w:proofErr w:type="spellEnd"/>
      <w:r w:rsidRPr="00F930BF">
        <w:rPr>
          <w:rFonts w:ascii="Times New Roman" w:hAnsi="Times New Roman" w:cs="Times New Roman"/>
          <w:lang w:val="en-US"/>
        </w:rPr>
        <w:t xml:space="preserve"> </w:t>
      </w:r>
      <w:proofErr w:type="spellStart"/>
      <w:r w:rsidRPr="00F930BF">
        <w:rPr>
          <w:rFonts w:ascii="Times New Roman" w:hAnsi="Times New Roman" w:cs="Times New Roman"/>
          <w:lang w:val="en-US"/>
        </w:rPr>
        <w:t>suaveolens</w:t>
      </w:r>
      <w:proofErr w:type="spellEnd"/>
      <w:r w:rsidRPr="00F930BF">
        <w:rPr>
          <w:rFonts w:ascii="Times New Roman" w:hAnsi="Times New Roman" w:cs="Times New Roman"/>
          <w:lang w:val="en-US"/>
        </w:rPr>
        <w:t xml:space="preserve">, </w:t>
      </w:r>
      <w:proofErr w:type="spellStart"/>
      <w:r w:rsidRPr="00F930BF">
        <w:rPr>
          <w:rFonts w:ascii="Times New Roman" w:hAnsi="Times New Roman" w:cs="Times New Roman"/>
          <w:lang w:val="en-US"/>
        </w:rPr>
        <w:t>Joannesia</w:t>
      </w:r>
      <w:proofErr w:type="spellEnd"/>
      <w:r w:rsidRPr="00F930BF">
        <w:rPr>
          <w:rFonts w:ascii="Times New Roman" w:hAnsi="Times New Roman" w:cs="Times New Roman"/>
          <w:lang w:val="en-US"/>
        </w:rPr>
        <w:t xml:space="preserve"> princeps, and Nerium oleander. In total, 18 species from 15 genera and seven botanical </w:t>
      </w:r>
      <w:r w:rsidRPr="00F930BF">
        <w:rPr>
          <w:rFonts w:ascii="Times New Roman" w:hAnsi="Times New Roman" w:cs="Times New Roman"/>
          <w:lang w:val="en-US"/>
        </w:rPr>
        <w:lastRenderedPageBreak/>
        <w:t xml:space="preserve">families were identified, with </w:t>
      </w:r>
      <w:proofErr w:type="spellStart"/>
      <w:r w:rsidRPr="00F930BF">
        <w:rPr>
          <w:rFonts w:ascii="Times New Roman" w:hAnsi="Times New Roman" w:cs="Times New Roman"/>
          <w:lang w:val="en-US"/>
        </w:rPr>
        <w:t>Araceae</w:t>
      </w:r>
      <w:proofErr w:type="spellEnd"/>
      <w:r w:rsidRPr="00F930BF">
        <w:rPr>
          <w:rFonts w:ascii="Times New Roman" w:hAnsi="Times New Roman" w:cs="Times New Roman"/>
          <w:lang w:val="en-US"/>
        </w:rPr>
        <w:t xml:space="preserve">, </w:t>
      </w:r>
      <w:proofErr w:type="spellStart"/>
      <w:r w:rsidRPr="00F930BF">
        <w:rPr>
          <w:rFonts w:ascii="Times New Roman" w:hAnsi="Times New Roman" w:cs="Times New Roman"/>
          <w:lang w:val="en-US"/>
        </w:rPr>
        <w:t>Euphorbiaceae</w:t>
      </w:r>
      <w:proofErr w:type="spellEnd"/>
      <w:r w:rsidRPr="00F930BF">
        <w:rPr>
          <w:rFonts w:ascii="Times New Roman" w:hAnsi="Times New Roman" w:cs="Times New Roman"/>
          <w:lang w:val="en-US"/>
        </w:rPr>
        <w:t xml:space="preserve">, Cucurbitaceae, </w:t>
      </w:r>
      <w:proofErr w:type="spellStart"/>
      <w:r w:rsidRPr="00F930BF">
        <w:rPr>
          <w:rFonts w:ascii="Times New Roman" w:hAnsi="Times New Roman" w:cs="Times New Roman"/>
          <w:lang w:val="en-US"/>
        </w:rPr>
        <w:t>Apocynaceae</w:t>
      </w:r>
      <w:proofErr w:type="spellEnd"/>
      <w:r w:rsidRPr="00F930BF">
        <w:rPr>
          <w:rFonts w:ascii="Times New Roman" w:hAnsi="Times New Roman" w:cs="Times New Roman"/>
          <w:lang w:val="en-US"/>
        </w:rPr>
        <w:t>, and Solanaceae being the most prevalent</w:t>
      </w:r>
      <w:r w:rsidR="00860807">
        <w:rPr>
          <w:rFonts w:ascii="Times New Roman" w:hAnsi="Times New Roman" w:cs="Times New Roman"/>
          <w:lang w:val="en-US"/>
        </w:rPr>
        <w:t>, (Box 1).</w:t>
      </w:r>
    </w:p>
    <w:p w14:paraId="4C05EEDA" w14:textId="7AD2AD71" w:rsidR="00ED11A0" w:rsidRDefault="00B06F9D" w:rsidP="008F2990">
      <w:pPr>
        <w:jc w:val="both"/>
        <w:rPr>
          <w:rFonts w:ascii="Times New Roman" w:hAnsi="Times New Roman" w:cs="Times New Roman"/>
          <w:lang w:val="en-US"/>
        </w:rPr>
      </w:pPr>
      <w:r>
        <w:rPr>
          <w:rFonts w:ascii="Times New Roman" w:hAnsi="Times New Roman" w:cs="Times New Roman"/>
          <w:lang w:val="en-US"/>
        </w:rPr>
        <w:t xml:space="preserve">Chart </w:t>
      </w:r>
      <w:r w:rsidR="00860807">
        <w:rPr>
          <w:rFonts w:ascii="Times New Roman" w:hAnsi="Times New Roman" w:cs="Times New Roman"/>
          <w:lang w:val="en-US"/>
        </w:rPr>
        <w:t>1</w:t>
      </w:r>
      <w:r w:rsidR="00ED11A0" w:rsidRPr="00F930BF">
        <w:rPr>
          <w:rFonts w:ascii="Times New Roman" w:hAnsi="Times New Roman" w:cs="Times New Roman"/>
          <w:lang w:val="en-US"/>
        </w:rPr>
        <w:t>. Frequency of Ornamental Plants and Their Association with Acute Poisoning Severity (n = 600)</w:t>
      </w:r>
    </w:p>
    <w:tbl>
      <w:tblPr>
        <w:tblStyle w:val="TableGrid"/>
        <w:tblW w:w="10065" w:type="dxa"/>
        <w:tblInd w:w="-714" w:type="dxa"/>
        <w:tblLayout w:type="fixed"/>
        <w:tblLook w:val="04A0" w:firstRow="1" w:lastRow="0" w:firstColumn="1" w:lastColumn="0" w:noHBand="0" w:noVBand="1"/>
      </w:tblPr>
      <w:tblGrid>
        <w:gridCol w:w="3970"/>
        <w:gridCol w:w="1559"/>
        <w:gridCol w:w="1134"/>
        <w:gridCol w:w="992"/>
        <w:gridCol w:w="1276"/>
        <w:gridCol w:w="1134"/>
      </w:tblGrid>
      <w:tr w:rsidR="00860807" w:rsidRPr="006D770F" w14:paraId="155BF261" w14:textId="77777777" w:rsidTr="009A5641">
        <w:tc>
          <w:tcPr>
            <w:tcW w:w="3970" w:type="dxa"/>
            <w:vMerge w:val="restart"/>
            <w:vAlign w:val="center"/>
          </w:tcPr>
          <w:p w14:paraId="64ADDDB5" w14:textId="77777777" w:rsidR="00860807" w:rsidRPr="00CF3A74" w:rsidRDefault="00860807" w:rsidP="0097398F">
            <w:pPr>
              <w:spacing w:line="288" w:lineRule="auto"/>
              <w:rPr>
                <w:rFonts w:ascii="Times New Roman" w:hAnsi="Times New Roman" w:cs="Times New Roman"/>
                <w:b/>
                <w:bCs/>
              </w:rPr>
            </w:pPr>
            <w:r w:rsidRPr="00CF3A74">
              <w:rPr>
                <w:rFonts w:ascii="Times New Roman" w:hAnsi="Times New Roman" w:cs="Times New Roman"/>
                <w:b/>
                <w:bCs/>
                <w:lang w:val="en-US"/>
              </w:rPr>
              <w:t>Plant (Genus/Species)</w:t>
            </w:r>
          </w:p>
        </w:tc>
        <w:tc>
          <w:tcPr>
            <w:tcW w:w="1559" w:type="dxa"/>
            <w:vMerge w:val="restart"/>
            <w:vAlign w:val="center"/>
          </w:tcPr>
          <w:p w14:paraId="7D1F55C5" w14:textId="77777777" w:rsidR="00860807" w:rsidRPr="00CF3A74" w:rsidRDefault="00860807" w:rsidP="0097398F">
            <w:pPr>
              <w:spacing w:line="288" w:lineRule="auto"/>
              <w:jc w:val="center"/>
              <w:rPr>
                <w:rFonts w:ascii="Times New Roman" w:hAnsi="Times New Roman" w:cs="Times New Roman"/>
                <w:b/>
                <w:bCs/>
              </w:rPr>
            </w:pPr>
            <w:r w:rsidRPr="00CF3A74">
              <w:rPr>
                <w:rFonts w:ascii="Times New Roman" w:hAnsi="Times New Roman" w:cs="Times New Roman"/>
                <w:b/>
                <w:bCs/>
                <w:lang w:val="en-US"/>
              </w:rPr>
              <w:t xml:space="preserve">Family </w:t>
            </w:r>
          </w:p>
        </w:tc>
        <w:tc>
          <w:tcPr>
            <w:tcW w:w="4536" w:type="dxa"/>
            <w:gridSpan w:val="4"/>
          </w:tcPr>
          <w:p w14:paraId="362A71C9" w14:textId="77777777" w:rsidR="00860807" w:rsidRPr="00BE40DD" w:rsidRDefault="00860807" w:rsidP="0097398F">
            <w:pPr>
              <w:spacing w:line="288" w:lineRule="auto"/>
              <w:jc w:val="center"/>
              <w:rPr>
                <w:rFonts w:ascii="Times New Roman" w:hAnsi="Times New Roman" w:cs="Times New Roman"/>
                <w:b/>
                <w:bCs/>
                <w:lang w:val="en-US"/>
              </w:rPr>
            </w:pPr>
            <w:r w:rsidRPr="00BE40DD">
              <w:rPr>
                <w:rFonts w:ascii="Times New Roman" w:hAnsi="Times New Roman" w:cs="Times New Roman"/>
                <w:b/>
                <w:bCs/>
                <w:lang w:val="en-US"/>
              </w:rPr>
              <w:t>Severity of poisoning</w:t>
            </w:r>
          </w:p>
        </w:tc>
      </w:tr>
      <w:tr w:rsidR="00860807" w:rsidRPr="00B573A7" w14:paraId="5CA65656" w14:textId="77777777" w:rsidTr="009A5641">
        <w:tc>
          <w:tcPr>
            <w:tcW w:w="3970" w:type="dxa"/>
            <w:vMerge/>
          </w:tcPr>
          <w:p w14:paraId="036E3C39" w14:textId="77777777" w:rsidR="00860807" w:rsidRPr="00CF3A74" w:rsidRDefault="00860807" w:rsidP="0097398F">
            <w:pPr>
              <w:spacing w:line="288" w:lineRule="auto"/>
              <w:rPr>
                <w:rFonts w:ascii="Times New Roman" w:hAnsi="Times New Roman" w:cs="Times New Roman"/>
              </w:rPr>
            </w:pPr>
          </w:p>
        </w:tc>
        <w:tc>
          <w:tcPr>
            <w:tcW w:w="1559" w:type="dxa"/>
            <w:vMerge/>
          </w:tcPr>
          <w:p w14:paraId="37090709" w14:textId="77777777" w:rsidR="00860807" w:rsidRPr="00CF3A74" w:rsidRDefault="00860807" w:rsidP="0097398F">
            <w:pPr>
              <w:spacing w:line="288" w:lineRule="auto"/>
              <w:jc w:val="center"/>
              <w:rPr>
                <w:rFonts w:ascii="Times New Roman" w:hAnsi="Times New Roman" w:cs="Times New Roman"/>
              </w:rPr>
            </w:pPr>
          </w:p>
        </w:tc>
        <w:tc>
          <w:tcPr>
            <w:tcW w:w="1134" w:type="dxa"/>
            <w:vAlign w:val="center"/>
          </w:tcPr>
          <w:p w14:paraId="705FC42D" w14:textId="77777777" w:rsidR="00860807" w:rsidRPr="00CF3A74" w:rsidRDefault="00860807" w:rsidP="0097398F">
            <w:pPr>
              <w:spacing w:line="288" w:lineRule="auto"/>
              <w:jc w:val="center"/>
              <w:rPr>
                <w:rFonts w:ascii="Times New Roman" w:hAnsi="Times New Roman" w:cs="Times New Roman"/>
                <w:b/>
                <w:bCs/>
              </w:rPr>
            </w:pPr>
            <w:r w:rsidRPr="00CF3A74">
              <w:rPr>
                <w:rFonts w:ascii="Times New Roman" w:hAnsi="Times New Roman" w:cs="Times New Roman"/>
                <w:b/>
                <w:bCs/>
                <w:lang w:val="en-US"/>
              </w:rPr>
              <w:t>None</w:t>
            </w:r>
          </w:p>
        </w:tc>
        <w:tc>
          <w:tcPr>
            <w:tcW w:w="992" w:type="dxa"/>
            <w:vAlign w:val="center"/>
          </w:tcPr>
          <w:p w14:paraId="24F5DF5F" w14:textId="77777777" w:rsidR="00860807" w:rsidRPr="00CF3A74" w:rsidRDefault="00860807" w:rsidP="0097398F">
            <w:pPr>
              <w:spacing w:line="288" w:lineRule="auto"/>
              <w:jc w:val="center"/>
              <w:rPr>
                <w:rFonts w:ascii="Times New Roman" w:hAnsi="Times New Roman" w:cs="Times New Roman"/>
                <w:b/>
                <w:bCs/>
              </w:rPr>
            </w:pPr>
            <w:r w:rsidRPr="00CF3A74">
              <w:rPr>
                <w:rFonts w:ascii="Times New Roman" w:hAnsi="Times New Roman" w:cs="Times New Roman"/>
                <w:b/>
                <w:bCs/>
                <w:lang w:val="en-US"/>
              </w:rPr>
              <w:t>Mild</w:t>
            </w:r>
          </w:p>
        </w:tc>
        <w:tc>
          <w:tcPr>
            <w:tcW w:w="1276" w:type="dxa"/>
            <w:vAlign w:val="center"/>
          </w:tcPr>
          <w:p w14:paraId="0786FE15" w14:textId="77777777" w:rsidR="00860807" w:rsidRPr="00CF3A74" w:rsidRDefault="00860807" w:rsidP="0097398F">
            <w:pPr>
              <w:spacing w:line="288" w:lineRule="auto"/>
              <w:jc w:val="center"/>
              <w:rPr>
                <w:rFonts w:ascii="Times New Roman" w:hAnsi="Times New Roman" w:cs="Times New Roman"/>
                <w:b/>
                <w:bCs/>
              </w:rPr>
            </w:pPr>
            <w:r w:rsidRPr="00CF3A74">
              <w:rPr>
                <w:rFonts w:ascii="Times New Roman" w:hAnsi="Times New Roman" w:cs="Times New Roman"/>
                <w:b/>
                <w:bCs/>
                <w:lang w:val="en-US"/>
              </w:rPr>
              <w:t>Moderate</w:t>
            </w:r>
          </w:p>
        </w:tc>
        <w:tc>
          <w:tcPr>
            <w:tcW w:w="1134" w:type="dxa"/>
            <w:vAlign w:val="center"/>
          </w:tcPr>
          <w:p w14:paraId="60CE1271" w14:textId="77777777" w:rsidR="00860807" w:rsidRPr="00CF3A74" w:rsidRDefault="00860807" w:rsidP="0097398F">
            <w:pPr>
              <w:spacing w:line="288" w:lineRule="auto"/>
              <w:jc w:val="center"/>
              <w:rPr>
                <w:rFonts w:ascii="Times New Roman" w:hAnsi="Times New Roman" w:cs="Times New Roman"/>
                <w:b/>
                <w:bCs/>
              </w:rPr>
            </w:pPr>
            <w:r w:rsidRPr="00CF3A74">
              <w:rPr>
                <w:rFonts w:ascii="Times New Roman" w:hAnsi="Times New Roman" w:cs="Times New Roman"/>
                <w:b/>
                <w:bCs/>
                <w:lang w:val="en-US"/>
              </w:rPr>
              <w:t>Severe</w:t>
            </w:r>
          </w:p>
        </w:tc>
      </w:tr>
      <w:tr w:rsidR="00860807" w:rsidRPr="006D770F" w14:paraId="43E79038" w14:textId="77777777" w:rsidTr="009A5641">
        <w:tc>
          <w:tcPr>
            <w:tcW w:w="3970" w:type="dxa"/>
          </w:tcPr>
          <w:p w14:paraId="744B008C"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Araceae (Dieffenbachia picta Schott)</w:t>
            </w:r>
          </w:p>
        </w:tc>
        <w:tc>
          <w:tcPr>
            <w:tcW w:w="1559" w:type="dxa"/>
            <w:vAlign w:val="center"/>
          </w:tcPr>
          <w:p w14:paraId="7C60FCDB"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248 (41,3)</w:t>
            </w:r>
          </w:p>
        </w:tc>
        <w:tc>
          <w:tcPr>
            <w:tcW w:w="1134" w:type="dxa"/>
            <w:vAlign w:val="center"/>
          </w:tcPr>
          <w:p w14:paraId="2FD16375"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26</w:t>
            </w:r>
          </w:p>
        </w:tc>
        <w:tc>
          <w:tcPr>
            <w:tcW w:w="992" w:type="dxa"/>
            <w:vAlign w:val="center"/>
          </w:tcPr>
          <w:p w14:paraId="0EE149C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26</w:t>
            </w:r>
          </w:p>
        </w:tc>
        <w:tc>
          <w:tcPr>
            <w:tcW w:w="1276" w:type="dxa"/>
            <w:vAlign w:val="center"/>
          </w:tcPr>
          <w:p w14:paraId="73D7718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188</w:t>
            </w:r>
          </w:p>
        </w:tc>
        <w:tc>
          <w:tcPr>
            <w:tcW w:w="1134" w:type="dxa"/>
            <w:vAlign w:val="center"/>
          </w:tcPr>
          <w:p w14:paraId="2B2BA1B6"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8</w:t>
            </w:r>
          </w:p>
        </w:tc>
      </w:tr>
      <w:tr w:rsidR="00860807" w:rsidRPr="006D770F" w14:paraId="4476D393" w14:textId="77777777" w:rsidTr="009A5641">
        <w:tc>
          <w:tcPr>
            <w:tcW w:w="3970" w:type="dxa"/>
          </w:tcPr>
          <w:p w14:paraId="25948AAA"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Euphorbiacea (Jatropha curcas)</w:t>
            </w:r>
          </w:p>
        </w:tc>
        <w:tc>
          <w:tcPr>
            <w:tcW w:w="1559" w:type="dxa"/>
            <w:vAlign w:val="center"/>
          </w:tcPr>
          <w:p w14:paraId="4E9858D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113 (18,8</w:t>
            </w:r>
          </w:p>
        </w:tc>
        <w:tc>
          <w:tcPr>
            <w:tcW w:w="1134" w:type="dxa"/>
            <w:vAlign w:val="center"/>
          </w:tcPr>
          <w:p w14:paraId="459471E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992" w:type="dxa"/>
            <w:vAlign w:val="center"/>
          </w:tcPr>
          <w:p w14:paraId="6AE300FC"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21A9C1B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84</w:t>
            </w:r>
          </w:p>
        </w:tc>
        <w:tc>
          <w:tcPr>
            <w:tcW w:w="1134" w:type="dxa"/>
            <w:vAlign w:val="center"/>
          </w:tcPr>
          <w:p w14:paraId="0879D1EB"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28</w:t>
            </w:r>
          </w:p>
        </w:tc>
      </w:tr>
      <w:tr w:rsidR="00860807" w:rsidRPr="006D770F" w14:paraId="1B4E5898" w14:textId="77777777" w:rsidTr="009A5641">
        <w:tc>
          <w:tcPr>
            <w:tcW w:w="3970" w:type="dxa"/>
          </w:tcPr>
          <w:p w14:paraId="1D9F98E1"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Euphorbiacea (Jatropha gossypiifolia)</w:t>
            </w:r>
          </w:p>
        </w:tc>
        <w:tc>
          <w:tcPr>
            <w:tcW w:w="1559" w:type="dxa"/>
            <w:vAlign w:val="center"/>
          </w:tcPr>
          <w:p w14:paraId="0EB8A77D"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79 (13,2)</w:t>
            </w:r>
          </w:p>
        </w:tc>
        <w:tc>
          <w:tcPr>
            <w:tcW w:w="1134" w:type="dxa"/>
            <w:vAlign w:val="center"/>
          </w:tcPr>
          <w:p w14:paraId="5CFE1F47"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992" w:type="dxa"/>
            <w:vAlign w:val="center"/>
          </w:tcPr>
          <w:p w14:paraId="1C02E1D4"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359E3F3C"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64</w:t>
            </w:r>
          </w:p>
        </w:tc>
        <w:tc>
          <w:tcPr>
            <w:tcW w:w="1134" w:type="dxa"/>
            <w:vAlign w:val="center"/>
          </w:tcPr>
          <w:p w14:paraId="12ECA3A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14</w:t>
            </w:r>
          </w:p>
        </w:tc>
      </w:tr>
      <w:tr w:rsidR="00860807" w:rsidRPr="006D770F" w14:paraId="7AA91900" w14:textId="77777777" w:rsidTr="009A5641">
        <w:tc>
          <w:tcPr>
            <w:tcW w:w="3970" w:type="dxa"/>
          </w:tcPr>
          <w:p w14:paraId="27A9716C"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Euphorbiaceae (</w:t>
            </w:r>
            <w:bookmarkStart w:id="16" w:name="_Hlk190345183"/>
            <w:r w:rsidRPr="00BE40DD">
              <w:rPr>
                <w:rFonts w:ascii="Times New Roman" w:hAnsi="Times New Roman" w:cs="Times New Roman"/>
                <w:i/>
                <w:iCs/>
              </w:rPr>
              <w:t>Manihot esculenta</w:t>
            </w:r>
            <w:bookmarkEnd w:id="16"/>
            <w:r w:rsidRPr="00BE40DD">
              <w:rPr>
                <w:rFonts w:ascii="Times New Roman" w:hAnsi="Times New Roman" w:cs="Times New Roman"/>
                <w:i/>
                <w:iCs/>
              </w:rPr>
              <w:t>)</w:t>
            </w:r>
          </w:p>
        </w:tc>
        <w:tc>
          <w:tcPr>
            <w:tcW w:w="1559" w:type="dxa"/>
            <w:vAlign w:val="center"/>
          </w:tcPr>
          <w:p w14:paraId="2A710A89"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37 (6,2)</w:t>
            </w:r>
          </w:p>
        </w:tc>
        <w:tc>
          <w:tcPr>
            <w:tcW w:w="1134" w:type="dxa"/>
            <w:vAlign w:val="center"/>
          </w:tcPr>
          <w:p w14:paraId="4DADFC7D"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26BC35A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1D6242BF"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29</w:t>
            </w:r>
          </w:p>
        </w:tc>
        <w:tc>
          <w:tcPr>
            <w:tcW w:w="1134" w:type="dxa"/>
            <w:vAlign w:val="center"/>
          </w:tcPr>
          <w:p w14:paraId="5DA76A6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8</w:t>
            </w:r>
          </w:p>
        </w:tc>
      </w:tr>
      <w:tr w:rsidR="00860807" w:rsidRPr="006D770F" w14:paraId="405182AA" w14:textId="77777777" w:rsidTr="009A5641">
        <w:tc>
          <w:tcPr>
            <w:tcW w:w="3970" w:type="dxa"/>
          </w:tcPr>
          <w:p w14:paraId="44310851"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Araceae (Caladium bicolor)</w:t>
            </w:r>
          </w:p>
        </w:tc>
        <w:tc>
          <w:tcPr>
            <w:tcW w:w="1559" w:type="dxa"/>
            <w:vAlign w:val="center"/>
          </w:tcPr>
          <w:p w14:paraId="2818D3E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24 (4,0)</w:t>
            </w:r>
          </w:p>
        </w:tc>
        <w:tc>
          <w:tcPr>
            <w:tcW w:w="1134" w:type="dxa"/>
            <w:vAlign w:val="center"/>
          </w:tcPr>
          <w:p w14:paraId="5B855161"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4</w:t>
            </w:r>
          </w:p>
        </w:tc>
        <w:tc>
          <w:tcPr>
            <w:tcW w:w="992" w:type="dxa"/>
            <w:vAlign w:val="center"/>
          </w:tcPr>
          <w:p w14:paraId="248FCCA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6</w:t>
            </w:r>
          </w:p>
        </w:tc>
        <w:tc>
          <w:tcPr>
            <w:tcW w:w="1276" w:type="dxa"/>
            <w:vAlign w:val="center"/>
          </w:tcPr>
          <w:p w14:paraId="3BAA26E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14</w:t>
            </w:r>
          </w:p>
        </w:tc>
        <w:tc>
          <w:tcPr>
            <w:tcW w:w="1134" w:type="dxa"/>
            <w:vAlign w:val="center"/>
          </w:tcPr>
          <w:p w14:paraId="09A2A99C"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2ACB80A1" w14:textId="77777777" w:rsidTr="009A5641">
        <w:tc>
          <w:tcPr>
            <w:tcW w:w="3970" w:type="dxa"/>
          </w:tcPr>
          <w:p w14:paraId="120E880E"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Cucurbitaceae (Luffa operculata)</w:t>
            </w:r>
          </w:p>
        </w:tc>
        <w:tc>
          <w:tcPr>
            <w:tcW w:w="1559" w:type="dxa"/>
            <w:vAlign w:val="center"/>
          </w:tcPr>
          <w:p w14:paraId="528641D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14 (2,3)</w:t>
            </w:r>
          </w:p>
        </w:tc>
        <w:tc>
          <w:tcPr>
            <w:tcW w:w="1134" w:type="dxa"/>
            <w:vAlign w:val="center"/>
          </w:tcPr>
          <w:p w14:paraId="03981319"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7C215895"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2650364E"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12</w:t>
            </w:r>
          </w:p>
        </w:tc>
        <w:tc>
          <w:tcPr>
            <w:tcW w:w="1134" w:type="dxa"/>
            <w:vAlign w:val="center"/>
          </w:tcPr>
          <w:p w14:paraId="6E4010A5"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w:t>
            </w:r>
          </w:p>
        </w:tc>
      </w:tr>
      <w:tr w:rsidR="00860807" w:rsidRPr="006D770F" w14:paraId="6F000413" w14:textId="77777777" w:rsidTr="009A5641">
        <w:tc>
          <w:tcPr>
            <w:tcW w:w="3970" w:type="dxa"/>
          </w:tcPr>
          <w:p w14:paraId="5C126F89"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Euphorbiacea (Ricinus communis)</w:t>
            </w:r>
          </w:p>
        </w:tc>
        <w:tc>
          <w:tcPr>
            <w:tcW w:w="1559" w:type="dxa"/>
            <w:vAlign w:val="center"/>
          </w:tcPr>
          <w:p w14:paraId="4A4DCCCF"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rPr>
              <w:t>13 (2,2)</w:t>
            </w:r>
          </w:p>
        </w:tc>
        <w:tc>
          <w:tcPr>
            <w:tcW w:w="1134" w:type="dxa"/>
            <w:vAlign w:val="center"/>
          </w:tcPr>
          <w:p w14:paraId="25B70C9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rPr>
              <w:t>1</w:t>
            </w:r>
          </w:p>
        </w:tc>
        <w:tc>
          <w:tcPr>
            <w:tcW w:w="992" w:type="dxa"/>
            <w:vAlign w:val="center"/>
          </w:tcPr>
          <w:p w14:paraId="7A6A220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rPr>
              <w:t>0</w:t>
            </w:r>
          </w:p>
        </w:tc>
        <w:tc>
          <w:tcPr>
            <w:tcW w:w="1276" w:type="dxa"/>
            <w:vAlign w:val="center"/>
          </w:tcPr>
          <w:p w14:paraId="54A8D424"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rPr>
              <w:t>5</w:t>
            </w:r>
          </w:p>
        </w:tc>
        <w:tc>
          <w:tcPr>
            <w:tcW w:w="1134" w:type="dxa"/>
            <w:vAlign w:val="center"/>
          </w:tcPr>
          <w:p w14:paraId="6BDF4251"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rPr>
              <w:t>7</w:t>
            </w:r>
          </w:p>
        </w:tc>
      </w:tr>
      <w:tr w:rsidR="00860807" w:rsidRPr="006D770F" w14:paraId="6432DE9F" w14:textId="77777777" w:rsidTr="009A5641">
        <w:tc>
          <w:tcPr>
            <w:tcW w:w="3970" w:type="dxa"/>
          </w:tcPr>
          <w:p w14:paraId="6EA94768"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Euphorbiacea (Euphorbia titrucalli)</w:t>
            </w:r>
          </w:p>
        </w:tc>
        <w:tc>
          <w:tcPr>
            <w:tcW w:w="1559" w:type="dxa"/>
            <w:vAlign w:val="center"/>
          </w:tcPr>
          <w:p w14:paraId="6F25606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10 (1,7</w:t>
            </w:r>
          </w:p>
        </w:tc>
        <w:tc>
          <w:tcPr>
            <w:tcW w:w="1134" w:type="dxa"/>
            <w:vAlign w:val="center"/>
          </w:tcPr>
          <w:p w14:paraId="07EF7655"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089B4F8F"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1276" w:type="dxa"/>
            <w:vAlign w:val="center"/>
          </w:tcPr>
          <w:p w14:paraId="4947C8A9"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9</w:t>
            </w:r>
          </w:p>
        </w:tc>
        <w:tc>
          <w:tcPr>
            <w:tcW w:w="1134" w:type="dxa"/>
            <w:vAlign w:val="center"/>
          </w:tcPr>
          <w:p w14:paraId="61E9DF9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55F73F21" w14:textId="77777777" w:rsidTr="009A5641">
        <w:tc>
          <w:tcPr>
            <w:tcW w:w="3970" w:type="dxa"/>
          </w:tcPr>
          <w:p w14:paraId="0E9359E6"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Apocynaceae (Trevetia nerrifolia)</w:t>
            </w:r>
          </w:p>
        </w:tc>
        <w:tc>
          <w:tcPr>
            <w:tcW w:w="1559" w:type="dxa"/>
            <w:vAlign w:val="center"/>
          </w:tcPr>
          <w:p w14:paraId="45EC81C1"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9 (1,5)</w:t>
            </w:r>
          </w:p>
        </w:tc>
        <w:tc>
          <w:tcPr>
            <w:tcW w:w="1134" w:type="dxa"/>
            <w:vAlign w:val="center"/>
          </w:tcPr>
          <w:p w14:paraId="1D3AA19B"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6D567EA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2A45306C"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w:t>
            </w:r>
          </w:p>
        </w:tc>
        <w:tc>
          <w:tcPr>
            <w:tcW w:w="1134" w:type="dxa"/>
            <w:vAlign w:val="center"/>
          </w:tcPr>
          <w:p w14:paraId="3B5F66CB"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7</w:t>
            </w:r>
          </w:p>
        </w:tc>
      </w:tr>
      <w:tr w:rsidR="00860807" w:rsidRPr="006D770F" w14:paraId="7F4DEAB3" w14:textId="77777777" w:rsidTr="009A5641">
        <w:tc>
          <w:tcPr>
            <w:tcW w:w="3970" w:type="dxa"/>
          </w:tcPr>
          <w:p w14:paraId="093DB679"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Solanaceae (Brugmansia suaveolens)</w:t>
            </w:r>
          </w:p>
        </w:tc>
        <w:tc>
          <w:tcPr>
            <w:tcW w:w="1559" w:type="dxa"/>
            <w:vAlign w:val="center"/>
          </w:tcPr>
          <w:p w14:paraId="1F8DFF80"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9 (1,5</w:t>
            </w:r>
          </w:p>
        </w:tc>
        <w:tc>
          <w:tcPr>
            <w:tcW w:w="1134" w:type="dxa"/>
            <w:vAlign w:val="center"/>
          </w:tcPr>
          <w:p w14:paraId="258F862D"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0E1B3A6D"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459D256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1134" w:type="dxa"/>
            <w:vAlign w:val="center"/>
          </w:tcPr>
          <w:p w14:paraId="38B127B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8</w:t>
            </w:r>
          </w:p>
        </w:tc>
      </w:tr>
      <w:tr w:rsidR="00860807" w:rsidRPr="006D770F" w14:paraId="047525D7" w14:textId="77777777" w:rsidTr="009A5641">
        <w:tc>
          <w:tcPr>
            <w:tcW w:w="3970" w:type="dxa"/>
          </w:tcPr>
          <w:p w14:paraId="6B31D6F3"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Euphorbiacea (Euphorbia milli)</w:t>
            </w:r>
          </w:p>
        </w:tc>
        <w:tc>
          <w:tcPr>
            <w:tcW w:w="1559" w:type="dxa"/>
            <w:vAlign w:val="center"/>
          </w:tcPr>
          <w:p w14:paraId="72102747"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7 (1,2)</w:t>
            </w:r>
          </w:p>
        </w:tc>
        <w:tc>
          <w:tcPr>
            <w:tcW w:w="1134" w:type="dxa"/>
            <w:vAlign w:val="center"/>
          </w:tcPr>
          <w:p w14:paraId="70BFCA7F"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08C86626"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1276" w:type="dxa"/>
            <w:vAlign w:val="center"/>
          </w:tcPr>
          <w:p w14:paraId="0B036499"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6</w:t>
            </w:r>
          </w:p>
        </w:tc>
        <w:tc>
          <w:tcPr>
            <w:tcW w:w="1134" w:type="dxa"/>
            <w:vAlign w:val="center"/>
          </w:tcPr>
          <w:p w14:paraId="1C36FC2E"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190FD1A8" w14:textId="77777777" w:rsidTr="009A5641">
        <w:tc>
          <w:tcPr>
            <w:tcW w:w="3970" w:type="dxa"/>
          </w:tcPr>
          <w:p w14:paraId="1D395444"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Euphorbiacea (Joannesia princeps)</w:t>
            </w:r>
          </w:p>
        </w:tc>
        <w:tc>
          <w:tcPr>
            <w:tcW w:w="1559" w:type="dxa"/>
            <w:vAlign w:val="center"/>
          </w:tcPr>
          <w:p w14:paraId="3B628028"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9 (1,5)</w:t>
            </w:r>
          </w:p>
        </w:tc>
        <w:tc>
          <w:tcPr>
            <w:tcW w:w="1134" w:type="dxa"/>
            <w:vAlign w:val="center"/>
          </w:tcPr>
          <w:p w14:paraId="4CDB54FF"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1558AC0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05CB756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8</w:t>
            </w:r>
          </w:p>
        </w:tc>
        <w:tc>
          <w:tcPr>
            <w:tcW w:w="1134" w:type="dxa"/>
            <w:vAlign w:val="center"/>
          </w:tcPr>
          <w:p w14:paraId="69631454"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r>
      <w:tr w:rsidR="00860807" w:rsidRPr="006D770F" w14:paraId="26532ACE" w14:textId="77777777" w:rsidTr="009A5641">
        <w:tc>
          <w:tcPr>
            <w:tcW w:w="3970" w:type="dxa"/>
          </w:tcPr>
          <w:p w14:paraId="0EEAC62B"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Araceae (Alocasia macrorrhiza)</w:t>
            </w:r>
          </w:p>
        </w:tc>
        <w:tc>
          <w:tcPr>
            <w:tcW w:w="1559" w:type="dxa"/>
            <w:vAlign w:val="center"/>
          </w:tcPr>
          <w:p w14:paraId="5FC1129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6 (1,0)</w:t>
            </w:r>
          </w:p>
        </w:tc>
        <w:tc>
          <w:tcPr>
            <w:tcW w:w="1134" w:type="dxa"/>
            <w:vAlign w:val="center"/>
          </w:tcPr>
          <w:p w14:paraId="0CF258A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48401B45"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1276" w:type="dxa"/>
            <w:vAlign w:val="center"/>
          </w:tcPr>
          <w:p w14:paraId="5E62F1AB"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5</w:t>
            </w:r>
          </w:p>
        </w:tc>
        <w:tc>
          <w:tcPr>
            <w:tcW w:w="1134" w:type="dxa"/>
            <w:vAlign w:val="center"/>
          </w:tcPr>
          <w:p w14:paraId="14DE1187"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043D46A2" w14:textId="77777777" w:rsidTr="009A5641">
        <w:tc>
          <w:tcPr>
            <w:tcW w:w="3970" w:type="dxa"/>
          </w:tcPr>
          <w:p w14:paraId="5F9DF49B"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Apocynaceae (Nerium oleander)</w:t>
            </w:r>
          </w:p>
        </w:tc>
        <w:tc>
          <w:tcPr>
            <w:tcW w:w="1559" w:type="dxa"/>
            <w:vAlign w:val="center"/>
          </w:tcPr>
          <w:p w14:paraId="49BDBAFF"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5 (0,8)</w:t>
            </w:r>
          </w:p>
        </w:tc>
        <w:tc>
          <w:tcPr>
            <w:tcW w:w="1134" w:type="dxa"/>
            <w:vAlign w:val="center"/>
          </w:tcPr>
          <w:p w14:paraId="0EBB9691"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4D8BE88E"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0B656C0D"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3</w:t>
            </w:r>
          </w:p>
        </w:tc>
        <w:tc>
          <w:tcPr>
            <w:tcW w:w="1134" w:type="dxa"/>
            <w:vAlign w:val="center"/>
          </w:tcPr>
          <w:p w14:paraId="4CEEE7BE"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w:t>
            </w:r>
          </w:p>
        </w:tc>
      </w:tr>
      <w:tr w:rsidR="00860807" w:rsidRPr="006D770F" w14:paraId="3AB77B8A" w14:textId="77777777" w:rsidTr="009A5641">
        <w:tc>
          <w:tcPr>
            <w:tcW w:w="3970" w:type="dxa"/>
          </w:tcPr>
          <w:p w14:paraId="3DCB69D4"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Liliaceae (Sansevieria trifasciata)</w:t>
            </w:r>
          </w:p>
        </w:tc>
        <w:tc>
          <w:tcPr>
            <w:tcW w:w="1559" w:type="dxa"/>
            <w:vAlign w:val="center"/>
          </w:tcPr>
          <w:p w14:paraId="3FA7AD9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5 (0,8)</w:t>
            </w:r>
          </w:p>
        </w:tc>
        <w:tc>
          <w:tcPr>
            <w:tcW w:w="1134" w:type="dxa"/>
            <w:vAlign w:val="center"/>
          </w:tcPr>
          <w:p w14:paraId="1EBBC0A4"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992" w:type="dxa"/>
            <w:vAlign w:val="center"/>
          </w:tcPr>
          <w:p w14:paraId="23DA294C"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036F1AA9"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4</w:t>
            </w:r>
          </w:p>
        </w:tc>
        <w:tc>
          <w:tcPr>
            <w:tcW w:w="1134" w:type="dxa"/>
            <w:vAlign w:val="center"/>
          </w:tcPr>
          <w:p w14:paraId="585E74E6"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32BC5D63" w14:textId="77777777" w:rsidTr="009A5641">
        <w:tc>
          <w:tcPr>
            <w:tcW w:w="3970" w:type="dxa"/>
          </w:tcPr>
          <w:p w14:paraId="2C0B2AC3"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Araliaceae (Heptapleurum sasaki)</w:t>
            </w:r>
          </w:p>
        </w:tc>
        <w:tc>
          <w:tcPr>
            <w:tcW w:w="1559" w:type="dxa"/>
            <w:vAlign w:val="center"/>
          </w:tcPr>
          <w:p w14:paraId="43743536"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4 (0,7)</w:t>
            </w:r>
          </w:p>
        </w:tc>
        <w:tc>
          <w:tcPr>
            <w:tcW w:w="1134" w:type="dxa"/>
            <w:vAlign w:val="center"/>
          </w:tcPr>
          <w:p w14:paraId="5C2A1F3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3</w:t>
            </w:r>
          </w:p>
        </w:tc>
        <w:tc>
          <w:tcPr>
            <w:tcW w:w="992" w:type="dxa"/>
            <w:vAlign w:val="center"/>
          </w:tcPr>
          <w:p w14:paraId="56FBC569"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13D13DD7"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1134" w:type="dxa"/>
            <w:vAlign w:val="center"/>
          </w:tcPr>
          <w:p w14:paraId="5D3E1BC6"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49169AB9" w14:textId="77777777" w:rsidTr="009A5641">
        <w:tc>
          <w:tcPr>
            <w:tcW w:w="3970" w:type="dxa"/>
          </w:tcPr>
          <w:p w14:paraId="7F576C5D"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Araceae (Zantedeschia arthipica)</w:t>
            </w:r>
          </w:p>
        </w:tc>
        <w:tc>
          <w:tcPr>
            <w:tcW w:w="1559" w:type="dxa"/>
            <w:vAlign w:val="center"/>
          </w:tcPr>
          <w:p w14:paraId="57E51DF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4 (0,7)</w:t>
            </w:r>
          </w:p>
        </w:tc>
        <w:tc>
          <w:tcPr>
            <w:tcW w:w="1134" w:type="dxa"/>
            <w:vAlign w:val="center"/>
          </w:tcPr>
          <w:p w14:paraId="0BBBD2C5"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3F9185F7"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4CCD29A0"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4</w:t>
            </w:r>
          </w:p>
        </w:tc>
        <w:tc>
          <w:tcPr>
            <w:tcW w:w="1134" w:type="dxa"/>
            <w:vAlign w:val="center"/>
          </w:tcPr>
          <w:p w14:paraId="75C2B13E"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22A8F8FE" w14:textId="77777777" w:rsidTr="009A5641">
        <w:tc>
          <w:tcPr>
            <w:tcW w:w="3970" w:type="dxa"/>
          </w:tcPr>
          <w:p w14:paraId="033A8726"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Euphorbiaeae (Jatropha podagrica)</w:t>
            </w:r>
          </w:p>
        </w:tc>
        <w:tc>
          <w:tcPr>
            <w:tcW w:w="1559" w:type="dxa"/>
            <w:vAlign w:val="center"/>
          </w:tcPr>
          <w:p w14:paraId="775F6B68"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4 (0,7)</w:t>
            </w:r>
          </w:p>
        </w:tc>
        <w:tc>
          <w:tcPr>
            <w:tcW w:w="1134" w:type="dxa"/>
            <w:vAlign w:val="center"/>
          </w:tcPr>
          <w:p w14:paraId="22A8743D"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33801184"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532CC81F"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4</w:t>
            </w:r>
          </w:p>
        </w:tc>
        <w:tc>
          <w:tcPr>
            <w:tcW w:w="1134" w:type="dxa"/>
            <w:vAlign w:val="center"/>
          </w:tcPr>
          <w:p w14:paraId="78063EED"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1C56BF7D" w14:textId="77777777" w:rsidTr="009A5641">
        <w:tc>
          <w:tcPr>
            <w:tcW w:w="3970" w:type="dxa"/>
          </w:tcPr>
          <w:p w14:paraId="4764FB85" w14:textId="77777777" w:rsidR="00860807" w:rsidRPr="00CF3A74" w:rsidRDefault="00860807" w:rsidP="0097398F">
            <w:pPr>
              <w:spacing w:line="288" w:lineRule="auto"/>
              <w:rPr>
                <w:rFonts w:ascii="Times New Roman" w:hAnsi="Times New Roman" w:cs="Times New Roman"/>
                <w:b/>
                <w:bCs/>
              </w:rPr>
            </w:pPr>
            <w:r w:rsidRPr="00CF3A74">
              <w:rPr>
                <w:rFonts w:ascii="Times New Roman" w:hAnsi="Times New Roman" w:cs="Times New Roman"/>
                <w:b/>
                <w:bCs/>
              </w:rPr>
              <w:t>TOTAL</w:t>
            </w:r>
          </w:p>
        </w:tc>
        <w:tc>
          <w:tcPr>
            <w:tcW w:w="1559" w:type="dxa"/>
            <w:vAlign w:val="center"/>
          </w:tcPr>
          <w:p w14:paraId="0811EF97" w14:textId="77777777" w:rsidR="00860807" w:rsidRPr="00CF3A74" w:rsidRDefault="00860807" w:rsidP="0097398F">
            <w:pPr>
              <w:spacing w:line="288" w:lineRule="auto"/>
              <w:jc w:val="center"/>
              <w:rPr>
                <w:rFonts w:ascii="Times New Roman" w:hAnsi="Times New Roman" w:cs="Times New Roman"/>
                <w:b/>
                <w:bCs/>
                <w:color w:val="000000"/>
              </w:rPr>
            </w:pPr>
            <w:r w:rsidRPr="00CF3A74">
              <w:rPr>
                <w:rFonts w:ascii="Times New Roman" w:hAnsi="Times New Roman" w:cs="Times New Roman"/>
                <w:b/>
                <w:bCs/>
                <w:color w:val="000000"/>
              </w:rPr>
              <w:t>600 (100)</w:t>
            </w:r>
          </w:p>
        </w:tc>
        <w:tc>
          <w:tcPr>
            <w:tcW w:w="1134" w:type="dxa"/>
            <w:vAlign w:val="center"/>
          </w:tcPr>
          <w:p w14:paraId="33213844" w14:textId="77777777" w:rsidR="00860807" w:rsidRPr="00CF3A74" w:rsidRDefault="00860807" w:rsidP="0097398F">
            <w:pPr>
              <w:spacing w:line="288" w:lineRule="auto"/>
              <w:jc w:val="center"/>
              <w:rPr>
                <w:rFonts w:ascii="Times New Roman" w:hAnsi="Times New Roman" w:cs="Times New Roman"/>
                <w:b/>
                <w:bCs/>
                <w:color w:val="000000"/>
              </w:rPr>
            </w:pPr>
            <w:r w:rsidRPr="00CF3A74">
              <w:rPr>
                <w:rFonts w:ascii="Times New Roman" w:hAnsi="Times New Roman" w:cs="Times New Roman"/>
                <w:b/>
                <w:bCs/>
                <w:color w:val="000000"/>
              </w:rPr>
              <w:t>37(6,2)</w:t>
            </w:r>
          </w:p>
        </w:tc>
        <w:tc>
          <w:tcPr>
            <w:tcW w:w="992" w:type="dxa"/>
            <w:vAlign w:val="center"/>
          </w:tcPr>
          <w:p w14:paraId="1C785C53" w14:textId="77777777" w:rsidR="00860807" w:rsidRPr="00CF3A74" w:rsidRDefault="00860807" w:rsidP="0097398F">
            <w:pPr>
              <w:spacing w:line="288" w:lineRule="auto"/>
              <w:jc w:val="center"/>
              <w:rPr>
                <w:rFonts w:ascii="Times New Roman" w:hAnsi="Times New Roman" w:cs="Times New Roman"/>
                <w:b/>
                <w:bCs/>
                <w:color w:val="000000"/>
              </w:rPr>
            </w:pPr>
            <w:r w:rsidRPr="00CF3A74">
              <w:rPr>
                <w:rFonts w:ascii="Times New Roman" w:hAnsi="Times New Roman" w:cs="Times New Roman"/>
                <w:b/>
                <w:bCs/>
                <w:color w:val="000000"/>
              </w:rPr>
              <w:t>35(5,8)</w:t>
            </w:r>
          </w:p>
        </w:tc>
        <w:tc>
          <w:tcPr>
            <w:tcW w:w="1276" w:type="dxa"/>
            <w:vAlign w:val="center"/>
          </w:tcPr>
          <w:p w14:paraId="507AAAE7" w14:textId="77777777" w:rsidR="00860807" w:rsidRPr="00CF3A74" w:rsidRDefault="00860807" w:rsidP="0097398F">
            <w:pPr>
              <w:spacing w:line="288" w:lineRule="auto"/>
              <w:jc w:val="center"/>
              <w:rPr>
                <w:rFonts w:ascii="Times New Roman" w:hAnsi="Times New Roman" w:cs="Times New Roman"/>
                <w:b/>
                <w:bCs/>
                <w:color w:val="000000"/>
              </w:rPr>
            </w:pPr>
            <w:r w:rsidRPr="00CF3A74">
              <w:rPr>
                <w:rFonts w:ascii="Times New Roman" w:hAnsi="Times New Roman" w:cs="Times New Roman"/>
                <w:b/>
                <w:bCs/>
                <w:color w:val="000000"/>
              </w:rPr>
              <w:t>443(73,8)</w:t>
            </w:r>
          </w:p>
        </w:tc>
        <w:tc>
          <w:tcPr>
            <w:tcW w:w="1134" w:type="dxa"/>
            <w:vAlign w:val="center"/>
          </w:tcPr>
          <w:p w14:paraId="0CFB3617" w14:textId="77777777" w:rsidR="00860807" w:rsidRPr="00CF3A74" w:rsidRDefault="00860807" w:rsidP="0097398F">
            <w:pPr>
              <w:spacing w:line="288" w:lineRule="auto"/>
              <w:jc w:val="center"/>
              <w:rPr>
                <w:rFonts w:ascii="Times New Roman" w:hAnsi="Times New Roman" w:cs="Times New Roman"/>
                <w:b/>
                <w:bCs/>
              </w:rPr>
            </w:pPr>
            <w:r w:rsidRPr="00CF3A74">
              <w:rPr>
                <w:rFonts w:ascii="Times New Roman" w:hAnsi="Times New Roman" w:cs="Times New Roman"/>
                <w:b/>
                <w:bCs/>
                <w:color w:val="000000"/>
              </w:rPr>
              <w:t>85(14,2)</w:t>
            </w:r>
          </w:p>
        </w:tc>
      </w:tr>
    </w:tbl>
    <w:p w14:paraId="7A59DE30" w14:textId="77777777" w:rsidR="00860807" w:rsidRPr="00F930BF" w:rsidRDefault="00860807" w:rsidP="008F2990">
      <w:pPr>
        <w:jc w:val="both"/>
        <w:rPr>
          <w:rFonts w:ascii="Times New Roman" w:hAnsi="Times New Roman" w:cs="Times New Roman"/>
          <w:lang w:val="en-US"/>
        </w:rPr>
      </w:pPr>
    </w:p>
    <w:p w14:paraId="2E41E80E" w14:textId="77777777" w:rsidR="00ED11A0" w:rsidRPr="00CF3A74" w:rsidRDefault="00ED11A0" w:rsidP="00CF3A74">
      <w:pPr>
        <w:spacing w:line="360" w:lineRule="auto"/>
        <w:jc w:val="both"/>
        <w:rPr>
          <w:rFonts w:ascii="Times New Roman" w:hAnsi="Times New Roman" w:cs="Times New Roman"/>
          <w:b/>
          <w:bCs/>
          <w:lang w:val="en-US"/>
        </w:rPr>
      </w:pPr>
      <w:r w:rsidRPr="00CF3A74">
        <w:rPr>
          <w:rFonts w:ascii="Times New Roman" w:hAnsi="Times New Roman" w:cs="Times New Roman"/>
          <w:b/>
          <w:bCs/>
          <w:lang w:val="en-US"/>
        </w:rPr>
        <w:t>Clinical Presentation and Associated Factors</w:t>
      </w:r>
    </w:p>
    <w:p w14:paraId="31702A38" w14:textId="77777777" w:rsidR="00ED11A0" w:rsidRPr="00F930BF" w:rsidRDefault="00ED11A0" w:rsidP="00CF3A74">
      <w:pPr>
        <w:spacing w:line="360" w:lineRule="auto"/>
        <w:jc w:val="both"/>
        <w:rPr>
          <w:rFonts w:ascii="Times New Roman" w:hAnsi="Times New Roman" w:cs="Times New Roman"/>
          <w:lang w:val="en-US"/>
        </w:rPr>
      </w:pPr>
      <w:r w:rsidRPr="00F930BF">
        <w:rPr>
          <w:rFonts w:ascii="Times New Roman" w:hAnsi="Times New Roman" w:cs="Times New Roman"/>
          <w:lang w:val="en-US"/>
        </w:rPr>
        <w:t>The most commonly ingested plant parts were leaves (43.7%) and seeds (35.8%), particularly among children aged 0–11 years. The most frequent clinical manifestations included gastrointestinal symptoms such as nausea, vomiting, and diarrhea (53.5%) and mucocutaneous lesions characterized by pain and edema (40.8%).</w:t>
      </w:r>
    </w:p>
    <w:p w14:paraId="3710649C" w14:textId="04F995E7" w:rsidR="00ED11A0" w:rsidRPr="00F930BF" w:rsidRDefault="00ED11A0" w:rsidP="00CF3A74">
      <w:pPr>
        <w:spacing w:line="360" w:lineRule="auto"/>
        <w:jc w:val="both"/>
        <w:rPr>
          <w:rFonts w:ascii="Times New Roman" w:hAnsi="Times New Roman" w:cs="Times New Roman"/>
          <w:lang w:val="en-US"/>
        </w:rPr>
      </w:pPr>
      <w:r w:rsidRPr="00F930BF">
        <w:rPr>
          <w:rFonts w:ascii="Times New Roman" w:hAnsi="Times New Roman" w:cs="Times New Roman"/>
          <w:lang w:val="en-US"/>
        </w:rPr>
        <w:t>Statistical analysis revealed no significant differences by sex with respect to poisoning severity (p &gt; 0.05). However, children under four years were significantly more likely to experience severe poisoning (p &lt; 0.01), and a strong association was found between the ingested plant part and poisoning severity (p &lt; 0.01). Prolonged hospitalization times were more frequent in infants and adolescents (p &lt; 0.01)</w:t>
      </w:r>
      <w:r w:rsidR="004C3FF4">
        <w:rPr>
          <w:rFonts w:ascii="Times New Roman" w:hAnsi="Times New Roman" w:cs="Times New Roman"/>
          <w:lang w:val="en-US"/>
        </w:rPr>
        <w:t xml:space="preserve"> (Table 2 and 3).</w:t>
      </w:r>
    </w:p>
    <w:p w14:paraId="0AF08C57" w14:textId="72C401F7" w:rsidR="00ED11A0" w:rsidRPr="00F930BF" w:rsidRDefault="00ED11A0" w:rsidP="008F2990">
      <w:pPr>
        <w:jc w:val="both"/>
        <w:rPr>
          <w:rFonts w:ascii="Times New Roman" w:hAnsi="Times New Roman" w:cs="Times New Roman"/>
          <w:lang w:val="en-US"/>
        </w:rPr>
      </w:pPr>
    </w:p>
    <w:p w14:paraId="4944AD03" w14:textId="2B1FC3AA"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 xml:space="preserve">Table </w:t>
      </w:r>
      <w:r w:rsidR="004C3FF4" w:rsidRPr="00CF3A74">
        <w:rPr>
          <w:rFonts w:ascii="Times New Roman" w:hAnsi="Times New Roman" w:cs="Times New Roman"/>
          <w:lang w:val="en-US"/>
        </w:rPr>
        <w:t>2</w:t>
      </w:r>
      <w:r w:rsidRPr="00CF3A74">
        <w:rPr>
          <w:rFonts w:ascii="Times New Roman" w:hAnsi="Times New Roman" w:cs="Times New Roman"/>
          <w:lang w:val="en-US"/>
        </w:rPr>
        <w:t>. Logistic Regression Analysis of Variables Associated with Poisoning Severity (n = 600)</w:t>
      </w:r>
    </w:p>
    <w:tbl>
      <w:tblPr>
        <w:tblW w:w="8931"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2127"/>
        <w:gridCol w:w="1136"/>
        <w:gridCol w:w="707"/>
        <w:gridCol w:w="902"/>
        <w:gridCol w:w="736"/>
        <w:gridCol w:w="1339"/>
        <w:gridCol w:w="992"/>
        <w:gridCol w:w="992"/>
      </w:tblGrid>
      <w:tr w:rsidR="00ED11A0" w:rsidRPr="00CF3A74" w14:paraId="092BD9C3" w14:textId="77777777" w:rsidTr="004C3FF4">
        <w:trPr>
          <w:trHeight w:val="480"/>
          <w:tblHeader/>
          <w:tblCellSpacing w:w="15" w:type="dxa"/>
        </w:trPr>
        <w:tc>
          <w:tcPr>
            <w:tcW w:w="2082" w:type="dxa"/>
            <w:tcBorders>
              <w:top w:val="single" w:sz="12" w:space="0" w:color="auto"/>
              <w:bottom w:val="single" w:sz="12" w:space="0" w:color="auto"/>
            </w:tcBorders>
            <w:vAlign w:val="center"/>
            <w:hideMark/>
          </w:tcPr>
          <w:p w14:paraId="6AAE29E6" w14:textId="77777777"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Variable</w:t>
            </w:r>
          </w:p>
        </w:tc>
        <w:tc>
          <w:tcPr>
            <w:tcW w:w="1106" w:type="dxa"/>
            <w:tcBorders>
              <w:top w:val="single" w:sz="12" w:space="0" w:color="auto"/>
              <w:bottom w:val="single" w:sz="12" w:space="0" w:color="auto"/>
            </w:tcBorders>
            <w:vAlign w:val="center"/>
            <w:hideMark/>
          </w:tcPr>
          <w:p w14:paraId="368A4648" w14:textId="77777777"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Coefficient</w:t>
            </w:r>
          </w:p>
        </w:tc>
        <w:tc>
          <w:tcPr>
            <w:tcW w:w="677" w:type="dxa"/>
            <w:tcBorders>
              <w:top w:val="single" w:sz="12" w:space="0" w:color="auto"/>
              <w:bottom w:val="single" w:sz="12" w:space="0" w:color="auto"/>
            </w:tcBorders>
            <w:vAlign w:val="center"/>
            <w:hideMark/>
          </w:tcPr>
          <w:p w14:paraId="71B6F6F2"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SD</w:t>
            </w:r>
          </w:p>
        </w:tc>
        <w:tc>
          <w:tcPr>
            <w:tcW w:w="872" w:type="dxa"/>
            <w:tcBorders>
              <w:top w:val="single" w:sz="12" w:space="0" w:color="auto"/>
              <w:bottom w:val="single" w:sz="12" w:space="0" w:color="auto"/>
            </w:tcBorders>
            <w:vAlign w:val="center"/>
            <w:hideMark/>
          </w:tcPr>
          <w:p w14:paraId="132C8400"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Z</w:t>
            </w:r>
          </w:p>
        </w:tc>
        <w:tc>
          <w:tcPr>
            <w:tcW w:w="0" w:type="auto"/>
            <w:tcBorders>
              <w:top w:val="single" w:sz="12" w:space="0" w:color="auto"/>
              <w:bottom w:val="single" w:sz="12" w:space="0" w:color="auto"/>
            </w:tcBorders>
            <w:vAlign w:val="center"/>
            <w:hideMark/>
          </w:tcPr>
          <w:p w14:paraId="2DD09EA3"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p</w:t>
            </w:r>
          </w:p>
        </w:tc>
        <w:tc>
          <w:tcPr>
            <w:tcW w:w="1309" w:type="dxa"/>
            <w:tcBorders>
              <w:top w:val="single" w:sz="12" w:space="0" w:color="auto"/>
              <w:bottom w:val="single" w:sz="12" w:space="0" w:color="auto"/>
            </w:tcBorders>
            <w:vAlign w:val="center"/>
            <w:hideMark/>
          </w:tcPr>
          <w:p w14:paraId="37629441"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Risk Ratio</w:t>
            </w:r>
          </w:p>
        </w:tc>
        <w:tc>
          <w:tcPr>
            <w:tcW w:w="962" w:type="dxa"/>
            <w:tcBorders>
              <w:top w:val="single" w:sz="12" w:space="0" w:color="auto"/>
              <w:bottom w:val="single" w:sz="12" w:space="0" w:color="auto"/>
            </w:tcBorders>
            <w:vAlign w:val="center"/>
            <w:hideMark/>
          </w:tcPr>
          <w:p w14:paraId="5BDE4E90"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Lower</w:t>
            </w:r>
          </w:p>
        </w:tc>
        <w:tc>
          <w:tcPr>
            <w:tcW w:w="947" w:type="dxa"/>
            <w:tcBorders>
              <w:top w:val="single" w:sz="12" w:space="0" w:color="auto"/>
              <w:bottom w:val="single" w:sz="12" w:space="0" w:color="auto"/>
            </w:tcBorders>
            <w:vAlign w:val="center"/>
            <w:hideMark/>
          </w:tcPr>
          <w:p w14:paraId="7A78D90E"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Upper</w:t>
            </w:r>
          </w:p>
        </w:tc>
      </w:tr>
      <w:tr w:rsidR="00ED11A0" w:rsidRPr="00CF3A74" w14:paraId="63D7AA58" w14:textId="77777777" w:rsidTr="004C3FF4">
        <w:trPr>
          <w:trHeight w:val="480"/>
          <w:tblCellSpacing w:w="15" w:type="dxa"/>
        </w:trPr>
        <w:tc>
          <w:tcPr>
            <w:tcW w:w="2082" w:type="dxa"/>
            <w:vAlign w:val="center"/>
            <w:hideMark/>
          </w:tcPr>
          <w:p w14:paraId="724DC210" w14:textId="77777777"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Age</w:t>
            </w:r>
          </w:p>
        </w:tc>
        <w:tc>
          <w:tcPr>
            <w:tcW w:w="1106" w:type="dxa"/>
            <w:vAlign w:val="center"/>
            <w:hideMark/>
          </w:tcPr>
          <w:p w14:paraId="2C1AD0CE"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-0.022</w:t>
            </w:r>
          </w:p>
        </w:tc>
        <w:tc>
          <w:tcPr>
            <w:tcW w:w="677" w:type="dxa"/>
            <w:vAlign w:val="center"/>
            <w:hideMark/>
          </w:tcPr>
          <w:p w14:paraId="1BC94561"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0.07</w:t>
            </w:r>
          </w:p>
        </w:tc>
        <w:tc>
          <w:tcPr>
            <w:tcW w:w="872" w:type="dxa"/>
            <w:vAlign w:val="center"/>
            <w:hideMark/>
          </w:tcPr>
          <w:p w14:paraId="13776C36"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-3.14</w:t>
            </w:r>
          </w:p>
        </w:tc>
        <w:tc>
          <w:tcPr>
            <w:tcW w:w="0" w:type="auto"/>
            <w:vAlign w:val="center"/>
            <w:hideMark/>
          </w:tcPr>
          <w:p w14:paraId="677F2284"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&lt;0.001</w:t>
            </w:r>
          </w:p>
        </w:tc>
        <w:tc>
          <w:tcPr>
            <w:tcW w:w="1309" w:type="dxa"/>
            <w:vAlign w:val="center"/>
            <w:hideMark/>
          </w:tcPr>
          <w:p w14:paraId="135C060F"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0.98</w:t>
            </w:r>
          </w:p>
        </w:tc>
        <w:tc>
          <w:tcPr>
            <w:tcW w:w="962" w:type="dxa"/>
            <w:vAlign w:val="center"/>
            <w:hideMark/>
          </w:tcPr>
          <w:p w14:paraId="4C613AB3"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0.96</w:t>
            </w:r>
          </w:p>
        </w:tc>
        <w:tc>
          <w:tcPr>
            <w:tcW w:w="947" w:type="dxa"/>
            <w:vAlign w:val="center"/>
            <w:hideMark/>
          </w:tcPr>
          <w:p w14:paraId="4915C948"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0.99</w:t>
            </w:r>
          </w:p>
        </w:tc>
      </w:tr>
      <w:tr w:rsidR="00ED11A0" w:rsidRPr="00CF3A74" w14:paraId="496CA1BF" w14:textId="77777777" w:rsidTr="004C3FF4">
        <w:trPr>
          <w:trHeight w:val="480"/>
          <w:tblCellSpacing w:w="15" w:type="dxa"/>
        </w:trPr>
        <w:tc>
          <w:tcPr>
            <w:tcW w:w="2082" w:type="dxa"/>
            <w:vAlign w:val="center"/>
            <w:hideMark/>
          </w:tcPr>
          <w:p w14:paraId="63AECDFB" w14:textId="77777777"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Sex</w:t>
            </w:r>
          </w:p>
        </w:tc>
        <w:tc>
          <w:tcPr>
            <w:tcW w:w="1106" w:type="dxa"/>
            <w:vAlign w:val="center"/>
            <w:hideMark/>
          </w:tcPr>
          <w:p w14:paraId="4420F21F"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-0.066</w:t>
            </w:r>
          </w:p>
        </w:tc>
        <w:tc>
          <w:tcPr>
            <w:tcW w:w="677" w:type="dxa"/>
            <w:vAlign w:val="center"/>
            <w:hideMark/>
          </w:tcPr>
          <w:p w14:paraId="3EF5643B"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0.144</w:t>
            </w:r>
          </w:p>
        </w:tc>
        <w:tc>
          <w:tcPr>
            <w:tcW w:w="872" w:type="dxa"/>
            <w:vAlign w:val="center"/>
            <w:hideMark/>
          </w:tcPr>
          <w:p w14:paraId="67130485"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-0.46</w:t>
            </w:r>
          </w:p>
        </w:tc>
        <w:tc>
          <w:tcPr>
            <w:tcW w:w="0" w:type="auto"/>
            <w:vAlign w:val="center"/>
            <w:hideMark/>
          </w:tcPr>
          <w:p w14:paraId="5FA16165"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0.65</w:t>
            </w:r>
          </w:p>
        </w:tc>
        <w:tc>
          <w:tcPr>
            <w:tcW w:w="1309" w:type="dxa"/>
            <w:vAlign w:val="center"/>
            <w:hideMark/>
          </w:tcPr>
          <w:p w14:paraId="4D223BED"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0.94</w:t>
            </w:r>
          </w:p>
        </w:tc>
        <w:tc>
          <w:tcPr>
            <w:tcW w:w="962" w:type="dxa"/>
            <w:vAlign w:val="center"/>
            <w:hideMark/>
          </w:tcPr>
          <w:p w14:paraId="3561E3F1"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0.71</w:t>
            </w:r>
          </w:p>
        </w:tc>
        <w:tc>
          <w:tcPr>
            <w:tcW w:w="947" w:type="dxa"/>
            <w:vAlign w:val="center"/>
            <w:hideMark/>
          </w:tcPr>
          <w:p w14:paraId="07725D29"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1.24</w:t>
            </w:r>
          </w:p>
        </w:tc>
      </w:tr>
      <w:tr w:rsidR="00ED11A0" w:rsidRPr="00CF3A74" w14:paraId="58998670" w14:textId="77777777" w:rsidTr="004C3FF4">
        <w:trPr>
          <w:trHeight w:val="480"/>
          <w:tblCellSpacing w:w="15" w:type="dxa"/>
        </w:trPr>
        <w:tc>
          <w:tcPr>
            <w:tcW w:w="2082" w:type="dxa"/>
            <w:vAlign w:val="center"/>
            <w:hideMark/>
          </w:tcPr>
          <w:p w14:paraId="6785EA89" w14:textId="77777777"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Plant part</w:t>
            </w:r>
          </w:p>
        </w:tc>
        <w:tc>
          <w:tcPr>
            <w:tcW w:w="1106" w:type="dxa"/>
            <w:vAlign w:val="center"/>
            <w:hideMark/>
          </w:tcPr>
          <w:p w14:paraId="178374EB"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0.183</w:t>
            </w:r>
          </w:p>
        </w:tc>
        <w:tc>
          <w:tcPr>
            <w:tcW w:w="677" w:type="dxa"/>
            <w:vAlign w:val="center"/>
            <w:hideMark/>
          </w:tcPr>
          <w:p w14:paraId="29292B79"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0.053</w:t>
            </w:r>
          </w:p>
        </w:tc>
        <w:tc>
          <w:tcPr>
            <w:tcW w:w="872" w:type="dxa"/>
            <w:vAlign w:val="center"/>
            <w:hideMark/>
          </w:tcPr>
          <w:p w14:paraId="2B757B1A"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3.18</w:t>
            </w:r>
          </w:p>
        </w:tc>
        <w:tc>
          <w:tcPr>
            <w:tcW w:w="0" w:type="auto"/>
            <w:vAlign w:val="center"/>
            <w:hideMark/>
          </w:tcPr>
          <w:p w14:paraId="55006C7C"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&lt;0.01</w:t>
            </w:r>
          </w:p>
        </w:tc>
        <w:tc>
          <w:tcPr>
            <w:tcW w:w="1309" w:type="dxa"/>
            <w:vAlign w:val="center"/>
            <w:hideMark/>
          </w:tcPr>
          <w:p w14:paraId="0C4EBB4C"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1.20</w:t>
            </w:r>
          </w:p>
        </w:tc>
        <w:tc>
          <w:tcPr>
            <w:tcW w:w="962" w:type="dxa"/>
            <w:vAlign w:val="center"/>
            <w:hideMark/>
          </w:tcPr>
          <w:p w14:paraId="43741BD0"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1.08</w:t>
            </w:r>
          </w:p>
        </w:tc>
        <w:tc>
          <w:tcPr>
            <w:tcW w:w="947" w:type="dxa"/>
            <w:vAlign w:val="center"/>
            <w:hideMark/>
          </w:tcPr>
          <w:p w14:paraId="585BE629"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1.33</w:t>
            </w:r>
          </w:p>
        </w:tc>
      </w:tr>
      <w:tr w:rsidR="00ED11A0" w:rsidRPr="00CF3A74" w14:paraId="4D9C948A" w14:textId="77777777" w:rsidTr="004C3FF4">
        <w:trPr>
          <w:trHeight w:val="480"/>
          <w:tblCellSpacing w:w="15" w:type="dxa"/>
        </w:trPr>
        <w:tc>
          <w:tcPr>
            <w:tcW w:w="2082" w:type="dxa"/>
            <w:tcBorders>
              <w:bottom w:val="single" w:sz="12" w:space="0" w:color="auto"/>
            </w:tcBorders>
            <w:vAlign w:val="center"/>
            <w:hideMark/>
          </w:tcPr>
          <w:p w14:paraId="14C764D6" w14:textId="77777777"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Hospitalization time</w:t>
            </w:r>
          </w:p>
        </w:tc>
        <w:tc>
          <w:tcPr>
            <w:tcW w:w="1106" w:type="dxa"/>
            <w:tcBorders>
              <w:bottom w:val="single" w:sz="12" w:space="0" w:color="auto"/>
            </w:tcBorders>
            <w:vAlign w:val="center"/>
            <w:hideMark/>
          </w:tcPr>
          <w:p w14:paraId="407419AB"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-1.291</w:t>
            </w:r>
          </w:p>
        </w:tc>
        <w:tc>
          <w:tcPr>
            <w:tcW w:w="677" w:type="dxa"/>
            <w:tcBorders>
              <w:bottom w:val="single" w:sz="12" w:space="0" w:color="auto"/>
            </w:tcBorders>
            <w:vAlign w:val="center"/>
            <w:hideMark/>
          </w:tcPr>
          <w:p w14:paraId="41098A3D"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0.102</w:t>
            </w:r>
          </w:p>
        </w:tc>
        <w:tc>
          <w:tcPr>
            <w:tcW w:w="872" w:type="dxa"/>
            <w:tcBorders>
              <w:bottom w:val="single" w:sz="12" w:space="0" w:color="auto"/>
            </w:tcBorders>
            <w:vAlign w:val="center"/>
            <w:hideMark/>
          </w:tcPr>
          <w:p w14:paraId="26092D30"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-12.68</w:t>
            </w:r>
          </w:p>
        </w:tc>
        <w:tc>
          <w:tcPr>
            <w:tcW w:w="0" w:type="auto"/>
            <w:tcBorders>
              <w:bottom w:val="single" w:sz="12" w:space="0" w:color="auto"/>
            </w:tcBorders>
            <w:vAlign w:val="center"/>
            <w:hideMark/>
          </w:tcPr>
          <w:p w14:paraId="49175AE9"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&lt;0.01</w:t>
            </w:r>
          </w:p>
        </w:tc>
        <w:tc>
          <w:tcPr>
            <w:tcW w:w="1309" w:type="dxa"/>
            <w:tcBorders>
              <w:bottom w:val="single" w:sz="12" w:space="0" w:color="auto"/>
            </w:tcBorders>
            <w:vAlign w:val="center"/>
            <w:hideMark/>
          </w:tcPr>
          <w:p w14:paraId="200779A2"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0.27</w:t>
            </w:r>
          </w:p>
        </w:tc>
        <w:tc>
          <w:tcPr>
            <w:tcW w:w="962" w:type="dxa"/>
            <w:tcBorders>
              <w:bottom w:val="single" w:sz="12" w:space="0" w:color="auto"/>
            </w:tcBorders>
            <w:vAlign w:val="center"/>
            <w:hideMark/>
          </w:tcPr>
          <w:p w14:paraId="59D1FF49"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0.23</w:t>
            </w:r>
          </w:p>
        </w:tc>
        <w:tc>
          <w:tcPr>
            <w:tcW w:w="947" w:type="dxa"/>
            <w:tcBorders>
              <w:bottom w:val="single" w:sz="12" w:space="0" w:color="auto"/>
            </w:tcBorders>
            <w:vAlign w:val="center"/>
            <w:hideMark/>
          </w:tcPr>
          <w:p w14:paraId="683B7FA4"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0.34</w:t>
            </w:r>
          </w:p>
        </w:tc>
      </w:tr>
    </w:tbl>
    <w:p w14:paraId="05BA4D8B" w14:textId="0788EADE" w:rsidR="004C3FF4" w:rsidRPr="00CF3A74" w:rsidRDefault="004C3FF4" w:rsidP="004C3FF4">
      <w:pPr>
        <w:spacing w:after="0"/>
        <w:rPr>
          <w:rFonts w:ascii="Times New Roman" w:hAnsi="Times New Roman" w:cs="Times New Roman"/>
        </w:rPr>
      </w:pPr>
      <w:r w:rsidRPr="00CF3A74">
        <w:rPr>
          <w:rFonts w:ascii="Times New Roman" w:hAnsi="Times New Roman" w:cs="Times New Roman"/>
        </w:rPr>
        <w:t xml:space="preserve">G=230.44 </w:t>
      </w:r>
      <w:r w:rsidR="0003490A" w:rsidRPr="00CF3A74">
        <w:rPr>
          <w:rFonts w:ascii="Times New Roman" w:hAnsi="Times New Roman" w:cs="Times New Roman"/>
        </w:rPr>
        <w:t>d</w:t>
      </w:r>
      <w:r w:rsidRPr="00CF3A74">
        <w:rPr>
          <w:rFonts w:ascii="Times New Roman" w:hAnsi="Times New Roman" w:cs="Times New Roman"/>
        </w:rPr>
        <w:t>l=4 p&lt;0.01</w:t>
      </w:r>
    </w:p>
    <w:p w14:paraId="0AFB436F" w14:textId="559D11A2" w:rsidR="00ED11A0" w:rsidRDefault="00ED11A0" w:rsidP="008F2990">
      <w:pPr>
        <w:jc w:val="both"/>
        <w:rPr>
          <w:rFonts w:ascii="Times New Roman" w:hAnsi="Times New Roman" w:cs="Times New Roman"/>
          <w:lang w:val="en-US"/>
        </w:rPr>
      </w:pPr>
    </w:p>
    <w:p w14:paraId="6456AFDF" w14:textId="2C4D2271"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 xml:space="preserve">Table </w:t>
      </w:r>
      <w:r w:rsidR="004C3FF4" w:rsidRPr="00CF3A74">
        <w:rPr>
          <w:rFonts w:ascii="Times New Roman" w:hAnsi="Times New Roman" w:cs="Times New Roman"/>
          <w:lang w:val="en-US"/>
        </w:rPr>
        <w:t>3</w:t>
      </w:r>
      <w:r w:rsidRPr="00CF3A74">
        <w:rPr>
          <w:rFonts w:ascii="Times New Roman" w:hAnsi="Times New Roman" w:cs="Times New Roman"/>
          <w:lang w:val="en-US"/>
        </w:rPr>
        <w:t>. Logistic Regression Analysis of Variable Interactions on Poisoning Severity (n = 600)</w:t>
      </w:r>
    </w:p>
    <w:tbl>
      <w:tblPr>
        <w:tblStyle w:val="TableGrid"/>
        <w:tblW w:w="9209" w:type="dxa"/>
        <w:tblInd w:w="-70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818"/>
        <w:gridCol w:w="766"/>
        <w:gridCol w:w="751"/>
        <w:gridCol w:w="946"/>
        <w:gridCol w:w="714"/>
        <w:gridCol w:w="839"/>
        <w:gridCol w:w="972"/>
      </w:tblGrid>
      <w:tr w:rsidR="0003490A" w:rsidRPr="00CF3A74" w14:paraId="4AB80FF3" w14:textId="77777777" w:rsidTr="0097398F">
        <w:tc>
          <w:tcPr>
            <w:tcW w:w="3403" w:type="dxa"/>
            <w:vMerge w:val="restart"/>
            <w:tcBorders>
              <w:top w:val="single" w:sz="12" w:space="0" w:color="auto"/>
              <w:bottom w:val="single" w:sz="12" w:space="0" w:color="auto"/>
            </w:tcBorders>
          </w:tcPr>
          <w:p w14:paraId="3E45E332" w14:textId="54A93AA7" w:rsidR="0003490A" w:rsidRPr="00CF3A74" w:rsidRDefault="0003490A" w:rsidP="0097398F">
            <w:pPr>
              <w:spacing w:line="360" w:lineRule="auto"/>
              <w:rPr>
                <w:rFonts w:ascii="Times New Roman" w:hAnsi="Times New Roman" w:cs="Times New Roman"/>
                <w:sz w:val="22"/>
                <w:szCs w:val="22"/>
                <w:lang w:val="es-ES"/>
              </w:rPr>
            </w:pPr>
            <w:r w:rsidRPr="00CF3A74">
              <w:rPr>
                <w:rFonts w:ascii="Times New Roman" w:hAnsi="Times New Roman" w:cs="Times New Roman"/>
                <w:sz w:val="22"/>
                <w:szCs w:val="22"/>
                <w:lang w:val="es-ES"/>
              </w:rPr>
              <w:t>Variable</w:t>
            </w:r>
          </w:p>
        </w:tc>
        <w:tc>
          <w:tcPr>
            <w:tcW w:w="818" w:type="dxa"/>
            <w:vMerge w:val="restart"/>
            <w:tcBorders>
              <w:top w:val="single" w:sz="12" w:space="0" w:color="auto"/>
              <w:bottom w:val="single" w:sz="12" w:space="0" w:color="auto"/>
            </w:tcBorders>
          </w:tcPr>
          <w:p w14:paraId="1A29B96D"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n-US"/>
              </w:rPr>
              <w:t>Coefficient</w:t>
            </w:r>
          </w:p>
        </w:tc>
        <w:tc>
          <w:tcPr>
            <w:tcW w:w="766" w:type="dxa"/>
            <w:vMerge w:val="restart"/>
            <w:tcBorders>
              <w:top w:val="single" w:sz="12" w:space="0" w:color="auto"/>
              <w:bottom w:val="single" w:sz="12" w:space="0" w:color="auto"/>
            </w:tcBorders>
          </w:tcPr>
          <w:p w14:paraId="4DBB5048"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SD</w:t>
            </w:r>
          </w:p>
        </w:tc>
        <w:tc>
          <w:tcPr>
            <w:tcW w:w="751" w:type="dxa"/>
            <w:vMerge w:val="restart"/>
            <w:tcBorders>
              <w:top w:val="single" w:sz="12" w:space="0" w:color="auto"/>
              <w:bottom w:val="single" w:sz="12" w:space="0" w:color="auto"/>
            </w:tcBorders>
          </w:tcPr>
          <w:p w14:paraId="2603B126"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Z</w:t>
            </w:r>
          </w:p>
        </w:tc>
        <w:tc>
          <w:tcPr>
            <w:tcW w:w="946" w:type="dxa"/>
            <w:vMerge w:val="restart"/>
            <w:tcBorders>
              <w:top w:val="single" w:sz="12" w:space="0" w:color="auto"/>
              <w:bottom w:val="single" w:sz="12" w:space="0" w:color="auto"/>
            </w:tcBorders>
          </w:tcPr>
          <w:p w14:paraId="76AFD438"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p</w:t>
            </w:r>
          </w:p>
        </w:tc>
        <w:tc>
          <w:tcPr>
            <w:tcW w:w="2525" w:type="dxa"/>
            <w:gridSpan w:val="3"/>
            <w:tcBorders>
              <w:top w:val="single" w:sz="12" w:space="0" w:color="auto"/>
              <w:bottom w:val="single" w:sz="12" w:space="0" w:color="auto"/>
            </w:tcBorders>
          </w:tcPr>
          <w:p w14:paraId="526D6B3E" w14:textId="77777777" w:rsidR="0003490A" w:rsidRPr="00CF3A74" w:rsidRDefault="0003490A" w:rsidP="0097398F">
            <w:pPr>
              <w:jc w:val="center"/>
              <w:rPr>
                <w:rFonts w:ascii="Times New Roman" w:hAnsi="Times New Roman" w:cs="Times New Roman"/>
                <w:sz w:val="22"/>
                <w:szCs w:val="22"/>
                <w:lang w:val="en-US"/>
              </w:rPr>
            </w:pPr>
            <w:r w:rsidRPr="00CF3A74">
              <w:rPr>
                <w:rFonts w:ascii="Times New Roman" w:hAnsi="Times New Roman" w:cs="Times New Roman"/>
                <w:sz w:val="22"/>
                <w:szCs w:val="22"/>
                <w:lang w:val="en-US"/>
              </w:rPr>
              <w:t xml:space="preserve">Risk </w:t>
            </w:r>
          </w:p>
        </w:tc>
      </w:tr>
      <w:tr w:rsidR="0003490A" w:rsidRPr="00CF3A74" w14:paraId="53F460F4" w14:textId="77777777" w:rsidTr="0097398F">
        <w:tc>
          <w:tcPr>
            <w:tcW w:w="3403" w:type="dxa"/>
            <w:vMerge/>
            <w:tcBorders>
              <w:top w:val="single" w:sz="12" w:space="0" w:color="auto"/>
              <w:bottom w:val="single" w:sz="12" w:space="0" w:color="auto"/>
            </w:tcBorders>
          </w:tcPr>
          <w:p w14:paraId="1248C2BC" w14:textId="77777777" w:rsidR="0003490A" w:rsidRPr="00CF3A74" w:rsidRDefault="0003490A" w:rsidP="0097398F">
            <w:pPr>
              <w:spacing w:line="360" w:lineRule="auto"/>
              <w:rPr>
                <w:rFonts w:ascii="Times New Roman" w:hAnsi="Times New Roman" w:cs="Times New Roman"/>
                <w:sz w:val="22"/>
                <w:szCs w:val="22"/>
                <w:lang w:val="es-ES"/>
              </w:rPr>
            </w:pPr>
          </w:p>
        </w:tc>
        <w:tc>
          <w:tcPr>
            <w:tcW w:w="818" w:type="dxa"/>
            <w:vMerge/>
            <w:tcBorders>
              <w:top w:val="single" w:sz="12" w:space="0" w:color="auto"/>
              <w:bottom w:val="single" w:sz="12" w:space="0" w:color="auto"/>
            </w:tcBorders>
          </w:tcPr>
          <w:p w14:paraId="0C635787" w14:textId="77777777" w:rsidR="0003490A" w:rsidRPr="00CF3A74" w:rsidRDefault="0003490A" w:rsidP="0097398F">
            <w:pPr>
              <w:spacing w:line="360" w:lineRule="auto"/>
              <w:jc w:val="center"/>
              <w:rPr>
                <w:rFonts w:ascii="Times New Roman" w:hAnsi="Times New Roman" w:cs="Times New Roman"/>
                <w:sz w:val="22"/>
                <w:szCs w:val="22"/>
                <w:lang w:val="es-ES"/>
              </w:rPr>
            </w:pPr>
          </w:p>
        </w:tc>
        <w:tc>
          <w:tcPr>
            <w:tcW w:w="766" w:type="dxa"/>
            <w:vMerge/>
            <w:tcBorders>
              <w:top w:val="single" w:sz="12" w:space="0" w:color="auto"/>
              <w:bottom w:val="single" w:sz="12" w:space="0" w:color="auto"/>
            </w:tcBorders>
          </w:tcPr>
          <w:p w14:paraId="5A21967B" w14:textId="77777777" w:rsidR="0003490A" w:rsidRPr="00CF3A74" w:rsidRDefault="0003490A" w:rsidP="0097398F">
            <w:pPr>
              <w:spacing w:line="360" w:lineRule="auto"/>
              <w:jc w:val="center"/>
              <w:rPr>
                <w:rFonts w:ascii="Times New Roman" w:hAnsi="Times New Roman" w:cs="Times New Roman"/>
                <w:sz w:val="22"/>
                <w:szCs w:val="22"/>
                <w:lang w:val="es-ES"/>
              </w:rPr>
            </w:pPr>
          </w:p>
        </w:tc>
        <w:tc>
          <w:tcPr>
            <w:tcW w:w="751" w:type="dxa"/>
            <w:vMerge/>
            <w:tcBorders>
              <w:top w:val="single" w:sz="12" w:space="0" w:color="auto"/>
              <w:bottom w:val="single" w:sz="12" w:space="0" w:color="auto"/>
            </w:tcBorders>
          </w:tcPr>
          <w:p w14:paraId="5596CE9D" w14:textId="77777777" w:rsidR="0003490A" w:rsidRPr="00CF3A74" w:rsidRDefault="0003490A" w:rsidP="0097398F">
            <w:pPr>
              <w:spacing w:line="360" w:lineRule="auto"/>
              <w:jc w:val="center"/>
              <w:rPr>
                <w:rFonts w:ascii="Times New Roman" w:hAnsi="Times New Roman" w:cs="Times New Roman"/>
                <w:sz w:val="22"/>
                <w:szCs w:val="22"/>
                <w:lang w:val="es-ES"/>
              </w:rPr>
            </w:pPr>
          </w:p>
        </w:tc>
        <w:tc>
          <w:tcPr>
            <w:tcW w:w="946" w:type="dxa"/>
            <w:vMerge/>
            <w:tcBorders>
              <w:top w:val="single" w:sz="12" w:space="0" w:color="auto"/>
              <w:bottom w:val="single" w:sz="12" w:space="0" w:color="auto"/>
            </w:tcBorders>
          </w:tcPr>
          <w:p w14:paraId="15814663" w14:textId="77777777" w:rsidR="0003490A" w:rsidRPr="00CF3A74" w:rsidRDefault="0003490A" w:rsidP="0097398F">
            <w:pPr>
              <w:spacing w:line="360" w:lineRule="auto"/>
              <w:jc w:val="center"/>
              <w:rPr>
                <w:rFonts w:ascii="Times New Roman" w:hAnsi="Times New Roman" w:cs="Times New Roman"/>
                <w:sz w:val="22"/>
                <w:szCs w:val="22"/>
                <w:lang w:val="es-ES"/>
              </w:rPr>
            </w:pPr>
          </w:p>
        </w:tc>
        <w:tc>
          <w:tcPr>
            <w:tcW w:w="714" w:type="dxa"/>
            <w:tcBorders>
              <w:top w:val="single" w:sz="12" w:space="0" w:color="auto"/>
              <w:bottom w:val="single" w:sz="12" w:space="0" w:color="auto"/>
            </w:tcBorders>
          </w:tcPr>
          <w:p w14:paraId="1B760647"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Ratio</w:t>
            </w:r>
          </w:p>
        </w:tc>
        <w:tc>
          <w:tcPr>
            <w:tcW w:w="839" w:type="dxa"/>
            <w:tcBorders>
              <w:top w:val="single" w:sz="12" w:space="0" w:color="auto"/>
              <w:bottom w:val="single" w:sz="12" w:space="0" w:color="auto"/>
            </w:tcBorders>
          </w:tcPr>
          <w:p w14:paraId="19DBA21E" w14:textId="77777777" w:rsidR="0003490A" w:rsidRPr="00CF3A74" w:rsidRDefault="0003490A" w:rsidP="0097398F">
            <w:pPr>
              <w:spacing w:line="360" w:lineRule="auto"/>
              <w:jc w:val="center"/>
              <w:rPr>
                <w:rFonts w:ascii="Times New Roman" w:hAnsi="Times New Roman" w:cs="Times New Roman"/>
                <w:sz w:val="22"/>
                <w:szCs w:val="22"/>
                <w:lang w:val="en-US"/>
              </w:rPr>
            </w:pPr>
            <w:r w:rsidRPr="00CF3A74">
              <w:rPr>
                <w:rFonts w:ascii="Times New Roman" w:hAnsi="Times New Roman" w:cs="Times New Roman"/>
                <w:sz w:val="22"/>
                <w:szCs w:val="22"/>
                <w:lang w:val="en-US"/>
              </w:rPr>
              <w:t>Lower</w:t>
            </w:r>
          </w:p>
        </w:tc>
        <w:tc>
          <w:tcPr>
            <w:tcW w:w="972" w:type="dxa"/>
            <w:tcBorders>
              <w:top w:val="single" w:sz="12" w:space="0" w:color="auto"/>
              <w:bottom w:val="single" w:sz="12" w:space="0" w:color="auto"/>
            </w:tcBorders>
          </w:tcPr>
          <w:p w14:paraId="19E727F3" w14:textId="77777777" w:rsidR="0003490A" w:rsidRPr="00CF3A74" w:rsidRDefault="0003490A" w:rsidP="0097398F">
            <w:pPr>
              <w:spacing w:line="360" w:lineRule="auto"/>
              <w:jc w:val="center"/>
              <w:rPr>
                <w:rFonts w:ascii="Times New Roman" w:hAnsi="Times New Roman" w:cs="Times New Roman"/>
                <w:sz w:val="22"/>
                <w:szCs w:val="22"/>
                <w:lang w:val="en-US"/>
              </w:rPr>
            </w:pPr>
            <w:r w:rsidRPr="00CF3A74">
              <w:rPr>
                <w:rFonts w:ascii="Times New Roman" w:hAnsi="Times New Roman" w:cs="Times New Roman"/>
                <w:sz w:val="22"/>
                <w:szCs w:val="22"/>
                <w:lang w:val="en-US"/>
              </w:rPr>
              <w:t>Upper</w:t>
            </w:r>
          </w:p>
        </w:tc>
      </w:tr>
      <w:tr w:rsidR="0003490A" w:rsidRPr="00CF3A74" w14:paraId="2D381F36" w14:textId="77777777" w:rsidTr="0097398F">
        <w:tc>
          <w:tcPr>
            <w:tcW w:w="3403" w:type="dxa"/>
            <w:tcBorders>
              <w:top w:val="single" w:sz="12" w:space="0" w:color="auto"/>
              <w:bottom w:val="nil"/>
            </w:tcBorders>
          </w:tcPr>
          <w:p w14:paraId="61385C03" w14:textId="77777777" w:rsidR="0003490A" w:rsidRPr="00CF3A74" w:rsidRDefault="0003490A" w:rsidP="0097398F">
            <w:pPr>
              <w:rPr>
                <w:rFonts w:ascii="Times New Roman" w:hAnsi="Times New Roman" w:cs="Times New Roman"/>
                <w:sz w:val="22"/>
                <w:szCs w:val="22"/>
                <w:lang w:val="es-ES"/>
              </w:rPr>
            </w:pPr>
            <w:r w:rsidRPr="00CF3A74">
              <w:rPr>
                <w:rFonts w:ascii="Times New Roman" w:hAnsi="Times New Roman" w:cs="Times New Roman"/>
                <w:sz w:val="22"/>
                <w:szCs w:val="22"/>
                <w:lang w:val="es-ES"/>
              </w:rPr>
              <w:t>Age</w:t>
            </w:r>
          </w:p>
        </w:tc>
        <w:tc>
          <w:tcPr>
            <w:tcW w:w="818" w:type="dxa"/>
            <w:tcBorders>
              <w:top w:val="single" w:sz="12" w:space="0" w:color="auto"/>
              <w:bottom w:val="nil"/>
            </w:tcBorders>
          </w:tcPr>
          <w:p w14:paraId="4A2EC418"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-0.120</w:t>
            </w:r>
          </w:p>
        </w:tc>
        <w:tc>
          <w:tcPr>
            <w:tcW w:w="766" w:type="dxa"/>
            <w:tcBorders>
              <w:top w:val="single" w:sz="12" w:space="0" w:color="auto"/>
              <w:bottom w:val="nil"/>
            </w:tcBorders>
          </w:tcPr>
          <w:p w14:paraId="7F25A0DC"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0.035</w:t>
            </w:r>
          </w:p>
        </w:tc>
        <w:tc>
          <w:tcPr>
            <w:tcW w:w="751" w:type="dxa"/>
            <w:tcBorders>
              <w:top w:val="single" w:sz="12" w:space="0" w:color="auto"/>
              <w:bottom w:val="nil"/>
            </w:tcBorders>
          </w:tcPr>
          <w:p w14:paraId="61991773"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-3.41</w:t>
            </w:r>
          </w:p>
        </w:tc>
        <w:tc>
          <w:tcPr>
            <w:tcW w:w="946" w:type="dxa"/>
            <w:tcBorders>
              <w:top w:val="single" w:sz="12" w:space="0" w:color="auto"/>
              <w:bottom w:val="nil"/>
            </w:tcBorders>
          </w:tcPr>
          <w:p w14:paraId="4925769C"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&lt;0.01**</w:t>
            </w:r>
          </w:p>
        </w:tc>
        <w:tc>
          <w:tcPr>
            <w:tcW w:w="714" w:type="dxa"/>
            <w:tcBorders>
              <w:top w:val="single" w:sz="12" w:space="0" w:color="auto"/>
              <w:bottom w:val="nil"/>
            </w:tcBorders>
          </w:tcPr>
          <w:p w14:paraId="3D4424BA"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0.89</w:t>
            </w:r>
          </w:p>
        </w:tc>
        <w:tc>
          <w:tcPr>
            <w:tcW w:w="839" w:type="dxa"/>
            <w:tcBorders>
              <w:top w:val="single" w:sz="12" w:space="0" w:color="auto"/>
              <w:bottom w:val="nil"/>
            </w:tcBorders>
          </w:tcPr>
          <w:p w14:paraId="7A41B62E"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0,83</w:t>
            </w:r>
          </w:p>
        </w:tc>
        <w:tc>
          <w:tcPr>
            <w:tcW w:w="972" w:type="dxa"/>
            <w:tcBorders>
              <w:top w:val="single" w:sz="12" w:space="0" w:color="auto"/>
              <w:bottom w:val="nil"/>
            </w:tcBorders>
          </w:tcPr>
          <w:p w14:paraId="45F6EEE8"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0.95</w:t>
            </w:r>
          </w:p>
        </w:tc>
      </w:tr>
      <w:tr w:rsidR="0003490A" w:rsidRPr="00CF3A74" w14:paraId="2F0CAD7D" w14:textId="77777777" w:rsidTr="00CF3A74">
        <w:trPr>
          <w:trHeight w:val="397"/>
        </w:trPr>
        <w:tc>
          <w:tcPr>
            <w:tcW w:w="3403" w:type="dxa"/>
            <w:tcBorders>
              <w:top w:val="nil"/>
            </w:tcBorders>
          </w:tcPr>
          <w:p w14:paraId="5D1227CB" w14:textId="77777777" w:rsidR="0003490A" w:rsidRPr="00BE40DD" w:rsidRDefault="0003490A" w:rsidP="0097398F">
            <w:pPr>
              <w:rPr>
                <w:rFonts w:ascii="Times New Roman" w:hAnsi="Times New Roman" w:cs="Times New Roman"/>
                <w:sz w:val="22"/>
                <w:szCs w:val="22"/>
                <w:lang w:val="en-US"/>
              </w:rPr>
            </w:pPr>
            <w:r w:rsidRPr="00BE40DD">
              <w:rPr>
                <w:rFonts w:ascii="Times New Roman" w:hAnsi="Times New Roman" w:cs="Times New Roman"/>
                <w:sz w:val="22"/>
                <w:szCs w:val="22"/>
                <w:lang w:val="en-US"/>
              </w:rPr>
              <w:t>Part of the plant</w:t>
            </w:r>
          </w:p>
        </w:tc>
        <w:tc>
          <w:tcPr>
            <w:tcW w:w="818" w:type="dxa"/>
            <w:tcBorders>
              <w:top w:val="nil"/>
            </w:tcBorders>
          </w:tcPr>
          <w:p w14:paraId="1C8D7409"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0.040</w:t>
            </w:r>
          </w:p>
        </w:tc>
        <w:tc>
          <w:tcPr>
            <w:tcW w:w="766" w:type="dxa"/>
            <w:tcBorders>
              <w:top w:val="nil"/>
            </w:tcBorders>
          </w:tcPr>
          <w:p w14:paraId="79A93636"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0.125</w:t>
            </w:r>
          </w:p>
        </w:tc>
        <w:tc>
          <w:tcPr>
            <w:tcW w:w="751" w:type="dxa"/>
            <w:tcBorders>
              <w:top w:val="nil"/>
            </w:tcBorders>
          </w:tcPr>
          <w:p w14:paraId="6B91B79E"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0.32</w:t>
            </w:r>
          </w:p>
        </w:tc>
        <w:tc>
          <w:tcPr>
            <w:tcW w:w="946" w:type="dxa"/>
            <w:tcBorders>
              <w:top w:val="nil"/>
            </w:tcBorders>
          </w:tcPr>
          <w:p w14:paraId="503E07EE" w14:textId="77777777" w:rsidR="0003490A" w:rsidRPr="00CF3A74" w:rsidRDefault="0003490A" w:rsidP="0097398F">
            <w:pPr>
              <w:spacing w:line="360" w:lineRule="auto"/>
              <w:jc w:val="center"/>
              <w:rPr>
                <w:rFonts w:ascii="Times New Roman" w:hAnsi="Times New Roman" w:cs="Times New Roman"/>
                <w:sz w:val="22"/>
                <w:szCs w:val="22"/>
                <w:vertAlign w:val="superscript"/>
                <w:lang w:val="es-ES"/>
              </w:rPr>
            </w:pPr>
            <w:r w:rsidRPr="00CF3A74">
              <w:rPr>
                <w:rFonts w:ascii="Times New Roman" w:hAnsi="Times New Roman" w:cs="Times New Roman"/>
                <w:sz w:val="22"/>
                <w:szCs w:val="22"/>
                <w:lang w:val="es-ES"/>
              </w:rPr>
              <w:t>0.75</w:t>
            </w:r>
            <w:r w:rsidRPr="00CF3A74">
              <w:rPr>
                <w:rFonts w:ascii="Times New Roman" w:hAnsi="Times New Roman" w:cs="Times New Roman"/>
                <w:sz w:val="22"/>
                <w:szCs w:val="22"/>
                <w:vertAlign w:val="superscript"/>
                <w:lang w:val="es-ES"/>
              </w:rPr>
              <w:t>ns</w:t>
            </w:r>
          </w:p>
        </w:tc>
        <w:tc>
          <w:tcPr>
            <w:tcW w:w="714" w:type="dxa"/>
            <w:tcBorders>
              <w:top w:val="nil"/>
            </w:tcBorders>
          </w:tcPr>
          <w:p w14:paraId="76C32613"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1.04</w:t>
            </w:r>
          </w:p>
        </w:tc>
        <w:tc>
          <w:tcPr>
            <w:tcW w:w="839" w:type="dxa"/>
            <w:tcBorders>
              <w:top w:val="nil"/>
            </w:tcBorders>
          </w:tcPr>
          <w:p w14:paraId="3798A755"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0.81</w:t>
            </w:r>
          </w:p>
        </w:tc>
        <w:tc>
          <w:tcPr>
            <w:tcW w:w="972" w:type="dxa"/>
            <w:tcBorders>
              <w:top w:val="nil"/>
            </w:tcBorders>
          </w:tcPr>
          <w:p w14:paraId="7658283D"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1.33</w:t>
            </w:r>
          </w:p>
        </w:tc>
      </w:tr>
      <w:tr w:rsidR="0003490A" w:rsidRPr="00CF3A74" w14:paraId="547A7A81" w14:textId="77777777" w:rsidTr="0097398F">
        <w:tc>
          <w:tcPr>
            <w:tcW w:w="3403" w:type="dxa"/>
          </w:tcPr>
          <w:p w14:paraId="14685BAC" w14:textId="77777777" w:rsidR="0003490A" w:rsidRPr="00BE40DD" w:rsidRDefault="0003490A" w:rsidP="0097398F">
            <w:pPr>
              <w:rPr>
                <w:rFonts w:ascii="Times New Roman" w:hAnsi="Times New Roman" w:cs="Times New Roman"/>
                <w:sz w:val="22"/>
                <w:szCs w:val="22"/>
                <w:lang w:val="en-US"/>
              </w:rPr>
            </w:pPr>
            <w:r w:rsidRPr="00BE40DD">
              <w:rPr>
                <w:rFonts w:ascii="Times New Roman" w:hAnsi="Times New Roman" w:cs="Times New Roman"/>
                <w:sz w:val="22"/>
                <w:szCs w:val="22"/>
                <w:lang w:val="en-US"/>
              </w:rPr>
              <w:t>Hospitalization time</w:t>
            </w:r>
          </w:p>
        </w:tc>
        <w:tc>
          <w:tcPr>
            <w:tcW w:w="818" w:type="dxa"/>
          </w:tcPr>
          <w:p w14:paraId="02917F00"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-1.635</w:t>
            </w:r>
          </w:p>
        </w:tc>
        <w:tc>
          <w:tcPr>
            <w:tcW w:w="766" w:type="dxa"/>
          </w:tcPr>
          <w:p w14:paraId="22C1C83E"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0.294</w:t>
            </w:r>
          </w:p>
        </w:tc>
        <w:tc>
          <w:tcPr>
            <w:tcW w:w="751" w:type="dxa"/>
          </w:tcPr>
          <w:p w14:paraId="7F2BB090"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-.555</w:t>
            </w:r>
          </w:p>
        </w:tc>
        <w:tc>
          <w:tcPr>
            <w:tcW w:w="946" w:type="dxa"/>
          </w:tcPr>
          <w:p w14:paraId="4A218471"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&lt;0.01**</w:t>
            </w:r>
          </w:p>
        </w:tc>
        <w:tc>
          <w:tcPr>
            <w:tcW w:w="714" w:type="dxa"/>
          </w:tcPr>
          <w:p w14:paraId="02E2ADE8"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0.19</w:t>
            </w:r>
          </w:p>
        </w:tc>
        <w:tc>
          <w:tcPr>
            <w:tcW w:w="839" w:type="dxa"/>
          </w:tcPr>
          <w:p w14:paraId="4D36625D"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0.11</w:t>
            </w:r>
          </w:p>
        </w:tc>
        <w:tc>
          <w:tcPr>
            <w:tcW w:w="972" w:type="dxa"/>
          </w:tcPr>
          <w:p w14:paraId="3A6875C3"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0.35</w:t>
            </w:r>
          </w:p>
        </w:tc>
      </w:tr>
      <w:tr w:rsidR="0003490A" w:rsidRPr="00CF3A74" w14:paraId="6F5AD882" w14:textId="77777777" w:rsidTr="0097398F">
        <w:tc>
          <w:tcPr>
            <w:tcW w:w="3403" w:type="dxa"/>
          </w:tcPr>
          <w:p w14:paraId="79BA7755" w14:textId="77777777" w:rsidR="0003490A" w:rsidRPr="00BE40DD" w:rsidRDefault="0003490A" w:rsidP="0097398F">
            <w:pPr>
              <w:rPr>
                <w:rFonts w:ascii="Times New Roman" w:hAnsi="Times New Roman" w:cs="Times New Roman"/>
                <w:sz w:val="22"/>
                <w:szCs w:val="22"/>
                <w:lang w:val="en-US"/>
              </w:rPr>
            </w:pPr>
            <w:r w:rsidRPr="00BE40DD">
              <w:rPr>
                <w:rFonts w:ascii="Times New Roman" w:hAnsi="Times New Roman" w:cs="Times New Roman"/>
                <w:sz w:val="22"/>
                <w:szCs w:val="22"/>
                <w:lang w:val="en-US"/>
              </w:rPr>
              <w:t>Age*Part of the plant</w:t>
            </w:r>
          </w:p>
        </w:tc>
        <w:tc>
          <w:tcPr>
            <w:tcW w:w="818" w:type="dxa"/>
          </w:tcPr>
          <w:p w14:paraId="0180FB3B"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0.011</w:t>
            </w:r>
          </w:p>
        </w:tc>
        <w:tc>
          <w:tcPr>
            <w:tcW w:w="766" w:type="dxa"/>
          </w:tcPr>
          <w:p w14:paraId="4C32C9F2"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0.005</w:t>
            </w:r>
          </w:p>
        </w:tc>
        <w:tc>
          <w:tcPr>
            <w:tcW w:w="751" w:type="dxa"/>
          </w:tcPr>
          <w:p w14:paraId="537A15A4"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2.07</w:t>
            </w:r>
          </w:p>
        </w:tc>
        <w:tc>
          <w:tcPr>
            <w:tcW w:w="946" w:type="dxa"/>
          </w:tcPr>
          <w:p w14:paraId="0D9D19E2"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&lt;0.05*</w:t>
            </w:r>
          </w:p>
        </w:tc>
        <w:tc>
          <w:tcPr>
            <w:tcW w:w="714" w:type="dxa"/>
          </w:tcPr>
          <w:p w14:paraId="5EF6BCC1"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1.01</w:t>
            </w:r>
          </w:p>
        </w:tc>
        <w:tc>
          <w:tcPr>
            <w:tcW w:w="839" w:type="dxa"/>
          </w:tcPr>
          <w:p w14:paraId="3AB42728"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1.00</w:t>
            </w:r>
          </w:p>
        </w:tc>
        <w:tc>
          <w:tcPr>
            <w:tcW w:w="972" w:type="dxa"/>
          </w:tcPr>
          <w:p w14:paraId="2C4F0AB7"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1.02</w:t>
            </w:r>
          </w:p>
        </w:tc>
      </w:tr>
      <w:tr w:rsidR="0003490A" w:rsidRPr="00CF3A74" w14:paraId="56C3BF8B" w14:textId="77777777" w:rsidTr="0097398F">
        <w:tc>
          <w:tcPr>
            <w:tcW w:w="3403" w:type="dxa"/>
          </w:tcPr>
          <w:p w14:paraId="0B30DEC1" w14:textId="77777777" w:rsidR="0003490A" w:rsidRPr="00BE40DD" w:rsidRDefault="0003490A" w:rsidP="0097398F">
            <w:pPr>
              <w:rPr>
                <w:rFonts w:ascii="Times New Roman" w:hAnsi="Times New Roman" w:cs="Times New Roman"/>
                <w:sz w:val="22"/>
                <w:szCs w:val="22"/>
                <w:lang w:val="en-US"/>
              </w:rPr>
            </w:pPr>
            <w:r w:rsidRPr="00BE40DD">
              <w:rPr>
                <w:rFonts w:ascii="Times New Roman" w:hAnsi="Times New Roman" w:cs="Times New Roman"/>
                <w:sz w:val="22"/>
                <w:szCs w:val="22"/>
                <w:lang w:val="en-US"/>
              </w:rPr>
              <w:t>Age*Hospitalization time</w:t>
            </w:r>
          </w:p>
        </w:tc>
        <w:tc>
          <w:tcPr>
            <w:tcW w:w="818" w:type="dxa"/>
          </w:tcPr>
          <w:p w14:paraId="6CDE3866"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0.022</w:t>
            </w:r>
          </w:p>
        </w:tc>
        <w:tc>
          <w:tcPr>
            <w:tcW w:w="766" w:type="dxa"/>
          </w:tcPr>
          <w:p w14:paraId="24269A4A"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0.007</w:t>
            </w:r>
          </w:p>
        </w:tc>
        <w:tc>
          <w:tcPr>
            <w:tcW w:w="751" w:type="dxa"/>
          </w:tcPr>
          <w:p w14:paraId="77F9DED3"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3.22</w:t>
            </w:r>
          </w:p>
        </w:tc>
        <w:tc>
          <w:tcPr>
            <w:tcW w:w="946" w:type="dxa"/>
          </w:tcPr>
          <w:p w14:paraId="47E62B9B"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&lt;0.01**</w:t>
            </w:r>
          </w:p>
        </w:tc>
        <w:tc>
          <w:tcPr>
            <w:tcW w:w="714" w:type="dxa"/>
          </w:tcPr>
          <w:p w14:paraId="6423A2F6"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1.02</w:t>
            </w:r>
          </w:p>
        </w:tc>
        <w:tc>
          <w:tcPr>
            <w:tcW w:w="839" w:type="dxa"/>
          </w:tcPr>
          <w:p w14:paraId="462FA669"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1.01</w:t>
            </w:r>
          </w:p>
        </w:tc>
        <w:tc>
          <w:tcPr>
            <w:tcW w:w="972" w:type="dxa"/>
          </w:tcPr>
          <w:p w14:paraId="2D0FEB54"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1.04</w:t>
            </w:r>
          </w:p>
        </w:tc>
      </w:tr>
      <w:tr w:rsidR="0003490A" w:rsidRPr="00CF3A74" w14:paraId="70D813CC" w14:textId="77777777" w:rsidTr="0097398F">
        <w:tc>
          <w:tcPr>
            <w:tcW w:w="3403" w:type="dxa"/>
          </w:tcPr>
          <w:p w14:paraId="2E982305" w14:textId="77777777" w:rsidR="0003490A" w:rsidRPr="00BE40DD" w:rsidRDefault="0003490A" w:rsidP="0097398F">
            <w:pPr>
              <w:rPr>
                <w:rFonts w:ascii="Times New Roman" w:hAnsi="Times New Roman" w:cs="Times New Roman"/>
                <w:sz w:val="22"/>
                <w:szCs w:val="22"/>
                <w:lang w:val="en-US"/>
              </w:rPr>
            </w:pPr>
            <w:r w:rsidRPr="00BE40DD">
              <w:rPr>
                <w:rFonts w:ascii="Times New Roman" w:hAnsi="Times New Roman" w:cs="Times New Roman"/>
                <w:sz w:val="22"/>
                <w:szCs w:val="22"/>
                <w:lang w:val="en-US"/>
              </w:rPr>
              <w:t>Part of the plant*Hospitalization time</w:t>
            </w:r>
          </w:p>
        </w:tc>
        <w:tc>
          <w:tcPr>
            <w:tcW w:w="818" w:type="dxa"/>
          </w:tcPr>
          <w:p w14:paraId="1D844365"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0.030</w:t>
            </w:r>
          </w:p>
        </w:tc>
        <w:tc>
          <w:tcPr>
            <w:tcW w:w="766" w:type="dxa"/>
          </w:tcPr>
          <w:p w14:paraId="761A4597"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0.054</w:t>
            </w:r>
          </w:p>
        </w:tc>
        <w:tc>
          <w:tcPr>
            <w:tcW w:w="751" w:type="dxa"/>
          </w:tcPr>
          <w:p w14:paraId="68ECB221"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0.056</w:t>
            </w:r>
          </w:p>
        </w:tc>
        <w:tc>
          <w:tcPr>
            <w:tcW w:w="946" w:type="dxa"/>
          </w:tcPr>
          <w:p w14:paraId="5B7A9AFE" w14:textId="77777777" w:rsidR="0003490A" w:rsidRPr="00CF3A74" w:rsidRDefault="0003490A" w:rsidP="0097398F">
            <w:pPr>
              <w:spacing w:line="360" w:lineRule="auto"/>
              <w:jc w:val="center"/>
              <w:rPr>
                <w:rFonts w:ascii="Times New Roman" w:hAnsi="Times New Roman" w:cs="Times New Roman"/>
                <w:sz w:val="22"/>
                <w:szCs w:val="22"/>
                <w:vertAlign w:val="superscript"/>
                <w:lang w:val="es-ES"/>
              </w:rPr>
            </w:pPr>
            <w:r w:rsidRPr="00CF3A74">
              <w:rPr>
                <w:rFonts w:ascii="Times New Roman" w:hAnsi="Times New Roman" w:cs="Times New Roman"/>
                <w:sz w:val="22"/>
                <w:szCs w:val="22"/>
                <w:lang w:val="es-ES"/>
              </w:rPr>
              <w:t>0.58</w:t>
            </w:r>
            <w:r w:rsidRPr="00CF3A74">
              <w:rPr>
                <w:rFonts w:ascii="Times New Roman" w:hAnsi="Times New Roman" w:cs="Times New Roman"/>
                <w:sz w:val="22"/>
                <w:szCs w:val="22"/>
                <w:vertAlign w:val="superscript"/>
                <w:lang w:val="es-ES"/>
              </w:rPr>
              <w:t>ns</w:t>
            </w:r>
          </w:p>
        </w:tc>
        <w:tc>
          <w:tcPr>
            <w:tcW w:w="714" w:type="dxa"/>
          </w:tcPr>
          <w:p w14:paraId="0998D78C"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1.03</w:t>
            </w:r>
          </w:p>
        </w:tc>
        <w:tc>
          <w:tcPr>
            <w:tcW w:w="839" w:type="dxa"/>
          </w:tcPr>
          <w:p w14:paraId="4791BE19"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0.93</w:t>
            </w:r>
          </w:p>
        </w:tc>
        <w:tc>
          <w:tcPr>
            <w:tcW w:w="972" w:type="dxa"/>
          </w:tcPr>
          <w:p w14:paraId="3D368D50"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1.11</w:t>
            </w:r>
          </w:p>
        </w:tc>
      </w:tr>
    </w:tbl>
    <w:p w14:paraId="2C7C5BDE" w14:textId="77777777" w:rsidR="0003490A" w:rsidRPr="00CF3A74" w:rsidRDefault="0003490A" w:rsidP="0003490A">
      <w:pPr>
        <w:spacing w:after="0" w:line="240" w:lineRule="auto"/>
        <w:rPr>
          <w:rFonts w:ascii="Times New Roman" w:hAnsi="Times New Roman" w:cs="Times New Roman"/>
          <w:sz w:val="22"/>
          <w:szCs w:val="22"/>
          <w:lang w:val="es-ES"/>
        </w:rPr>
      </w:pPr>
      <w:r w:rsidRPr="00CF3A74">
        <w:rPr>
          <w:rFonts w:ascii="Times New Roman" w:hAnsi="Times New Roman" w:cs="Times New Roman"/>
          <w:sz w:val="22"/>
          <w:szCs w:val="22"/>
          <w:lang w:val="es-ES"/>
        </w:rPr>
        <w:t xml:space="preserve">G=241.87 </w:t>
      </w:r>
      <w:r w:rsidRPr="00CF3A74">
        <w:rPr>
          <w:rFonts w:ascii="Times New Roman" w:hAnsi="Times New Roman" w:cs="Times New Roman"/>
          <w:sz w:val="22"/>
          <w:szCs w:val="22"/>
        </w:rPr>
        <w:t>d</w:t>
      </w:r>
      <w:r w:rsidRPr="00CF3A74">
        <w:rPr>
          <w:rFonts w:ascii="Times New Roman" w:hAnsi="Times New Roman" w:cs="Times New Roman"/>
          <w:sz w:val="22"/>
          <w:szCs w:val="22"/>
          <w:lang w:val="es-ES"/>
        </w:rPr>
        <w:t>l=6 p&lt;0.01</w:t>
      </w:r>
    </w:p>
    <w:p w14:paraId="39DD16B6" w14:textId="77777777" w:rsidR="0003490A" w:rsidRPr="00CF3A74" w:rsidRDefault="0003490A" w:rsidP="0003490A">
      <w:pPr>
        <w:jc w:val="both"/>
        <w:rPr>
          <w:rFonts w:ascii="Times New Roman" w:hAnsi="Times New Roman" w:cs="Times New Roman"/>
          <w:sz w:val="22"/>
          <w:szCs w:val="22"/>
          <w:lang w:val="en-US"/>
        </w:rPr>
      </w:pPr>
      <w:r w:rsidRPr="00CF3A74">
        <w:rPr>
          <w:rFonts w:ascii="Times New Roman" w:hAnsi="Times New Roman" w:cs="Times New Roman"/>
          <w:sz w:val="22"/>
          <w:szCs w:val="22"/>
          <w:lang w:val="en-US"/>
        </w:rPr>
        <w:t>(* Significant, ** Highly significant, ns = Not significant)</w:t>
      </w:r>
    </w:p>
    <w:p w14:paraId="7F261CFF" w14:textId="77777777" w:rsidR="0003490A" w:rsidRDefault="0003490A" w:rsidP="008F2990">
      <w:pPr>
        <w:jc w:val="both"/>
        <w:rPr>
          <w:rFonts w:ascii="Times New Roman" w:hAnsi="Times New Roman" w:cs="Times New Roman"/>
          <w:lang w:val="en-US"/>
        </w:rPr>
      </w:pPr>
    </w:p>
    <w:p w14:paraId="02F6AC94" w14:textId="4B081617" w:rsidR="00ED11A0" w:rsidRDefault="0003490A"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Finally, these are the main findings:</w:t>
      </w:r>
      <w:r>
        <w:rPr>
          <w:rFonts w:ascii="Times New Roman" w:hAnsi="Times New Roman" w:cs="Times New Roman"/>
          <w:lang w:val="en-US"/>
        </w:rPr>
        <w:t xml:space="preserve"> </w:t>
      </w:r>
      <w:r w:rsidR="00ED11A0" w:rsidRPr="00F930BF">
        <w:rPr>
          <w:rFonts w:ascii="Times New Roman" w:hAnsi="Times New Roman" w:cs="Times New Roman"/>
          <w:lang w:val="en-US"/>
        </w:rPr>
        <w:t>Most poisonings were accidental and occurred in children aged 1–6 years</w:t>
      </w:r>
      <w:r>
        <w:rPr>
          <w:rFonts w:ascii="Times New Roman" w:hAnsi="Times New Roman" w:cs="Times New Roman"/>
          <w:lang w:val="en-US"/>
        </w:rPr>
        <w:t xml:space="preserve">; </w:t>
      </w:r>
      <w:r w:rsidR="00ED11A0" w:rsidRPr="00F930BF">
        <w:rPr>
          <w:rFonts w:ascii="Times New Roman" w:hAnsi="Times New Roman" w:cs="Times New Roman"/>
          <w:lang w:val="en-US"/>
        </w:rPr>
        <w:t>Leaves and seeds were the plant parts most often involved</w:t>
      </w:r>
      <w:r>
        <w:rPr>
          <w:rFonts w:ascii="Times New Roman" w:hAnsi="Times New Roman" w:cs="Times New Roman"/>
          <w:lang w:val="en-US"/>
        </w:rPr>
        <w:t xml:space="preserve">; </w:t>
      </w:r>
      <w:r w:rsidR="00ED11A0" w:rsidRPr="00F930BF">
        <w:rPr>
          <w:rFonts w:ascii="Times New Roman" w:hAnsi="Times New Roman" w:cs="Times New Roman"/>
          <w:lang w:val="en-US"/>
        </w:rPr>
        <w:t>Moderate poisoning predominated, but 14.2% of cases were severe</w:t>
      </w:r>
      <w:r>
        <w:rPr>
          <w:rFonts w:ascii="Times New Roman" w:hAnsi="Times New Roman" w:cs="Times New Roman"/>
          <w:lang w:val="en-US"/>
        </w:rPr>
        <w:t xml:space="preserve"> </w:t>
      </w:r>
      <w:r w:rsidR="00ED11A0" w:rsidRPr="00F930BF">
        <w:rPr>
          <w:rFonts w:ascii="Times New Roman" w:hAnsi="Times New Roman" w:cs="Times New Roman"/>
          <w:lang w:val="en-US"/>
        </w:rPr>
        <w:t xml:space="preserve">**Species such as </w:t>
      </w:r>
      <w:r w:rsidR="00ED11A0" w:rsidRPr="00F930BF">
        <w:rPr>
          <w:rFonts w:ascii="Times New Roman" w:hAnsi="Times New Roman" w:cs="Times New Roman"/>
          <w:i/>
          <w:iCs/>
          <w:lang w:val="en-US"/>
        </w:rPr>
        <w:t>Nerium oleander</w:t>
      </w:r>
      <w:r w:rsidR="00ED11A0" w:rsidRPr="00F930BF">
        <w:rPr>
          <w:rFonts w:ascii="Times New Roman" w:hAnsi="Times New Roman" w:cs="Times New Roman"/>
          <w:lang w:val="en-US"/>
        </w:rPr>
        <w:t xml:space="preserve">, </w:t>
      </w:r>
      <w:r w:rsidR="00ED11A0" w:rsidRPr="00F930BF">
        <w:rPr>
          <w:rFonts w:ascii="Times New Roman" w:hAnsi="Times New Roman" w:cs="Times New Roman"/>
          <w:i/>
          <w:iCs/>
          <w:lang w:val="en-US"/>
        </w:rPr>
        <w:t xml:space="preserve">Ricinus </w:t>
      </w:r>
      <w:proofErr w:type="spellStart"/>
      <w:r w:rsidR="00ED11A0" w:rsidRPr="00F930BF">
        <w:rPr>
          <w:rFonts w:ascii="Times New Roman" w:hAnsi="Times New Roman" w:cs="Times New Roman"/>
          <w:i/>
          <w:iCs/>
          <w:lang w:val="en-US"/>
        </w:rPr>
        <w:t>communis</w:t>
      </w:r>
      <w:proofErr w:type="spellEnd"/>
      <w:r w:rsidR="00ED11A0" w:rsidRPr="00F930BF">
        <w:rPr>
          <w:rFonts w:ascii="Times New Roman" w:hAnsi="Times New Roman" w:cs="Times New Roman"/>
          <w:lang w:val="en-US"/>
        </w:rPr>
        <w:t xml:space="preserve">, and </w:t>
      </w:r>
      <w:r w:rsidR="00ED11A0" w:rsidRPr="00F930BF">
        <w:rPr>
          <w:rFonts w:ascii="Times New Roman" w:hAnsi="Times New Roman" w:cs="Times New Roman"/>
          <w:i/>
          <w:iCs/>
          <w:lang w:val="en-US"/>
        </w:rPr>
        <w:t>Jatropha spp.</w:t>
      </w:r>
      <w:r w:rsidR="00ED11A0" w:rsidRPr="00F930BF">
        <w:rPr>
          <w:rFonts w:ascii="Times New Roman" w:hAnsi="Times New Roman" w:cs="Times New Roman"/>
          <w:lang w:val="en-US"/>
        </w:rPr>
        <w:t xml:space="preserve"> were strongly associated with severe </w:t>
      </w:r>
      <w:proofErr w:type="gramStart"/>
      <w:r w:rsidR="00ED11A0" w:rsidRPr="00F930BF">
        <w:rPr>
          <w:rFonts w:ascii="Times New Roman" w:hAnsi="Times New Roman" w:cs="Times New Roman"/>
          <w:lang w:val="en-US"/>
        </w:rPr>
        <w:t>outcomes</w:t>
      </w:r>
      <w:r>
        <w:rPr>
          <w:rFonts w:ascii="Times New Roman" w:hAnsi="Times New Roman" w:cs="Times New Roman"/>
          <w:lang w:val="en-US"/>
        </w:rPr>
        <w:t xml:space="preserve"> ;</w:t>
      </w:r>
      <w:proofErr w:type="gramEnd"/>
      <w:r>
        <w:rPr>
          <w:rFonts w:ascii="Times New Roman" w:hAnsi="Times New Roman" w:cs="Times New Roman"/>
          <w:lang w:val="en-US"/>
        </w:rPr>
        <w:t xml:space="preserve"> </w:t>
      </w:r>
      <w:r w:rsidR="00ED11A0" w:rsidRPr="00F930BF">
        <w:rPr>
          <w:rFonts w:ascii="Times New Roman" w:hAnsi="Times New Roman" w:cs="Times New Roman"/>
          <w:lang w:val="en-US"/>
        </w:rPr>
        <w:t>Age &lt;4 years and ingested plant part were significant predictors of severity.</w:t>
      </w:r>
    </w:p>
    <w:p w14:paraId="6ADB30F7" w14:textId="77777777" w:rsidR="00CF3A74" w:rsidRDefault="00CF3A74" w:rsidP="00CF3A74">
      <w:pPr>
        <w:spacing w:line="360" w:lineRule="auto"/>
        <w:jc w:val="both"/>
        <w:rPr>
          <w:rFonts w:ascii="Times New Roman" w:hAnsi="Times New Roman" w:cs="Times New Roman"/>
          <w:lang w:val="en-US"/>
        </w:rPr>
      </w:pPr>
    </w:p>
    <w:p w14:paraId="6F344224" w14:textId="77777777" w:rsidR="00CF3A74" w:rsidRDefault="00CF3A74" w:rsidP="00CF3A74">
      <w:pPr>
        <w:spacing w:line="360" w:lineRule="auto"/>
        <w:jc w:val="both"/>
        <w:rPr>
          <w:rFonts w:ascii="Times New Roman" w:hAnsi="Times New Roman" w:cs="Times New Roman"/>
          <w:lang w:val="en-US"/>
        </w:rPr>
      </w:pPr>
    </w:p>
    <w:p w14:paraId="4C1EFA94" w14:textId="77777777" w:rsidR="00CF3A74" w:rsidRPr="00F930BF" w:rsidRDefault="00CF3A74" w:rsidP="00CF3A74">
      <w:pPr>
        <w:spacing w:line="360" w:lineRule="auto"/>
        <w:jc w:val="both"/>
        <w:rPr>
          <w:rFonts w:ascii="Times New Roman" w:hAnsi="Times New Roman" w:cs="Times New Roman"/>
          <w:lang w:val="en-US"/>
        </w:rPr>
      </w:pPr>
    </w:p>
    <w:p w14:paraId="615A0BEB" w14:textId="77777777" w:rsidR="00ED11A0" w:rsidRPr="0003490A" w:rsidRDefault="00ED11A0" w:rsidP="008F2990">
      <w:pPr>
        <w:jc w:val="both"/>
        <w:rPr>
          <w:rFonts w:ascii="Times New Roman" w:hAnsi="Times New Roman" w:cs="Times New Roman"/>
          <w:b/>
          <w:bCs/>
          <w:lang w:val="en-US"/>
        </w:rPr>
      </w:pPr>
      <w:r w:rsidRPr="0003490A">
        <w:rPr>
          <w:rFonts w:ascii="Times New Roman" w:hAnsi="Times New Roman" w:cs="Times New Roman"/>
          <w:b/>
          <w:bCs/>
          <w:lang w:val="en-US"/>
        </w:rPr>
        <w:t>Discussion</w:t>
      </w:r>
    </w:p>
    <w:p w14:paraId="56882749"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The present findings reinforce that plant poisonings in pediatric populations are predominantly accidental and domestic, occurring primarily among preschool children and usually presenting with mild to moderate clinical outcomes. However, clusters of severe cases associated with specific plant species highlight the persistent public health burden. This pattern is consistent with data from the North American NPDS surveillance system (</w:t>
      </w:r>
      <w:bookmarkStart w:id="17" w:name="_Hlk210650471"/>
      <w:proofErr w:type="spellStart"/>
      <w:r w:rsidRPr="0003490A">
        <w:rPr>
          <w:rFonts w:ascii="Times New Roman" w:hAnsi="Times New Roman" w:cs="Times New Roman"/>
          <w:lang w:val="en-US"/>
        </w:rPr>
        <w:t>Gummin</w:t>
      </w:r>
      <w:proofErr w:type="spellEnd"/>
      <w:r w:rsidRPr="0003490A">
        <w:rPr>
          <w:rFonts w:ascii="Times New Roman" w:hAnsi="Times New Roman" w:cs="Times New Roman"/>
          <w:lang w:val="en-US"/>
        </w:rPr>
        <w:t xml:space="preserve"> et al., 2024</w:t>
      </w:r>
      <w:bookmarkEnd w:id="17"/>
      <w:r w:rsidRPr="0003490A">
        <w:rPr>
          <w:rFonts w:ascii="Times New Roman" w:hAnsi="Times New Roman" w:cs="Times New Roman"/>
          <w:lang w:val="en-US"/>
        </w:rPr>
        <w:t>) and recent European studies (</w:t>
      </w:r>
      <w:bookmarkStart w:id="18" w:name="_Hlk210650485"/>
      <w:proofErr w:type="spellStart"/>
      <w:r w:rsidRPr="0003490A">
        <w:rPr>
          <w:rFonts w:ascii="Times New Roman" w:hAnsi="Times New Roman" w:cs="Times New Roman"/>
          <w:lang w:val="en-US"/>
        </w:rPr>
        <w:t>Nițescu</w:t>
      </w:r>
      <w:proofErr w:type="spellEnd"/>
      <w:r w:rsidRPr="0003490A">
        <w:rPr>
          <w:rFonts w:ascii="Times New Roman" w:hAnsi="Times New Roman" w:cs="Times New Roman"/>
          <w:lang w:val="en-US"/>
        </w:rPr>
        <w:t xml:space="preserve"> et al., 2024</w:t>
      </w:r>
      <w:bookmarkEnd w:id="18"/>
      <w:r w:rsidRPr="0003490A">
        <w:rPr>
          <w:rFonts w:ascii="Times New Roman" w:hAnsi="Times New Roman" w:cs="Times New Roman"/>
          <w:lang w:val="en-US"/>
        </w:rPr>
        <w:t>). In Brazil, the SINITOX/</w:t>
      </w:r>
      <w:proofErr w:type="spellStart"/>
      <w:r w:rsidRPr="0003490A">
        <w:rPr>
          <w:rFonts w:ascii="Times New Roman" w:hAnsi="Times New Roman" w:cs="Times New Roman"/>
          <w:lang w:val="en-US"/>
        </w:rPr>
        <w:t>Fiocruz</w:t>
      </w:r>
      <w:proofErr w:type="spellEnd"/>
      <w:r w:rsidRPr="0003490A">
        <w:rPr>
          <w:rFonts w:ascii="Times New Roman" w:hAnsi="Times New Roman" w:cs="Times New Roman"/>
          <w:lang w:val="en-US"/>
        </w:rPr>
        <w:t xml:space="preserve"> database continues to report significant numbers of cases, although these are likely underestimated due to underreporting (</w:t>
      </w:r>
      <w:bookmarkStart w:id="19" w:name="_Hlk210650504"/>
      <w:r w:rsidRPr="0003490A">
        <w:rPr>
          <w:rFonts w:ascii="Times New Roman" w:hAnsi="Times New Roman" w:cs="Times New Roman"/>
          <w:lang w:val="en-US"/>
        </w:rPr>
        <w:t>Campos et al., 2016</w:t>
      </w:r>
      <w:bookmarkEnd w:id="19"/>
      <w:r w:rsidRPr="0003490A">
        <w:rPr>
          <w:rFonts w:ascii="Times New Roman" w:hAnsi="Times New Roman" w:cs="Times New Roman"/>
          <w:lang w:val="en-US"/>
        </w:rPr>
        <w:t>).</w:t>
      </w:r>
    </w:p>
    <w:p w14:paraId="40581175"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It is important to note that, although the data were collected more than three decades ago, the analysis and discussion presented here were conducted in light of current scientific literature, ensuring the validity and contemporary relevance of the results.</w:t>
      </w:r>
    </w:p>
    <w:p w14:paraId="0DA28B9A"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Two major analytical dimensions emerge from these findings:</w:t>
      </w:r>
    </w:p>
    <w:p w14:paraId="2FD23B1C" w14:textId="5ED5E2A0" w:rsidR="00ED11A0" w:rsidRPr="0003490A" w:rsidRDefault="00ED11A0" w:rsidP="00CF3A74">
      <w:pPr>
        <w:numPr>
          <w:ilvl w:val="0"/>
          <w:numId w:val="5"/>
        </w:numPr>
        <w:spacing w:line="360" w:lineRule="auto"/>
        <w:jc w:val="both"/>
        <w:rPr>
          <w:rFonts w:ascii="Times New Roman" w:hAnsi="Times New Roman" w:cs="Times New Roman"/>
          <w:lang w:val="en-US"/>
        </w:rPr>
      </w:pPr>
      <w:r w:rsidRPr="0003490A">
        <w:rPr>
          <w:rFonts w:ascii="Times New Roman" w:hAnsi="Times New Roman" w:cs="Times New Roman"/>
          <w:lang w:val="en-US"/>
        </w:rPr>
        <w:t>Plant species and plant part involved:</w:t>
      </w:r>
      <w:r w:rsidR="0003490A" w:rsidRPr="0003490A">
        <w:rPr>
          <w:rFonts w:ascii="Times New Roman" w:hAnsi="Times New Roman" w:cs="Times New Roman"/>
          <w:lang w:val="en-US"/>
        </w:rPr>
        <w:t xml:space="preserve"> </w:t>
      </w:r>
      <w:r w:rsidRPr="0003490A">
        <w:rPr>
          <w:rFonts w:ascii="Times New Roman" w:hAnsi="Times New Roman" w:cs="Times New Roman"/>
          <w:lang w:val="en-US"/>
        </w:rPr>
        <w:t xml:space="preserve">In </w:t>
      </w:r>
      <w:proofErr w:type="spellStart"/>
      <w:r w:rsidRPr="0003490A">
        <w:rPr>
          <w:rFonts w:ascii="Times New Roman" w:hAnsi="Times New Roman" w:cs="Times New Roman"/>
          <w:i/>
          <w:iCs/>
          <w:lang w:val="en-US"/>
        </w:rPr>
        <w:t>Araceae</w:t>
      </w:r>
      <w:proofErr w:type="spellEnd"/>
      <w:r w:rsidRPr="0003490A">
        <w:rPr>
          <w:rFonts w:ascii="Times New Roman" w:hAnsi="Times New Roman" w:cs="Times New Roman"/>
          <w:lang w:val="en-US"/>
        </w:rPr>
        <w:t xml:space="preserve"> (e.g., </w:t>
      </w:r>
      <w:r w:rsidRPr="0003490A">
        <w:rPr>
          <w:rFonts w:ascii="Times New Roman" w:hAnsi="Times New Roman" w:cs="Times New Roman"/>
          <w:i/>
          <w:iCs/>
          <w:lang w:val="en-US"/>
        </w:rPr>
        <w:t>Dieffenbachia</w:t>
      </w:r>
      <w:r w:rsidRPr="0003490A">
        <w:rPr>
          <w:rFonts w:ascii="Times New Roman" w:hAnsi="Times New Roman" w:cs="Times New Roman"/>
          <w:lang w:val="en-US"/>
        </w:rPr>
        <w:t xml:space="preserve">), the presence of calcium oxalate </w:t>
      </w:r>
      <w:proofErr w:type="spellStart"/>
      <w:r w:rsidRPr="0003490A">
        <w:rPr>
          <w:rFonts w:ascii="Times New Roman" w:hAnsi="Times New Roman" w:cs="Times New Roman"/>
          <w:lang w:val="en-US"/>
        </w:rPr>
        <w:t>raphides</w:t>
      </w:r>
      <w:proofErr w:type="spellEnd"/>
      <w:r w:rsidRPr="0003490A">
        <w:rPr>
          <w:rFonts w:ascii="Times New Roman" w:hAnsi="Times New Roman" w:cs="Times New Roman"/>
          <w:lang w:val="en-US"/>
        </w:rPr>
        <w:t xml:space="preserve"> can lead to oropharyngeal pain and airway edema, posing a risk of airway obstruction in infants (</w:t>
      </w:r>
      <w:bookmarkStart w:id="20" w:name="_Hlk210650530"/>
      <w:proofErr w:type="spellStart"/>
      <w:r w:rsidRPr="0003490A">
        <w:rPr>
          <w:rFonts w:ascii="Times New Roman" w:hAnsi="Times New Roman" w:cs="Times New Roman"/>
          <w:lang w:val="en-US"/>
        </w:rPr>
        <w:t>Cumpston</w:t>
      </w:r>
      <w:proofErr w:type="spellEnd"/>
      <w:r w:rsidRPr="0003490A">
        <w:rPr>
          <w:rFonts w:ascii="Times New Roman" w:hAnsi="Times New Roman" w:cs="Times New Roman"/>
          <w:lang w:val="en-US"/>
        </w:rPr>
        <w:t xml:space="preserve"> et al., 2003; Gardner, 1994</w:t>
      </w:r>
      <w:bookmarkEnd w:id="20"/>
      <w:r w:rsidRPr="0003490A">
        <w:rPr>
          <w:rFonts w:ascii="Times New Roman" w:hAnsi="Times New Roman" w:cs="Times New Roman"/>
          <w:lang w:val="en-US"/>
        </w:rPr>
        <w:t xml:space="preserve">). In </w:t>
      </w:r>
      <w:proofErr w:type="spellStart"/>
      <w:r w:rsidRPr="0003490A">
        <w:rPr>
          <w:rFonts w:ascii="Times New Roman" w:hAnsi="Times New Roman" w:cs="Times New Roman"/>
          <w:i/>
          <w:iCs/>
          <w:lang w:val="en-US"/>
        </w:rPr>
        <w:t>Euphorbiaceae</w:t>
      </w:r>
      <w:proofErr w:type="spellEnd"/>
      <w:r w:rsidRPr="0003490A">
        <w:rPr>
          <w:rFonts w:ascii="Times New Roman" w:hAnsi="Times New Roman" w:cs="Times New Roman"/>
          <w:lang w:val="en-US"/>
        </w:rPr>
        <w:t xml:space="preserve"> (e.g., </w:t>
      </w:r>
      <w:r w:rsidRPr="0003490A">
        <w:rPr>
          <w:rFonts w:ascii="Times New Roman" w:hAnsi="Times New Roman" w:cs="Times New Roman"/>
          <w:i/>
          <w:iCs/>
          <w:lang w:val="en-US"/>
        </w:rPr>
        <w:t>Jatropha</w:t>
      </w:r>
      <w:r w:rsidRPr="0003490A">
        <w:rPr>
          <w:rFonts w:ascii="Times New Roman" w:hAnsi="Times New Roman" w:cs="Times New Roman"/>
          <w:lang w:val="en-US"/>
        </w:rPr>
        <w:t xml:space="preserve"> species), seeds contain phorbol esters and </w:t>
      </w:r>
      <w:proofErr w:type="spellStart"/>
      <w:r w:rsidRPr="0003490A">
        <w:rPr>
          <w:rFonts w:ascii="Times New Roman" w:hAnsi="Times New Roman" w:cs="Times New Roman"/>
          <w:lang w:val="en-US"/>
        </w:rPr>
        <w:t>curcin</w:t>
      </w:r>
      <w:proofErr w:type="spellEnd"/>
      <w:r w:rsidRPr="0003490A">
        <w:rPr>
          <w:rFonts w:ascii="Times New Roman" w:hAnsi="Times New Roman" w:cs="Times New Roman"/>
          <w:lang w:val="en-US"/>
        </w:rPr>
        <w:t>, which can cause vomiting, diarrhea, and occasionally neurological symptoms (</w:t>
      </w:r>
      <w:bookmarkStart w:id="21" w:name="_Hlk210650558"/>
      <w:r w:rsidR="00045B25" w:rsidRPr="00045B25">
        <w:rPr>
          <w:rFonts w:ascii="Times New Roman" w:hAnsi="Times New Roman" w:cs="Times New Roman"/>
        </w:rPr>
        <w:t>Sharma, Deepak, et al.</w:t>
      </w:r>
      <w:r w:rsidR="00045B25">
        <w:rPr>
          <w:rFonts w:ascii="Times New Roman" w:hAnsi="Times New Roman" w:cs="Times New Roman"/>
        </w:rPr>
        <w:t xml:space="preserve"> 2024</w:t>
      </w:r>
      <w:bookmarkEnd w:id="21"/>
      <w:r w:rsidRPr="0003490A">
        <w:rPr>
          <w:rFonts w:ascii="Times New Roman" w:hAnsi="Times New Roman" w:cs="Times New Roman"/>
          <w:lang w:val="en-US"/>
        </w:rPr>
        <w:t xml:space="preserve">). In </w:t>
      </w:r>
      <w:proofErr w:type="spellStart"/>
      <w:r w:rsidRPr="0003490A">
        <w:rPr>
          <w:rFonts w:ascii="Times New Roman" w:hAnsi="Times New Roman" w:cs="Times New Roman"/>
          <w:i/>
          <w:iCs/>
          <w:lang w:val="en-US"/>
        </w:rPr>
        <w:t>Apocynaceae</w:t>
      </w:r>
      <w:proofErr w:type="spellEnd"/>
      <w:r w:rsidRPr="0003490A">
        <w:rPr>
          <w:rFonts w:ascii="Times New Roman" w:hAnsi="Times New Roman" w:cs="Times New Roman"/>
          <w:lang w:val="en-US"/>
        </w:rPr>
        <w:t xml:space="preserve"> (e.g., </w:t>
      </w:r>
      <w:r w:rsidRPr="0003490A">
        <w:rPr>
          <w:rFonts w:ascii="Times New Roman" w:hAnsi="Times New Roman" w:cs="Times New Roman"/>
          <w:i/>
          <w:iCs/>
          <w:lang w:val="en-US"/>
        </w:rPr>
        <w:t>Nerium</w:t>
      </w:r>
      <w:r w:rsidRPr="0003490A">
        <w:rPr>
          <w:rFonts w:ascii="Times New Roman" w:hAnsi="Times New Roman" w:cs="Times New Roman"/>
          <w:lang w:val="en-US"/>
        </w:rPr>
        <w:t xml:space="preserve"> and </w:t>
      </w:r>
      <w:proofErr w:type="spellStart"/>
      <w:r w:rsidRPr="0003490A">
        <w:rPr>
          <w:rFonts w:ascii="Times New Roman" w:hAnsi="Times New Roman" w:cs="Times New Roman"/>
          <w:i/>
          <w:iCs/>
          <w:lang w:val="en-US"/>
        </w:rPr>
        <w:t>Thevetia</w:t>
      </w:r>
      <w:proofErr w:type="spellEnd"/>
      <w:r w:rsidRPr="0003490A">
        <w:rPr>
          <w:rFonts w:ascii="Times New Roman" w:hAnsi="Times New Roman" w:cs="Times New Roman"/>
          <w:lang w:val="en-US"/>
        </w:rPr>
        <w:t>), cardiotonic glycosides necessitate continuous electrocardiographic monitoring (</w:t>
      </w:r>
      <w:bookmarkStart w:id="22" w:name="_Hlk210650581"/>
      <w:proofErr w:type="spellStart"/>
      <w:r w:rsidRPr="0003490A">
        <w:rPr>
          <w:rFonts w:ascii="Times New Roman" w:hAnsi="Times New Roman" w:cs="Times New Roman"/>
          <w:lang w:val="en-US"/>
        </w:rPr>
        <w:t>Zhai</w:t>
      </w:r>
      <w:proofErr w:type="spellEnd"/>
      <w:r w:rsidRPr="0003490A">
        <w:rPr>
          <w:rFonts w:ascii="Times New Roman" w:hAnsi="Times New Roman" w:cs="Times New Roman"/>
          <w:lang w:val="en-US"/>
        </w:rPr>
        <w:t xml:space="preserve"> et al., 2022</w:t>
      </w:r>
      <w:bookmarkEnd w:id="22"/>
      <w:r w:rsidRPr="0003490A">
        <w:rPr>
          <w:rFonts w:ascii="Times New Roman" w:hAnsi="Times New Roman" w:cs="Times New Roman"/>
          <w:lang w:val="en-US"/>
        </w:rPr>
        <w:t>).</w:t>
      </w:r>
    </w:p>
    <w:p w14:paraId="2F326270" w14:textId="616C0804" w:rsidR="00ED11A0" w:rsidRPr="0003490A" w:rsidRDefault="00ED11A0" w:rsidP="00CF3A74">
      <w:pPr>
        <w:numPr>
          <w:ilvl w:val="0"/>
          <w:numId w:val="5"/>
        </w:numPr>
        <w:spacing w:line="360" w:lineRule="auto"/>
        <w:jc w:val="both"/>
        <w:rPr>
          <w:rFonts w:ascii="Times New Roman" w:hAnsi="Times New Roman" w:cs="Times New Roman"/>
          <w:lang w:val="en-US"/>
        </w:rPr>
      </w:pPr>
      <w:r w:rsidRPr="0003490A">
        <w:rPr>
          <w:rFonts w:ascii="Times New Roman" w:hAnsi="Times New Roman" w:cs="Times New Roman"/>
          <w:lang w:val="en-US"/>
        </w:rPr>
        <w:t>Age and relative dose ingested:</w:t>
      </w:r>
      <w:r w:rsidR="0003490A">
        <w:rPr>
          <w:rFonts w:ascii="Times New Roman" w:hAnsi="Times New Roman" w:cs="Times New Roman"/>
          <w:lang w:val="en-US"/>
        </w:rPr>
        <w:t xml:space="preserve"> </w:t>
      </w:r>
      <w:r w:rsidRPr="0003490A">
        <w:rPr>
          <w:rFonts w:ascii="Times New Roman" w:hAnsi="Times New Roman" w:cs="Times New Roman"/>
          <w:lang w:val="en-US"/>
        </w:rPr>
        <w:t>Children often ingest a higher dose per kilogram of body weight and have difficulty reporting the extent of exposure, increasing clinical uncertainty and the need for extended observation (</w:t>
      </w:r>
      <w:bookmarkStart w:id="23" w:name="_Hlk211345877"/>
      <w:proofErr w:type="spellStart"/>
      <w:r w:rsidRPr="0003490A">
        <w:rPr>
          <w:rFonts w:ascii="Times New Roman" w:hAnsi="Times New Roman" w:cs="Times New Roman"/>
          <w:lang w:val="en-US"/>
        </w:rPr>
        <w:t>Cumpston</w:t>
      </w:r>
      <w:proofErr w:type="spellEnd"/>
      <w:r w:rsidRPr="0003490A">
        <w:rPr>
          <w:rFonts w:ascii="Times New Roman" w:hAnsi="Times New Roman" w:cs="Times New Roman"/>
          <w:lang w:val="en-US"/>
        </w:rPr>
        <w:t xml:space="preserve"> et al., 2003</w:t>
      </w:r>
      <w:bookmarkEnd w:id="23"/>
      <w:r w:rsidRPr="0003490A">
        <w:rPr>
          <w:rFonts w:ascii="Times New Roman" w:hAnsi="Times New Roman" w:cs="Times New Roman"/>
          <w:lang w:val="en-US"/>
        </w:rPr>
        <w:t>).</w:t>
      </w:r>
    </w:p>
    <w:p w14:paraId="3AF71E2E" w14:textId="77777777" w:rsidR="00ED11A0" w:rsidRPr="0003490A" w:rsidRDefault="00ED11A0" w:rsidP="00CF3A74">
      <w:pPr>
        <w:spacing w:line="360" w:lineRule="auto"/>
        <w:jc w:val="both"/>
        <w:rPr>
          <w:rFonts w:ascii="Times New Roman" w:hAnsi="Times New Roman" w:cs="Times New Roman"/>
          <w:b/>
          <w:bCs/>
          <w:lang w:val="en-US"/>
        </w:rPr>
      </w:pPr>
      <w:r w:rsidRPr="0003490A">
        <w:rPr>
          <w:rFonts w:ascii="Times New Roman" w:hAnsi="Times New Roman" w:cs="Times New Roman"/>
          <w:b/>
          <w:bCs/>
          <w:lang w:val="en-US"/>
        </w:rPr>
        <w:t>Limitations</w:t>
      </w:r>
    </w:p>
    <w:p w14:paraId="0BBB0CC5" w14:textId="43F66886"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The limitations of this study are consistent with those typically observed in retrospective cohort studies:</w:t>
      </w:r>
      <w:r w:rsidR="0003490A">
        <w:rPr>
          <w:rFonts w:ascii="Times New Roman" w:hAnsi="Times New Roman" w:cs="Times New Roman"/>
          <w:lang w:val="en-US"/>
        </w:rPr>
        <w:t xml:space="preserve"> a) </w:t>
      </w:r>
      <w:r w:rsidRPr="0003490A">
        <w:rPr>
          <w:rFonts w:ascii="Times New Roman" w:hAnsi="Times New Roman" w:cs="Times New Roman"/>
          <w:lang w:val="en-US"/>
        </w:rPr>
        <w:t>Underreporting and selection bias</w:t>
      </w:r>
      <w:r w:rsidR="0003490A">
        <w:rPr>
          <w:rFonts w:ascii="Times New Roman" w:hAnsi="Times New Roman" w:cs="Times New Roman"/>
          <w:lang w:val="en-US"/>
        </w:rPr>
        <w:t xml:space="preserve">; b) </w:t>
      </w:r>
      <w:r w:rsidRPr="0003490A">
        <w:rPr>
          <w:rFonts w:ascii="Times New Roman" w:hAnsi="Times New Roman" w:cs="Times New Roman"/>
          <w:lang w:val="en-US"/>
        </w:rPr>
        <w:t>Botanical identification often depends on reported descriptions or images (although not in this study), which introduces the potential for misclassification</w:t>
      </w:r>
      <w:r w:rsidR="0003490A">
        <w:rPr>
          <w:rFonts w:ascii="Times New Roman" w:hAnsi="Times New Roman" w:cs="Times New Roman"/>
          <w:lang w:val="en-US"/>
        </w:rPr>
        <w:t xml:space="preserve">; c) </w:t>
      </w:r>
      <w:r w:rsidRPr="0003490A">
        <w:rPr>
          <w:rFonts w:ascii="Times New Roman" w:hAnsi="Times New Roman" w:cs="Times New Roman"/>
          <w:lang w:val="en-US"/>
        </w:rPr>
        <w:t>Lack of precise dose and latency data</w:t>
      </w:r>
      <w:r w:rsidR="0003490A">
        <w:rPr>
          <w:rFonts w:ascii="Times New Roman" w:hAnsi="Times New Roman" w:cs="Times New Roman"/>
          <w:lang w:val="en-US"/>
        </w:rPr>
        <w:t xml:space="preserve">; d) </w:t>
      </w:r>
      <w:r w:rsidRPr="0003490A">
        <w:rPr>
          <w:rFonts w:ascii="Times New Roman" w:hAnsi="Times New Roman" w:cs="Times New Roman"/>
          <w:lang w:val="en-US"/>
        </w:rPr>
        <w:t xml:space="preserve">Focus </w:t>
      </w:r>
      <w:r w:rsidRPr="0003490A">
        <w:rPr>
          <w:rFonts w:ascii="Times New Roman" w:hAnsi="Times New Roman" w:cs="Times New Roman"/>
          <w:lang w:val="en-US"/>
        </w:rPr>
        <w:lastRenderedPageBreak/>
        <w:t>primarily on immediate outcomes, without long-term follow-up</w:t>
      </w:r>
      <w:r w:rsidR="0003490A">
        <w:rPr>
          <w:rFonts w:ascii="Times New Roman" w:hAnsi="Times New Roman" w:cs="Times New Roman"/>
          <w:lang w:val="en-US"/>
        </w:rPr>
        <w:t xml:space="preserve">; e) </w:t>
      </w:r>
      <w:r w:rsidRPr="0003490A">
        <w:rPr>
          <w:rFonts w:ascii="Times New Roman" w:hAnsi="Times New Roman" w:cs="Times New Roman"/>
          <w:lang w:val="en-US"/>
        </w:rPr>
        <w:t>Possible co-exposures not captured in the data.</w:t>
      </w:r>
    </w:p>
    <w:p w14:paraId="21E58BD4"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These limitations, also noted in hospital-based pediatric series (</w:t>
      </w:r>
      <w:bookmarkStart w:id="24" w:name="_Hlk211345922"/>
      <w:proofErr w:type="spellStart"/>
      <w:r w:rsidRPr="0003490A">
        <w:rPr>
          <w:rFonts w:ascii="Times New Roman" w:hAnsi="Times New Roman" w:cs="Times New Roman"/>
          <w:lang w:val="en-US"/>
        </w:rPr>
        <w:t>Nițescu</w:t>
      </w:r>
      <w:proofErr w:type="spellEnd"/>
      <w:r w:rsidRPr="0003490A">
        <w:rPr>
          <w:rFonts w:ascii="Times New Roman" w:hAnsi="Times New Roman" w:cs="Times New Roman"/>
          <w:lang w:val="en-US"/>
        </w:rPr>
        <w:t xml:space="preserve"> et al., 2024</w:t>
      </w:r>
      <w:bookmarkEnd w:id="24"/>
      <w:r w:rsidRPr="0003490A">
        <w:rPr>
          <w:rFonts w:ascii="Times New Roman" w:hAnsi="Times New Roman" w:cs="Times New Roman"/>
          <w:lang w:val="en-US"/>
        </w:rPr>
        <w:t>) and toxicological surveillance systems (</w:t>
      </w:r>
      <w:bookmarkStart w:id="25" w:name="_Hlk211345901"/>
      <w:proofErr w:type="spellStart"/>
      <w:r w:rsidRPr="0003490A">
        <w:rPr>
          <w:rFonts w:ascii="Times New Roman" w:hAnsi="Times New Roman" w:cs="Times New Roman"/>
          <w:lang w:val="en-US"/>
        </w:rPr>
        <w:t>Gummin</w:t>
      </w:r>
      <w:proofErr w:type="spellEnd"/>
      <w:r w:rsidRPr="0003490A">
        <w:rPr>
          <w:rFonts w:ascii="Times New Roman" w:hAnsi="Times New Roman" w:cs="Times New Roman"/>
          <w:lang w:val="en-US"/>
        </w:rPr>
        <w:t xml:space="preserve"> et al., 2024</w:t>
      </w:r>
      <w:bookmarkEnd w:id="25"/>
      <w:r w:rsidRPr="0003490A">
        <w:rPr>
          <w:rFonts w:ascii="Times New Roman" w:hAnsi="Times New Roman" w:cs="Times New Roman"/>
          <w:lang w:val="en-US"/>
        </w:rPr>
        <w:t>), mean the results should be interpreted as minimum estimates and as a basis for future prospective studies.</w:t>
      </w:r>
    </w:p>
    <w:p w14:paraId="7E320892" w14:textId="77777777" w:rsidR="00ED11A0" w:rsidRPr="0003490A" w:rsidRDefault="00ED11A0" w:rsidP="00CF3A74">
      <w:pPr>
        <w:spacing w:line="360" w:lineRule="auto"/>
        <w:jc w:val="both"/>
        <w:rPr>
          <w:rFonts w:ascii="Times New Roman" w:hAnsi="Times New Roman" w:cs="Times New Roman"/>
          <w:b/>
          <w:bCs/>
          <w:lang w:val="en-US"/>
        </w:rPr>
      </w:pPr>
      <w:r w:rsidRPr="0003490A">
        <w:rPr>
          <w:rFonts w:ascii="Times New Roman" w:hAnsi="Times New Roman" w:cs="Times New Roman"/>
          <w:b/>
          <w:bCs/>
          <w:lang w:val="en-US"/>
        </w:rPr>
        <w:t>Clinical Implications</w:t>
      </w:r>
    </w:p>
    <w:p w14:paraId="607FD0F5"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The data support the development of risk stratification algorithms and the establishment of a local “sentinel species” list—a prioritized set of plants that combine high environmental presence (in homes, schools, public spaces) with significant toxic potential, particularly in children. These species function as sentinels by signaling immediate clinical risk and guiding standardized management protocols, including triage procedures, diagnostic tests, observation, and antidote use. The composition of such lists should reflect climatic, ecological, and cultural factors, which may vary by region.</w:t>
      </w:r>
    </w:p>
    <w:p w14:paraId="22803407"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 xml:space="preserve">Other recommended measures include triage protocols based on the plant part ingested and time since exposure, as well as syndrome-based monitoring (e.g., ECG and electrolyte analysis in cases involving cardiotonic glycosides). There is evidence supporting the use of anti-digoxin Fab fragments in </w:t>
      </w:r>
      <w:proofErr w:type="spellStart"/>
      <w:r w:rsidRPr="0003490A">
        <w:rPr>
          <w:rFonts w:ascii="Times New Roman" w:hAnsi="Times New Roman" w:cs="Times New Roman"/>
          <w:i/>
          <w:iCs/>
          <w:lang w:val="en-US"/>
        </w:rPr>
        <w:t>Thevetia</w:t>
      </w:r>
      <w:proofErr w:type="spellEnd"/>
      <w:r w:rsidRPr="0003490A">
        <w:rPr>
          <w:rFonts w:ascii="Times New Roman" w:hAnsi="Times New Roman" w:cs="Times New Roman"/>
          <w:lang w:val="en-US"/>
        </w:rPr>
        <w:t>/</w:t>
      </w:r>
      <w:r w:rsidRPr="0003490A">
        <w:rPr>
          <w:rFonts w:ascii="Times New Roman" w:hAnsi="Times New Roman" w:cs="Times New Roman"/>
          <w:i/>
          <w:iCs/>
          <w:lang w:val="en-US"/>
        </w:rPr>
        <w:t>Nerium</w:t>
      </w:r>
      <w:r w:rsidRPr="0003490A">
        <w:rPr>
          <w:rFonts w:ascii="Times New Roman" w:hAnsi="Times New Roman" w:cs="Times New Roman"/>
          <w:lang w:val="en-US"/>
        </w:rPr>
        <w:t>-induced cardiotoxicity (</w:t>
      </w:r>
      <w:bookmarkStart w:id="26" w:name="_Hlk210650617"/>
      <w:r w:rsidRPr="0003490A">
        <w:rPr>
          <w:rFonts w:ascii="Times New Roman" w:hAnsi="Times New Roman" w:cs="Times New Roman"/>
          <w:lang w:val="en-US"/>
        </w:rPr>
        <w:t xml:space="preserve">Eddleston et al., 2000; </w:t>
      </w:r>
      <w:proofErr w:type="spellStart"/>
      <w:r w:rsidRPr="0003490A">
        <w:rPr>
          <w:rFonts w:ascii="Times New Roman" w:hAnsi="Times New Roman" w:cs="Times New Roman"/>
          <w:lang w:val="en-US"/>
        </w:rPr>
        <w:t>Rajapakse</w:t>
      </w:r>
      <w:proofErr w:type="spellEnd"/>
      <w:r w:rsidRPr="0003490A">
        <w:rPr>
          <w:rFonts w:ascii="Times New Roman" w:hAnsi="Times New Roman" w:cs="Times New Roman"/>
          <w:lang w:val="en-US"/>
        </w:rPr>
        <w:t>, 2009; Thomas et al., 2022</w:t>
      </w:r>
      <w:bookmarkEnd w:id="26"/>
      <w:r w:rsidRPr="0003490A">
        <w:rPr>
          <w:rFonts w:ascii="Times New Roman" w:hAnsi="Times New Roman" w:cs="Times New Roman"/>
          <w:lang w:val="en-US"/>
        </w:rPr>
        <w:t>), which should be included in protocols for severe cases.</w:t>
      </w:r>
    </w:p>
    <w:p w14:paraId="2B58AF09"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 xml:space="preserve">In </w:t>
      </w:r>
      <w:proofErr w:type="spellStart"/>
      <w:r w:rsidRPr="0003490A">
        <w:rPr>
          <w:rFonts w:ascii="Times New Roman" w:hAnsi="Times New Roman" w:cs="Times New Roman"/>
          <w:i/>
          <w:iCs/>
          <w:lang w:val="en-US"/>
        </w:rPr>
        <w:t>Araceae</w:t>
      </w:r>
      <w:proofErr w:type="spellEnd"/>
      <w:r w:rsidRPr="0003490A">
        <w:rPr>
          <w:rFonts w:ascii="Times New Roman" w:hAnsi="Times New Roman" w:cs="Times New Roman"/>
          <w:lang w:val="en-US"/>
        </w:rPr>
        <w:t xml:space="preserve"> poisonings, management focuses on analgesia, oral hygiene, and airway observation, as severe respiratory compromise can occur rapidly in small children. In poisonings involving </w:t>
      </w:r>
      <w:r w:rsidRPr="0003490A">
        <w:rPr>
          <w:rFonts w:ascii="Times New Roman" w:hAnsi="Times New Roman" w:cs="Times New Roman"/>
          <w:i/>
          <w:iCs/>
          <w:lang w:val="en-US"/>
        </w:rPr>
        <w:t>Jatropha</w:t>
      </w:r>
      <w:r w:rsidRPr="0003490A">
        <w:rPr>
          <w:rFonts w:ascii="Times New Roman" w:hAnsi="Times New Roman" w:cs="Times New Roman"/>
          <w:lang w:val="en-US"/>
        </w:rPr>
        <w:t xml:space="preserve"> or </w:t>
      </w:r>
      <w:r w:rsidRPr="0003490A">
        <w:rPr>
          <w:rFonts w:ascii="Times New Roman" w:hAnsi="Times New Roman" w:cs="Times New Roman"/>
          <w:i/>
          <w:iCs/>
          <w:lang w:val="en-US"/>
        </w:rPr>
        <w:t>Ricinus</w:t>
      </w:r>
      <w:r w:rsidRPr="0003490A">
        <w:rPr>
          <w:rFonts w:ascii="Times New Roman" w:hAnsi="Times New Roman" w:cs="Times New Roman"/>
          <w:lang w:val="en-US"/>
        </w:rPr>
        <w:t>, symptomatic support and hydration are the mainstays of treatment, with close monitoring for complications (</w:t>
      </w:r>
      <w:bookmarkStart w:id="27" w:name="_Hlk210650641"/>
      <w:r w:rsidRPr="0003490A">
        <w:rPr>
          <w:rFonts w:ascii="Times New Roman" w:hAnsi="Times New Roman" w:cs="Times New Roman"/>
          <w:lang w:val="en-US"/>
        </w:rPr>
        <w:t>Audi et al., 2005</w:t>
      </w:r>
      <w:bookmarkEnd w:id="27"/>
      <w:r w:rsidRPr="0003490A">
        <w:rPr>
          <w:rFonts w:ascii="Times New Roman" w:hAnsi="Times New Roman" w:cs="Times New Roman"/>
          <w:lang w:val="en-US"/>
        </w:rPr>
        <w:t>).</w:t>
      </w:r>
    </w:p>
    <w:p w14:paraId="043FB27B" w14:textId="77777777" w:rsidR="00ED11A0" w:rsidRPr="0005408A" w:rsidRDefault="00ED11A0" w:rsidP="00CF3A74">
      <w:pPr>
        <w:spacing w:line="360" w:lineRule="auto"/>
        <w:jc w:val="both"/>
        <w:rPr>
          <w:rFonts w:ascii="Times New Roman" w:hAnsi="Times New Roman" w:cs="Times New Roman"/>
          <w:b/>
          <w:bCs/>
          <w:lang w:val="en-US"/>
        </w:rPr>
      </w:pPr>
      <w:r w:rsidRPr="0005408A">
        <w:rPr>
          <w:rFonts w:ascii="Times New Roman" w:hAnsi="Times New Roman" w:cs="Times New Roman"/>
          <w:b/>
          <w:bCs/>
          <w:lang w:val="en-US"/>
        </w:rPr>
        <w:t>Public Health Implications</w:t>
      </w:r>
    </w:p>
    <w:p w14:paraId="1AAED3BB" w14:textId="06AA47FE"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Environmental prevention is a cost-effective strategy. Safe landscaping practices in schools, daycare centers, and public spaces significantly reduce exposure risk, as highlighted by surveys documenting the presence of toxic plants in Brazilian educational environments (</w:t>
      </w:r>
      <w:bookmarkStart w:id="28" w:name="_Hlk210650656"/>
      <w:proofErr w:type="spellStart"/>
      <w:r w:rsidRPr="0003490A">
        <w:rPr>
          <w:rFonts w:ascii="Times New Roman" w:hAnsi="Times New Roman" w:cs="Times New Roman"/>
          <w:lang w:val="en-US"/>
        </w:rPr>
        <w:t>Bochner</w:t>
      </w:r>
      <w:proofErr w:type="spellEnd"/>
      <w:r w:rsidRPr="0003490A">
        <w:rPr>
          <w:rFonts w:ascii="Times New Roman" w:hAnsi="Times New Roman" w:cs="Times New Roman"/>
          <w:lang w:val="en-US"/>
        </w:rPr>
        <w:t xml:space="preserve"> &amp; </w:t>
      </w:r>
      <w:proofErr w:type="spellStart"/>
      <w:r w:rsidRPr="0003490A">
        <w:rPr>
          <w:rFonts w:ascii="Times New Roman" w:hAnsi="Times New Roman" w:cs="Times New Roman"/>
          <w:lang w:val="en-US"/>
        </w:rPr>
        <w:t>Lemos</w:t>
      </w:r>
      <w:proofErr w:type="spellEnd"/>
      <w:r w:rsidRPr="0003490A">
        <w:rPr>
          <w:rFonts w:ascii="Times New Roman" w:hAnsi="Times New Roman" w:cs="Times New Roman"/>
          <w:lang w:val="en-US"/>
        </w:rPr>
        <w:t>, 2017) and in Europe (</w:t>
      </w:r>
      <w:proofErr w:type="spellStart"/>
      <w:r w:rsidRPr="0003490A">
        <w:rPr>
          <w:rFonts w:ascii="Times New Roman" w:hAnsi="Times New Roman" w:cs="Times New Roman"/>
          <w:lang w:val="en-US"/>
        </w:rPr>
        <w:t>Mrđan</w:t>
      </w:r>
      <w:proofErr w:type="spellEnd"/>
      <w:r w:rsidRPr="0003490A">
        <w:rPr>
          <w:rFonts w:ascii="Times New Roman" w:hAnsi="Times New Roman" w:cs="Times New Roman"/>
          <w:lang w:val="en-US"/>
        </w:rPr>
        <w:t xml:space="preserve"> et al., 2017</w:t>
      </w:r>
      <w:bookmarkEnd w:id="28"/>
      <w:r w:rsidRPr="0003490A">
        <w:rPr>
          <w:rFonts w:ascii="Times New Roman" w:hAnsi="Times New Roman" w:cs="Times New Roman"/>
          <w:lang w:val="en-US"/>
        </w:rPr>
        <w:t xml:space="preserve">). Additional recommendations include seasonal public awareness campaigns, mandatory labeling of ornamental plants, and the standardization of national reporting variables (species, plant </w:t>
      </w:r>
      <w:r w:rsidRPr="0003490A">
        <w:rPr>
          <w:rFonts w:ascii="Times New Roman" w:hAnsi="Times New Roman" w:cs="Times New Roman"/>
          <w:lang w:val="en-US"/>
        </w:rPr>
        <w:lastRenderedPageBreak/>
        <w:t xml:space="preserve">part, dose, latency, and outcomes). Regional stockpiles of antidotes for </w:t>
      </w:r>
      <w:proofErr w:type="spellStart"/>
      <w:r w:rsidRPr="0003490A">
        <w:rPr>
          <w:rFonts w:ascii="Times New Roman" w:hAnsi="Times New Roman" w:cs="Times New Roman"/>
          <w:lang w:val="en-US"/>
        </w:rPr>
        <w:t>cardioglycoside</w:t>
      </w:r>
      <w:proofErr w:type="spellEnd"/>
      <w:r w:rsidRPr="0003490A">
        <w:rPr>
          <w:rFonts w:ascii="Times New Roman" w:hAnsi="Times New Roman" w:cs="Times New Roman"/>
          <w:lang w:val="en-US"/>
        </w:rPr>
        <w:t xml:space="preserve"> poisoning should also be established (</w:t>
      </w:r>
      <w:bookmarkStart w:id="29" w:name="_Hlk210650692"/>
      <w:proofErr w:type="spellStart"/>
      <w:r w:rsidRPr="0003490A">
        <w:rPr>
          <w:rFonts w:ascii="Times New Roman" w:hAnsi="Times New Roman" w:cs="Times New Roman"/>
          <w:lang w:val="en-US"/>
        </w:rPr>
        <w:t>Bochner</w:t>
      </w:r>
      <w:proofErr w:type="spellEnd"/>
      <w:r w:rsidRPr="0003490A">
        <w:rPr>
          <w:rFonts w:ascii="Times New Roman" w:hAnsi="Times New Roman" w:cs="Times New Roman"/>
          <w:lang w:val="en-US"/>
        </w:rPr>
        <w:t xml:space="preserve"> &amp; </w:t>
      </w:r>
      <w:proofErr w:type="spellStart"/>
      <w:r w:rsidRPr="0003490A">
        <w:rPr>
          <w:rFonts w:ascii="Times New Roman" w:hAnsi="Times New Roman" w:cs="Times New Roman"/>
          <w:lang w:val="en-US"/>
        </w:rPr>
        <w:t>Lemos</w:t>
      </w:r>
      <w:proofErr w:type="spellEnd"/>
      <w:r w:rsidRPr="0003490A">
        <w:rPr>
          <w:rFonts w:ascii="Times New Roman" w:hAnsi="Times New Roman" w:cs="Times New Roman"/>
          <w:lang w:val="en-US"/>
        </w:rPr>
        <w:t>, 2017</w:t>
      </w:r>
      <w:bookmarkEnd w:id="29"/>
      <w:r w:rsidRPr="0003490A">
        <w:rPr>
          <w:rFonts w:ascii="Times New Roman" w:hAnsi="Times New Roman" w:cs="Times New Roman"/>
          <w:lang w:val="en-US"/>
        </w:rPr>
        <w:t>).</w:t>
      </w:r>
    </w:p>
    <w:p w14:paraId="3FFD6581"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Future research priorities include multicenter cohort studies with botanical confirmation (supported by herbarium and molecular analysis), evaluation of the impact of environmental interventions in schools, cost-effectiveness studies of safe landscaping strategies, and the development of species-specific severity scoring systems in alignment with recent calls in the pediatric toxicology literature (</w:t>
      </w:r>
      <w:proofErr w:type="spellStart"/>
      <w:r w:rsidRPr="0003490A">
        <w:rPr>
          <w:rFonts w:ascii="Times New Roman" w:hAnsi="Times New Roman" w:cs="Times New Roman"/>
          <w:lang w:val="en-US"/>
        </w:rPr>
        <w:t>Nițescu</w:t>
      </w:r>
      <w:proofErr w:type="spellEnd"/>
      <w:r w:rsidRPr="0003490A">
        <w:rPr>
          <w:rFonts w:ascii="Times New Roman" w:hAnsi="Times New Roman" w:cs="Times New Roman"/>
          <w:lang w:val="en-US"/>
        </w:rPr>
        <w:t xml:space="preserve"> et al., 2024).</w:t>
      </w:r>
    </w:p>
    <w:p w14:paraId="772BE505" w14:textId="1BE73766" w:rsidR="00ED11A0" w:rsidRPr="0003490A" w:rsidRDefault="00ED11A0" w:rsidP="00CF3A74">
      <w:pPr>
        <w:spacing w:line="360" w:lineRule="auto"/>
        <w:jc w:val="both"/>
        <w:rPr>
          <w:rFonts w:ascii="Times New Roman" w:hAnsi="Times New Roman" w:cs="Times New Roman"/>
          <w:lang w:val="en-US"/>
        </w:rPr>
      </w:pPr>
    </w:p>
    <w:p w14:paraId="69FDE4E1" w14:textId="77777777" w:rsidR="00ED11A0" w:rsidRPr="0005408A" w:rsidRDefault="00ED11A0" w:rsidP="00CF3A74">
      <w:pPr>
        <w:spacing w:line="360" w:lineRule="auto"/>
        <w:jc w:val="both"/>
        <w:rPr>
          <w:rFonts w:ascii="Times New Roman" w:hAnsi="Times New Roman" w:cs="Times New Roman"/>
          <w:b/>
          <w:bCs/>
          <w:lang w:val="en-US"/>
        </w:rPr>
      </w:pPr>
      <w:r w:rsidRPr="0005408A">
        <w:rPr>
          <w:rFonts w:ascii="Times New Roman" w:hAnsi="Times New Roman" w:cs="Times New Roman"/>
          <w:b/>
          <w:bCs/>
          <w:lang w:val="en-US"/>
        </w:rPr>
        <w:t>Conclusion</w:t>
      </w:r>
    </w:p>
    <w:p w14:paraId="4C427383"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 xml:space="preserve">Most exposures to toxic ornamental plants in childhood are accidental, domestic, and occur in preschool-aged children, with the majority presenting as mild or moderate cases. Nevertheless, severe outcomes remain associated with specific species such as </w:t>
      </w:r>
      <w:r w:rsidRPr="0003490A">
        <w:rPr>
          <w:rFonts w:ascii="Times New Roman" w:hAnsi="Times New Roman" w:cs="Times New Roman"/>
          <w:i/>
          <w:iCs/>
          <w:lang w:val="en-US"/>
        </w:rPr>
        <w:t>Nerium oleander</w:t>
      </w:r>
      <w:r w:rsidRPr="0003490A">
        <w:rPr>
          <w:rFonts w:ascii="Times New Roman" w:hAnsi="Times New Roman" w:cs="Times New Roman"/>
          <w:lang w:val="en-US"/>
        </w:rPr>
        <w:t xml:space="preserve">, </w:t>
      </w:r>
      <w:proofErr w:type="spellStart"/>
      <w:r w:rsidRPr="0003490A">
        <w:rPr>
          <w:rFonts w:ascii="Times New Roman" w:hAnsi="Times New Roman" w:cs="Times New Roman"/>
          <w:i/>
          <w:iCs/>
          <w:lang w:val="en-US"/>
        </w:rPr>
        <w:t>Thevetia</w:t>
      </w:r>
      <w:proofErr w:type="spellEnd"/>
      <w:r w:rsidRPr="0003490A">
        <w:rPr>
          <w:rFonts w:ascii="Times New Roman" w:hAnsi="Times New Roman" w:cs="Times New Roman"/>
          <w:i/>
          <w:iCs/>
          <w:lang w:val="en-US"/>
        </w:rPr>
        <w:t xml:space="preserve"> peruviana</w:t>
      </w:r>
      <w:r w:rsidRPr="0003490A">
        <w:rPr>
          <w:rFonts w:ascii="Times New Roman" w:hAnsi="Times New Roman" w:cs="Times New Roman"/>
          <w:lang w:val="en-US"/>
        </w:rPr>
        <w:t xml:space="preserve">, </w:t>
      </w:r>
      <w:r w:rsidRPr="0003490A">
        <w:rPr>
          <w:rFonts w:ascii="Times New Roman" w:hAnsi="Times New Roman" w:cs="Times New Roman"/>
          <w:i/>
          <w:iCs/>
          <w:lang w:val="en-US"/>
        </w:rPr>
        <w:t xml:space="preserve">Ricinus </w:t>
      </w:r>
      <w:proofErr w:type="spellStart"/>
      <w:r w:rsidRPr="0003490A">
        <w:rPr>
          <w:rFonts w:ascii="Times New Roman" w:hAnsi="Times New Roman" w:cs="Times New Roman"/>
          <w:i/>
          <w:iCs/>
          <w:lang w:val="en-US"/>
        </w:rPr>
        <w:t>communis</w:t>
      </w:r>
      <w:proofErr w:type="spellEnd"/>
      <w:r w:rsidRPr="0003490A">
        <w:rPr>
          <w:rFonts w:ascii="Times New Roman" w:hAnsi="Times New Roman" w:cs="Times New Roman"/>
          <w:lang w:val="en-US"/>
        </w:rPr>
        <w:t xml:space="preserve">, </w:t>
      </w:r>
      <w:r w:rsidRPr="0003490A">
        <w:rPr>
          <w:rFonts w:ascii="Times New Roman" w:hAnsi="Times New Roman" w:cs="Times New Roman"/>
          <w:i/>
          <w:iCs/>
          <w:lang w:val="en-US"/>
        </w:rPr>
        <w:t>Jatropha spp.</w:t>
      </w:r>
      <w:r w:rsidRPr="0003490A">
        <w:rPr>
          <w:rFonts w:ascii="Times New Roman" w:hAnsi="Times New Roman" w:cs="Times New Roman"/>
          <w:lang w:val="en-US"/>
        </w:rPr>
        <w:t xml:space="preserve">, </w:t>
      </w:r>
      <w:r w:rsidRPr="0003490A">
        <w:rPr>
          <w:rFonts w:ascii="Times New Roman" w:hAnsi="Times New Roman" w:cs="Times New Roman"/>
          <w:i/>
          <w:iCs/>
          <w:lang w:val="en-US"/>
        </w:rPr>
        <w:t>Dieffenbachia spp.</w:t>
      </w:r>
      <w:r w:rsidRPr="0003490A">
        <w:rPr>
          <w:rFonts w:ascii="Times New Roman" w:hAnsi="Times New Roman" w:cs="Times New Roman"/>
          <w:lang w:val="en-US"/>
        </w:rPr>
        <w:t xml:space="preserve">, and </w:t>
      </w:r>
      <w:proofErr w:type="spellStart"/>
      <w:r w:rsidRPr="0003490A">
        <w:rPr>
          <w:rFonts w:ascii="Times New Roman" w:hAnsi="Times New Roman" w:cs="Times New Roman"/>
          <w:i/>
          <w:iCs/>
          <w:lang w:val="en-US"/>
        </w:rPr>
        <w:t>Brugmansia</w:t>
      </w:r>
      <w:proofErr w:type="spellEnd"/>
      <w:r w:rsidRPr="0003490A">
        <w:rPr>
          <w:rFonts w:ascii="Times New Roman" w:hAnsi="Times New Roman" w:cs="Times New Roman"/>
          <w:i/>
          <w:iCs/>
          <w:lang w:val="en-US"/>
        </w:rPr>
        <w:t>/Datura</w:t>
      </w:r>
      <w:r w:rsidRPr="0003490A">
        <w:rPr>
          <w:rFonts w:ascii="Times New Roman" w:hAnsi="Times New Roman" w:cs="Times New Roman"/>
          <w:lang w:val="en-US"/>
        </w:rPr>
        <w:t>, particularly following ingestion of seeds or leaves. These findings, combined with the influence of plant part and patient age (younger children ingesting a higher relative dose), underscore the need for standardized clinical protocols based on toxic syndromes and early coordination with poison control centers.</w:t>
      </w:r>
    </w:p>
    <w:p w14:paraId="2C565862"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At the public health level, the adoption of a local sentinel species list to guide safe landscaping practices in educational environments, targeted educational campaigns for caregivers, and enhanced surveillance systems with standardized variables are strongly recommended. Finally, prospective multicenter studies with botanical confirmation and evaluations of environmental and educational interventions are crucial for accurately estimating preventable disease burden and maximizing the impact of clinical and public health strategies.</w:t>
      </w:r>
    </w:p>
    <w:p w14:paraId="2BDE4BC9" w14:textId="77777777" w:rsidR="005526EC" w:rsidRDefault="005526EC" w:rsidP="005526EC">
      <w:r>
        <w:t>Disclaimer (Artificial intelligence)</w:t>
      </w:r>
    </w:p>
    <w:p w14:paraId="043D72E5" w14:textId="77777777" w:rsidR="007424AF" w:rsidRDefault="007424AF" w:rsidP="007424AF">
      <w:pPr>
        <w:jc w:val="both"/>
        <w:rPr>
          <w:rFonts w:asciiTheme="majorHAnsi" w:hAnsiTheme="majorHAnsi"/>
          <w:b/>
          <w:bCs/>
        </w:rPr>
      </w:pPr>
    </w:p>
    <w:p w14:paraId="446D78C8" w14:textId="77777777" w:rsidR="007424AF" w:rsidRDefault="007424AF" w:rsidP="007424AF">
      <w:pPr>
        <w:jc w:val="both"/>
        <w:rPr>
          <w:rFonts w:ascii="Arial" w:hAnsi="Arial" w:cs="Arial"/>
        </w:rPr>
      </w:pPr>
      <w:r>
        <w:rPr>
          <w:rFonts w:ascii="Arial" w:hAnsi="Arial" w:cs="Arial"/>
        </w:rPr>
        <w:t>During the writing, review, and/or editing of the manuscript entitled "</w:t>
      </w:r>
      <w:r>
        <w:rPr>
          <w:rFonts w:ascii="Times New Roman" w:hAnsi="Times New Roman" w:cs="Times New Roman"/>
          <w:b/>
          <w:bCs/>
        </w:rPr>
        <w:t xml:space="preserve"> Toxic Ornamental Plants and Their Impact on Child Health” </w:t>
      </w:r>
      <w:r>
        <w:rPr>
          <w:rFonts w:ascii="Arial" w:hAnsi="Arial" w:cs="Arial"/>
        </w:rPr>
        <w:t xml:space="preserve"> generative AI technologies were used for linguistic assistance, textual enhancement, and technical review.</w:t>
      </w:r>
    </w:p>
    <w:p w14:paraId="36BF7656" w14:textId="77777777" w:rsidR="007424AF" w:rsidRDefault="007424AF" w:rsidP="007424AF">
      <w:pPr>
        <w:jc w:val="both"/>
        <w:rPr>
          <w:rFonts w:ascii="Arial" w:hAnsi="Arial" w:cs="Arial"/>
        </w:rPr>
      </w:pPr>
      <w:r>
        <w:rPr>
          <w:rFonts w:ascii="Arial" w:hAnsi="Arial" w:cs="Arial"/>
          <w:b/>
          <w:bCs/>
        </w:rPr>
        <w:t>Name of generative AI technology used</w:t>
      </w:r>
      <w:r>
        <w:rPr>
          <w:rFonts w:ascii="Arial" w:hAnsi="Arial" w:cs="Arial"/>
        </w:rPr>
        <w:t>: ChatGPT</w:t>
      </w:r>
    </w:p>
    <w:p w14:paraId="6A2B875F" w14:textId="77777777" w:rsidR="007424AF" w:rsidRDefault="007424AF" w:rsidP="007424AF">
      <w:pPr>
        <w:jc w:val="both"/>
        <w:rPr>
          <w:rFonts w:ascii="Arial" w:hAnsi="Arial" w:cs="Arial"/>
        </w:rPr>
      </w:pPr>
      <w:r>
        <w:rPr>
          <w:rFonts w:ascii="Arial" w:hAnsi="Arial" w:cs="Arial"/>
          <w:b/>
          <w:bCs/>
        </w:rPr>
        <w:t>Version and model</w:t>
      </w:r>
      <w:r>
        <w:rPr>
          <w:rFonts w:ascii="Arial" w:hAnsi="Arial" w:cs="Arial"/>
        </w:rPr>
        <w:t>: GPT-4o (OpenAI)</w:t>
      </w:r>
    </w:p>
    <w:p w14:paraId="22F54851" w14:textId="77777777" w:rsidR="007424AF" w:rsidRDefault="007424AF" w:rsidP="007424AF">
      <w:pPr>
        <w:jc w:val="both"/>
        <w:rPr>
          <w:rFonts w:ascii="Arial" w:hAnsi="Arial" w:cs="Arial"/>
        </w:rPr>
      </w:pPr>
      <w:r>
        <w:rPr>
          <w:rFonts w:ascii="Arial" w:hAnsi="Arial" w:cs="Arial"/>
          <w:b/>
          <w:bCs/>
        </w:rPr>
        <w:lastRenderedPageBreak/>
        <w:t>Source</w:t>
      </w:r>
      <w:r>
        <w:rPr>
          <w:rFonts w:ascii="Arial" w:hAnsi="Arial" w:cs="Arial"/>
        </w:rPr>
        <w:t>: https://chat.openai.com</w:t>
      </w:r>
    </w:p>
    <w:p w14:paraId="36E4081E" w14:textId="77777777" w:rsidR="007424AF" w:rsidRDefault="007424AF" w:rsidP="007424AF">
      <w:pPr>
        <w:jc w:val="both"/>
        <w:rPr>
          <w:rFonts w:ascii="Arial" w:hAnsi="Arial" w:cs="Arial"/>
        </w:rPr>
      </w:pPr>
      <w:r>
        <w:rPr>
          <w:rFonts w:ascii="Arial" w:hAnsi="Arial" w:cs="Arial"/>
          <w:b/>
          <w:bCs/>
        </w:rPr>
        <w:t>Technical manager</w:t>
      </w:r>
      <w:r>
        <w:rPr>
          <w:rFonts w:ascii="Arial" w:hAnsi="Arial" w:cs="Arial"/>
        </w:rPr>
        <w:t>: OpenAI, San Francisco, CA, USA</w:t>
      </w:r>
    </w:p>
    <w:p w14:paraId="651845AE" w14:textId="77777777" w:rsidR="007424AF" w:rsidRDefault="007424AF" w:rsidP="007424AF">
      <w:pPr>
        <w:jc w:val="both"/>
        <w:rPr>
          <w:rFonts w:ascii="Arial" w:hAnsi="Arial" w:cs="Arial"/>
        </w:rPr>
      </w:pPr>
      <w:r>
        <w:rPr>
          <w:rFonts w:ascii="Arial" w:hAnsi="Arial" w:cs="Arial"/>
          <w:b/>
          <w:bCs/>
        </w:rPr>
        <w:t>Date of use</w:t>
      </w:r>
      <w:r>
        <w:rPr>
          <w:rFonts w:ascii="Arial" w:hAnsi="Arial" w:cs="Arial"/>
        </w:rPr>
        <w:t>: Between July and August 2025</w:t>
      </w:r>
    </w:p>
    <w:p w14:paraId="6F361BCB" w14:textId="77777777" w:rsidR="007424AF" w:rsidRDefault="007424AF" w:rsidP="007424AF">
      <w:pPr>
        <w:jc w:val="both"/>
        <w:rPr>
          <w:rFonts w:ascii="Arial" w:hAnsi="Arial" w:cs="Arial"/>
        </w:rPr>
      </w:pPr>
      <w:r>
        <w:rPr>
          <w:rFonts w:ascii="Arial" w:hAnsi="Arial" w:cs="Arial"/>
          <w:b/>
          <w:bCs/>
        </w:rPr>
        <w:t>Purpose of use</w:t>
      </w:r>
      <w:r>
        <w:rPr>
          <w:rFonts w:ascii="Arial" w:hAnsi="Arial" w:cs="Arial"/>
        </w:rPr>
        <w:t>:</w:t>
      </w:r>
    </w:p>
    <w:p w14:paraId="09D5370E" w14:textId="77777777" w:rsidR="007424AF" w:rsidRDefault="007424AF" w:rsidP="007424AF">
      <w:pPr>
        <w:jc w:val="both"/>
        <w:rPr>
          <w:rFonts w:ascii="Arial" w:hAnsi="Arial" w:cs="Arial"/>
        </w:rPr>
      </w:pPr>
      <w:r>
        <w:rPr>
          <w:rFonts w:ascii="Arial" w:hAnsi="Arial" w:cs="Arial"/>
        </w:rPr>
        <w:t>• Assistance in the translation and correction of academic excerpts from Portuguese to English.</w:t>
      </w:r>
    </w:p>
    <w:p w14:paraId="53ADD4C0" w14:textId="77777777" w:rsidR="007424AF" w:rsidRDefault="007424AF" w:rsidP="007424AF">
      <w:pPr>
        <w:jc w:val="both"/>
        <w:rPr>
          <w:rFonts w:ascii="Arial" w:hAnsi="Arial" w:cs="Arial"/>
        </w:rPr>
      </w:pPr>
      <w:r>
        <w:rPr>
          <w:rFonts w:ascii="Arial" w:hAnsi="Arial" w:cs="Arial"/>
        </w:rPr>
        <w:t>• Suggestions for restructuring paragraphs for improved clarity, flow, and textual cohesion in English.</w:t>
      </w:r>
    </w:p>
    <w:p w14:paraId="4EC79A39" w14:textId="77777777" w:rsidR="007424AF" w:rsidRDefault="007424AF" w:rsidP="007424AF">
      <w:pPr>
        <w:jc w:val="both"/>
        <w:rPr>
          <w:rFonts w:ascii="Arial" w:hAnsi="Arial" w:cs="Arial"/>
        </w:rPr>
      </w:pPr>
      <w:r>
        <w:rPr>
          <w:rFonts w:ascii="Arial" w:hAnsi="Arial" w:cs="Arial"/>
        </w:rPr>
        <w:t>• Grammar and spelling review.</w:t>
      </w:r>
    </w:p>
    <w:p w14:paraId="5A7459B1" w14:textId="77777777" w:rsidR="007424AF" w:rsidRDefault="007424AF" w:rsidP="007424AF">
      <w:pPr>
        <w:jc w:val="both"/>
        <w:rPr>
          <w:rFonts w:ascii="Arial" w:hAnsi="Arial" w:cs="Arial"/>
        </w:rPr>
      </w:pPr>
      <w:r>
        <w:rPr>
          <w:rFonts w:ascii="Arial" w:hAnsi="Arial" w:cs="Arial"/>
        </w:rPr>
        <w:t>• Support in formatting according to editorial standards.</w:t>
      </w:r>
    </w:p>
    <w:p w14:paraId="101E0F61" w14:textId="77777777" w:rsidR="003A24DF" w:rsidRPr="00CC720A" w:rsidRDefault="003A24DF" w:rsidP="003A24DF">
      <w:pPr>
        <w:spacing w:line="240" w:lineRule="auto"/>
        <w:jc w:val="both"/>
        <w:rPr>
          <w:rFonts w:ascii="Times New Roman" w:hAnsi="Times New Roman" w:cs="Times New Roman"/>
          <w:b/>
          <w:bCs/>
        </w:rPr>
      </w:pPr>
      <w:r w:rsidRPr="00CC720A">
        <w:rPr>
          <w:rFonts w:ascii="Times New Roman" w:hAnsi="Times New Roman" w:cs="Times New Roman"/>
          <w:b/>
          <w:bCs/>
        </w:rPr>
        <w:t>Referências</w:t>
      </w:r>
    </w:p>
    <w:p w14:paraId="6D4EB574" w14:textId="77777777" w:rsidR="000B3598" w:rsidRPr="00296C76" w:rsidRDefault="000B3598" w:rsidP="000B3598">
      <w:pPr>
        <w:spacing w:after="0" w:line="240" w:lineRule="auto"/>
        <w:jc w:val="both"/>
        <w:rPr>
          <w:rFonts w:ascii="Times New Roman" w:hAnsi="Times New Roman" w:cs="Times New Roman"/>
        </w:rPr>
      </w:pPr>
      <w:r w:rsidRPr="00296C76">
        <w:rPr>
          <w:rFonts w:ascii="Times New Roman" w:hAnsi="Times New Roman" w:cs="Times New Roman"/>
        </w:rPr>
        <w:t xml:space="preserve">Audi J, Belson M, Patel M, Schier J, Osterloh J. Ricin poisoning: a comprehensive review. </w:t>
      </w:r>
      <w:r w:rsidRPr="00296C76">
        <w:rPr>
          <w:rFonts w:ascii="Times New Roman" w:hAnsi="Times New Roman" w:cs="Times New Roman"/>
          <w:i/>
          <w:iCs/>
        </w:rPr>
        <w:t>JAMA</w:t>
      </w:r>
      <w:r w:rsidRPr="00296C76">
        <w:rPr>
          <w:rFonts w:ascii="Times New Roman" w:hAnsi="Times New Roman" w:cs="Times New Roman"/>
        </w:rPr>
        <w:t xml:space="preserve">. 2005 Nov 9;294(18):2342–2351. doi:10.1001/jama.294.18.2342. </w:t>
      </w:r>
    </w:p>
    <w:p w14:paraId="7F941E2B" w14:textId="77777777" w:rsidR="000B3598" w:rsidRPr="00296C76" w:rsidRDefault="000B3598" w:rsidP="000B3598">
      <w:pPr>
        <w:spacing w:after="0" w:line="240" w:lineRule="auto"/>
        <w:jc w:val="both"/>
        <w:rPr>
          <w:rFonts w:ascii="Times New Roman" w:hAnsi="Times New Roman" w:cs="Times New Roman"/>
        </w:rPr>
      </w:pPr>
    </w:p>
    <w:p w14:paraId="705661B6" w14:textId="77777777" w:rsidR="000B3598" w:rsidRPr="00296C76" w:rsidRDefault="000B3598" w:rsidP="000B3598">
      <w:pPr>
        <w:spacing w:after="0" w:line="240" w:lineRule="auto"/>
        <w:jc w:val="both"/>
        <w:rPr>
          <w:rFonts w:ascii="Times New Roman" w:hAnsi="Times New Roman" w:cs="Times New Roman"/>
          <w:lang w:val="en-US"/>
        </w:rPr>
      </w:pPr>
      <w:r w:rsidRPr="00296C76">
        <w:rPr>
          <w:rFonts w:ascii="Times New Roman" w:hAnsi="Times New Roman" w:cs="Times New Roman"/>
        </w:rPr>
        <w:t>Bochner, Rosany, and Elba Regina Sampaio de Lemos. "Plantas tóxicas em espaços escolares infantis: do risco à informação." </w:t>
      </w:r>
      <w:r w:rsidRPr="00296C76">
        <w:rPr>
          <w:rFonts w:ascii="Times New Roman" w:hAnsi="Times New Roman" w:cs="Times New Roman"/>
          <w:i/>
          <w:iCs/>
        </w:rPr>
        <w:t>Journal Health NPEPS</w:t>
      </w:r>
      <w:r w:rsidRPr="00296C76">
        <w:rPr>
          <w:rFonts w:ascii="Times New Roman" w:hAnsi="Times New Roman" w:cs="Times New Roman"/>
        </w:rPr>
        <w:t> 2.1 (2017): 102-112.</w:t>
      </w:r>
      <w:r>
        <w:rPr>
          <w:rFonts w:ascii="Times New Roman" w:hAnsi="Times New Roman" w:cs="Times New Roman"/>
        </w:rPr>
        <w:t xml:space="preserve"> </w:t>
      </w:r>
      <w:r w:rsidRPr="00296C76">
        <w:rPr>
          <w:rFonts w:ascii="Times New Roman" w:hAnsi="Times New Roman" w:cs="Times New Roman"/>
          <w:lang w:val="en-US"/>
        </w:rPr>
        <w:t xml:space="preserve">In </w:t>
      </w:r>
      <w:hyperlink r:id="rId7" w:history="1">
        <w:r w:rsidRPr="00296C76">
          <w:rPr>
            <w:rStyle w:val="Hyperlink"/>
            <w:rFonts w:ascii="Times New Roman" w:hAnsi="Times New Roman" w:cs="Times New Roman"/>
            <w:color w:val="auto"/>
            <w:u w:val="none"/>
            <w:lang w:val="en-US"/>
          </w:rPr>
          <w:t>https://periodicos.unemat.br/index.php/jhnpeps/article/view/1814</w:t>
        </w:r>
      </w:hyperlink>
      <w:r w:rsidRPr="00296C76">
        <w:rPr>
          <w:rFonts w:ascii="Times New Roman" w:hAnsi="Times New Roman" w:cs="Times New Roman"/>
          <w:lang w:val="en-US"/>
        </w:rPr>
        <w:t>.</w:t>
      </w:r>
    </w:p>
    <w:p w14:paraId="3CEF7A54" w14:textId="77777777" w:rsidR="000B3598" w:rsidRPr="00296C76" w:rsidRDefault="000B3598" w:rsidP="000B3598">
      <w:pPr>
        <w:spacing w:after="0" w:line="240" w:lineRule="auto"/>
        <w:jc w:val="both"/>
        <w:rPr>
          <w:rFonts w:ascii="Times New Roman" w:hAnsi="Times New Roman" w:cs="Times New Roman"/>
          <w:lang w:val="en-US"/>
        </w:rPr>
      </w:pPr>
    </w:p>
    <w:p w14:paraId="4A34C20E" w14:textId="77777777" w:rsidR="000B3598" w:rsidRPr="00296C76" w:rsidRDefault="000B3598" w:rsidP="000B3598">
      <w:pPr>
        <w:spacing w:after="0" w:line="240" w:lineRule="auto"/>
        <w:jc w:val="both"/>
        <w:rPr>
          <w:rFonts w:ascii="Times New Roman" w:hAnsi="Times New Roman" w:cs="Times New Roman"/>
          <w:lang w:val="en-US"/>
        </w:rPr>
      </w:pPr>
      <w:r w:rsidRPr="00296C76">
        <w:rPr>
          <w:rFonts w:ascii="Times New Roman" w:hAnsi="Times New Roman" w:cs="Times New Roman"/>
        </w:rPr>
        <w:t xml:space="preserve">BRASIL. Resolução nº 466, de 12 de dezembro de 2012. In </w:t>
      </w:r>
      <w:hyperlink r:id="rId8" w:history="1">
        <w:r w:rsidRPr="00296C76">
          <w:rPr>
            <w:rStyle w:val="Hyperlink"/>
            <w:rFonts w:ascii="Times New Roman" w:hAnsi="Times New Roman" w:cs="Times New Roman"/>
            <w:color w:val="auto"/>
            <w:u w:val="none"/>
            <w:lang w:val="en-US"/>
          </w:rPr>
          <w:t>https://www.gov.br/conselho-nacional-de-saude/pt-br/atos-normativos/resolucoes/2012/resolucao-no-466.pdf/view</w:t>
        </w:r>
      </w:hyperlink>
    </w:p>
    <w:p w14:paraId="65056F3F" w14:textId="77777777" w:rsidR="000B3598" w:rsidRPr="00284E34" w:rsidRDefault="000B3598" w:rsidP="000B3598">
      <w:pPr>
        <w:spacing w:after="0" w:line="240" w:lineRule="auto"/>
        <w:jc w:val="both"/>
        <w:rPr>
          <w:rFonts w:ascii="Times New Roman" w:hAnsi="Times New Roman" w:cs="Times New Roman"/>
          <w:lang w:val="en-US"/>
        </w:rPr>
      </w:pPr>
    </w:p>
    <w:p w14:paraId="1C89ADC3" w14:textId="77777777" w:rsidR="000B3598" w:rsidRPr="00296C76" w:rsidRDefault="000B3598" w:rsidP="000B3598">
      <w:pPr>
        <w:spacing w:after="0" w:line="240" w:lineRule="auto"/>
        <w:jc w:val="both"/>
        <w:rPr>
          <w:rFonts w:ascii="Times New Roman" w:hAnsi="Times New Roman" w:cs="Times New Roman"/>
        </w:rPr>
      </w:pPr>
      <w:r w:rsidRPr="00296C76">
        <w:rPr>
          <w:rFonts w:ascii="Times New Roman" w:hAnsi="Times New Roman" w:cs="Times New Roman"/>
        </w:rPr>
        <w:t>Campos, S. C., et al. "Toxicidade de espécies vegetais." </w:t>
      </w:r>
      <w:r w:rsidRPr="00296C76">
        <w:rPr>
          <w:rFonts w:ascii="Times New Roman" w:hAnsi="Times New Roman" w:cs="Times New Roman"/>
          <w:i/>
          <w:iCs/>
        </w:rPr>
        <w:t>Revista Brasileira de plantas medicinais</w:t>
      </w:r>
      <w:r w:rsidRPr="00296C76">
        <w:rPr>
          <w:rFonts w:ascii="Times New Roman" w:hAnsi="Times New Roman" w:cs="Times New Roman"/>
        </w:rPr>
        <w:t xml:space="preserve"> 18.1 suppl 1 (2016): 373-382. </w:t>
      </w:r>
      <w:hyperlink r:id="rId9" w:tgtFrame="_blank" w:history="1">
        <w:r w:rsidRPr="00296C76">
          <w:rPr>
            <w:rStyle w:val="Hyperlink"/>
            <w:rFonts w:ascii="Times New Roman" w:hAnsi="Times New Roman" w:cs="Times New Roman"/>
            <w:color w:val="auto"/>
            <w:u w:val="none"/>
          </w:rPr>
          <w:t>doi.org/10.1590/1983-084X/15_057</w:t>
        </w:r>
      </w:hyperlink>
      <w:r w:rsidRPr="00296C76">
        <w:rPr>
          <w:rFonts w:ascii="Times New Roman" w:hAnsi="Times New Roman" w:cs="Times New Roman"/>
        </w:rPr>
        <w:t xml:space="preserve"> </w:t>
      </w:r>
    </w:p>
    <w:p w14:paraId="68DBDE90" w14:textId="77777777" w:rsidR="000B3598" w:rsidRPr="00296C76" w:rsidRDefault="000B3598" w:rsidP="000B3598">
      <w:pPr>
        <w:spacing w:after="0" w:line="240" w:lineRule="auto"/>
        <w:jc w:val="both"/>
        <w:rPr>
          <w:rFonts w:ascii="Times New Roman" w:hAnsi="Times New Roman" w:cs="Times New Roman"/>
        </w:rPr>
      </w:pPr>
    </w:p>
    <w:p w14:paraId="55F63A84" w14:textId="27218388" w:rsidR="000B3598" w:rsidRPr="00296C76" w:rsidRDefault="000B3598" w:rsidP="000B3598">
      <w:pPr>
        <w:spacing w:after="0" w:line="240" w:lineRule="auto"/>
        <w:jc w:val="both"/>
        <w:rPr>
          <w:rFonts w:ascii="Times New Roman" w:hAnsi="Times New Roman" w:cs="Times New Roman"/>
        </w:rPr>
      </w:pPr>
      <w:r w:rsidRPr="00296C76">
        <w:rPr>
          <w:rFonts w:ascii="Times New Roman" w:hAnsi="Times New Roman" w:cs="Times New Roman"/>
        </w:rPr>
        <w:t>Cumpston, Kirk L., et al. "Acute airway compromise after brief exposure to a Dieffenbachia plant." </w:t>
      </w:r>
      <w:r w:rsidRPr="00296C76">
        <w:rPr>
          <w:rFonts w:ascii="Times New Roman" w:hAnsi="Times New Roman" w:cs="Times New Roman"/>
          <w:i/>
          <w:iCs/>
        </w:rPr>
        <w:t>The Journal of emergency medicine</w:t>
      </w:r>
      <w:r w:rsidRPr="00296C76">
        <w:rPr>
          <w:rFonts w:ascii="Times New Roman" w:hAnsi="Times New Roman" w:cs="Times New Roman"/>
        </w:rPr>
        <w:t xml:space="preserve"> 25.4 (2003): 391-397. </w:t>
      </w:r>
      <w:hyperlink r:id="rId10" w:tgtFrame="_blank" w:tooltip="Persistent link using digital object identifier" w:history="1">
        <w:r w:rsidRPr="00296C76">
          <w:rPr>
            <w:rStyle w:val="Hyperlink"/>
            <w:rFonts w:ascii="Times New Roman" w:hAnsi="Times New Roman" w:cs="Times New Roman"/>
            <w:color w:val="auto"/>
            <w:u w:val="none"/>
          </w:rPr>
          <w:t>doi.org/10.1016/j.jemermed.2003.02.005</w:t>
        </w:r>
      </w:hyperlink>
      <w:r w:rsidRPr="00296C76">
        <w:rPr>
          <w:rFonts w:ascii="Times New Roman" w:hAnsi="Times New Roman" w:cs="Times New Roman"/>
        </w:rPr>
        <w:t xml:space="preserve"> </w:t>
      </w:r>
    </w:p>
    <w:p w14:paraId="622FABA0" w14:textId="77777777" w:rsidR="000B3598" w:rsidRPr="00296C76" w:rsidRDefault="000B3598" w:rsidP="000B3598">
      <w:pPr>
        <w:spacing w:after="0" w:line="240" w:lineRule="auto"/>
        <w:jc w:val="both"/>
        <w:rPr>
          <w:rFonts w:ascii="Times New Roman" w:hAnsi="Times New Roman" w:cs="Times New Roman"/>
        </w:rPr>
      </w:pPr>
      <w:bookmarkStart w:id="30" w:name="_Hlk190436946"/>
    </w:p>
    <w:p w14:paraId="59D7F283" w14:textId="77777777" w:rsidR="000B3598" w:rsidRPr="00296C76" w:rsidRDefault="000B3598" w:rsidP="000B3598">
      <w:pPr>
        <w:spacing w:after="0" w:line="240" w:lineRule="auto"/>
        <w:jc w:val="both"/>
        <w:rPr>
          <w:rFonts w:ascii="Times New Roman" w:hAnsi="Times New Roman" w:cs="Times New Roman"/>
        </w:rPr>
      </w:pPr>
      <w:r w:rsidRPr="00296C76">
        <w:rPr>
          <w:rFonts w:ascii="Times New Roman" w:hAnsi="Times New Roman" w:cs="Times New Roman"/>
        </w:rPr>
        <w:t>da Silva, Laiana Emili, and Tânia Mara Antonelli-Ushirobira</w:t>
      </w:r>
      <w:bookmarkEnd w:id="30"/>
      <w:r w:rsidRPr="00296C76">
        <w:rPr>
          <w:rFonts w:ascii="Times New Roman" w:hAnsi="Times New Roman" w:cs="Times New Roman"/>
        </w:rPr>
        <w:t>. "Levantamento de dados sobre a ocorrência de casos de intoxicações por plantas no Brasil nas regiões Sul e Centro-Oeste entre os anos de 2008 a 2018 "</w:t>
      </w:r>
      <w:r w:rsidRPr="00296C76">
        <w:rPr>
          <w:rFonts w:ascii="Times New Roman" w:hAnsi="Times New Roman" w:cs="Times New Roman"/>
          <w:i/>
          <w:iCs/>
        </w:rPr>
        <w:t>Brazilian Journal of Development</w:t>
      </w:r>
      <w:r w:rsidRPr="00296C76">
        <w:rPr>
          <w:rFonts w:ascii="Times New Roman" w:hAnsi="Times New Roman" w:cs="Times New Roman"/>
        </w:rPr>
        <w:t xml:space="preserve"> 7.11 (2021): 103866-103874. </w:t>
      </w:r>
      <w:hyperlink r:id="rId11" w:history="1">
        <w:r w:rsidRPr="00296C76">
          <w:rPr>
            <w:rStyle w:val="Hyperlink"/>
            <w:rFonts w:ascii="Times New Roman" w:hAnsi="Times New Roman" w:cs="Times New Roman"/>
            <w:color w:val="auto"/>
            <w:u w:val="none"/>
          </w:rPr>
          <w:t>doi.org/10.34117/bjdv7n11-148</w:t>
        </w:r>
      </w:hyperlink>
      <w:r w:rsidRPr="00296C76">
        <w:rPr>
          <w:rFonts w:ascii="Times New Roman" w:hAnsi="Times New Roman" w:cs="Times New Roman"/>
        </w:rPr>
        <w:t xml:space="preserve">  </w:t>
      </w:r>
    </w:p>
    <w:p w14:paraId="4C7F802E" w14:textId="77777777" w:rsidR="000B3598" w:rsidRPr="00284E34" w:rsidRDefault="000B3598" w:rsidP="000B3598">
      <w:pPr>
        <w:spacing w:after="0" w:line="240" w:lineRule="auto"/>
        <w:jc w:val="both"/>
        <w:rPr>
          <w:rFonts w:ascii="Times New Roman" w:hAnsi="Times New Roman" w:cs="Times New Roman"/>
        </w:rPr>
      </w:pPr>
    </w:p>
    <w:p w14:paraId="52653076" w14:textId="77777777"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de Andrade Costa, Elizany Libanio, and Elisângela de Andrade Aoyama. "AS QUATRO ESPÉCIES DE PLANTAS ORNAMENTAIS TÓXICAS ENCONTRADAS EM AMBIENTES DOMICILIARES E PÚBLICOS NO GAMA-DF." </w:t>
      </w:r>
      <w:r w:rsidRPr="0086319E">
        <w:rPr>
          <w:rFonts w:ascii="Times New Roman" w:hAnsi="Times New Roman" w:cs="Times New Roman"/>
          <w:i/>
          <w:iCs/>
        </w:rPr>
        <w:t>Revista Brasileira Interdisciplinar de Saúde–ReBIS</w:t>
      </w:r>
      <w:r w:rsidRPr="0086319E">
        <w:rPr>
          <w:rFonts w:ascii="Times New Roman" w:hAnsi="Times New Roman" w:cs="Times New Roman"/>
        </w:rPr>
        <w:t> 3.2 (2021).</w:t>
      </w:r>
    </w:p>
    <w:p w14:paraId="0F011136" w14:textId="77777777" w:rsidR="000B3598" w:rsidRPr="0086319E" w:rsidRDefault="000B3598" w:rsidP="000B3598">
      <w:pPr>
        <w:spacing w:after="0" w:line="240" w:lineRule="auto"/>
        <w:jc w:val="both"/>
        <w:rPr>
          <w:rFonts w:ascii="Times New Roman" w:hAnsi="Times New Roman" w:cs="Times New Roman"/>
        </w:rPr>
      </w:pPr>
    </w:p>
    <w:p w14:paraId="36FDFF23" w14:textId="77777777"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 xml:space="preserve">de Melo AS, Nunes MG, Imig DC. Plantas tóxicas do Parque Municipal do Iguaçu, Paraná, Brasil. </w:t>
      </w:r>
      <w:r w:rsidRPr="0086319E">
        <w:rPr>
          <w:rFonts w:ascii="Times New Roman" w:hAnsi="Times New Roman" w:cs="Times New Roman"/>
          <w:i/>
          <w:iCs/>
        </w:rPr>
        <w:t>Revista UNIANDRADE</w:t>
      </w:r>
      <w:r w:rsidRPr="0086319E">
        <w:rPr>
          <w:rFonts w:ascii="Times New Roman" w:hAnsi="Times New Roman" w:cs="Times New Roman"/>
        </w:rPr>
        <w:t>. 2021;22(1):48–61. doi:10.18024/1519-5694/revuniandrade.v22n1p-48-61. doi.org/10.18024/1519-5694/revuniandrade.v22n1p-48-61</w:t>
      </w:r>
    </w:p>
    <w:p w14:paraId="4931B63C" w14:textId="77777777" w:rsidR="000B3598" w:rsidRPr="0086319E" w:rsidRDefault="000B3598" w:rsidP="000B3598">
      <w:pPr>
        <w:spacing w:after="0" w:line="240" w:lineRule="auto"/>
        <w:jc w:val="both"/>
        <w:rPr>
          <w:rFonts w:ascii="Times New Roman" w:hAnsi="Times New Roman" w:cs="Times New Roman"/>
        </w:rPr>
      </w:pPr>
    </w:p>
    <w:p w14:paraId="1328F171" w14:textId="77777777"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lastRenderedPageBreak/>
        <w:t>de Oliveira, Simone Santos, et al. "Estudo Etnobotânico de Plantas Tóxicas na Comunidade de Salobra Grande, Porto Estrela-Mato Grosso." </w:t>
      </w:r>
      <w:r w:rsidRPr="0086319E">
        <w:rPr>
          <w:rFonts w:ascii="Times New Roman" w:hAnsi="Times New Roman" w:cs="Times New Roman"/>
          <w:i/>
          <w:iCs/>
        </w:rPr>
        <w:t>Ensaios e Ciência C Biológicas Agrárias e da Saúde</w:t>
      </w:r>
      <w:r w:rsidRPr="0086319E">
        <w:rPr>
          <w:rFonts w:ascii="Times New Roman" w:hAnsi="Times New Roman" w:cs="Times New Roman"/>
        </w:rPr>
        <w:t xml:space="preserve"> 22.1 (2018): 12-16. </w:t>
      </w:r>
      <w:hyperlink r:id="rId12" w:history="1">
        <w:r w:rsidRPr="0086319E">
          <w:rPr>
            <w:rStyle w:val="Hyperlink"/>
            <w:rFonts w:ascii="Times New Roman" w:hAnsi="Times New Roman" w:cs="Times New Roman"/>
            <w:color w:val="auto"/>
            <w:u w:val="none"/>
          </w:rPr>
          <w:t>doi.org/10.17921/1415-6938.2018v22n1p12-16</w:t>
        </w:r>
      </w:hyperlink>
    </w:p>
    <w:p w14:paraId="24C34722" w14:textId="77777777" w:rsidR="000B3598" w:rsidRPr="00284E34" w:rsidRDefault="000B3598" w:rsidP="000B3598">
      <w:pPr>
        <w:spacing w:after="0" w:line="240" w:lineRule="auto"/>
        <w:jc w:val="both"/>
        <w:rPr>
          <w:rFonts w:ascii="Times New Roman" w:hAnsi="Times New Roman" w:cs="Times New Roman"/>
        </w:rPr>
      </w:pPr>
    </w:p>
    <w:p w14:paraId="728C96F9" w14:textId="77777777" w:rsidR="000B3598" w:rsidRPr="0086319E" w:rsidRDefault="000B3598" w:rsidP="000B3598">
      <w:pPr>
        <w:spacing w:after="0" w:line="240" w:lineRule="auto"/>
        <w:jc w:val="both"/>
        <w:rPr>
          <w:rFonts w:ascii="Times New Roman" w:hAnsi="Times New Roman" w:cs="Times New Roman"/>
        </w:rPr>
      </w:pPr>
      <w:bookmarkStart w:id="31" w:name="_Hlk190334565"/>
      <w:r w:rsidRPr="0086319E">
        <w:rPr>
          <w:rFonts w:ascii="Times New Roman" w:hAnsi="Times New Roman" w:cs="Times New Roman"/>
        </w:rPr>
        <w:t>de Vasconcelos, Heloisa Monique Barros, Aretuza Bezerra Brito Ramos</w:t>
      </w:r>
      <w:bookmarkEnd w:id="31"/>
      <w:r w:rsidRPr="0086319E">
        <w:rPr>
          <w:rFonts w:ascii="Times New Roman" w:hAnsi="Times New Roman" w:cs="Times New Roman"/>
        </w:rPr>
        <w:t>. "Conscientização Sobre Plantas Ornamentais Tóxicas Através de Redes Sociais." </w:t>
      </w:r>
      <w:r w:rsidRPr="0086319E">
        <w:rPr>
          <w:rFonts w:ascii="Times New Roman" w:hAnsi="Times New Roman" w:cs="Times New Roman"/>
          <w:i/>
          <w:iCs/>
        </w:rPr>
        <w:t>International Journal of Health Sciences</w:t>
      </w:r>
      <w:r w:rsidRPr="0086319E">
        <w:rPr>
          <w:rFonts w:ascii="Times New Roman" w:hAnsi="Times New Roman" w:cs="Times New Roman"/>
        </w:rPr>
        <w:t xml:space="preserve"> 3.2 (2023): 65-82. </w:t>
      </w:r>
      <w:hyperlink r:id="rId13" w:history="1">
        <w:r w:rsidRPr="0086319E">
          <w:rPr>
            <w:rStyle w:val="Hyperlink"/>
            <w:rFonts w:ascii="Times New Roman" w:hAnsi="Times New Roman" w:cs="Times New Roman"/>
            <w:color w:val="auto"/>
            <w:u w:val="none"/>
          </w:rPr>
          <w:t>doi.org/10.31692/2595-2498.v6i3.293</w:t>
        </w:r>
      </w:hyperlink>
    </w:p>
    <w:p w14:paraId="1688D46F" w14:textId="77777777" w:rsidR="000B3598" w:rsidRPr="0086319E" w:rsidRDefault="000B3598" w:rsidP="000B3598">
      <w:pPr>
        <w:spacing w:after="0" w:line="240" w:lineRule="auto"/>
        <w:jc w:val="both"/>
        <w:rPr>
          <w:rFonts w:ascii="Times New Roman" w:hAnsi="Times New Roman" w:cs="Times New Roman"/>
        </w:rPr>
      </w:pPr>
      <w:bookmarkStart w:id="32" w:name="_Hlk190343730"/>
    </w:p>
    <w:p w14:paraId="1A4A511C" w14:textId="77777777"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Domina, Gianniantonio, Emilio Di Gristina, and Giulio Barone. "Main poisonous and allergenic plant species in Sicilian gardens and parks: applications and recommendations for use." </w:t>
      </w:r>
      <w:r w:rsidRPr="0086319E">
        <w:rPr>
          <w:rFonts w:ascii="Times New Roman" w:hAnsi="Times New Roman" w:cs="Times New Roman"/>
          <w:i/>
          <w:iCs/>
        </w:rPr>
        <w:t>Plants</w:t>
      </w:r>
      <w:r w:rsidRPr="0086319E">
        <w:rPr>
          <w:rFonts w:ascii="Times New Roman" w:hAnsi="Times New Roman" w:cs="Times New Roman"/>
        </w:rPr>
        <w:t> 13.7 (2024): 1031</w:t>
      </w:r>
      <w:r w:rsidRPr="00B87B36">
        <w:rPr>
          <w:rFonts w:ascii="Times New Roman" w:hAnsi="Times New Roman" w:cs="Times New Roman"/>
        </w:rPr>
        <w:t xml:space="preserve">. </w:t>
      </w:r>
      <w:hyperlink r:id="rId14" w:history="1">
        <w:r w:rsidRPr="00B87B36">
          <w:rPr>
            <w:rStyle w:val="Hyperlink"/>
            <w:rFonts w:ascii="Times New Roman" w:hAnsi="Times New Roman" w:cs="Times New Roman"/>
            <w:color w:val="auto"/>
            <w:u w:val="none"/>
          </w:rPr>
          <w:t>doi.org/10.3390/plants13071031</w:t>
        </w:r>
      </w:hyperlink>
    </w:p>
    <w:bookmarkEnd w:id="32"/>
    <w:p w14:paraId="30166E26" w14:textId="77777777" w:rsidR="000B3598" w:rsidRPr="0086319E" w:rsidRDefault="000B3598" w:rsidP="000B3598">
      <w:pPr>
        <w:spacing w:after="0" w:line="240" w:lineRule="auto"/>
        <w:jc w:val="both"/>
        <w:rPr>
          <w:rFonts w:ascii="Times New Roman" w:hAnsi="Times New Roman" w:cs="Times New Roman"/>
          <w:lang w:val="en-US"/>
        </w:rPr>
      </w:pPr>
    </w:p>
    <w:p w14:paraId="678C6C83" w14:textId="77777777"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dos Santos, Bruno Fernando Barros, et al. "Intoxicação por plantas no Estado do Pará, Brasil." </w:t>
      </w:r>
      <w:r w:rsidRPr="0086319E">
        <w:rPr>
          <w:rFonts w:ascii="Times New Roman" w:hAnsi="Times New Roman" w:cs="Times New Roman"/>
          <w:i/>
          <w:iCs/>
        </w:rPr>
        <w:t>Revista Fitos</w:t>
      </w:r>
      <w:r w:rsidRPr="0086319E">
        <w:rPr>
          <w:rFonts w:ascii="Times New Roman" w:hAnsi="Times New Roman" w:cs="Times New Roman"/>
        </w:rPr>
        <w:t> 15.1 (2021): 78-83. doi 10.32712/2446-4775.2021.857</w:t>
      </w:r>
    </w:p>
    <w:p w14:paraId="112BCD16" w14:textId="77777777" w:rsidR="000B3598" w:rsidRPr="0086319E" w:rsidRDefault="000B3598" w:rsidP="000B3598">
      <w:pPr>
        <w:spacing w:after="0" w:line="240" w:lineRule="auto"/>
        <w:jc w:val="both"/>
        <w:rPr>
          <w:rFonts w:ascii="Times New Roman" w:hAnsi="Times New Roman" w:cs="Times New Roman"/>
        </w:rPr>
      </w:pPr>
    </w:p>
    <w:p w14:paraId="58678342" w14:textId="77777777"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Eddleston, Michael, et al. "Anti-digoxin Fab fragments in cardiotoxicity induced by ingestion of yellow oleander: a randomised controlled trial." </w:t>
      </w:r>
      <w:r w:rsidRPr="0086319E">
        <w:rPr>
          <w:rFonts w:ascii="Times New Roman" w:hAnsi="Times New Roman" w:cs="Times New Roman"/>
          <w:i/>
          <w:iCs/>
        </w:rPr>
        <w:t>The Lancet</w:t>
      </w:r>
      <w:r w:rsidRPr="0086319E">
        <w:rPr>
          <w:rFonts w:ascii="Times New Roman" w:hAnsi="Times New Roman" w:cs="Times New Roman"/>
        </w:rPr>
        <w:t> 355.9208 (2000): 967-972. In https://www.thelancet.com/journals/lancet/article/PIIS014067360090014X/abstract</w:t>
      </w:r>
    </w:p>
    <w:p w14:paraId="162352A5" w14:textId="77777777" w:rsidR="000B3598" w:rsidRPr="0086319E" w:rsidRDefault="000B3598" w:rsidP="000B3598">
      <w:pPr>
        <w:spacing w:after="0" w:line="240" w:lineRule="auto"/>
        <w:jc w:val="both"/>
        <w:rPr>
          <w:rFonts w:ascii="Times New Roman" w:hAnsi="Times New Roman" w:cs="Times New Roman"/>
          <w:lang w:val="en-US"/>
        </w:rPr>
      </w:pPr>
    </w:p>
    <w:p w14:paraId="64264B59" w14:textId="77777777"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Gardner, David G. "Injury to the oral mucous membranes caused by the common houseplant, dieffenbachia: A review." </w:t>
      </w:r>
      <w:r w:rsidRPr="0086319E">
        <w:rPr>
          <w:rFonts w:ascii="Times New Roman" w:hAnsi="Times New Roman" w:cs="Times New Roman"/>
          <w:i/>
          <w:iCs/>
        </w:rPr>
        <w:t>Oral surgery, oral medicine, oral pathology</w:t>
      </w:r>
      <w:r w:rsidRPr="0086319E">
        <w:rPr>
          <w:rFonts w:ascii="Times New Roman" w:hAnsi="Times New Roman" w:cs="Times New Roman"/>
        </w:rPr>
        <w:t xml:space="preserve"> 78.5 (1994): 631-633.Gummin et al., 2024. </w:t>
      </w:r>
      <w:hyperlink r:id="rId15" w:tgtFrame="_blank" w:tooltip="Persistent link using digital object identifier" w:history="1">
        <w:r w:rsidRPr="0086319E">
          <w:rPr>
            <w:rStyle w:val="Hyperlink"/>
            <w:rFonts w:ascii="Times New Roman" w:hAnsi="Times New Roman" w:cs="Times New Roman"/>
            <w:color w:val="auto"/>
            <w:u w:val="none"/>
          </w:rPr>
          <w:t>doi.org/10.1016/0030-4220(94)90177-5</w:t>
        </w:r>
      </w:hyperlink>
    </w:p>
    <w:p w14:paraId="2C257325" w14:textId="77777777" w:rsidR="000B3598" w:rsidRPr="0086319E" w:rsidRDefault="000B3598" w:rsidP="000B3598">
      <w:pPr>
        <w:spacing w:after="0" w:line="240" w:lineRule="auto"/>
        <w:jc w:val="both"/>
        <w:rPr>
          <w:rFonts w:ascii="Times New Roman" w:hAnsi="Times New Roman" w:cs="Times New Roman"/>
        </w:rPr>
      </w:pPr>
    </w:p>
    <w:p w14:paraId="33BF15CE" w14:textId="77777777"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Gummin, David D., et al. "2023 annual report of the national poison data system®(NPDS) from America’s Poison Centers®: 41st Annual Report." </w:t>
      </w:r>
      <w:r w:rsidRPr="0086319E">
        <w:rPr>
          <w:rFonts w:ascii="Times New Roman" w:hAnsi="Times New Roman" w:cs="Times New Roman"/>
          <w:i/>
          <w:iCs/>
        </w:rPr>
        <w:t>Clinical Toxicology</w:t>
      </w:r>
      <w:r w:rsidRPr="0086319E">
        <w:rPr>
          <w:rFonts w:ascii="Times New Roman" w:hAnsi="Times New Roman" w:cs="Times New Roman"/>
        </w:rPr>
        <w:t xml:space="preserve"> 62.12 (2024): 793-1027. </w:t>
      </w:r>
      <w:hyperlink r:id="rId16" w:history="1">
        <w:r w:rsidRPr="0086319E">
          <w:rPr>
            <w:rStyle w:val="Hyperlink"/>
            <w:rFonts w:ascii="Times New Roman" w:hAnsi="Times New Roman" w:cs="Times New Roman"/>
            <w:color w:val="auto"/>
            <w:u w:val="none"/>
          </w:rPr>
          <w:t>doi.org/10.1080/15563650.2024.2412423</w:t>
        </w:r>
      </w:hyperlink>
    </w:p>
    <w:p w14:paraId="44B43EA0" w14:textId="77777777" w:rsidR="000B3598" w:rsidRPr="00284E34" w:rsidRDefault="000B3598" w:rsidP="000B3598">
      <w:pPr>
        <w:spacing w:after="0" w:line="240" w:lineRule="auto"/>
        <w:jc w:val="both"/>
        <w:rPr>
          <w:rFonts w:ascii="Times New Roman" w:hAnsi="Times New Roman" w:cs="Times New Roman"/>
        </w:rPr>
      </w:pPr>
    </w:p>
    <w:p w14:paraId="51D36235" w14:textId="4BBFC848"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 xml:space="preserve">Induja MS, Rajesh M, Kumar R, Lakshmi S, Nair V, Ramachandran N. Fatal pediatric poisoning due to accidental ingestion of </w:t>
      </w:r>
      <w:r w:rsidRPr="0086319E">
        <w:rPr>
          <w:rFonts w:ascii="Times New Roman" w:hAnsi="Times New Roman" w:cs="Times New Roman"/>
          <w:i/>
          <w:iCs/>
        </w:rPr>
        <w:t>Nerium oleander</w:t>
      </w:r>
      <w:r w:rsidRPr="0086319E">
        <w:rPr>
          <w:rFonts w:ascii="Times New Roman" w:hAnsi="Times New Roman" w:cs="Times New Roman"/>
        </w:rPr>
        <w:t xml:space="preserve"> leaves. </w:t>
      </w:r>
      <w:r w:rsidRPr="0086319E">
        <w:rPr>
          <w:rFonts w:ascii="Times New Roman" w:hAnsi="Times New Roman" w:cs="Times New Roman"/>
          <w:i/>
          <w:iCs/>
        </w:rPr>
        <w:t>Journal of Forensic and Legal Medicine</w:t>
      </w:r>
      <w:r w:rsidRPr="0086319E">
        <w:rPr>
          <w:rFonts w:ascii="Times New Roman" w:hAnsi="Times New Roman" w:cs="Times New Roman"/>
        </w:rPr>
        <w:t>. 2024;98:102520. doi:10.1016/j.jflm.2024.102520</w:t>
      </w:r>
    </w:p>
    <w:p w14:paraId="356B5C2D" w14:textId="77777777" w:rsidR="000B3598" w:rsidRPr="0086319E" w:rsidRDefault="000B3598" w:rsidP="000B3598">
      <w:pPr>
        <w:spacing w:after="0" w:line="240" w:lineRule="auto"/>
        <w:jc w:val="both"/>
        <w:rPr>
          <w:rFonts w:ascii="Times New Roman" w:hAnsi="Times New Roman" w:cs="Times New Roman"/>
        </w:rPr>
      </w:pPr>
      <w:bookmarkStart w:id="33" w:name="_Hlk190336332"/>
    </w:p>
    <w:p w14:paraId="72BC0AC7" w14:textId="77777777"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Martinho, Renato Bruno D’samontesy Dantas, and Juliana Felix-Silva</w:t>
      </w:r>
      <w:bookmarkEnd w:id="33"/>
      <w:r w:rsidRPr="0086319E">
        <w:rPr>
          <w:rFonts w:ascii="Times New Roman" w:hAnsi="Times New Roman" w:cs="Times New Roman"/>
        </w:rPr>
        <w:t>. "Análise epidemiológica dos casos de intoxicação humana por plantas no brasil (2015-2019)." </w:t>
      </w:r>
      <w:r w:rsidRPr="0086319E">
        <w:rPr>
          <w:rFonts w:ascii="Times New Roman" w:hAnsi="Times New Roman" w:cs="Times New Roman"/>
          <w:i/>
          <w:iCs/>
        </w:rPr>
        <w:t>BIOFARM-Journal of Biology &amp; Pharmacy and Agricultural Management</w:t>
      </w:r>
      <w:r w:rsidRPr="0086319E">
        <w:rPr>
          <w:rFonts w:ascii="Times New Roman" w:hAnsi="Times New Roman" w:cs="Times New Roman"/>
        </w:rPr>
        <w:t xml:space="preserve"> 17.4 (2021): 1133-1145. In </w:t>
      </w:r>
      <w:hyperlink r:id="rId17" w:history="1">
        <w:r w:rsidRPr="0086319E">
          <w:rPr>
            <w:rStyle w:val="Hyperlink"/>
            <w:rFonts w:ascii="Times New Roman" w:hAnsi="Times New Roman" w:cs="Times New Roman"/>
            <w:color w:val="auto"/>
            <w:u w:val="none"/>
          </w:rPr>
          <w:t>https://revista.uepb.edu.br/BIOFARM/article/view/2284/1871</w:t>
        </w:r>
      </w:hyperlink>
    </w:p>
    <w:p w14:paraId="32F66BBB" w14:textId="77777777" w:rsidR="000B3598" w:rsidRPr="0086319E" w:rsidRDefault="000B3598" w:rsidP="000B3598">
      <w:pPr>
        <w:spacing w:after="0" w:line="240" w:lineRule="auto"/>
        <w:jc w:val="both"/>
        <w:rPr>
          <w:rFonts w:ascii="Times New Roman" w:hAnsi="Times New Roman" w:cs="Times New Roman"/>
        </w:rPr>
      </w:pPr>
    </w:p>
    <w:p w14:paraId="328FAD17" w14:textId="77777777"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Mrđan, Snežana, et al. "Poisonous and allergenic plant species in preschool’s and primary school’s yards in the city of Novi Sad." </w:t>
      </w:r>
      <w:r w:rsidRPr="0086319E">
        <w:rPr>
          <w:rFonts w:ascii="Times New Roman" w:hAnsi="Times New Roman" w:cs="Times New Roman"/>
          <w:i/>
          <w:iCs/>
        </w:rPr>
        <w:t>Urban Forestry &amp; Urban Greening</w:t>
      </w:r>
      <w:r w:rsidRPr="0086319E">
        <w:rPr>
          <w:rFonts w:ascii="Times New Roman" w:hAnsi="Times New Roman" w:cs="Times New Roman"/>
        </w:rPr>
        <w:t xml:space="preserve"> 25 (2017): 112-119. </w:t>
      </w:r>
      <w:hyperlink r:id="rId18" w:tgtFrame="_blank" w:tooltip="Persistent link using digital object identifier" w:history="1">
        <w:r w:rsidRPr="0086319E">
          <w:rPr>
            <w:rStyle w:val="Hyperlink"/>
            <w:rFonts w:ascii="Times New Roman" w:hAnsi="Times New Roman" w:cs="Times New Roman"/>
            <w:color w:val="auto"/>
            <w:u w:val="none"/>
          </w:rPr>
          <w:t>doi.org/10.1016/j.ufug.2017.05.007</w:t>
        </w:r>
      </w:hyperlink>
    </w:p>
    <w:p w14:paraId="4CF0221F" w14:textId="77777777" w:rsidR="000B3598" w:rsidRPr="00284E34" w:rsidRDefault="000B3598" w:rsidP="000B3598">
      <w:pPr>
        <w:spacing w:after="0" w:line="240" w:lineRule="auto"/>
        <w:jc w:val="both"/>
        <w:rPr>
          <w:rFonts w:ascii="Times New Roman" w:hAnsi="Times New Roman" w:cs="Times New Roman"/>
        </w:rPr>
      </w:pPr>
    </w:p>
    <w:p w14:paraId="3359E624" w14:textId="17733DC3" w:rsidR="000B3598" w:rsidRPr="0086319E" w:rsidRDefault="000B3598" w:rsidP="000B3598">
      <w:pPr>
        <w:spacing w:after="0" w:line="240" w:lineRule="auto"/>
        <w:jc w:val="both"/>
        <w:rPr>
          <w:rFonts w:ascii="Times New Roman" w:hAnsi="Times New Roman" w:cs="Times New Roman"/>
        </w:rPr>
      </w:pPr>
      <w:bookmarkStart w:id="34" w:name="_Hlk210067554"/>
      <w:r w:rsidRPr="0086319E">
        <w:rPr>
          <w:rFonts w:ascii="Times New Roman" w:hAnsi="Times New Roman" w:cs="Times New Roman"/>
        </w:rPr>
        <w:t>Nițescu GV</w:t>
      </w:r>
      <w:bookmarkEnd w:id="34"/>
      <w:r w:rsidRPr="0086319E">
        <w:rPr>
          <w:rFonts w:ascii="Times New Roman" w:hAnsi="Times New Roman" w:cs="Times New Roman"/>
        </w:rPr>
        <w:t>, Grama A, Turcu T, Strătulă A, Dragomirescu A, Pană ES, Baciu A, Baconi DL, Crăciun MD, Ulmeanu CE. Epidemiology and Clinical Characteristics of Acute Plant Exposure in Patients Aged between 0 and 18 Years-A Six-Year Retrospective Study. Children (Basel). 2024 Feb 21;11(3):271. doi: 10.3390/children11030271</w:t>
      </w:r>
    </w:p>
    <w:p w14:paraId="1ADEB59E" w14:textId="77777777" w:rsidR="000B3598" w:rsidRPr="0086319E" w:rsidRDefault="000B3598" w:rsidP="000B3598">
      <w:pPr>
        <w:spacing w:after="0" w:line="240" w:lineRule="auto"/>
        <w:jc w:val="both"/>
        <w:rPr>
          <w:rFonts w:ascii="Times New Roman" w:hAnsi="Times New Roman" w:cs="Times New Roman"/>
        </w:rPr>
      </w:pPr>
      <w:bookmarkStart w:id="35" w:name="_Hlk210591674"/>
    </w:p>
    <w:p w14:paraId="6CEA2D43" w14:textId="77777777"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lastRenderedPageBreak/>
        <w:t xml:space="preserve">Noumi Noumi, Lysette Joelle, et al. </w:t>
      </w:r>
      <w:bookmarkEnd w:id="35"/>
      <w:r w:rsidRPr="0086319E">
        <w:rPr>
          <w:rFonts w:ascii="Times New Roman" w:hAnsi="Times New Roman" w:cs="Times New Roman"/>
        </w:rPr>
        <w:t>"Ricin intoxication by lethal dose of castor seeds ingestion: a case report." </w:t>
      </w:r>
      <w:r w:rsidRPr="0086319E">
        <w:rPr>
          <w:rFonts w:ascii="Times New Roman" w:hAnsi="Times New Roman" w:cs="Times New Roman"/>
          <w:i/>
          <w:iCs/>
        </w:rPr>
        <w:t>Journal of medical case reports</w:t>
      </w:r>
      <w:r w:rsidRPr="0086319E">
        <w:rPr>
          <w:rFonts w:ascii="Times New Roman" w:hAnsi="Times New Roman" w:cs="Times New Roman"/>
        </w:rPr>
        <w:t> 18.1 (2024): 410. doi.org/10.1186/s13256-024-04697-8</w:t>
      </w:r>
    </w:p>
    <w:p w14:paraId="6ED74C63" w14:textId="77777777" w:rsidR="000B3598" w:rsidRPr="0086319E" w:rsidRDefault="000B3598" w:rsidP="000B3598">
      <w:pPr>
        <w:spacing w:after="0" w:line="240" w:lineRule="auto"/>
        <w:jc w:val="both"/>
        <w:rPr>
          <w:rFonts w:ascii="Times New Roman" w:hAnsi="Times New Roman" w:cs="Times New Roman"/>
        </w:rPr>
      </w:pPr>
    </w:p>
    <w:p w14:paraId="549A6547" w14:textId="77777777"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Okuda, Hirozumi, et al. "Envenenamento fatal devido à ingestão de extrato de folha de oleandro fervida." </w:t>
      </w:r>
      <w:r w:rsidRPr="0086319E">
        <w:rPr>
          <w:rFonts w:ascii="Times New Roman" w:hAnsi="Times New Roman" w:cs="Times New Roman"/>
          <w:i/>
          <w:iCs/>
        </w:rPr>
        <w:t>Journal of forensic sciences</w:t>
      </w:r>
      <w:r w:rsidRPr="0086319E">
        <w:rPr>
          <w:rFonts w:ascii="Times New Roman" w:hAnsi="Times New Roman" w:cs="Times New Roman"/>
        </w:rPr>
        <w:t xml:space="preserve"> 69.1 (2024): 351-354. </w:t>
      </w:r>
      <w:hyperlink r:id="rId19" w:history="1">
        <w:r w:rsidRPr="0086319E">
          <w:rPr>
            <w:rStyle w:val="Hyperlink"/>
            <w:rFonts w:ascii="Times New Roman" w:hAnsi="Times New Roman" w:cs="Times New Roman"/>
            <w:color w:val="auto"/>
            <w:u w:val="none"/>
          </w:rPr>
          <w:t>https://doi.org/10.1111/1556-4029.15393</w:t>
        </w:r>
      </w:hyperlink>
    </w:p>
    <w:p w14:paraId="422C439D" w14:textId="77777777" w:rsidR="000B3598" w:rsidRPr="00B41F96" w:rsidRDefault="000B3598" w:rsidP="000B3598">
      <w:pPr>
        <w:spacing w:after="0" w:line="240" w:lineRule="auto"/>
        <w:jc w:val="both"/>
        <w:rPr>
          <w:rFonts w:ascii="Times New Roman" w:hAnsi="Times New Roman" w:cs="Times New Roman"/>
          <w:color w:val="EE0000"/>
        </w:rPr>
      </w:pPr>
    </w:p>
    <w:p w14:paraId="372AAA50" w14:textId="77777777" w:rsidR="000B3598" w:rsidRPr="00284E34" w:rsidRDefault="000B3598" w:rsidP="000B3598">
      <w:pPr>
        <w:spacing w:after="0" w:line="240" w:lineRule="auto"/>
        <w:jc w:val="both"/>
        <w:rPr>
          <w:rFonts w:ascii="Times New Roman" w:hAnsi="Times New Roman" w:cs="Times New Roman"/>
        </w:rPr>
      </w:pPr>
      <w:r w:rsidRPr="00284E34">
        <w:rPr>
          <w:rFonts w:ascii="Times New Roman" w:hAnsi="Times New Roman" w:cs="Times New Roman"/>
        </w:rPr>
        <w:t>Oliveira, Rita de Cássia Silva de. "Avaliação da citotoxicidade, genotoxicidade e mutagenicidade da mandioca (Manihot esculenta Crantz) em célula tumoral HepG2." (2012). doi.org/10.11606/T.60.2012.tde-27092012-141240</w:t>
      </w:r>
    </w:p>
    <w:p w14:paraId="7AD49574" w14:textId="77777777" w:rsidR="000B3598" w:rsidRPr="00284E34" w:rsidRDefault="000B3598" w:rsidP="000B3598">
      <w:pPr>
        <w:spacing w:after="0" w:line="240" w:lineRule="auto"/>
        <w:jc w:val="both"/>
        <w:rPr>
          <w:rFonts w:ascii="Times New Roman" w:hAnsi="Times New Roman" w:cs="Times New Roman"/>
        </w:rPr>
      </w:pPr>
    </w:p>
    <w:p w14:paraId="48766D8A" w14:textId="77777777"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Omokhua-Uyi, Aitebiremen Gift, and Johannes Van Staden. "Phytomedicinal relevance of South African Cucurbitaceae species and their safety assessment: A review." </w:t>
      </w:r>
      <w:r w:rsidRPr="0086319E">
        <w:rPr>
          <w:rFonts w:ascii="Times New Roman" w:hAnsi="Times New Roman" w:cs="Times New Roman"/>
          <w:i/>
          <w:iCs/>
        </w:rPr>
        <w:t>Journal of ethnopharmacology</w:t>
      </w:r>
      <w:r w:rsidRPr="0086319E">
        <w:rPr>
          <w:rFonts w:ascii="Times New Roman" w:hAnsi="Times New Roman" w:cs="Times New Roman"/>
        </w:rPr>
        <w:t xml:space="preserve"> 259 (2020): 112967. </w:t>
      </w:r>
      <w:hyperlink r:id="rId20" w:tgtFrame="_blank" w:tooltip="Persistent link using digital object identifier" w:history="1">
        <w:r w:rsidRPr="0086319E">
          <w:rPr>
            <w:rStyle w:val="Hyperlink"/>
            <w:rFonts w:ascii="Times New Roman" w:hAnsi="Times New Roman" w:cs="Times New Roman"/>
            <w:color w:val="auto"/>
            <w:u w:val="none"/>
          </w:rPr>
          <w:t>doi.org/10.1016/j.jep.2020.112967</w:t>
        </w:r>
      </w:hyperlink>
    </w:p>
    <w:p w14:paraId="02551E47" w14:textId="77777777" w:rsidR="000B3598" w:rsidRPr="0086319E" w:rsidRDefault="000B3598" w:rsidP="000B3598">
      <w:pPr>
        <w:spacing w:after="0" w:line="240" w:lineRule="auto"/>
        <w:jc w:val="both"/>
        <w:rPr>
          <w:rFonts w:ascii="Times New Roman" w:hAnsi="Times New Roman" w:cs="Times New Roman"/>
        </w:rPr>
      </w:pPr>
    </w:p>
    <w:p w14:paraId="167746CA" w14:textId="77777777" w:rsidR="000B3598" w:rsidRPr="0086319E" w:rsidRDefault="000B3598" w:rsidP="000B3598">
      <w:pPr>
        <w:spacing w:after="0" w:line="240" w:lineRule="auto"/>
        <w:jc w:val="both"/>
        <w:rPr>
          <w:rFonts w:ascii="Times New Roman" w:hAnsi="Times New Roman" w:cs="Times New Roman"/>
        </w:rPr>
      </w:pPr>
      <w:bookmarkStart w:id="36" w:name="_Hlk192168697"/>
      <w:r w:rsidRPr="0086319E">
        <w:rPr>
          <w:rFonts w:ascii="Times New Roman" w:hAnsi="Times New Roman" w:cs="Times New Roman"/>
        </w:rPr>
        <w:t>Patra, Abhipriya, and V. Arun Prasath</w:t>
      </w:r>
      <w:bookmarkEnd w:id="36"/>
      <w:r w:rsidRPr="0086319E">
        <w:rPr>
          <w:rFonts w:ascii="Times New Roman" w:hAnsi="Times New Roman" w:cs="Times New Roman"/>
        </w:rPr>
        <w:t>. "Isolation of detoxified cassava (Manihot esculenta L.) leaf protein by alkaline extraction-isoelectric precipitation: Optimization and its characterization." </w:t>
      </w:r>
      <w:r w:rsidRPr="0086319E">
        <w:rPr>
          <w:rFonts w:ascii="Times New Roman" w:hAnsi="Times New Roman" w:cs="Times New Roman"/>
          <w:i/>
          <w:iCs/>
        </w:rPr>
        <w:t>Food Chemistry</w:t>
      </w:r>
      <w:r w:rsidRPr="0086319E">
        <w:rPr>
          <w:rFonts w:ascii="Times New Roman" w:hAnsi="Times New Roman" w:cs="Times New Roman"/>
        </w:rPr>
        <w:t xml:space="preserve"> 437 (2024): 137845. </w:t>
      </w:r>
      <w:hyperlink r:id="rId21" w:tgtFrame="_blank" w:tooltip="Persistent link using digital object identifier" w:history="1">
        <w:r w:rsidRPr="0086319E">
          <w:rPr>
            <w:rStyle w:val="Hyperlink"/>
            <w:rFonts w:ascii="Times New Roman" w:hAnsi="Times New Roman" w:cs="Times New Roman"/>
            <w:color w:val="auto"/>
            <w:u w:val="none"/>
          </w:rPr>
          <w:t>doi.org/10.1016/j.foodchem.2023.137845</w:t>
        </w:r>
      </w:hyperlink>
    </w:p>
    <w:p w14:paraId="78E36150" w14:textId="77777777" w:rsidR="000B3598" w:rsidRPr="00B41F96" w:rsidRDefault="000B3598" w:rsidP="000B3598">
      <w:pPr>
        <w:spacing w:after="0" w:line="240" w:lineRule="auto"/>
        <w:jc w:val="both"/>
        <w:rPr>
          <w:rFonts w:ascii="Times New Roman" w:hAnsi="Times New Roman" w:cs="Times New Roman"/>
          <w:color w:val="EE0000"/>
          <w:lang w:val="en-US"/>
        </w:rPr>
      </w:pPr>
    </w:p>
    <w:p w14:paraId="4619382B" w14:textId="6954EBDA" w:rsidR="000B3598" w:rsidRPr="00284E34" w:rsidRDefault="000B3598" w:rsidP="000B3598">
      <w:pPr>
        <w:spacing w:after="0" w:line="240" w:lineRule="auto"/>
        <w:jc w:val="both"/>
        <w:rPr>
          <w:rFonts w:ascii="Times New Roman" w:hAnsi="Times New Roman" w:cs="Times New Roman"/>
        </w:rPr>
      </w:pPr>
      <w:r w:rsidRPr="00284E34">
        <w:rPr>
          <w:rFonts w:ascii="Times New Roman" w:hAnsi="Times New Roman" w:cs="Times New Roman"/>
        </w:rPr>
        <w:t xml:space="preserve">Rajapakse S. Management of yellow oleander poisoning. </w:t>
      </w:r>
      <w:r w:rsidRPr="00284E34">
        <w:rPr>
          <w:rFonts w:ascii="Times New Roman" w:hAnsi="Times New Roman" w:cs="Times New Roman"/>
          <w:i/>
          <w:iCs/>
        </w:rPr>
        <w:t>Clin Toxicol (Phila).</w:t>
      </w:r>
      <w:r w:rsidRPr="00284E34">
        <w:rPr>
          <w:rFonts w:ascii="Times New Roman" w:hAnsi="Times New Roman" w:cs="Times New Roman"/>
        </w:rPr>
        <w:t xml:space="preserve"> 2009;47(3):206–212. doi:10.1080/15563650902824001</w:t>
      </w:r>
    </w:p>
    <w:p w14:paraId="508C9812" w14:textId="77777777" w:rsidR="000B3598" w:rsidRPr="00284E34" w:rsidRDefault="000B3598" w:rsidP="000B3598">
      <w:pPr>
        <w:spacing w:after="0" w:line="240" w:lineRule="auto"/>
        <w:jc w:val="both"/>
        <w:rPr>
          <w:rFonts w:ascii="Times New Roman" w:hAnsi="Times New Roman" w:cs="Times New Roman"/>
        </w:rPr>
      </w:pPr>
    </w:p>
    <w:p w14:paraId="3CB2CB32" w14:textId="77777777"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Sharma, Deepak, et al. "Acute poisoning with Jatropha curcas in North Eastern Himalayan region–A case series and review of literature." </w:t>
      </w:r>
      <w:r w:rsidRPr="0086319E">
        <w:rPr>
          <w:rFonts w:ascii="Times New Roman" w:hAnsi="Times New Roman" w:cs="Times New Roman"/>
          <w:i/>
          <w:iCs/>
        </w:rPr>
        <w:t>Medicine India</w:t>
      </w:r>
      <w:r w:rsidRPr="0086319E">
        <w:rPr>
          <w:rFonts w:ascii="Times New Roman" w:hAnsi="Times New Roman" w:cs="Times New Roman"/>
        </w:rPr>
        <w:t> 3.2 (2024): 90-93. doi:10.25259/MEDINDIA_8_2024</w:t>
      </w:r>
    </w:p>
    <w:p w14:paraId="322A2325" w14:textId="77777777" w:rsidR="000B3598" w:rsidRPr="0086319E" w:rsidRDefault="000B3598" w:rsidP="000B3598">
      <w:pPr>
        <w:spacing w:after="0" w:line="240" w:lineRule="auto"/>
        <w:jc w:val="both"/>
        <w:rPr>
          <w:rFonts w:ascii="Times New Roman" w:hAnsi="Times New Roman" w:cs="Times New Roman"/>
        </w:rPr>
      </w:pPr>
    </w:p>
    <w:p w14:paraId="1592FE16" w14:textId="77777777"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Thomas, Vineeth Varghese, et al. "Review of current evidence in management of oleander poisoning." Current Medical Issues 20.2 (2022): 82-88. doi</w:t>
      </w:r>
      <w:r w:rsidRPr="0086319E">
        <w:rPr>
          <w:rFonts w:ascii="Times New Roman" w:hAnsi="Times New Roman" w:cs="Times New Roman"/>
          <w:i/>
          <w:iCs/>
        </w:rPr>
        <w:t xml:space="preserve"> </w:t>
      </w:r>
      <w:r w:rsidRPr="0086319E">
        <w:rPr>
          <w:rFonts w:ascii="Times New Roman" w:hAnsi="Times New Roman" w:cs="Times New Roman"/>
        </w:rPr>
        <w:t>10.4103/cmi.cmi_112_21</w:t>
      </w:r>
    </w:p>
    <w:p w14:paraId="432A5BF2" w14:textId="77777777" w:rsidR="000B3598" w:rsidRPr="00B41F96" w:rsidRDefault="000B3598" w:rsidP="000B3598">
      <w:pPr>
        <w:spacing w:after="0" w:line="240" w:lineRule="auto"/>
        <w:jc w:val="both"/>
        <w:rPr>
          <w:rFonts w:ascii="Times New Roman" w:hAnsi="Times New Roman" w:cs="Times New Roman"/>
          <w:color w:val="EE0000"/>
          <w:lang w:val="en-US"/>
        </w:rPr>
      </w:pPr>
    </w:p>
    <w:p w14:paraId="4B163778" w14:textId="79E906CC"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 xml:space="preserve">Torrents R, Clément J, Pujol A, Pérez C, Alonso R. Plant poisoning and antitoxin use: a 20-year review. </w:t>
      </w:r>
      <w:r w:rsidRPr="0086319E">
        <w:rPr>
          <w:rFonts w:ascii="Times New Roman" w:hAnsi="Times New Roman" w:cs="Times New Roman"/>
          <w:i/>
          <w:iCs/>
        </w:rPr>
        <w:t>Clinical Toxicology</w:t>
      </w:r>
      <w:r w:rsidRPr="0086319E">
        <w:rPr>
          <w:rFonts w:ascii="Times New Roman" w:hAnsi="Times New Roman" w:cs="Times New Roman"/>
        </w:rPr>
        <w:t>. 2023;61(7):642–653. doi:10.1080/15563650.2023.1895657</w:t>
      </w:r>
    </w:p>
    <w:p w14:paraId="2E5AC74B" w14:textId="77777777" w:rsidR="000B3598" w:rsidRPr="0086319E" w:rsidRDefault="000B3598" w:rsidP="000B3598">
      <w:pPr>
        <w:spacing w:after="0" w:line="240" w:lineRule="auto"/>
        <w:jc w:val="both"/>
        <w:rPr>
          <w:rFonts w:ascii="Times New Roman" w:hAnsi="Times New Roman" w:cs="Times New Roman"/>
        </w:rPr>
      </w:pPr>
    </w:p>
    <w:p w14:paraId="6B9C53C5" w14:textId="7BB6C2EE" w:rsidR="000B3598" w:rsidRPr="0086319E" w:rsidRDefault="000B3598" w:rsidP="000B3598">
      <w:pPr>
        <w:spacing w:after="0" w:line="240" w:lineRule="auto"/>
        <w:jc w:val="both"/>
        <w:rPr>
          <w:rFonts w:ascii="Times New Roman" w:hAnsi="Times New Roman" w:cs="Times New Roman"/>
        </w:rPr>
      </w:pPr>
      <w:r w:rsidRPr="0086319E">
        <w:rPr>
          <w:rFonts w:ascii="Times New Roman" w:hAnsi="Times New Roman" w:cs="Times New Roman"/>
        </w:rPr>
        <w:t xml:space="preserve">Zhai J, Dong X, Yan F, Guo H, Yang J. Oleandrin: A Systematic Review of its Natural Sources, Structural Properties, Detection Methods, Pharmacokinetics and Toxicology. </w:t>
      </w:r>
      <w:r w:rsidRPr="0086319E">
        <w:rPr>
          <w:rFonts w:ascii="Times New Roman" w:hAnsi="Times New Roman" w:cs="Times New Roman"/>
          <w:i/>
          <w:iCs/>
        </w:rPr>
        <w:t>Front Pharmacol.</w:t>
      </w:r>
      <w:r w:rsidRPr="0086319E">
        <w:rPr>
          <w:rFonts w:ascii="Times New Roman" w:hAnsi="Times New Roman" w:cs="Times New Roman"/>
        </w:rPr>
        <w:t xml:space="preserve"> 2022;13:822726. doi:10.3389/fphar.2022.822726</w:t>
      </w:r>
    </w:p>
    <w:p w14:paraId="6746B05D" w14:textId="77777777" w:rsidR="000B3598" w:rsidRPr="0086319E" w:rsidRDefault="000B3598" w:rsidP="000B3598">
      <w:pPr>
        <w:spacing w:after="0" w:line="240" w:lineRule="auto"/>
        <w:jc w:val="both"/>
        <w:rPr>
          <w:rFonts w:ascii="Times New Roman" w:hAnsi="Times New Roman" w:cs="Times New Roman"/>
        </w:rPr>
      </w:pPr>
    </w:p>
    <w:p w14:paraId="42B6189C" w14:textId="77777777" w:rsidR="0005408A" w:rsidRPr="00284E34" w:rsidRDefault="0005408A" w:rsidP="000B3598">
      <w:pPr>
        <w:spacing w:after="0" w:line="240" w:lineRule="auto"/>
        <w:jc w:val="both"/>
        <w:rPr>
          <w:rFonts w:ascii="Times New Roman" w:hAnsi="Times New Roman" w:cs="Times New Roman"/>
          <w:lang w:val="en-US"/>
        </w:rPr>
      </w:pPr>
    </w:p>
    <w:sectPr w:rsidR="0005408A" w:rsidRPr="00284E34">
      <w:headerReference w:type="even" r:id="rId22"/>
      <w:headerReference w:type="default" r:id="rId23"/>
      <w:footerReference w:type="even" r:id="rId24"/>
      <w:footerReference w:type="default" r:id="rId25"/>
      <w:headerReference w:type="first" r:id="rId26"/>
      <w:footerReference w:type="first"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E8F29" w14:textId="77777777" w:rsidR="00906929" w:rsidRDefault="00906929" w:rsidP="00833626">
      <w:pPr>
        <w:spacing w:after="0" w:line="240" w:lineRule="auto"/>
      </w:pPr>
      <w:r>
        <w:separator/>
      </w:r>
    </w:p>
  </w:endnote>
  <w:endnote w:type="continuationSeparator" w:id="0">
    <w:p w14:paraId="4A9AC2D6" w14:textId="77777777" w:rsidR="00906929" w:rsidRDefault="00906929" w:rsidP="0083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CAF9" w14:textId="77777777" w:rsidR="00E82C1C" w:rsidRDefault="00E82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FFBF" w14:textId="77777777" w:rsidR="00E82C1C" w:rsidRDefault="00E82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1C0AF" w14:textId="77777777" w:rsidR="00E82C1C" w:rsidRDefault="00E82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D0575" w14:textId="77777777" w:rsidR="00906929" w:rsidRDefault="00906929" w:rsidP="00833626">
      <w:pPr>
        <w:spacing w:after="0" w:line="240" w:lineRule="auto"/>
      </w:pPr>
      <w:r>
        <w:separator/>
      </w:r>
    </w:p>
  </w:footnote>
  <w:footnote w:type="continuationSeparator" w:id="0">
    <w:p w14:paraId="67E84F91" w14:textId="77777777" w:rsidR="00906929" w:rsidRDefault="00906929" w:rsidP="0083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C7C95" w14:textId="63C46086" w:rsidR="00E82C1C" w:rsidRDefault="00906929">
    <w:pPr>
      <w:pStyle w:val="Header"/>
    </w:pPr>
    <w:r>
      <w:rPr>
        <w:noProof/>
      </w:rPr>
      <w:pict w14:anchorId="208D3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2735" o:sp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ABF5C" w14:textId="37FC805E" w:rsidR="00E82C1C" w:rsidRDefault="00906929">
    <w:pPr>
      <w:pStyle w:val="Header"/>
    </w:pPr>
    <w:r>
      <w:rPr>
        <w:noProof/>
      </w:rPr>
      <w:pict w14:anchorId="20B41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2736" o:sp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156BE" w14:textId="652D59F4" w:rsidR="00E82C1C" w:rsidRDefault="00906929">
    <w:pPr>
      <w:pStyle w:val="Header"/>
    </w:pPr>
    <w:r>
      <w:rPr>
        <w:noProof/>
      </w:rPr>
      <w:pict w14:anchorId="4D1CC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2734"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02D2B"/>
    <w:multiLevelType w:val="hybridMultilevel"/>
    <w:tmpl w:val="20047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94F2C5D"/>
    <w:multiLevelType w:val="hybridMultilevel"/>
    <w:tmpl w:val="B6A21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B680A35"/>
    <w:multiLevelType w:val="multilevel"/>
    <w:tmpl w:val="91E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A5C5D"/>
    <w:multiLevelType w:val="hybridMultilevel"/>
    <w:tmpl w:val="E11CAC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09030F7"/>
    <w:multiLevelType w:val="multilevel"/>
    <w:tmpl w:val="6DACC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01745"/>
    <w:multiLevelType w:val="hybridMultilevel"/>
    <w:tmpl w:val="BDEEC9A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5241522B"/>
    <w:multiLevelType w:val="hybridMultilevel"/>
    <w:tmpl w:val="E3ACF8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866108C"/>
    <w:multiLevelType w:val="hybridMultilevel"/>
    <w:tmpl w:val="FBDEFB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FD71410"/>
    <w:multiLevelType w:val="multilevel"/>
    <w:tmpl w:val="D260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87C15"/>
    <w:multiLevelType w:val="multilevel"/>
    <w:tmpl w:val="0A12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68764C"/>
    <w:multiLevelType w:val="hybridMultilevel"/>
    <w:tmpl w:val="480457A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65DD2BB5"/>
    <w:multiLevelType w:val="hybridMultilevel"/>
    <w:tmpl w:val="7BB2BB0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6BC06695"/>
    <w:multiLevelType w:val="multilevel"/>
    <w:tmpl w:val="6326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8C638A"/>
    <w:multiLevelType w:val="multilevel"/>
    <w:tmpl w:val="FC6C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1C398C"/>
    <w:multiLevelType w:val="multilevel"/>
    <w:tmpl w:val="C05C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4"/>
  </w:num>
  <w:num w:numId="4">
    <w:abstractNumId w:val="2"/>
  </w:num>
  <w:num w:numId="5">
    <w:abstractNumId w:val="4"/>
  </w:num>
  <w:num w:numId="6">
    <w:abstractNumId w:val="13"/>
  </w:num>
  <w:num w:numId="7">
    <w:abstractNumId w:val="9"/>
  </w:num>
  <w:num w:numId="8">
    <w:abstractNumId w:val="7"/>
  </w:num>
  <w:num w:numId="9">
    <w:abstractNumId w:val="0"/>
  </w:num>
  <w:num w:numId="10">
    <w:abstractNumId w:val="1"/>
  </w:num>
  <w:num w:numId="11">
    <w:abstractNumId w:val="11"/>
  </w:num>
  <w:num w:numId="12">
    <w:abstractNumId w:val="3"/>
  </w:num>
  <w:num w:numId="13">
    <w:abstractNumId w:val="5"/>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1D"/>
    <w:rsid w:val="000241B0"/>
    <w:rsid w:val="0003490A"/>
    <w:rsid w:val="00045B25"/>
    <w:rsid w:val="0005408A"/>
    <w:rsid w:val="00086DDB"/>
    <w:rsid w:val="000B3598"/>
    <w:rsid w:val="000C2044"/>
    <w:rsid w:val="000C717E"/>
    <w:rsid w:val="000C76EE"/>
    <w:rsid w:val="00151103"/>
    <w:rsid w:val="00167B93"/>
    <w:rsid w:val="00182DB6"/>
    <w:rsid w:val="00184F83"/>
    <w:rsid w:val="00256AE1"/>
    <w:rsid w:val="00272563"/>
    <w:rsid w:val="00284E34"/>
    <w:rsid w:val="002B258E"/>
    <w:rsid w:val="002C34A0"/>
    <w:rsid w:val="00307E4B"/>
    <w:rsid w:val="00311ED9"/>
    <w:rsid w:val="00337F1F"/>
    <w:rsid w:val="003A1B8F"/>
    <w:rsid w:val="003A24DF"/>
    <w:rsid w:val="003F6249"/>
    <w:rsid w:val="004A0325"/>
    <w:rsid w:val="004C3FF4"/>
    <w:rsid w:val="004C50C3"/>
    <w:rsid w:val="004D5D72"/>
    <w:rsid w:val="00520C69"/>
    <w:rsid w:val="00521B7B"/>
    <w:rsid w:val="005526EC"/>
    <w:rsid w:val="00563000"/>
    <w:rsid w:val="005E5029"/>
    <w:rsid w:val="007424AF"/>
    <w:rsid w:val="007539E7"/>
    <w:rsid w:val="007A2F6A"/>
    <w:rsid w:val="007E048D"/>
    <w:rsid w:val="007E0985"/>
    <w:rsid w:val="007F526E"/>
    <w:rsid w:val="007F66F9"/>
    <w:rsid w:val="00805BAE"/>
    <w:rsid w:val="00826AC4"/>
    <w:rsid w:val="00833626"/>
    <w:rsid w:val="00860807"/>
    <w:rsid w:val="00870B9F"/>
    <w:rsid w:val="00893FFC"/>
    <w:rsid w:val="008B5FB9"/>
    <w:rsid w:val="008C0DFF"/>
    <w:rsid w:val="008E4FA1"/>
    <w:rsid w:val="008E6719"/>
    <w:rsid w:val="008F2990"/>
    <w:rsid w:val="00906929"/>
    <w:rsid w:val="009123B7"/>
    <w:rsid w:val="00917DDE"/>
    <w:rsid w:val="009A5641"/>
    <w:rsid w:val="009D1B7B"/>
    <w:rsid w:val="009F4DAA"/>
    <w:rsid w:val="00A031CD"/>
    <w:rsid w:val="00A11338"/>
    <w:rsid w:val="00A15ACC"/>
    <w:rsid w:val="00AE489A"/>
    <w:rsid w:val="00B06F9D"/>
    <w:rsid w:val="00B1764B"/>
    <w:rsid w:val="00B55B31"/>
    <w:rsid w:val="00B651AC"/>
    <w:rsid w:val="00B667A5"/>
    <w:rsid w:val="00B87B36"/>
    <w:rsid w:val="00B95EFD"/>
    <w:rsid w:val="00B97334"/>
    <w:rsid w:val="00BA4289"/>
    <w:rsid w:val="00BE40DD"/>
    <w:rsid w:val="00C15493"/>
    <w:rsid w:val="00C40A57"/>
    <w:rsid w:val="00C47E7A"/>
    <w:rsid w:val="00C93B5B"/>
    <w:rsid w:val="00CB5FFA"/>
    <w:rsid w:val="00CF3A74"/>
    <w:rsid w:val="00D0720F"/>
    <w:rsid w:val="00D715B3"/>
    <w:rsid w:val="00DA4612"/>
    <w:rsid w:val="00E1036A"/>
    <w:rsid w:val="00E14A4D"/>
    <w:rsid w:val="00E802DF"/>
    <w:rsid w:val="00E82C1C"/>
    <w:rsid w:val="00ED11A0"/>
    <w:rsid w:val="00ED7782"/>
    <w:rsid w:val="00F5461D"/>
    <w:rsid w:val="00F74C45"/>
    <w:rsid w:val="00F75A64"/>
    <w:rsid w:val="00F930BF"/>
    <w:rsid w:val="00F963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239855"/>
  <w15:chartTrackingRefBased/>
  <w15:docId w15:val="{8F9C6ECC-4690-48EC-B9C0-1F1FD917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1D"/>
    <w:rPr>
      <w:rFonts w:eastAsiaTheme="majorEastAsia" w:cstheme="majorBidi"/>
      <w:color w:val="272727" w:themeColor="text1" w:themeTint="D8"/>
    </w:rPr>
  </w:style>
  <w:style w:type="paragraph" w:styleId="Title">
    <w:name w:val="Title"/>
    <w:basedOn w:val="Normal"/>
    <w:next w:val="Normal"/>
    <w:link w:val="TitleChar"/>
    <w:uiPriority w:val="10"/>
    <w:qFormat/>
    <w:rsid w:val="00F54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1D"/>
    <w:pPr>
      <w:spacing w:before="160"/>
      <w:jc w:val="center"/>
    </w:pPr>
    <w:rPr>
      <w:i/>
      <w:iCs/>
      <w:color w:val="404040" w:themeColor="text1" w:themeTint="BF"/>
    </w:rPr>
  </w:style>
  <w:style w:type="character" w:customStyle="1" w:styleId="QuoteChar">
    <w:name w:val="Quote Char"/>
    <w:basedOn w:val="DefaultParagraphFont"/>
    <w:link w:val="Quote"/>
    <w:uiPriority w:val="29"/>
    <w:rsid w:val="00F5461D"/>
    <w:rPr>
      <w:i/>
      <w:iCs/>
      <w:color w:val="404040" w:themeColor="text1" w:themeTint="BF"/>
    </w:rPr>
  </w:style>
  <w:style w:type="paragraph" w:styleId="ListParagraph">
    <w:name w:val="List Paragraph"/>
    <w:basedOn w:val="Normal"/>
    <w:uiPriority w:val="34"/>
    <w:qFormat/>
    <w:rsid w:val="00F5461D"/>
    <w:pPr>
      <w:ind w:left="720"/>
      <w:contextualSpacing/>
    </w:pPr>
  </w:style>
  <w:style w:type="character" w:styleId="IntenseEmphasis">
    <w:name w:val="Intense Emphasis"/>
    <w:basedOn w:val="DefaultParagraphFont"/>
    <w:uiPriority w:val="21"/>
    <w:qFormat/>
    <w:rsid w:val="00F5461D"/>
    <w:rPr>
      <w:i/>
      <w:iCs/>
      <w:color w:val="0F4761" w:themeColor="accent1" w:themeShade="BF"/>
    </w:rPr>
  </w:style>
  <w:style w:type="paragraph" w:styleId="IntenseQuote">
    <w:name w:val="Intense Quote"/>
    <w:basedOn w:val="Normal"/>
    <w:next w:val="Normal"/>
    <w:link w:val="IntenseQuoteChar"/>
    <w:uiPriority w:val="30"/>
    <w:qFormat/>
    <w:rsid w:val="00F54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1D"/>
    <w:rPr>
      <w:i/>
      <w:iCs/>
      <w:color w:val="0F4761" w:themeColor="accent1" w:themeShade="BF"/>
    </w:rPr>
  </w:style>
  <w:style w:type="character" w:styleId="IntenseReference">
    <w:name w:val="Intense Reference"/>
    <w:basedOn w:val="DefaultParagraphFont"/>
    <w:uiPriority w:val="32"/>
    <w:qFormat/>
    <w:rsid w:val="00F5461D"/>
    <w:rPr>
      <w:b/>
      <w:bCs/>
      <w:smallCaps/>
      <w:color w:val="0F4761" w:themeColor="accent1" w:themeShade="BF"/>
      <w:spacing w:val="5"/>
    </w:rPr>
  </w:style>
  <w:style w:type="character" w:styleId="Hyperlink">
    <w:name w:val="Hyperlink"/>
    <w:basedOn w:val="DefaultParagraphFont"/>
    <w:uiPriority w:val="99"/>
    <w:unhideWhenUsed/>
    <w:rsid w:val="000C76EE"/>
    <w:rPr>
      <w:color w:val="467886" w:themeColor="hyperlink"/>
      <w:u w:val="single"/>
    </w:rPr>
  </w:style>
  <w:style w:type="character" w:styleId="UnresolvedMention">
    <w:name w:val="Unresolved Mention"/>
    <w:basedOn w:val="DefaultParagraphFont"/>
    <w:uiPriority w:val="99"/>
    <w:semiHidden/>
    <w:unhideWhenUsed/>
    <w:rsid w:val="000C76EE"/>
    <w:rPr>
      <w:color w:val="605E5C"/>
      <w:shd w:val="clear" w:color="auto" w:fill="E1DFDD"/>
    </w:rPr>
  </w:style>
  <w:style w:type="table" w:styleId="TableGrid">
    <w:name w:val="Table Grid"/>
    <w:basedOn w:val="TableNormal"/>
    <w:uiPriority w:val="39"/>
    <w:rsid w:val="00F93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626"/>
    <w:pPr>
      <w:tabs>
        <w:tab w:val="center" w:pos="4252"/>
        <w:tab w:val="right" w:pos="8504"/>
      </w:tabs>
      <w:spacing w:after="0" w:line="240" w:lineRule="auto"/>
    </w:pPr>
  </w:style>
  <w:style w:type="character" w:customStyle="1" w:styleId="HeaderChar">
    <w:name w:val="Header Char"/>
    <w:basedOn w:val="DefaultParagraphFont"/>
    <w:link w:val="Header"/>
    <w:uiPriority w:val="99"/>
    <w:rsid w:val="00833626"/>
  </w:style>
  <w:style w:type="paragraph" w:styleId="Footer">
    <w:name w:val="footer"/>
    <w:basedOn w:val="Normal"/>
    <w:link w:val="FooterChar"/>
    <w:uiPriority w:val="99"/>
    <w:unhideWhenUsed/>
    <w:rsid w:val="00833626"/>
    <w:pPr>
      <w:tabs>
        <w:tab w:val="center" w:pos="4252"/>
        <w:tab w:val="right" w:pos="8504"/>
      </w:tabs>
      <w:spacing w:after="0" w:line="240" w:lineRule="auto"/>
    </w:pPr>
  </w:style>
  <w:style w:type="character" w:customStyle="1" w:styleId="FooterChar">
    <w:name w:val="Footer Char"/>
    <w:basedOn w:val="DefaultParagraphFont"/>
    <w:link w:val="Footer"/>
    <w:uiPriority w:val="99"/>
    <w:rsid w:val="00833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4590">
      <w:bodyDiv w:val="1"/>
      <w:marLeft w:val="0"/>
      <w:marRight w:val="0"/>
      <w:marTop w:val="0"/>
      <w:marBottom w:val="0"/>
      <w:divBdr>
        <w:top w:val="none" w:sz="0" w:space="0" w:color="auto"/>
        <w:left w:val="none" w:sz="0" w:space="0" w:color="auto"/>
        <w:bottom w:val="none" w:sz="0" w:space="0" w:color="auto"/>
        <w:right w:val="none" w:sz="0" w:space="0" w:color="auto"/>
      </w:divBdr>
    </w:div>
    <w:div w:id="269121332">
      <w:bodyDiv w:val="1"/>
      <w:marLeft w:val="0"/>
      <w:marRight w:val="0"/>
      <w:marTop w:val="0"/>
      <w:marBottom w:val="0"/>
      <w:divBdr>
        <w:top w:val="none" w:sz="0" w:space="0" w:color="auto"/>
        <w:left w:val="none" w:sz="0" w:space="0" w:color="auto"/>
        <w:bottom w:val="none" w:sz="0" w:space="0" w:color="auto"/>
        <w:right w:val="none" w:sz="0" w:space="0" w:color="auto"/>
      </w:divBdr>
    </w:div>
    <w:div w:id="1379015333">
      <w:bodyDiv w:val="1"/>
      <w:marLeft w:val="0"/>
      <w:marRight w:val="0"/>
      <w:marTop w:val="0"/>
      <w:marBottom w:val="0"/>
      <w:divBdr>
        <w:top w:val="none" w:sz="0" w:space="0" w:color="auto"/>
        <w:left w:val="none" w:sz="0" w:space="0" w:color="auto"/>
        <w:bottom w:val="none" w:sz="0" w:space="0" w:color="auto"/>
        <w:right w:val="none" w:sz="0" w:space="0" w:color="auto"/>
      </w:divBdr>
    </w:div>
    <w:div w:id="1401320261">
      <w:bodyDiv w:val="1"/>
      <w:marLeft w:val="0"/>
      <w:marRight w:val="0"/>
      <w:marTop w:val="0"/>
      <w:marBottom w:val="0"/>
      <w:divBdr>
        <w:top w:val="none" w:sz="0" w:space="0" w:color="auto"/>
        <w:left w:val="none" w:sz="0" w:space="0" w:color="auto"/>
        <w:bottom w:val="none" w:sz="0" w:space="0" w:color="auto"/>
        <w:right w:val="none" w:sz="0" w:space="0" w:color="auto"/>
      </w:divBdr>
    </w:div>
    <w:div w:id="17917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nselho-nacional-de-saude/pt-br/atos-normativos/resolucoes/2012/resolucao-no-466.pdf/view" TargetMode="External"/><Relationship Id="rId13" Type="http://schemas.openxmlformats.org/officeDocument/2006/relationships/hyperlink" Target="https://doi.org/10.31692/2595-2498.v6i3.293" TargetMode="External"/><Relationship Id="rId18" Type="http://schemas.openxmlformats.org/officeDocument/2006/relationships/hyperlink" Target="https://doi.org/10.1016/j.ufug.2017.05.00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foodchem.2023.137845" TargetMode="External"/><Relationship Id="rId7" Type="http://schemas.openxmlformats.org/officeDocument/2006/relationships/hyperlink" Target="https://periodicos.unemat.br/index.php/jhnpeps/article/view/1814" TargetMode="External"/><Relationship Id="rId12" Type="http://schemas.openxmlformats.org/officeDocument/2006/relationships/hyperlink" Target="https://doi.org/10.17921/1415-6938.2018v22n1p12-16" TargetMode="External"/><Relationship Id="rId17" Type="http://schemas.openxmlformats.org/officeDocument/2006/relationships/hyperlink" Target="https://revista.uepb.edu.br/BIOFARM/article/view/2284/187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80/15563650.2024.2412423" TargetMode="External"/><Relationship Id="rId20" Type="http://schemas.openxmlformats.org/officeDocument/2006/relationships/hyperlink" Target="https://doi.org/10.1016/j.jep.2020.11296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4117/bjdv7n11-14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0030-4220(94)90177-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jemermed.2003.02.005" TargetMode="External"/><Relationship Id="rId19" Type="http://schemas.openxmlformats.org/officeDocument/2006/relationships/hyperlink" Target="https://doi.org/10.1111/1556-4029.15393" TargetMode="External"/><Relationship Id="rId4" Type="http://schemas.openxmlformats.org/officeDocument/2006/relationships/webSettings" Target="webSettings.xml"/><Relationship Id="rId9" Type="http://schemas.openxmlformats.org/officeDocument/2006/relationships/hyperlink" Target="https://doi.org/10.1590/1983-084X/15_057" TargetMode="External"/><Relationship Id="rId14" Type="http://schemas.openxmlformats.org/officeDocument/2006/relationships/hyperlink" Target="https://doi.org/10.3390/plants1307103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4721</Words>
  <Characters>26913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IZETE MERIGUETI</dc:creator>
  <cp:keywords/>
  <dc:description/>
  <cp:lastModifiedBy>SDI PC New 16</cp:lastModifiedBy>
  <cp:revision>21</cp:revision>
  <dcterms:created xsi:type="dcterms:W3CDTF">2025-10-13T14:19:00Z</dcterms:created>
  <dcterms:modified xsi:type="dcterms:W3CDTF">2025-10-15T10:40:00Z</dcterms:modified>
</cp:coreProperties>
</file>