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8F8EE3" w14:textId="24EBBF5F" w:rsidR="00330014" w:rsidRDefault="006C6091">
      <w:pPr>
        <w:pStyle w:val="Ttulo"/>
        <w:spacing w:after="0"/>
        <w:jc w:val="both"/>
        <w:rPr>
          <w:rFonts w:ascii="Arial" w:eastAsia="Arial" w:hAnsi="Arial" w:cs="Arial"/>
        </w:rPr>
      </w:pPr>
      <w:r w:rsidRPr="006C6091">
        <w:rPr>
          <w:rFonts w:ascii="Arial" w:eastAsia="Arial" w:hAnsi="Arial" w:cs="Arial"/>
        </w:rPr>
        <w:t>Case report</w:t>
      </w:r>
    </w:p>
    <w:p w14:paraId="33455CC8" w14:textId="77777777" w:rsidR="006C6091" w:rsidRDefault="006C6091" w:rsidP="006C6091"/>
    <w:p w14:paraId="1E67D084" w14:textId="77777777" w:rsidR="006C6091" w:rsidRPr="006C6091" w:rsidRDefault="006C6091" w:rsidP="006C6091"/>
    <w:p w14:paraId="04696B9E" w14:textId="77777777" w:rsidR="00330014" w:rsidRPr="00671ABD" w:rsidRDefault="001B5E43">
      <w:pPr>
        <w:pBdr>
          <w:top w:val="nil"/>
          <w:left w:val="nil"/>
          <w:bottom w:val="nil"/>
          <w:right w:val="nil"/>
          <w:between w:val="nil"/>
        </w:pBdr>
        <w:jc w:val="right"/>
        <w:rPr>
          <w:rFonts w:ascii="Arial" w:eastAsia="Arial" w:hAnsi="Arial" w:cs="Arial"/>
          <w:b/>
          <w:color w:val="000000"/>
          <w:sz w:val="36"/>
          <w:szCs w:val="36"/>
          <w:lang w:val="en-GB"/>
        </w:rPr>
      </w:pPr>
      <w:r w:rsidRPr="00671ABD">
        <w:rPr>
          <w:rFonts w:ascii="Arial" w:eastAsia="Arial" w:hAnsi="Arial" w:cs="Arial"/>
          <w:b/>
          <w:color w:val="000000"/>
          <w:sz w:val="36"/>
          <w:szCs w:val="36"/>
          <w:lang w:val="en-GB"/>
        </w:rPr>
        <w:t xml:space="preserve">Osteogenesis imperfecta: A case report </w:t>
      </w:r>
    </w:p>
    <w:p w14:paraId="5B523502" w14:textId="77777777" w:rsidR="00330014" w:rsidRPr="00671ABD" w:rsidRDefault="00330014">
      <w:pPr>
        <w:pBdr>
          <w:top w:val="nil"/>
          <w:left w:val="nil"/>
          <w:bottom w:val="nil"/>
          <w:right w:val="nil"/>
          <w:between w:val="nil"/>
        </w:pBdr>
        <w:jc w:val="both"/>
        <w:rPr>
          <w:rFonts w:ascii="Arial" w:eastAsia="Arial" w:hAnsi="Arial" w:cs="Arial"/>
          <w:b/>
          <w:color w:val="000000"/>
          <w:sz w:val="36"/>
          <w:szCs w:val="36"/>
          <w:lang w:val="en-GB"/>
        </w:rPr>
      </w:pPr>
    </w:p>
    <w:p w14:paraId="55A20451" w14:textId="77777777" w:rsidR="00330014" w:rsidRDefault="00330014">
      <w:pPr>
        <w:pBdr>
          <w:top w:val="nil"/>
          <w:left w:val="nil"/>
          <w:bottom w:val="nil"/>
          <w:right w:val="nil"/>
          <w:between w:val="nil"/>
        </w:pBdr>
        <w:jc w:val="both"/>
        <w:rPr>
          <w:rFonts w:ascii="Arial" w:eastAsia="Arial" w:hAnsi="Arial" w:cs="Arial"/>
          <w:color w:val="000000"/>
        </w:rPr>
      </w:pPr>
      <w:bookmarkStart w:id="0" w:name="_heading=h.y7vcs2ok0a69" w:colFirst="0" w:colLast="0"/>
      <w:bookmarkEnd w:id="0"/>
    </w:p>
    <w:p w14:paraId="438C8B31" w14:textId="77777777" w:rsidR="00330014" w:rsidRDefault="001B5E43">
      <w:pPr>
        <w:pBdr>
          <w:top w:val="nil"/>
          <w:left w:val="nil"/>
          <w:bottom w:val="nil"/>
          <w:right w:val="nil"/>
          <w:between w:val="nil"/>
        </w:pBdr>
        <w:jc w:val="both"/>
        <w:rPr>
          <w:rFonts w:ascii="Arial" w:eastAsia="Arial" w:hAnsi="Arial" w:cs="Arial"/>
          <w:color w:val="000000"/>
          <w:sz w:val="16"/>
          <w:szCs w:val="16"/>
        </w:rPr>
        <w:sectPr w:rsidR="00330014" w:rsidSect="00447ACD">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s">
            <w:drawing>
              <wp:inline distT="0" distB="0" distL="0" distR="0" wp14:anchorId="625EC585" wp14:editId="68CC7BD8">
                <wp:extent cx="635" cy="19050"/>
                <wp:effectExtent l="0" t="0" r="0" b="0"/>
                <wp:docPr id="1959366633" name="Conector recto de flecha 1959366633"/>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0" distT="0" distL="0" distR="0">
                <wp:extent cx="635" cy="19050"/>
                <wp:effectExtent b="0" l="0" r="0" t="0"/>
                <wp:docPr id="1959366633" name="image5.png"/>
                <a:graphic>
                  <a:graphicData uri="http://schemas.openxmlformats.org/drawingml/2006/picture">
                    <pic:pic>
                      <pic:nvPicPr>
                        <pic:cNvPr id="0" name="image5.png"/>
                        <pic:cNvPicPr preferRelativeResize="0"/>
                      </pic:nvPicPr>
                      <pic:blipFill>
                        <a:blip r:embed="rId14"/>
                        <a:srcRect/>
                        <a:stretch>
                          <a:fillRect/>
                        </a:stretch>
                      </pic:blipFill>
                      <pic:spPr>
                        <a:xfrm>
                          <a:off x="0" y="0"/>
                          <a:ext cx="635" cy="19050"/>
                        </a:xfrm>
                        <a:prstGeom prst="rect"/>
                        <a:ln/>
                      </pic:spPr>
                    </pic:pic>
                  </a:graphicData>
                </a:graphic>
              </wp:inline>
            </w:drawing>
          </mc:Fallback>
        </mc:AlternateContent>
      </w:r>
      <w:r>
        <w:rPr>
          <w:rFonts w:ascii="Arial" w:eastAsia="Arial" w:hAnsi="Arial" w:cs="Arial"/>
          <w:color w:val="000000"/>
          <w:sz w:val="16"/>
          <w:szCs w:val="16"/>
        </w:rPr>
        <w:t>.</w:t>
      </w:r>
    </w:p>
    <w:p w14:paraId="01C4A2A2" w14:textId="77777777" w:rsidR="00330014" w:rsidRDefault="001B5E4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6F9FCD6E" w14:textId="77777777" w:rsidR="00330014" w:rsidRDefault="00330014">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1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330014" w14:paraId="67724FF6" w14:textId="77777777">
        <w:tc>
          <w:tcPr>
            <w:tcW w:w="8198" w:type="dxa"/>
            <w:shd w:val="clear" w:color="auto" w:fill="F2F2F2"/>
          </w:tcPr>
          <w:p w14:paraId="6098F816" w14:textId="76C3B93C" w:rsidR="00330014" w:rsidRDefault="00671ABD">
            <w:pPr>
              <w:pBdr>
                <w:top w:val="nil"/>
                <w:left w:val="nil"/>
                <w:bottom w:val="nil"/>
                <w:right w:val="nil"/>
                <w:between w:val="nil"/>
              </w:pBdr>
              <w:spacing w:after="240"/>
              <w:jc w:val="both"/>
              <w:rPr>
                <w:rFonts w:ascii="Arial" w:eastAsia="Arial" w:hAnsi="Arial" w:cs="Arial"/>
                <w:color w:val="000000"/>
              </w:rPr>
            </w:pPr>
            <w:r w:rsidRPr="00671ABD">
              <w:rPr>
                <w:rFonts w:ascii="Arial" w:eastAsia="Arial" w:hAnsi="Arial" w:cs="Arial"/>
                <w:b/>
                <w:color w:val="000000"/>
                <w:highlight w:val="yellow"/>
              </w:rPr>
              <w:t>Background</w:t>
            </w:r>
            <w:r w:rsidR="001B5E43">
              <w:rPr>
                <w:rFonts w:ascii="Arial" w:eastAsia="Arial" w:hAnsi="Arial" w:cs="Arial"/>
                <w:b/>
                <w:color w:val="000000"/>
              </w:rPr>
              <w:t>:</w:t>
            </w:r>
            <w:r w:rsidR="001B5E43">
              <w:rPr>
                <w:color w:val="000000"/>
              </w:rPr>
              <w:t xml:space="preserve"> </w:t>
            </w:r>
            <w:r w:rsidR="001B5E43">
              <w:rPr>
                <w:rFonts w:ascii="Arial" w:eastAsia="Arial" w:hAnsi="Arial" w:cs="Arial"/>
                <w:color w:val="000000"/>
              </w:rPr>
              <w:t xml:space="preserve">Osteogenesis imperfecta is a heterogeneous group of inherited connective tissue disorders that share similar skeletal abnormalities that cause fragility, bone deformity, and fracture risk, leading to the name brittle bones. It has an incidence of approximately 1 in every 15,000 to 20,000 newborns and is considered a rare disease. </w:t>
            </w:r>
            <w:r w:rsidR="001B5E43">
              <w:rPr>
                <w:rFonts w:ascii="Arial" w:eastAsia="Arial" w:hAnsi="Arial" w:cs="Arial"/>
                <w:b/>
                <w:color w:val="000000"/>
              </w:rPr>
              <w:t xml:space="preserve">Presentation of case: </w:t>
            </w:r>
            <w:r w:rsidR="001B5E43">
              <w:rPr>
                <w:rFonts w:ascii="Arial" w:eastAsia="Arial" w:hAnsi="Arial" w:cs="Arial"/>
                <w:color w:val="000000"/>
              </w:rPr>
              <w:t>A woman who was unaware of her pregnancy and without prenatal care delivered a 2.2 kg male infant at home; he was admitted with head trauma, cranial crepitation, occipital fracture, and neonatal sepsis. Radiological evaluation revealed fractures in various bones, and osteogenesis imperfecta was suspected. The mother said that</w:t>
            </w:r>
            <w:r w:rsidR="001B5E43">
              <w:rPr>
                <w:color w:val="000000"/>
              </w:rPr>
              <w:t xml:space="preserve"> </w:t>
            </w:r>
            <w:r w:rsidR="001B5E43">
              <w:rPr>
                <w:rFonts w:ascii="Arial" w:eastAsia="Arial" w:hAnsi="Arial" w:cs="Arial"/>
                <w:color w:val="000000"/>
              </w:rPr>
              <w:t xml:space="preserve">father and paternal grandfather had osteogenesis imperfecta. The patient was referred to for genetic sequencing (pending). The mother said that </w:t>
            </w:r>
            <w:proofErr w:type="gramStart"/>
            <w:r w:rsidR="001B5E43">
              <w:rPr>
                <w:rFonts w:ascii="Arial" w:eastAsia="Arial" w:hAnsi="Arial" w:cs="Arial"/>
                <w:color w:val="000000"/>
              </w:rPr>
              <w:t>The</w:t>
            </w:r>
            <w:proofErr w:type="gramEnd"/>
            <w:r w:rsidR="001B5E43">
              <w:rPr>
                <w:rFonts w:ascii="Arial" w:eastAsia="Arial" w:hAnsi="Arial" w:cs="Arial"/>
                <w:color w:val="000000"/>
              </w:rPr>
              <w:t xml:space="preserve"> patient's progress was good, with adequate fracture healing. </w:t>
            </w:r>
            <w:r w:rsidR="001B5E43">
              <w:rPr>
                <w:rFonts w:ascii="Arial" w:eastAsia="Arial" w:hAnsi="Arial" w:cs="Arial"/>
                <w:b/>
                <w:color w:val="000000"/>
              </w:rPr>
              <w:t>Conclusion:</w:t>
            </w:r>
            <w:r w:rsidR="001B5E43">
              <w:rPr>
                <w:rFonts w:ascii="Arial" w:eastAsia="Arial" w:hAnsi="Arial" w:cs="Arial"/>
                <w:color w:val="000000"/>
              </w:rPr>
              <w:t xml:space="preserve"> the control prenatal is fundamental to detect osteogenesis imperfecta and avoid a late diagnosis with poor prognostic of the newborn.</w:t>
            </w:r>
          </w:p>
        </w:tc>
      </w:tr>
    </w:tbl>
    <w:p w14:paraId="277286C1" w14:textId="77777777" w:rsidR="00330014" w:rsidRDefault="00330014">
      <w:pPr>
        <w:pBdr>
          <w:top w:val="nil"/>
          <w:left w:val="nil"/>
          <w:bottom w:val="nil"/>
          <w:right w:val="nil"/>
          <w:between w:val="nil"/>
        </w:pBdr>
        <w:jc w:val="both"/>
        <w:rPr>
          <w:rFonts w:ascii="Arial" w:eastAsia="Arial" w:hAnsi="Arial" w:cs="Arial"/>
          <w:i/>
          <w:color w:val="000000"/>
        </w:rPr>
      </w:pPr>
    </w:p>
    <w:p w14:paraId="6FA873A6" w14:textId="77777777" w:rsidR="00330014" w:rsidRDefault="001B5E43">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Keywords: Bone metabolism, Bone defects, Fractures; Newborns</w:t>
      </w:r>
    </w:p>
    <w:p w14:paraId="2C69A9D5" w14:textId="77777777" w:rsidR="00330014" w:rsidRDefault="00330014">
      <w:pPr>
        <w:pBdr>
          <w:top w:val="nil"/>
          <w:left w:val="nil"/>
          <w:bottom w:val="nil"/>
          <w:right w:val="nil"/>
          <w:between w:val="nil"/>
        </w:pBdr>
        <w:jc w:val="both"/>
        <w:rPr>
          <w:rFonts w:ascii="Arial" w:eastAsia="Arial" w:hAnsi="Arial" w:cs="Arial"/>
          <w:i/>
          <w:color w:val="000000"/>
        </w:rPr>
      </w:pPr>
    </w:p>
    <w:p w14:paraId="6CA51409" w14:textId="77777777" w:rsidR="00330014" w:rsidRDefault="001B5E4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13FE9E4D" w14:textId="77777777" w:rsidR="00330014" w:rsidRDefault="00330014">
      <w:pPr>
        <w:keepNext/>
        <w:pBdr>
          <w:top w:val="nil"/>
          <w:left w:val="nil"/>
          <w:bottom w:val="nil"/>
          <w:right w:val="nil"/>
          <w:between w:val="nil"/>
        </w:pBdr>
        <w:jc w:val="both"/>
        <w:rPr>
          <w:rFonts w:ascii="Arial" w:eastAsia="Arial" w:hAnsi="Arial" w:cs="Arial"/>
          <w:b/>
          <w:smallCaps/>
          <w:color w:val="000000"/>
          <w:sz w:val="22"/>
          <w:szCs w:val="22"/>
        </w:rPr>
      </w:pPr>
    </w:p>
    <w:p w14:paraId="2A0B9B5C" w14:textId="77777777" w:rsidR="00330014" w:rsidRDefault="001B5E43">
      <w:pPr>
        <w:pBdr>
          <w:top w:val="nil"/>
          <w:left w:val="nil"/>
          <w:bottom w:val="nil"/>
          <w:right w:val="nil"/>
          <w:between w:val="nil"/>
        </w:pBdr>
        <w:spacing w:after="240"/>
        <w:jc w:val="both"/>
        <w:rPr>
          <w:rFonts w:ascii="Arial" w:eastAsia="Arial" w:hAnsi="Arial" w:cs="Arial"/>
          <w:color w:val="000000"/>
        </w:rPr>
      </w:pPr>
      <w:bookmarkStart w:id="1" w:name="_heading=h.gfcq15m8213f" w:colFirst="0" w:colLast="0"/>
      <w:bookmarkEnd w:id="1"/>
      <w:r>
        <w:rPr>
          <w:rFonts w:ascii="Arial" w:eastAsia="Arial" w:hAnsi="Arial" w:cs="Arial"/>
          <w:color w:val="000000"/>
        </w:rPr>
        <w:t>Osteogenesis imperfecta (OI) is a heterogeneous group of inherited connective tissue disorders that share similar skeletal abnormalities that cause fragility, bone deformity, and fracture risk, leading to the name brittle bones (</w:t>
      </w:r>
      <w:proofErr w:type="spellStart"/>
      <w:r>
        <w:rPr>
          <w:rFonts w:ascii="Arial" w:eastAsia="Arial" w:hAnsi="Arial" w:cs="Arial"/>
          <w:color w:val="000000"/>
        </w:rPr>
        <w:t>Forlino</w:t>
      </w:r>
      <w:proofErr w:type="spellEnd"/>
      <w:r>
        <w:rPr>
          <w:rFonts w:ascii="Arial" w:eastAsia="Arial" w:hAnsi="Arial" w:cs="Arial"/>
          <w:color w:val="000000"/>
        </w:rPr>
        <w:t xml:space="preserve"> &amp; Marini, 2016) (Torrent, 2020).</w:t>
      </w:r>
    </w:p>
    <w:p w14:paraId="1A53D26B"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OI has an incidence of approximately 1 in every 15,000 to 20,000 newborns and is considered a rare disease (Torrent, 2020).</w:t>
      </w:r>
      <w:r>
        <w:rPr>
          <w:color w:val="000000"/>
        </w:rPr>
        <w:t xml:space="preserve"> </w:t>
      </w:r>
      <w:r>
        <w:rPr>
          <w:rFonts w:ascii="Arial" w:eastAsia="Arial" w:hAnsi="Arial" w:cs="Arial"/>
          <w:color w:val="000000"/>
        </w:rPr>
        <w:t>Osteogenesis imperfecta is a disease with an estimated worldwide prevalence of 1/15,000 to 1/20,000 newborns, and an estimated prevalence in the United States of between 25,000 and 50,000 affected individuals (Marini &amp; Dang Do, 2020).</w:t>
      </w:r>
    </w:p>
    <w:p w14:paraId="163080A7" w14:textId="77777777" w:rsidR="00330014" w:rsidRDefault="00330014">
      <w:pPr>
        <w:pBdr>
          <w:top w:val="nil"/>
          <w:left w:val="nil"/>
          <w:bottom w:val="nil"/>
          <w:right w:val="nil"/>
          <w:between w:val="nil"/>
        </w:pBdr>
        <w:jc w:val="both"/>
        <w:rPr>
          <w:rFonts w:ascii="Arial" w:eastAsia="Arial" w:hAnsi="Arial" w:cs="Arial"/>
          <w:color w:val="000000"/>
        </w:rPr>
      </w:pPr>
    </w:p>
    <w:p w14:paraId="5DC43DAA"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It presents with a wide spectrum of clinical manifestations, and five clinical forms of OI have been identified: non-deforming type I with persistently blue sclera; perinatally lethal type II; progressively deforming type III; moderate type IV; and type V with calcification of the interosseous membranes and/or hypertrophic callus (</w:t>
      </w:r>
      <w:proofErr w:type="spellStart"/>
      <w:r>
        <w:rPr>
          <w:rFonts w:ascii="Arial" w:eastAsia="Arial" w:hAnsi="Arial" w:cs="Arial"/>
          <w:color w:val="000000"/>
        </w:rPr>
        <w:t>Sillence</w:t>
      </w:r>
      <w:proofErr w:type="spellEnd"/>
      <w:r>
        <w:rPr>
          <w:rFonts w:ascii="Arial" w:eastAsia="Arial" w:hAnsi="Arial" w:cs="Arial"/>
          <w:color w:val="000000"/>
        </w:rPr>
        <w:t>, Senn, &amp; Danks, 1979).</w:t>
      </w:r>
    </w:p>
    <w:p w14:paraId="4C7E8909"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Differential diagnoses for this disease include child abuse, thanatophoric dysplasia, </w:t>
      </w:r>
      <w:proofErr w:type="spellStart"/>
      <w:r>
        <w:rPr>
          <w:rFonts w:ascii="Arial" w:eastAsia="Arial" w:hAnsi="Arial" w:cs="Arial"/>
          <w:color w:val="000000"/>
        </w:rPr>
        <w:t>achondrogenesis</w:t>
      </w:r>
      <w:proofErr w:type="spellEnd"/>
      <w:r>
        <w:rPr>
          <w:rFonts w:ascii="Arial" w:eastAsia="Arial" w:hAnsi="Arial" w:cs="Arial"/>
          <w:color w:val="000000"/>
        </w:rPr>
        <w:t xml:space="preserve"> type I, campomelic dysplasia, hypophosphatasia, and osteoporosis (Martin &amp; Shapiro, 2007). Given the patient's clinical characteristics, the patient could be classified as type I, as she has had several fractures and has thus far reported good healing. She also has blue sclera and autosomal dominant inheritance. This means that one copy of a mutated (changed) gene from one of the parents can cause </w:t>
      </w:r>
      <w:proofErr w:type="gramStart"/>
      <w:r>
        <w:rPr>
          <w:rFonts w:ascii="Arial" w:eastAsia="Arial" w:hAnsi="Arial" w:cs="Arial"/>
          <w:color w:val="000000"/>
        </w:rPr>
        <w:t>the genetic</w:t>
      </w:r>
      <w:proofErr w:type="gramEnd"/>
      <w:r>
        <w:rPr>
          <w:rFonts w:ascii="Arial" w:eastAsia="Arial" w:hAnsi="Arial" w:cs="Arial"/>
          <w:color w:val="000000"/>
        </w:rPr>
        <w:t xml:space="preserve"> condition, and the child has a 50% chance of inheriting that mutated gene. Daughters and sons have the same chance of </w:t>
      </w:r>
      <w:r>
        <w:rPr>
          <w:rFonts w:ascii="Arial" w:eastAsia="Arial" w:hAnsi="Arial" w:cs="Arial"/>
          <w:color w:val="000000"/>
        </w:rPr>
        <w:lastRenderedPageBreak/>
        <w:t>inheriting the condition. In this case, there is a family history; in the case described, the father and grandfather had the condition, and the mother appears healthy.</w:t>
      </w:r>
    </w:p>
    <w:p w14:paraId="2D5BF5CA" w14:textId="77777777" w:rsidR="00330014" w:rsidRDefault="001B5E4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Treatment should be multifactorial, including orthopedic management, nutritional rehabilitation, dental care, and other subspecialties, as well as emotional support for the parents, since the survival of these patients depends significantly on the care provided.</w:t>
      </w:r>
    </w:p>
    <w:p w14:paraId="3BF0FFDA" w14:textId="77777777" w:rsidR="00330014" w:rsidRDefault="00330014">
      <w:pPr>
        <w:pBdr>
          <w:top w:val="nil"/>
          <w:left w:val="nil"/>
          <w:bottom w:val="nil"/>
          <w:right w:val="nil"/>
          <w:between w:val="nil"/>
        </w:pBdr>
        <w:jc w:val="both"/>
        <w:rPr>
          <w:rFonts w:ascii="Arial" w:eastAsia="Arial" w:hAnsi="Arial" w:cs="Arial"/>
          <w:color w:val="000000"/>
        </w:rPr>
      </w:pPr>
    </w:p>
    <w:p w14:paraId="27943440" w14:textId="77777777" w:rsidR="00330014" w:rsidRDefault="001B5E4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2. CASE DESCRIPTION</w:t>
      </w:r>
    </w:p>
    <w:p w14:paraId="7BA53DDC" w14:textId="77777777" w:rsidR="00330014" w:rsidRDefault="00330014">
      <w:pPr>
        <w:keepNext/>
        <w:pBdr>
          <w:top w:val="nil"/>
          <w:left w:val="nil"/>
          <w:bottom w:val="nil"/>
          <w:right w:val="nil"/>
          <w:between w:val="nil"/>
        </w:pBdr>
        <w:jc w:val="both"/>
        <w:rPr>
          <w:rFonts w:ascii="Arial" w:eastAsia="Arial" w:hAnsi="Arial" w:cs="Arial"/>
          <w:b/>
          <w:smallCaps/>
          <w:color w:val="000000"/>
          <w:sz w:val="22"/>
          <w:szCs w:val="22"/>
        </w:rPr>
      </w:pPr>
    </w:p>
    <w:p w14:paraId="0D430D1F"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This is a 20-year-old mother who came to Hospital General Guanajuato (HGG). She was unaware she was pregnant, so she did not take any supplements or receive prenatal care during the pregnancy. She reported having had whitish vaginal discharge for the previous 3 days. The baby, male sex, was born in the toilet bowl at her home on March 9, 2023. The cord tore, and the father provided immediate care. He tied the cord with non-sterile tape, dried it, and reported crying and spontaneous breathing. He was taken to HGG by paramedics. Upon admission, the patient was pale and hypothermic (35.4°C). He was placed in a warming crib, dried, and showed adequate respiratory effort with an arterial oxygen saturation of 92%. The patient was evaluated and found abundant cranial crepitation with a 2x2 anterior fontanelle, facial symmetry, an intact oral cavity, a chest with good air entry and exit in the lung fields, a precordium with rhythmic heart sounds and no murmurs, an abdominal cord with an artery/vein ratio of 2/1, adequate peristalsis without </w:t>
      </w:r>
      <w:proofErr w:type="spellStart"/>
      <w:r>
        <w:rPr>
          <w:rFonts w:ascii="Arial" w:eastAsia="Arial" w:hAnsi="Arial" w:cs="Arial"/>
          <w:color w:val="000000"/>
        </w:rPr>
        <w:t>megalia</w:t>
      </w:r>
      <w:proofErr w:type="spellEnd"/>
      <w:r>
        <w:rPr>
          <w:rFonts w:ascii="Arial" w:eastAsia="Arial" w:hAnsi="Arial" w:cs="Arial"/>
          <w:color w:val="000000"/>
        </w:rPr>
        <w:t>, intact extremities with good capillary refill, no edema, and no mobility limitations.</w:t>
      </w:r>
    </w:p>
    <w:p w14:paraId="605B1CD3"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Thermoregulation was performed. Due to the maternal history of infection and </w:t>
      </w:r>
      <w:proofErr w:type="gramStart"/>
      <w:r>
        <w:rPr>
          <w:rFonts w:ascii="Arial" w:eastAsia="Arial" w:hAnsi="Arial" w:cs="Arial"/>
          <w:color w:val="000000"/>
        </w:rPr>
        <w:t>the place of birth</w:t>
      </w:r>
      <w:proofErr w:type="gramEnd"/>
      <w:r>
        <w:rPr>
          <w:rFonts w:ascii="Arial" w:eastAsia="Arial" w:hAnsi="Arial" w:cs="Arial"/>
          <w:color w:val="000000"/>
        </w:rPr>
        <w:t>, ampicillin (50 mg/kg every 12 hours) and amikacin (15 mg/kg every 24 hours) were started. Blood gases were taken (pH 7.29, pCO2: 35, pO2: 31, HCO3: 17.5, with BE: -9.2 sat 61%) with no signs of asphyxia, so oral administration was started.</w:t>
      </w:r>
    </w:p>
    <w:p w14:paraId="226DBE32"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patient was admitted with a diagnosis of a newborn of 40 gestation weeks with a low birth weight for gestational age (2.200 kg), head trauma, occipital fracture, perinatal sepsis, and accidental delivery. A head x-ray was taken, showing loss of bone continuity at the occipital level (Figure 1).</w:t>
      </w:r>
    </w:p>
    <w:p w14:paraId="67263B16" w14:textId="77777777" w:rsidR="00330014" w:rsidRDefault="001B5E43">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07B80954" wp14:editId="3A4A98A8">
            <wp:extent cx="3486150" cy="2802890"/>
            <wp:effectExtent l="0" t="0" r="0" b="0"/>
            <wp:docPr id="195936663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3486150" cy="2802890"/>
                    </a:xfrm>
                    <a:prstGeom prst="rect">
                      <a:avLst/>
                    </a:prstGeom>
                    <a:ln/>
                  </pic:spPr>
                </pic:pic>
              </a:graphicData>
            </a:graphic>
          </wp:inline>
        </w:drawing>
      </w:r>
    </w:p>
    <w:p w14:paraId="40B59A4D" w14:textId="77777777" w:rsidR="00330014" w:rsidRDefault="001B5E43">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Source: Medical file of the patient </w:t>
      </w:r>
    </w:p>
    <w:p w14:paraId="11ED579D" w14:textId="77777777" w:rsidR="00330014" w:rsidRDefault="001B5E43">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Figure 1 X-ray showing loss of bone continuity in the occipital region.</w:t>
      </w:r>
    </w:p>
    <w:p w14:paraId="5946DB21"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A soft chest x-ray was obtained, with limited clinical significance (Figure 2). </w:t>
      </w:r>
    </w:p>
    <w:p w14:paraId="0E516A91" w14:textId="77777777" w:rsidR="00330014" w:rsidRDefault="001B5E43">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noProof/>
          <w:color w:val="000000"/>
        </w:rPr>
        <w:drawing>
          <wp:inline distT="0" distB="0" distL="0" distR="0" wp14:anchorId="5ACF4743" wp14:editId="5CEDB433">
            <wp:extent cx="3429000" cy="2867025"/>
            <wp:effectExtent l="0" t="0" r="0" b="0"/>
            <wp:docPr id="195936663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
                    <a:srcRect/>
                    <a:stretch>
                      <a:fillRect/>
                    </a:stretch>
                  </pic:blipFill>
                  <pic:spPr>
                    <a:xfrm>
                      <a:off x="0" y="0"/>
                      <a:ext cx="3429000" cy="2867025"/>
                    </a:xfrm>
                    <a:prstGeom prst="rect">
                      <a:avLst/>
                    </a:prstGeom>
                    <a:ln/>
                  </pic:spPr>
                </pic:pic>
              </a:graphicData>
            </a:graphic>
          </wp:inline>
        </w:drawing>
      </w:r>
    </w:p>
    <w:p w14:paraId="6471ED87" w14:textId="77777777" w:rsidR="00330014" w:rsidRDefault="001B5E43">
      <w:pPr>
        <w:pBdr>
          <w:top w:val="nil"/>
          <w:left w:val="nil"/>
          <w:bottom w:val="nil"/>
          <w:right w:val="nil"/>
          <w:between w:val="nil"/>
        </w:pBdr>
        <w:spacing w:after="240"/>
        <w:rPr>
          <w:rFonts w:ascii="Arial" w:eastAsia="Arial" w:hAnsi="Arial" w:cs="Arial"/>
          <w:color w:val="000000"/>
        </w:rPr>
      </w:pPr>
      <w:bookmarkStart w:id="2" w:name="_heading=h.xnrss93fg9u5" w:colFirst="0" w:colLast="0"/>
      <w:bookmarkEnd w:id="2"/>
      <w:r>
        <w:rPr>
          <w:rFonts w:ascii="Arial" w:eastAsia="Arial" w:hAnsi="Arial" w:cs="Arial"/>
          <w:color w:val="000000"/>
        </w:rPr>
        <w:t>Source: Medical file of the patient</w:t>
      </w:r>
    </w:p>
    <w:p w14:paraId="01B23E5F" w14:textId="77777777" w:rsidR="00330014" w:rsidRDefault="001B5E43">
      <w:pPr>
        <w:pBdr>
          <w:top w:val="nil"/>
          <w:left w:val="nil"/>
          <w:bottom w:val="nil"/>
          <w:right w:val="nil"/>
          <w:between w:val="nil"/>
        </w:pBdr>
        <w:spacing w:after="240"/>
        <w:rPr>
          <w:rFonts w:ascii="Arial" w:eastAsia="Arial" w:hAnsi="Arial" w:cs="Arial"/>
          <w:b/>
          <w:color w:val="000000"/>
        </w:rPr>
      </w:pPr>
      <w:r>
        <w:rPr>
          <w:rFonts w:ascii="Arial" w:eastAsia="Arial" w:hAnsi="Arial" w:cs="Arial"/>
          <w:b/>
          <w:color w:val="000000"/>
        </w:rPr>
        <w:t>Figure 2 Chest X-ray showing no significant data, and humerus deformed.</w:t>
      </w:r>
    </w:p>
    <w:p w14:paraId="2E0F6C53"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Laboratory results included a complete blood count with a tendency toward thrombocytopenia, with no other infectious signs, and no significative C-reactive protein (CRP). A </w:t>
      </w:r>
      <w:proofErr w:type="spellStart"/>
      <w:r>
        <w:rPr>
          <w:rFonts w:ascii="Arial" w:eastAsia="Arial" w:hAnsi="Arial" w:cs="Arial"/>
          <w:color w:val="000000"/>
        </w:rPr>
        <w:t>transfontanellar</w:t>
      </w:r>
      <w:proofErr w:type="spellEnd"/>
      <w:r>
        <w:rPr>
          <w:rFonts w:ascii="Arial" w:eastAsia="Arial" w:hAnsi="Arial" w:cs="Arial"/>
          <w:color w:val="000000"/>
        </w:rPr>
        <w:t xml:space="preserve"> ultrasound was requested, which was reported as unremarkable.</w:t>
      </w:r>
    </w:p>
    <w:p w14:paraId="20BB6D45"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On March 10, 2023, the newborns had stable neurological evolution, without deterioration or complications. The patient was observed with no mobility of the left thoracic limb, left clavicle deformity, evaluated by traumatology where a diaphyseal clavicle fracture was confirmed (Figure 1 and 2). Conservative treatment was given. Control laboratory results showed a complete blood count with hemoglobin (HB) </w:t>
      </w:r>
      <w:r w:rsidRPr="0009415C">
        <w:rPr>
          <w:rFonts w:ascii="Arial" w:eastAsia="Arial" w:hAnsi="Arial" w:cs="Arial"/>
          <w:color w:val="000000"/>
        </w:rPr>
        <w:t>16.4 gr/d</w:t>
      </w:r>
      <w:r w:rsidRPr="0009415C">
        <w:rPr>
          <w:rFonts w:ascii="Arial" w:eastAsia="Arial" w:hAnsi="Arial" w:cs="Arial"/>
        </w:rPr>
        <w:t>L</w:t>
      </w:r>
      <w:r w:rsidRPr="0009415C">
        <w:rPr>
          <w:rFonts w:ascii="Arial" w:eastAsia="Arial" w:hAnsi="Arial" w:cs="Arial"/>
          <w:color w:val="000000"/>
        </w:rPr>
        <w:t>, hematocrit (HCT): 46%, platelets of 183,000/</w:t>
      </w:r>
      <w:proofErr w:type="spellStart"/>
      <w:r w:rsidRPr="0009415C">
        <w:rPr>
          <w:rFonts w:ascii="Arial" w:eastAsia="Arial" w:hAnsi="Arial" w:cs="Arial"/>
          <w:color w:val="000000"/>
        </w:rPr>
        <w:t>uL</w:t>
      </w:r>
      <w:proofErr w:type="spellEnd"/>
      <w:r w:rsidRPr="0009415C">
        <w:rPr>
          <w:rFonts w:ascii="Arial" w:eastAsia="Arial" w:hAnsi="Arial" w:cs="Arial"/>
          <w:color w:val="000000"/>
        </w:rPr>
        <w:t>, leukocytes of 17,760/</w:t>
      </w:r>
      <w:proofErr w:type="spellStart"/>
      <w:r w:rsidRPr="0009415C">
        <w:rPr>
          <w:rFonts w:ascii="Arial" w:eastAsia="Arial" w:hAnsi="Arial" w:cs="Arial"/>
          <w:color w:val="000000"/>
        </w:rPr>
        <w:t>uL</w:t>
      </w:r>
      <w:proofErr w:type="spellEnd"/>
      <w:r w:rsidRPr="0009415C">
        <w:rPr>
          <w:rFonts w:ascii="Arial" w:eastAsia="Arial" w:hAnsi="Arial" w:cs="Arial"/>
          <w:color w:val="000000"/>
        </w:rPr>
        <w:t>, 72% segmented, glucose of 75 mg/dL, indirect bilirubin (IB): 7.3 mg/dL, with total bilirubin (TB): 7.7 mg/d</w:t>
      </w:r>
      <w:r w:rsidRPr="0009415C">
        <w:rPr>
          <w:rFonts w:ascii="Arial" w:eastAsia="Arial" w:hAnsi="Arial" w:cs="Arial"/>
        </w:rPr>
        <w:t>L</w:t>
      </w:r>
      <w:r w:rsidRPr="0009415C">
        <w:rPr>
          <w:rFonts w:ascii="Arial" w:eastAsia="Arial" w:hAnsi="Arial" w:cs="Arial"/>
          <w:color w:val="000000"/>
        </w:rPr>
        <w:t xml:space="preserve">, creatine phosphokinase 2785 </w:t>
      </w:r>
      <w:r w:rsidRPr="0009415C">
        <w:rPr>
          <w:rFonts w:ascii="Arial" w:eastAsia="Arial" w:hAnsi="Arial" w:cs="Arial"/>
        </w:rPr>
        <w:t>u</w:t>
      </w:r>
      <w:r w:rsidRPr="0009415C">
        <w:rPr>
          <w:rFonts w:ascii="Arial" w:eastAsia="Arial" w:hAnsi="Arial" w:cs="Arial"/>
          <w:color w:val="000000"/>
        </w:rPr>
        <w:t>/L, mb fraction 90u/L, antibiotics continued. On March 11, 2023, the patient presented with no seizures or abnormal movements. Irritability decreased with analgesics: paracetamol (15 mg/kg every 6 hours) and metamizole 10 mg/kg every 8 hours, ampicillin and amikacin on day 2. Blood cultures were unreactive. He tolerated oral administration and was euglycemic. On March 12, 2023, the patient presented with edema and pain in the lower left extremity. Barlow and Ortolani scores were not evaluable. Range of motion was limited. He continued to show signs of an inflammatory response. HB</w:t>
      </w:r>
      <w:r w:rsidRPr="0009415C">
        <w:rPr>
          <w:rFonts w:ascii="Arial" w:eastAsia="Arial" w:hAnsi="Arial" w:cs="Arial"/>
        </w:rPr>
        <w:t>; 16.2 mg/dl HCT:</w:t>
      </w:r>
      <w:r w:rsidRPr="0009415C">
        <w:rPr>
          <w:rFonts w:ascii="Arial" w:eastAsia="Arial" w:hAnsi="Arial" w:cs="Arial"/>
          <w:color w:val="000000"/>
        </w:rPr>
        <w:t xml:space="preserve"> 47.3%, platelets: 141,000/</w:t>
      </w:r>
      <w:proofErr w:type="spellStart"/>
      <w:r w:rsidRPr="0009415C">
        <w:rPr>
          <w:rFonts w:ascii="Arial" w:eastAsia="Arial" w:hAnsi="Arial" w:cs="Arial"/>
          <w:color w:val="000000"/>
        </w:rPr>
        <w:t>uL</w:t>
      </w:r>
      <w:proofErr w:type="spellEnd"/>
      <w:r w:rsidRPr="0009415C">
        <w:rPr>
          <w:rFonts w:ascii="Arial" w:eastAsia="Arial" w:hAnsi="Arial" w:cs="Arial"/>
          <w:color w:val="000000"/>
        </w:rPr>
        <w:t>, leukocytes: 15,930/</w:t>
      </w:r>
      <w:proofErr w:type="spellStart"/>
      <w:r w:rsidRPr="0009415C">
        <w:rPr>
          <w:rFonts w:ascii="Arial" w:eastAsia="Arial" w:hAnsi="Arial" w:cs="Arial"/>
          <w:color w:val="000000"/>
        </w:rPr>
        <w:t>uL</w:t>
      </w:r>
      <w:proofErr w:type="spellEnd"/>
      <w:r w:rsidRPr="0009415C">
        <w:rPr>
          <w:rFonts w:ascii="Arial" w:eastAsia="Arial" w:hAnsi="Arial" w:cs="Arial"/>
          <w:color w:val="000000"/>
        </w:rPr>
        <w:t>, 71% segmented, and CRP: 39.9 mg/L. The antibiotic was changed to cefepime (30 mg/kg/day every 12 hours) and amikacin (15 mg/kg/day every</w:t>
      </w:r>
      <w:r>
        <w:rPr>
          <w:rFonts w:ascii="Arial" w:eastAsia="Arial" w:hAnsi="Arial" w:cs="Arial"/>
          <w:color w:val="000000"/>
        </w:rPr>
        <w:t xml:space="preserve"> 24 hours). TB: 10.2mg/dL, with IB: 9.8mg/dL. He was reassessed due to trauma with a distal femur fracture (Figure 3). Osteogenesis imperfecta was suspected.</w:t>
      </w:r>
      <w:r>
        <w:rPr>
          <w:color w:val="000000"/>
        </w:rPr>
        <w:t xml:space="preserve"> </w:t>
      </w:r>
      <w:r>
        <w:rPr>
          <w:rFonts w:ascii="Arial" w:eastAsia="Arial" w:hAnsi="Arial" w:cs="Arial"/>
          <w:color w:val="000000"/>
        </w:rPr>
        <w:t>Peripheral blood culture was reported at 68 hours without development.</w:t>
      </w:r>
    </w:p>
    <w:p w14:paraId="515BB4A0" w14:textId="77777777" w:rsidR="00330014" w:rsidRDefault="00330014">
      <w:pPr>
        <w:pBdr>
          <w:top w:val="nil"/>
          <w:left w:val="nil"/>
          <w:bottom w:val="nil"/>
          <w:right w:val="nil"/>
          <w:between w:val="nil"/>
        </w:pBdr>
        <w:spacing w:after="240"/>
        <w:jc w:val="both"/>
        <w:rPr>
          <w:rFonts w:ascii="Arial" w:eastAsia="Arial" w:hAnsi="Arial" w:cs="Arial"/>
          <w:color w:val="000000"/>
        </w:rPr>
      </w:pPr>
    </w:p>
    <w:p w14:paraId="462D3FAE" w14:textId="77777777" w:rsidR="00330014" w:rsidRDefault="00330014">
      <w:pPr>
        <w:pBdr>
          <w:top w:val="nil"/>
          <w:left w:val="nil"/>
          <w:bottom w:val="nil"/>
          <w:right w:val="nil"/>
          <w:between w:val="nil"/>
        </w:pBdr>
        <w:spacing w:after="240"/>
        <w:jc w:val="both"/>
        <w:rPr>
          <w:rFonts w:ascii="Arial" w:eastAsia="Arial" w:hAnsi="Arial" w:cs="Arial"/>
          <w:color w:val="000000"/>
        </w:rPr>
      </w:pPr>
    </w:p>
    <w:p w14:paraId="50F0E315" w14:textId="77777777" w:rsidR="00330014" w:rsidRDefault="00330014">
      <w:pPr>
        <w:pBdr>
          <w:top w:val="nil"/>
          <w:left w:val="nil"/>
          <w:bottom w:val="nil"/>
          <w:right w:val="nil"/>
          <w:between w:val="nil"/>
        </w:pBdr>
        <w:spacing w:after="240"/>
        <w:jc w:val="both"/>
        <w:rPr>
          <w:rFonts w:ascii="Arial" w:eastAsia="Arial" w:hAnsi="Arial" w:cs="Arial"/>
          <w:color w:val="000000"/>
        </w:rPr>
      </w:pPr>
    </w:p>
    <w:p w14:paraId="4444738C" w14:textId="77777777" w:rsidR="00330014" w:rsidRDefault="001B5E43">
      <w:pPr>
        <w:pBdr>
          <w:top w:val="nil"/>
          <w:left w:val="nil"/>
          <w:bottom w:val="nil"/>
          <w:right w:val="nil"/>
          <w:between w:val="nil"/>
        </w:pBdr>
        <w:spacing w:after="240"/>
        <w:jc w:val="center"/>
        <w:rPr>
          <w:color w:val="000000"/>
        </w:rPr>
      </w:pPr>
      <w:r>
        <w:rPr>
          <w:color w:val="000000"/>
        </w:rPr>
        <w:t>A                                                        B</w:t>
      </w:r>
      <w:r>
        <w:rPr>
          <w:noProof/>
        </w:rPr>
        <mc:AlternateContent>
          <mc:Choice Requires="wps">
            <w:drawing>
              <wp:anchor distT="0" distB="0" distL="114300" distR="114300" simplePos="0" relativeHeight="251658240" behindDoc="0" locked="0" layoutInCell="1" hidden="0" allowOverlap="1" wp14:anchorId="2626E0B8" wp14:editId="3C87C4AA">
                <wp:simplePos x="0" y="0"/>
                <wp:positionH relativeFrom="column">
                  <wp:posOffset>2640965</wp:posOffset>
                </wp:positionH>
                <wp:positionV relativeFrom="paragraph">
                  <wp:posOffset>530225</wp:posOffset>
                </wp:positionV>
                <wp:extent cx="606425" cy="263525"/>
                <wp:effectExtent l="0" t="0" r="0" b="0"/>
                <wp:wrapNone/>
                <wp:docPr id="1959366632" name="Rectángulo 1959366632"/>
                <wp:cNvGraphicFramePr/>
                <a:graphic xmlns:a="http://schemas.openxmlformats.org/drawingml/2006/main">
                  <a:graphicData uri="http://schemas.microsoft.com/office/word/2010/wordprocessingShape">
                    <wps:wsp>
                      <wps:cNvSpPr/>
                      <wps:spPr>
                        <a:xfrm>
                          <a:off x="5055488" y="3660938"/>
                          <a:ext cx="581025" cy="238125"/>
                        </a:xfrm>
                        <a:prstGeom prst="rect">
                          <a:avLst/>
                        </a:prstGeom>
                        <a:solidFill>
                          <a:schemeClr val="dk1"/>
                        </a:solidFill>
                        <a:ln w="25400" cap="flat" cmpd="sng">
                          <a:solidFill>
                            <a:schemeClr val="dk1"/>
                          </a:solidFill>
                          <a:prstDash val="solid"/>
                          <a:round/>
                          <a:headEnd type="none" w="sm" len="sm"/>
                          <a:tailEnd type="none" w="sm" len="sm"/>
                        </a:ln>
                      </wps:spPr>
                      <wps:txbx>
                        <w:txbxContent>
                          <w:p w14:paraId="07244892" w14:textId="77777777" w:rsidR="00330014" w:rsidRDefault="00330014">
                            <w:pPr>
                              <w:textDirection w:val="btLr"/>
                            </w:pPr>
                          </w:p>
                        </w:txbxContent>
                      </wps:txbx>
                      <wps:bodyPr spcFirstLastPara="1" wrap="square" lIns="91425" tIns="91425" rIns="91425" bIns="91425" anchor="ctr" anchorCtr="0">
                        <a:noAutofit/>
                      </wps:bodyPr>
                    </wps:wsp>
                  </a:graphicData>
                </a:graphic>
              </wp:anchor>
            </w:drawing>
          </mc:Choice>
          <mc:Fallback>
            <w:pict>
              <v:rect w14:anchorId="2626E0B8" id="Rectángulo 1959366632" o:spid="_x0000_s1026" style="position:absolute;left:0;text-align:left;margin-left:207.95pt;margin-top:41.75pt;width:47.75pt;height:20.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" fillcolor="black [3200]" strokecolor="black [3200]" strokeweight="2pt">
                <v:stroke startarrowwidth="narrow" startarrowlength="short" endarrowwidth="narrow" endarrowlength="short" joinstyle="round"/>
                <v:textbox inset="2.53958mm,2.53958mm,2.53958mm,2.53958mm">
                  <w:txbxContent>
                    <w:p w14:paraId="07244892" w14:textId="77777777" w:rsidR="00330014" w:rsidRDefault="00330014">
                      <w:pPr>
                        <w:textDirection w:val="btLr"/>
                      </w:pPr>
                    </w:p>
                  </w:txbxContent>
                </v:textbox>
              </v:rect>
            </w:pict>
          </mc:Fallback>
        </mc:AlternateContent>
      </w:r>
      <w:r>
        <w:rPr>
          <w:noProof/>
        </w:rPr>
        <w:drawing>
          <wp:anchor distT="0" distB="0" distL="114300" distR="114300" simplePos="0" relativeHeight="251659264" behindDoc="0" locked="0" layoutInCell="1" hidden="0" allowOverlap="1" wp14:anchorId="3F909516" wp14:editId="28B432FA">
            <wp:simplePos x="0" y="0"/>
            <wp:positionH relativeFrom="column">
              <wp:posOffset>486727</wp:posOffset>
            </wp:positionH>
            <wp:positionV relativeFrom="paragraph">
              <wp:posOffset>190500</wp:posOffset>
            </wp:positionV>
            <wp:extent cx="4238625" cy="2593975"/>
            <wp:effectExtent l="0" t="0" r="0" b="0"/>
            <wp:wrapNone/>
            <wp:docPr id="195936663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a:srcRect/>
                    <a:stretch>
                      <a:fillRect/>
                    </a:stretch>
                  </pic:blipFill>
                  <pic:spPr>
                    <a:xfrm>
                      <a:off x="0" y="0"/>
                      <a:ext cx="4238625" cy="2593975"/>
                    </a:xfrm>
                    <a:prstGeom prst="rect">
                      <a:avLst/>
                    </a:prstGeom>
                    <a:ln/>
                  </pic:spPr>
                </pic:pic>
              </a:graphicData>
            </a:graphic>
          </wp:anchor>
        </w:drawing>
      </w:r>
    </w:p>
    <w:p w14:paraId="11119050" w14:textId="77777777" w:rsidR="00330014" w:rsidRDefault="00330014">
      <w:pPr>
        <w:pBdr>
          <w:top w:val="nil"/>
          <w:left w:val="nil"/>
          <w:bottom w:val="nil"/>
          <w:right w:val="nil"/>
          <w:between w:val="nil"/>
        </w:pBdr>
        <w:spacing w:after="240"/>
        <w:rPr>
          <w:color w:val="000000"/>
        </w:rPr>
      </w:pPr>
    </w:p>
    <w:p w14:paraId="69DA075B" w14:textId="77777777" w:rsidR="00330014" w:rsidRDefault="00330014">
      <w:pPr>
        <w:pBdr>
          <w:top w:val="nil"/>
          <w:left w:val="nil"/>
          <w:bottom w:val="nil"/>
          <w:right w:val="nil"/>
          <w:between w:val="nil"/>
        </w:pBdr>
        <w:spacing w:after="240"/>
        <w:rPr>
          <w:color w:val="000000"/>
        </w:rPr>
      </w:pPr>
    </w:p>
    <w:p w14:paraId="6C591409" w14:textId="77777777" w:rsidR="00330014" w:rsidRDefault="00330014">
      <w:pPr>
        <w:pBdr>
          <w:top w:val="nil"/>
          <w:left w:val="nil"/>
          <w:bottom w:val="nil"/>
          <w:right w:val="nil"/>
          <w:between w:val="nil"/>
        </w:pBdr>
        <w:spacing w:after="240"/>
        <w:rPr>
          <w:color w:val="000000"/>
        </w:rPr>
      </w:pPr>
    </w:p>
    <w:p w14:paraId="30627F47" w14:textId="77777777" w:rsidR="00330014" w:rsidRDefault="00330014">
      <w:pPr>
        <w:pBdr>
          <w:top w:val="nil"/>
          <w:left w:val="nil"/>
          <w:bottom w:val="nil"/>
          <w:right w:val="nil"/>
          <w:between w:val="nil"/>
        </w:pBdr>
        <w:spacing w:after="240"/>
        <w:rPr>
          <w:color w:val="000000"/>
        </w:rPr>
      </w:pPr>
    </w:p>
    <w:p w14:paraId="4DB990BF" w14:textId="77777777" w:rsidR="00330014" w:rsidRDefault="00330014">
      <w:pPr>
        <w:pBdr>
          <w:top w:val="nil"/>
          <w:left w:val="nil"/>
          <w:bottom w:val="nil"/>
          <w:right w:val="nil"/>
          <w:between w:val="nil"/>
        </w:pBdr>
        <w:spacing w:after="240"/>
        <w:rPr>
          <w:color w:val="000000"/>
        </w:rPr>
      </w:pPr>
    </w:p>
    <w:p w14:paraId="62F2D3F0" w14:textId="77777777" w:rsidR="00330014" w:rsidRDefault="00330014">
      <w:pPr>
        <w:pBdr>
          <w:top w:val="nil"/>
          <w:left w:val="nil"/>
          <w:bottom w:val="nil"/>
          <w:right w:val="nil"/>
          <w:between w:val="nil"/>
        </w:pBdr>
        <w:spacing w:after="240"/>
        <w:rPr>
          <w:color w:val="000000"/>
        </w:rPr>
      </w:pPr>
    </w:p>
    <w:p w14:paraId="18B99540" w14:textId="77777777" w:rsidR="00330014" w:rsidRDefault="00330014">
      <w:pPr>
        <w:pBdr>
          <w:top w:val="nil"/>
          <w:left w:val="nil"/>
          <w:bottom w:val="nil"/>
          <w:right w:val="nil"/>
          <w:between w:val="nil"/>
        </w:pBdr>
        <w:spacing w:after="240"/>
        <w:rPr>
          <w:color w:val="000000"/>
        </w:rPr>
      </w:pPr>
    </w:p>
    <w:p w14:paraId="229F83C8" w14:textId="77777777" w:rsidR="00330014" w:rsidRDefault="00330014">
      <w:pPr>
        <w:pBdr>
          <w:top w:val="nil"/>
          <w:left w:val="nil"/>
          <w:bottom w:val="nil"/>
          <w:right w:val="nil"/>
          <w:between w:val="nil"/>
        </w:pBdr>
        <w:spacing w:after="240"/>
        <w:rPr>
          <w:color w:val="000000"/>
        </w:rPr>
      </w:pPr>
    </w:p>
    <w:p w14:paraId="5C8F46BA" w14:textId="77777777" w:rsidR="00330014" w:rsidRDefault="00330014">
      <w:pPr>
        <w:pBdr>
          <w:top w:val="nil"/>
          <w:left w:val="nil"/>
          <w:bottom w:val="nil"/>
          <w:right w:val="nil"/>
          <w:between w:val="nil"/>
        </w:pBdr>
        <w:spacing w:after="240"/>
        <w:rPr>
          <w:rFonts w:ascii="Arial" w:eastAsia="Arial" w:hAnsi="Arial" w:cs="Arial"/>
          <w:color w:val="000000"/>
        </w:rPr>
      </w:pPr>
    </w:p>
    <w:p w14:paraId="7F993AD0" w14:textId="77777777" w:rsidR="00330014" w:rsidRDefault="001B5E43">
      <w:p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Source: Medical file of the patient</w:t>
      </w:r>
    </w:p>
    <w:p w14:paraId="34723752" w14:textId="77777777" w:rsidR="00330014" w:rsidRDefault="001B5E43">
      <w:pPr>
        <w:pBdr>
          <w:top w:val="nil"/>
          <w:left w:val="nil"/>
          <w:bottom w:val="nil"/>
          <w:right w:val="nil"/>
          <w:between w:val="nil"/>
        </w:pBdr>
        <w:spacing w:after="240"/>
        <w:rPr>
          <w:rFonts w:ascii="Arial" w:eastAsia="Arial" w:hAnsi="Arial" w:cs="Arial"/>
          <w:b/>
          <w:color w:val="000000"/>
        </w:rPr>
      </w:pPr>
      <w:r>
        <w:rPr>
          <w:rFonts w:ascii="Arial" w:eastAsia="Arial" w:hAnsi="Arial" w:cs="Arial"/>
          <w:b/>
          <w:color w:val="000000"/>
        </w:rPr>
        <w:t>Figure 3 Right tibia fracture (A), left distal femur fracture (B)</w:t>
      </w:r>
    </w:p>
    <w:p w14:paraId="1CC12513"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On March 13, 2023, the patient's progress was stable, with no deterioration or complications. There was no evidence of systemic inflammatory response syndrome (SIRS). Laboratory tests </w:t>
      </w:r>
      <w:r w:rsidRPr="0009415C">
        <w:rPr>
          <w:rFonts w:ascii="Arial" w:eastAsia="Arial" w:hAnsi="Arial" w:cs="Arial"/>
          <w:color w:val="000000"/>
        </w:rPr>
        <w:t>showed glucose 84 mg</w:t>
      </w:r>
      <w:r w:rsidRPr="0009415C">
        <w:rPr>
          <w:rFonts w:ascii="Arial" w:eastAsia="Arial" w:hAnsi="Arial" w:cs="Arial"/>
        </w:rPr>
        <w:t>/</w:t>
      </w:r>
      <w:r w:rsidRPr="0009415C">
        <w:rPr>
          <w:rFonts w:ascii="Arial" w:eastAsia="Arial" w:hAnsi="Arial" w:cs="Arial"/>
          <w:color w:val="000000"/>
        </w:rPr>
        <w:t>dL, urea 27.8 mg/d</w:t>
      </w:r>
      <w:r w:rsidRPr="0009415C">
        <w:rPr>
          <w:rFonts w:ascii="Arial" w:eastAsia="Arial" w:hAnsi="Arial" w:cs="Arial"/>
        </w:rPr>
        <w:t>L</w:t>
      </w:r>
      <w:r w:rsidRPr="0009415C">
        <w:rPr>
          <w:rFonts w:ascii="Arial" w:eastAsia="Arial" w:hAnsi="Arial" w:cs="Arial"/>
          <w:color w:val="000000"/>
        </w:rPr>
        <w:t xml:space="preserve">, Cr 1.04 mg/dL, TB 3.4mg/dL, IB 2.9 mg/dL, HB 15.4 </w:t>
      </w:r>
      <w:r w:rsidRPr="0009415C">
        <w:rPr>
          <w:rFonts w:ascii="Arial" w:eastAsia="Arial" w:hAnsi="Arial" w:cs="Arial"/>
        </w:rPr>
        <w:t>g/dL</w:t>
      </w:r>
      <w:r w:rsidRPr="0009415C">
        <w:rPr>
          <w:rFonts w:ascii="Arial" w:eastAsia="Arial" w:hAnsi="Arial" w:cs="Arial"/>
          <w:color w:val="000000"/>
        </w:rPr>
        <w:t>, HCT 44.6%, platelets 184,000/</w:t>
      </w:r>
      <w:proofErr w:type="spellStart"/>
      <w:r w:rsidRPr="0009415C">
        <w:rPr>
          <w:rFonts w:ascii="Arial" w:eastAsia="Arial" w:hAnsi="Arial" w:cs="Arial"/>
        </w:rPr>
        <w:t>uL</w:t>
      </w:r>
      <w:proofErr w:type="spellEnd"/>
      <w:r w:rsidRPr="0009415C">
        <w:rPr>
          <w:rFonts w:ascii="Arial" w:eastAsia="Arial" w:hAnsi="Arial" w:cs="Arial"/>
          <w:color w:val="000000"/>
        </w:rPr>
        <w:t>, leukocytes 12,240</w:t>
      </w:r>
      <w:r w:rsidRPr="0009415C">
        <w:rPr>
          <w:rFonts w:ascii="Arial" w:eastAsia="Arial" w:hAnsi="Arial" w:cs="Arial"/>
        </w:rPr>
        <w:t>/</w:t>
      </w:r>
      <w:proofErr w:type="spellStart"/>
      <w:r w:rsidRPr="0009415C">
        <w:rPr>
          <w:rFonts w:ascii="Arial" w:eastAsia="Arial" w:hAnsi="Arial" w:cs="Arial"/>
        </w:rPr>
        <w:t>uL</w:t>
      </w:r>
      <w:proofErr w:type="spellEnd"/>
      <w:r w:rsidRPr="0009415C">
        <w:rPr>
          <w:rFonts w:ascii="Arial" w:eastAsia="Arial" w:hAnsi="Arial" w:cs="Arial"/>
          <w:color w:val="000000"/>
        </w:rPr>
        <w:t xml:space="preserve"> with 62% neutrophils, and CRP 37.1 mg/L. Antibiotic treatment was continued. The patient was re-evaluated for a distal fracture of the left femur. A shin splint was placed for 4 weeks</w:t>
      </w:r>
      <w:r>
        <w:rPr>
          <w:rFonts w:ascii="Arial" w:eastAsia="Arial" w:hAnsi="Arial" w:cs="Arial"/>
          <w:color w:val="000000"/>
        </w:rPr>
        <w:t>.</w:t>
      </w:r>
    </w:p>
    <w:p w14:paraId="38B80D0A"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On March 14, 2023, the patient was progressing toward improvement and well-tolerated oral administration. Amikacin, cefepime, and analgesics were continued. The management continued as discussed by the traumatology service.</w:t>
      </w:r>
    </w:p>
    <w:p w14:paraId="07D908E3"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On March 15, 2023, the patient was hemodynamically stable. The infectious disease status </w:t>
      </w:r>
      <w:proofErr w:type="gramStart"/>
      <w:r>
        <w:rPr>
          <w:rFonts w:ascii="Arial" w:eastAsia="Arial" w:hAnsi="Arial" w:cs="Arial"/>
          <w:color w:val="000000"/>
        </w:rPr>
        <w:t>was decreased</w:t>
      </w:r>
      <w:proofErr w:type="gramEnd"/>
      <w:r>
        <w:rPr>
          <w:rFonts w:ascii="Arial" w:eastAsia="Arial" w:hAnsi="Arial" w:cs="Arial"/>
          <w:color w:val="000000"/>
        </w:rPr>
        <w:t xml:space="preserve">: </w:t>
      </w:r>
      <w:r w:rsidRPr="0009415C">
        <w:rPr>
          <w:rFonts w:ascii="Arial" w:eastAsia="Arial" w:hAnsi="Arial" w:cs="Arial"/>
          <w:color w:val="000000"/>
        </w:rPr>
        <w:t>7,930/</w:t>
      </w:r>
      <w:proofErr w:type="spellStart"/>
      <w:r w:rsidRPr="0009415C">
        <w:rPr>
          <w:rFonts w:ascii="Arial" w:eastAsia="Arial" w:hAnsi="Arial" w:cs="Arial"/>
          <w:color w:val="000000"/>
        </w:rPr>
        <w:t>uL</w:t>
      </w:r>
      <w:proofErr w:type="spellEnd"/>
      <w:r w:rsidRPr="0009415C">
        <w:rPr>
          <w:rFonts w:ascii="Arial" w:eastAsia="Arial" w:hAnsi="Arial" w:cs="Arial"/>
          <w:color w:val="000000"/>
        </w:rPr>
        <w:t xml:space="preserve"> </w:t>
      </w:r>
      <w:r w:rsidRPr="0009415C">
        <w:rPr>
          <w:rFonts w:ascii="Arial" w:eastAsia="Arial" w:hAnsi="Arial" w:cs="Arial"/>
        </w:rPr>
        <w:t>leukocytes</w:t>
      </w:r>
      <w:r w:rsidRPr="0009415C">
        <w:rPr>
          <w:rFonts w:ascii="Arial" w:eastAsia="Arial" w:hAnsi="Arial" w:cs="Arial"/>
          <w:color w:val="000000"/>
        </w:rPr>
        <w:t>, 40% segmented, platelets, 283,000/</w:t>
      </w:r>
      <w:proofErr w:type="spellStart"/>
      <w:r w:rsidRPr="0009415C">
        <w:rPr>
          <w:rFonts w:ascii="Arial" w:eastAsia="Arial" w:hAnsi="Arial" w:cs="Arial"/>
          <w:color w:val="000000"/>
        </w:rPr>
        <w:t>uL</w:t>
      </w:r>
      <w:proofErr w:type="spellEnd"/>
      <w:r w:rsidRPr="0009415C">
        <w:rPr>
          <w:rFonts w:ascii="Arial" w:eastAsia="Arial" w:hAnsi="Arial" w:cs="Arial"/>
          <w:color w:val="000000"/>
        </w:rPr>
        <w:t>, and CRP 17.1</w:t>
      </w:r>
      <w:r w:rsidRPr="0009415C">
        <w:rPr>
          <w:rFonts w:ascii="Arial" w:eastAsia="Arial" w:hAnsi="Arial" w:cs="Arial"/>
        </w:rPr>
        <w:t>mg/L.</w:t>
      </w:r>
      <w:r w:rsidRPr="0009415C">
        <w:rPr>
          <w:rFonts w:ascii="Arial" w:eastAsia="Arial" w:hAnsi="Arial" w:cs="Arial"/>
          <w:color w:val="000000"/>
        </w:rPr>
        <w:t xml:space="preserve"> The patient continues with the same management</w:t>
      </w:r>
      <w:r>
        <w:rPr>
          <w:rFonts w:ascii="Arial" w:eastAsia="Arial" w:hAnsi="Arial" w:cs="Arial"/>
          <w:color w:val="000000"/>
        </w:rPr>
        <w:t>. Ventilation was monitored with no signs of respiratory distress, pain control was maintained, and close monitoring was maintained.</w:t>
      </w:r>
    </w:p>
    <w:p w14:paraId="2C368E2F"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On March 16, 2023, the mother was re-examined and informed that her father and paternal grandfather had osteogenesis imperfecta.</w:t>
      </w:r>
    </w:p>
    <w:p w14:paraId="43F970DF"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On March 18, 2023, the patient's respiratory status was adequate, with no supplemental oxygen support. The patient was infected with no signs of SIRS. Cefepime and amikacin were continued. </w:t>
      </w:r>
      <w:proofErr w:type="spellStart"/>
      <w:r>
        <w:rPr>
          <w:rFonts w:ascii="Arial" w:eastAsia="Arial" w:hAnsi="Arial" w:cs="Arial"/>
          <w:color w:val="000000"/>
        </w:rPr>
        <w:t>Gastrometabolic</w:t>
      </w:r>
      <w:proofErr w:type="spellEnd"/>
      <w:r>
        <w:rPr>
          <w:rFonts w:ascii="Arial" w:eastAsia="Arial" w:hAnsi="Arial" w:cs="Arial"/>
          <w:color w:val="000000"/>
        </w:rPr>
        <w:t xml:space="preserve"> status was adequate: oral intake was adequate, suction was present, and the patient was euglycemic.</w:t>
      </w:r>
    </w:p>
    <w:p w14:paraId="536C0602"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03/20/23 Control labs with </w:t>
      </w:r>
      <w:r w:rsidRPr="0009415C">
        <w:rPr>
          <w:rFonts w:ascii="Arial" w:eastAsia="Arial" w:hAnsi="Arial" w:cs="Arial"/>
          <w:color w:val="000000"/>
        </w:rPr>
        <w:t>PCR: 4.2 mg/L, with HB: 13.5</w:t>
      </w:r>
      <w:r w:rsidRPr="0009415C">
        <w:rPr>
          <w:rFonts w:ascii="Arial" w:eastAsia="Arial" w:hAnsi="Arial" w:cs="Arial"/>
        </w:rPr>
        <w:t>gr/dL</w:t>
      </w:r>
      <w:r w:rsidRPr="0009415C">
        <w:rPr>
          <w:rFonts w:ascii="Arial" w:eastAsia="Arial" w:hAnsi="Arial" w:cs="Arial"/>
          <w:color w:val="000000"/>
        </w:rPr>
        <w:t>, HCT: 39%, platelets of 531,000/</w:t>
      </w:r>
      <w:proofErr w:type="spellStart"/>
      <w:r w:rsidRPr="0009415C">
        <w:rPr>
          <w:rFonts w:ascii="Arial" w:eastAsia="Arial" w:hAnsi="Arial" w:cs="Arial"/>
          <w:color w:val="000000"/>
        </w:rPr>
        <w:t>uL</w:t>
      </w:r>
      <w:proofErr w:type="spellEnd"/>
      <w:r w:rsidRPr="0009415C">
        <w:rPr>
          <w:rFonts w:ascii="Arial" w:eastAsia="Arial" w:hAnsi="Arial" w:cs="Arial"/>
          <w:color w:val="000000"/>
        </w:rPr>
        <w:t>, leukocytes of 11,340/</w:t>
      </w:r>
      <w:proofErr w:type="spellStart"/>
      <w:r w:rsidRPr="0009415C">
        <w:rPr>
          <w:rFonts w:ascii="Arial" w:eastAsia="Arial" w:hAnsi="Arial" w:cs="Arial"/>
          <w:color w:val="000000"/>
        </w:rPr>
        <w:t>uL</w:t>
      </w:r>
      <w:proofErr w:type="spellEnd"/>
      <w:r w:rsidRPr="0009415C">
        <w:rPr>
          <w:rFonts w:ascii="Arial" w:eastAsia="Arial" w:hAnsi="Arial" w:cs="Arial"/>
          <w:color w:val="000000"/>
        </w:rPr>
        <w:t>, 40% segmented, 10 days of amikacin and 8 days of cefepime are completed, antibiotics are discontinued.</w:t>
      </w:r>
    </w:p>
    <w:p w14:paraId="722F6340"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On March 21, 2023, a consultation with the Orthopedic Department was requested due to a functional limitation in the left thoracic limb. Physical examination revealed abduction and internal rotation of the arm and forearm in the left thoracic limb, preserved range of motion in the wrist and fingers, and severe pain when palpating the surface of the proximal humerus. An x-ray showed loss of bone continuity in the left proximal humerus in the metaphyseal area, a simple, non-angulated line, and mild displacement. A diagnosis was made of a fracture of the left humerus in the proximal metaphyseal area, and Duchenne Erb's palsy in the left thoracic limb. Conservative management was provided, without the use of a splint on the left humerus.</w:t>
      </w:r>
    </w:p>
    <w:p w14:paraId="1EFF7701"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On March 22, 2023, the patient was discharged with information </w:t>
      </w:r>
      <w:proofErr w:type="gramStart"/>
      <w:r>
        <w:rPr>
          <w:rFonts w:ascii="Arial" w:eastAsia="Arial" w:hAnsi="Arial" w:cs="Arial"/>
          <w:color w:val="000000"/>
        </w:rPr>
        <w:t>to</w:t>
      </w:r>
      <w:proofErr w:type="gramEnd"/>
      <w:r>
        <w:rPr>
          <w:rFonts w:ascii="Arial" w:eastAsia="Arial" w:hAnsi="Arial" w:cs="Arial"/>
          <w:color w:val="000000"/>
        </w:rPr>
        <w:t xml:space="preserve"> parents about alarming symptoms and an open appointment to the Emergency Department. The mother was trained in special care for probable osteogenesis imperfecta, and a continuous splint was prescribed. A referral was made to pediatric genetics and traumatology. On May 3, 2023, the patient attended a pediatric consultation and was reported to be stable, with a reserved prognosis.</w:t>
      </w:r>
    </w:p>
    <w:p w14:paraId="49851271"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On April 14, 2023, the patient attended a trauma consultation for a subsequent fracture of the clavicle, femur, and humerus. The patient was asymptomatic. An X-ray was </w:t>
      </w:r>
      <w:proofErr w:type="gramStart"/>
      <w:r>
        <w:rPr>
          <w:rFonts w:ascii="Arial" w:eastAsia="Arial" w:hAnsi="Arial" w:cs="Arial"/>
          <w:color w:val="000000"/>
        </w:rPr>
        <w:t>requested</w:t>
      </w:r>
      <w:proofErr w:type="gramEnd"/>
      <w:r>
        <w:rPr>
          <w:rFonts w:ascii="Arial" w:eastAsia="Arial" w:hAnsi="Arial" w:cs="Arial"/>
          <w:color w:val="000000"/>
        </w:rPr>
        <w:t xml:space="preserve"> and an appointment was scheduled for two months.</w:t>
      </w:r>
    </w:p>
    <w:p w14:paraId="112151EB"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trauma consultation showed adequate healing on June 16, 2023.</w:t>
      </w:r>
    </w:p>
    <w:p w14:paraId="4650682E"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pediatric consultation revealed delayed psychomotor development in the motor area on July 24,2023. An appointment was scheduled for a neurodevelopmental consultation.</w:t>
      </w:r>
    </w:p>
    <w:p w14:paraId="15B99550" w14:textId="77777777" w:rsidR="00330014" w:rsidRDefault="00330014">
      <w:pPr>
        <w:pBdr>
          <w:top w:val="nil"/>
          <w:left w:val="nil"/>
          <w:bottom w:val="nil"/>
          <w:right w:val="nil"/>
          <w:between w:val="nil"/>
        </w:pBdr>
        <w:jc w:val="both"/>
        <w:rPr>
          <w:rFonts w:ascii="Arial" w:eastAsia="Arial" w:hAnsi="Arial" w:cs="Arial"/>
          <w:color w:val="000000"/>
        </w:rPr>
      </w:pPr>
    </w:p>
    <w:p w14:paraId="0BA1E76C" w14:textId="77777777" w:rsidR="00330014" w:rsidRDefault="001B5E4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3. discussion</w:t>
      </w:r>
    </w:p>
    <w:p w14:paraId="5D37C70A" w14:textId="77777777" w:rsidR="00330014" w:rsidRDefault="00330014">
      <w:pPr>
        <w:keepNext/>
        <w:pBdr>
          <w:top w:val="nil"/>
          <w:left w:val="nil"/>
          <w:bottom w:val="nil"/>
          <w:right w:val="nil"/>
          <w:between w:val="nil"/>
        </w:pBdr>
        <w:jc w:val="both"/>
        <w:rPr>
          <w:rFonts w:ascii="Arial" w:eastAsia="Arial" w:hAnsi="Arial" w:cs="Arial"/>
          <w:b/>
          <w:smallCaps/>
          <w:color w:val="000000"/>
          <w:sz w:val="22"/>
          <w:szCs w:val="22"/>
        </w:rPr>
      </w:pPr>
    </w:p>
    <w:p w14:paraId="3FDBBC4D"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The disease primarily affects the skeletal system. Skeletal manifestations include bone fragility resulting from primary bone fragility and secondary fragility resulting from osteoporosis (Van Dijk, &amp; </w:t>
      </w:r>
      <w:proofErr w:type="spellStart"/>
      <w:r>
        <w:rPr>
          <w:rFonts w:ascii="Arial" w:eastAsia="Arial" w:hAnsi="Arial" w:cs="Arial"/>
          <w:color w:val="000000"/>
        </w:rPr>
        <w:t>Sillence</w:t>
      </w:r>
      <w:proofErr w:type="spellEnd"/>
      <w:r>
        <w:rPr>
          <w:rFonts w:ascii="Arial" w:eastAsia="Arial" w:hAnsi="Arial" w:cs="Arial"/>
          <w:color w:val="000000"/>
        </w:rPr>
        <w:t>, 2014), which lead to recurrent fractures, fractures in atypical sites, and low-trauma fractures (including in utero fractures in severe forms of OI) (</w:t>
      </w:r>
      <w:proofErr w:type="spellStart"/>
      <w:r>
        <w:rPr>
          <w:rFonts w:ascii="Arial" w:eastAsia="Arial" w:hAnsi="Arial" w:cs="Arial"/>
          <w:color w:val="000000"/>
        </w:rPr>
        <w:t>Forlino</w:t>
      </w:r>
      <w:proofErr w:type="spellEnd"/>
      <w:r>
        <w:rPr>
          <w:rFonts w:ascii="Arial" w:eastAsia="Arial" w:hAnsi="Arial" w:cs="Arial"/>
          <w:color w:val="000000"/>
        </w:rPr>
        <w:t xml:space="preserve"> &amp; Marini, 2016) (Torrent, 2020). At least in the most common and mildest type I OI, the incidence of fractures is higher in the pediatric population and decreases with age (</w:t>
      </w:r>
      <w:proofErr w:type="spellStart"/>
      <w:r>
        <w:rPr>
          <w:rFonts w:ascii="Arial" w:eastAsia="Arial" w:hAnsi="Arial" w:cs="Arial"/>
          <w:color w:val="000000"/>
        </w:rPr>
        <w:t>Forlino</w:t>
      </w:r>
      <w:proofErr w:type="spellEnd"/>
      <w:r>
        <w:rPr>
          <w:rFonts w:ascii="Arial" w:eastAsia="Arial" w:hAnsi="Arial" w:cs="Arial"/>
          <w:color w:val="000000"/>
        </w:rPr>
        <w:t xml:space="preserve"> &amp; Marini, 2016).</w:t>
      </w:r>
    </w:p>
    <w:p w14:paraId="0FBEEB94" w14:textId="77777777" w:rsidR="00671ABD" w:rsidRPr="00671ABD" w:rsidRDefault="00671ABD" w:rsidP="00671ABD">
      <w:pPr>
        <w:pBdr>
          <w:top w:val="nil"/>
          <w:left w:val="nil"/>
          <w:bottom w:val="nil"/>
          <w:right w:val="nil"/>
          <w:between w:val="nil"/>
        </w:pBdr>
        <w:spacing w:after="240"/>
        <w:jc w:val="both"/>
        <w:rPr>
          <w:rFonts w:ascii="Arial" w:eastAsia="Arial" w:hAnsi="Arial" w:cs="Arial"/>
          <w:color w:val="000000"/>
          <w:highlight w:val="yellow"/>
        </w:rPr>
      </w:pPr>
      <w:r w:rsidRPr="00671ABD">
        <w:rPr>
          <w:rFonts w:ascii="Arial" w:eastAsia="Arial" w:hAnsi="Arial" w:cs="Arial"/>
          <w:color w:val="000000"/>
          <w:highlight w:val="yellow"/>
        </w:rPr>
        <w:t xml:space="preserve">In 1979, </w:t>
      </w:r>
      <w:proofErr w:type="spellStart"/>
      <w:r w:rsidRPr="00671ABD">
        <w:rPr>
          <w:rFonts w:ascii="Arial" w:eastAsia="Arial" w:hAnsi="Arial" w:cs="Arial"/>
          <w:color w:val="000000"/>
          <w:highlight w:val="yellow"/>
        </w:rPr>
        <w:t>Sillence</w:t>
      </w:r>
      <w:proofErr w:type="spellEnd"/>
      <w:r w:rsidRPr="00671ABD">
        <w:rPr>
          <w:rFonts w:ascii="Arial" w:eastAsia="Arial" w:hAnsi="Arial" w:cs="Arial"/>
          <w:color w:val="000000"/>
          <w:highlight w:val="yellow"/>
        </w:rPr>
        <w:t xml:space="preserve">, Senn &amp; Danks (1979), proposed a classification based on clinical/radiological features and mode of inheritance: OI type I, autosomal dominant (AD) with blue, non-deforming sclera; OI type II, with multiple fractures and severe deformities leading to death in the perinatal period; OI type III, a severe, progressively deforming form with scoliosis and white sclera; OI type IV is the most heterogeneous group, with moderate deformities, variable sclera coloration, and </w:t>
      </w:r>
      <w:proofErr w:type="spellStart"/>
      <w:r w:rsidRPr="00671ABD">
        <w:rPr>
          <w:rFonts w:ascii="Arial" w:eastAsia="Arial" w:hAnsi="Arial" w:cs="Arial"/>
          <w:color w:val="000000"/>
          <w:highlight w:val="yellow"/>
        </w:rPr>
        <w:t>dentinogenesis</w:t>
      </w:r>
      <w:proofErr w:type="spellEnd"/>
      <w:r w:rsidRPr="00671ABD">
        <w:rPr>
          <w:rFonts w:ascii="Arial" w:eastAsia="Arial" w:hAnsi="Arial" w:cs="Arial"/>
          <w:color w:val="000000"/>
          <w:highlight w:val="yellow"/>
        </w:rPr>
        <w:t xml:space="preserve"> imperfecta.</w:t>
      </w:r>
    </w:p>
    <w:p w14:paraId="7C73E2C7" w14:textId="2A6040B1" w:rsidR="00671ABD" w:rsidRDefault="00671ABD" w:rsidP="00671ABD">
      <w:pPr>
        <w:pBdr>
          <w:top w:val="nil"/>
          <w:left w:val="nil"/>
          <w:bottom w:val="nil"/>
          <w:right w:val="nil"/>
          <w:between w:val="nil"/>
        </w:pBdr>
        <w:spacing w:after="240"/>
        <w:jc w:val="both"/>
        <w:rPr>
          <w:rFonts w:ascii="Arial" w:eastAsia="Arial" w:hAnsi="Arial" w:cs="Arial"/>
          <w:color w:val="000000"/>
        </w:rPr>
      </w:pPr>
      <w:r w:rsidRPr="00671ABD">
        <w:rPr>
          <w:rFonts w:ascii="Arial" w:eastAsia="Arial" w:hAnsi="Arial" w:cs="Arial"/>
          <w:color w:val="000000"/>
          <w:highlight w:val="yellow"/>
        </w:rPr>
        <w:t>Subsequently, several classifications have been made, until the most recent, in which an alternative functional classification based on the metabolic mechanism was proposed: Group A, defects in collagen synthesis, structure, or processing; Group B, defects in collagen modification; Group C, defects in collagen folding and cross-linking; Group D, compromised bone mineralization; and Group E, defects in osteoblast development with collagen insufficiency (</w:t>
      </w:r>
      <w:proofErr w:type="spellStart"/>
      <w:r w:rsidRPr="00671ABD">
        <w:rPr>
          <w:rFonts w:ascii="Arial" w:eastAsia="Arial" w:hAnsi="Arial" w:cs="Arial"/>
          <w:color w:val="000000"/>
          <w:highlight w:val="yellow"/>
        </w:rPr>
        <w:t>Forlino</w:t>
      </w:r>
      <w:proofErr w:type="spellEnd"/>
      <w:r w:rsidRPr="00671ABD">
        <w:rPr>
          <w:rFonts w:ascii="Arial" w:eastAsia="Arial" w:hAnsi="Arial" w:cs="Arial"/>
          <w:color w:val="000000"/>
          <w:highlight w:val="yellow"/>
        </w:rPr>
        <w:t xml:space="preserve"> &amp; Marini, 2016) (Marini, Reich, &amp; Smith, 2014).</w:t>
      </w:r>
    </w:p>
    <w:p w14:paraId="4B22CE07" w14:textId="7E093D57" w:rsidR="00671ABD" w:rsidRDefault="00671ABD">
      <w:pPr>
        <w:pBdr>
          <w:top w:val="nil"/>
          <w:left w:val="nil"/>
          <w:bottom w:val="nil"/>
          <w:right w:val="nil"/>
          <w:between w:val="nil"/>
        </w:pBdr>
        <w:spacing w:after="240"/>
        <w:jc w:val="both"/>
        <w:rPr>
          <w:rFonts w:ascii="Arial" w:eastAsia="Arial" w:hAnsi="Arial" w:cs="Arial"/>
          <w:color w:val="000000"/>
        </w:rPr>
      </w:pPr>
      <w:r w:rsidRPr="00671ABD">
        <w:rPr>
          <w:rFonts w:ascii="Arial" w:eastAsia="Arial" w:hAnsi="Arial" w:cs="Arial"/>
          <w:color w:val="000000"/>
          <w:highlight w:val="yellow"/>
        </w:rPr>
        <w:t xml:space="preserve">The classification of OI has been debated in recent years due to the discovery of several genes, including non-collagen genes (Marini, </w:t>
      </w:r>
      <w:proofErr w:type="spellStart"/>
      <w:r w:rsidRPr="00671ABD">
        <w:rPr>
          <w:rFonts w:ascii="Arial" w:eastAsia="Arial" w:hAnsi="Arial" w:cs="Arial"/>
          <w:color w:val="000000"/>
          <w:highlight w:val="yellow"/>
        </w:rPr>
        <w:t>Forlino</w:t>
      </w:r>
      <w:proofErr w:type="spellEnd"/>
      <w:r w:rsidRPr="00671ABD">
        <w:rPr>
          <w:rFonts w:ascii="Arial" w:eastAsia="Arial" w:hAnsi="Arial" w:cs="Arial"/>
          <w:color w:val="000000"/>
          <w:highlight w:val="yellow"/>
        </w:rPr>
        <w:t xml:space="preserve">, </w:t>
      </w:r>
      <w:proofErr w:type="spellStart"/>
      <w:r w:rsidRPr="00671ABD">
        <w:rPr>
          <w:rFonts w:ascii="Arial" w:eastAsia="Arial" w:hAnsi="Arial" w:cs="Arial"/>
          <w:color w:val="000000"/>
          <w:highlight w:val="yellow"/>
        </w:rPr>
        <w:t>Bächinger</w:t>
      </w:r>
      <w:proofErr w:type="spellEnd"/>
      <w:r w:rsidRPr="00671ABD">
        <w:rPr>
          <w:rFonts w:ascii="Arial" w:eastAsia="Arial" w:hAnsi="Arial" w:cs="Arial"/>
          <w:color w:val="000000"/>
          <w:highlight w:val="yellow"/>
        </w:rPr>
        <w:t xml:space="preserve">, Bishop, Byers, </w:t>
      </w:r>
      <w:proofErr w:type="gramStart"/>
      <w:r w:rsidRPr="00671ABD">
        <w:rPr>
          <w:rFonts w:ascii="Arial" w:eastAsia="Arial" w:hAnsi="Arial" w:cs="Arial"/>
          <w:color w:val="000000"/>
          <w:highlight w:val="yellow"/>
        </w:rPr>
        <w:t xml:space="preserve">Paepe,  </w:t>
      </w:r>
      <w:proofErr w:type="spellStart"/>
      <w:r w:rsidRPr="00671ABD">
        <w:rPr>
          <w:rFonts w:ascii="Arial" w:eastAsia="Arial" w:hAnsi="Arial" w:cs="Arial"/>
          <w:color w:val="000000"/>
          <w:highlight w:val="yellow"/>
        </w:rPr>
        <w:t>Fassier</w:t>
      </w:r>
      <w:proofErr w:type="spellEnd"/>
      <w:proofErr w:type="gramEnd"/>
      <w:r w:rsidRPr="00671ABD">
        <w:rPr>
          <w:rFonts w:ascii="Arial" w:eastAsia="Arial" w:hAnsi="Arial" w:cs="Arial"/>
          <w:color w:val="000000"/>
          <w:highlight w:val="yellow"/>
        </w:rPr>
        <w:t xml:space="preserve">, </w:t>
      </w:r>
      <w:proofErr w:type="spellStart"/>
      <w:r w:rsidRPr="00671ABD">
        <w:rPr>
          <w:rFonts w:ascii="Arial" w:eastAsia="Arial" w:hAnsi="Arial" w:cs="Arial"/>
          <w:color w:val="000000"/>
          <w:highlight w:val="yellow"/>
        </w:rPr>
        <w:t>Fratzl</w:t>
      </w:r>
      <w:proofErr w:type="spellEnd"/>
      <w:r w:rsidRPr="00671ABD">
        <w:rPr>
          <w:rFonts w:ascii="Arial" w:eastAsia="Arial" w:hAnsi="Arial" w:cs="Arial"/>
          <w:color w:val="000000"/>
          <w:highlight w:val="yellow"/>
        </w:rPr>
        <w:t xml:space="preserve">-Zelman, Kozloff, Krakow, Montpetit, &amp; Semler, 2017). Although a </w:t>
      </w:r>
      <w:proofErr w:type="gramStart"/>
      <w:r w:rsidRPr="00671ABD">
        <w:rPr>
          <w:rFonts w:ascii="Arial" w:eastAsia="Arial" w:hAnsi="Arial" w:cs="Arial"/>
          <w:color w:val="000000"/>
          <w:highlight w:val="yellow"/>
        </w:rPr>
        <w:t>strictly</w:t>
      </w:r>
      <w:proofErr w:type="gramEnd"/>
      <w:r w:rsidRPr="00671ABD">
        <w:rPr>
          <w:rFonts w:ascii="Arial" w:eastAsia="Arial" w:hAnsi="Arial" w:cs="Arial"/>
          <w:color w:val="000000"/>
          <w:highlight w:val="yellow"/>
        </w:rPr>
        <w:t xml:space="preserve"> genetic classification is used, it has been expanded due to the growing number of different types of </w:t>
      </w:r>
      <w:proofErr w:type="gramStart"/>
      <w:r w:rsidRPr="00671ABD">
        <w:rPr>
          <w:rFonts w:ascii="Arial" w:eastAsia="Arial" w:hAnsi="Arial" w:cs="Arial"/>
          <w:color w:val="000000"/>
          <w:highlight w:val="yellow"/>
        </w:rPr>
        <w:t>OI</w:t>
      </w:r>
      <w:proofErr w:type="gramEnd"/>
      <w:r w:rsidRPr="00671ABD">
        <w:rPr>
          <w:rFonts w:ascii="Arial" w:eastAsia="Arial" w:hAnsi="Arial" w:cs="Arial"/>
          <w:color w:val="000000"/>
          <w:highlight w:val="yellow"/>
        </w:rPr>
        <w:t xml:space="preserve"> (Marini, et al., 2017). Therefore, the most recent recommendations are to continue using the </w:t>
      </w:r>
      <w:proofErr w:type="spellStart"/>
      <w:r w:rsidRPr="00671ABD">
        <w:rPr>
          <w:rFonts w:ascii="Arial" w:eastAsia="Arial" w:hAnsi="Arial" w:cs="Arial"/>
          <w:color w:val="000000"/>
          <w:highlight w:val="yellow"/>
        </w:rPr>
        <w:t>Sillence</w:t>
      </w:r>
      <w:proofErr w:type="spellEnd"/>
      <w:r w:rsidRPr="00671ABD">
        <w:rPr>
          <w:rFonts w:ascii="Arial" w:eastAsia="Arial" w:hAnsi="Arial" w:cs="Arial"/>
          <w:color w:val="000000"/>
          <w:highlight w:val="yellow"/>
        </w:rPr>
        <w:t xml:space="preserve"> type (I-IV) classification for osteogenesis imperfecta. This recommendation is based on the phenotypic characteristics of the disease and not on its molecular genetics, but an OI type V is added since this type is radiologically distinguishable from the others, type V is associated with additional distinctive features, such as hyperplastic callus formation (seen in approximately 66% of patients) and ossification of the interosseous membrane of the forearms (Bonafe, Cormier-Daire, Hall, Lachman, Mortier, </w:t>
      </w:r>
      <w:proofErr w:type="spellStart"/>
      <w:r w:rsidRPr="00671ABD">
        <w:rPr>
          <w:rFonts w:ascii="Arial" w:eastAsia="Arial" w:hAnsi="Arial" w:cs="Arial"/>
          <w:color w:val="000000"/>
          <w:highlight w:val="yellow"/>
        </w:rPr>
        <w:t>Mundlos</w:t>
      </w:r>
      <w:proofErr w:type="spellEnd"/>
      <w:r w:rsidRPr="00671ABD">
        <w:rPr>
          <w:rFonts w:ascii="Arial" w:eastAsia="Arial" w:hAnsi="Arial" w:cs="Arial"/>
          <w:color w:val="000000"/>
          <w:highlight w:val="yellow"/>
        </w:rPr>
        <w:t xml:space="preserve">, Nishimura, Sangiorgi, </w:t>
      </w:r>
      <w:proofErr w:type="spellStart"/>
      <w:r w:rsidRPr="00671ABD">
        <w:rPr>
          <w:rFonts w:ascii="Arial" w:eastAsia="Arial" w:hAnsi="Arial" w:cs="Arial"/>
          <w:color w:val="000000"/>
          <w:highlight w:val="yellow"/>
        </w:rPr>
        <w:t>Savarirayan</w:t>
      </w:r>
      <w:proofErr w:type="spellEnd"/>
      <w:r w:rsidRPr="00671ABD">
        <w:rPr>
          <w:rFonts w:ascii="Arial" w:eastAsia="Arial" w:hAnsi="Arial" w:cs="Arial"/>
          <w:color w:val="000000"/>
          <w:highlight w:val="yellow"/>
        </w:rPr>
        <w:t xml:space="preserve">, </w:t>
      </w:r>
      <w:proofErr w:type="spellStart"/>
      <w:r w:rsidRPr="00671ABD">
        <w:rPr>
          <w:rFonts w:ascii="Arial" w:eastAsia="Arial" w:hAnsi="Arial" w:cs="Arial"/>
          <w:color w:val="000000"/>
          <w:highlight w:val="yellow"/>
        </w:rPr>
        <w:t>Sillence</w:t>
      </w:r>
      <w:proofErr w:type="spellEnd"/>
      <w:r w:rsidRPr="00671ABD">
        <w:rPr>
          <w:rFonts w:ascii="Arial" w:eastAsia="Arial" w:hAnsi="Arial" w:cs="Arial"/>
          <w:color w:val="000000"/>
          <w:highlight w:val="yellow"/>
        </w:rPr>
        <w:t xml:space="preserve">, Spranger, </w:t>
      </w:r>
      <w:proofErr w:type="spellStart"/>
      <w:r w:rsidRPr="00671ABD">
        <w:rPr>
          <w:rFonts w:ascii="Arial" w:eastAsia="Arial" w:hAnsi="Arial" w:cs="Arial"/>
          <w:color w:val="000000"/>
          <w:highlight w:val="yellow"/>
        </w:rPr>
        <w:t>Superti-Furga</w:t>
      </w:r>
      <w:proofErr w:type="spellEnd"/>
      <w:r w:rsidRPr="00671ABD">
        <w:rPr>
          <w:rFonts w:ascii="Arial" w:eastAsia="Arial" w:hAnsi="Arial" w:cs="Arial"/>
          <w:color w:val="000000"/>
          <w:highlight w:val="yellow"/>
        </w:rPr>
        <w:t>, Warman, &amp; Unger, 2015).</w:t>
      </w:r>
    </w:p>
    <w:p w14:paraId="6BD39E80" w14:textId="64BD3EE5"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The most common spinal deformities are scoliosis, spondylosis, and spondylolisthesis; abnormalities of the </w:t>
      </w:r>
      <w:proofErr w:type="spellStart"/>
      <w:r>
        <w:rPr>
          <w:rFonts w:ascii="Arial" w:eastAsia="Arial" w:hAnsi="Arial" w:cs="Arial"/>
          <w:color w:val="000000"/>
        </w:rPr>
        <w:t>craniocervical</w:t>
      </w:r>
      <w:proofErr w:type="spellEnd"/>
      <w:r>
        <w:rPr>
          <w:rFonts w:ascii="Arial" w:eastAsia="Arial" w:hAnsi="Arial" w:cs="Arial"/>
          <w:color w:val="000000"/>
        </w:rPr>
        <w:t xml:space="preserve"> junction, such as basilar invagination, are reported in up to 37% of patients and can cause serious complications (Arponen, Makitie, </w:t>
      </w:r>
      <w:proofErr w:type="spellStart"/>
      <w:r>
        <w:rPr>
          <w:rFonts w:ascii="Arial" w:eastAsia="Arial" w:hAnsi="Arial" w:cs="Arial"/>
          <w:color w:val="000000"/>
        </w:rPr>
        <w:t>Haukka</w:t>
      </w:r>
      <w:proofErr w:type="spellEnd"/>
      <w:r>
        <w:rPr>
          <w:rFonts w:ascii="Arial" w:eastAsia="Arial" w:hAnsi="Arial" w:cs="Arial"/>
          <w:color w:val="000000"/>
        </w:rPr>
        <w:t xml:space="preserve">, Ranta, Ekholm, </w:t>
      </w:r>
      <w:proofErr w:type="spellStart"/>
      <w:r>
        <w:rPr>
          <w:rFonts w:ascii="Arial" w:eastAsia="Arial" w:hAnsi="Arial" w:cs="Arial"/>
          <w:color w:val="000000"/>
        </w:rPr>
        <w:t>Mayranpaa</w:t>
      </w:r>
      <w:proofErr w:type="spellEnd"/>
      <w:r>
        <w:rPr>
          <w:rFonts w:ascii="Arial" w:eastAsia="Arial" w:hAnsi="Arial" w:cs="Arial"/>
          <w:color w:val="000000"/>
        </w:rPr>
        <w:t xml:space="preserve">, Kaitila, &amp; </w:t>
      </w:r>
      <w:proofErr w:type="spellStart"/>
      <w:r>
        <w:rPr>
          <w:rFonts w:ascii="Arial" w:eastAsia="Arial" w:hAnsi="Arial" w:cs="Arial"/>
          <w:color w:val="000000"/>
        </w:rPr>
        <w:t>Waltimo</w:t>
      </w:r>
      <w:proofErr w:type="spellEnd"/>
      <w:r>
        <w:rPr>
          <w:rFonts w:ascii="Arial" w:eastAsia="Arial" w:hAnsi="Arial" w:cs="Arial"/>
          <w:color w:val="000000"/>
        </w:rPr>
        <w:t xml:space="preserve">-Sired, 2012) (Reznikov, Dagdeviren, Tamimi,  Glorieux, Rauch, &amp; </w:t>
      </w:r>
      <w:proofErr w:type="spellStart"/>
      <w:r>
        <w:rPr>
          <w:rFonts w:ascii="Arial" w:eastAsia="Arial" w:hAnsi="Arial" w:cs="Arial"/>
          <w:color w:val="000000"/>
        </w:rPr>
        <w:t>Retrouvey</w:t>
      </w:r>
      <w:proofErr w:type="spellEnd"/>
      <w:r>
        <w:rPr>
          <w:rFonts w:ascii="Arial" w:eastAsia="Arial" w:hAnsi="Arial" w:cs="Arial"/>
          <w:color w:val="000000"/>
        </w:rPr>
        <w:t xml:space="preserve">, 2019). </w:t>
      </w:r>
      <w:proofErr w:type="gramStart"/>
      <w:r>
        <w:rPr>
          <w:rFonts w:ascii="Arial" w:eastAsia="Arial" w:hAnsi="Arial" w:cs="Arial"/>
          <w:color w:val="000000"/>
        </w:rPr>
        <w:t>As a consequence of</w:t>
      </w:r>
      <w:proofErr w:type="gramEnd"/>
      <w:r>
        <w:rPr>
          <w:rFonts w:ascii="Arial" w:eastAsia="Arial" w:hAnsi="Arial" w:cs="Arial"/>
          <w:color w:val="000000"/>
        </w:rPr>
        <w:t xml:space="preserve"> structural and functional skeletal abnormalities, bone pain is common.</w:t>
      </w:r>
    </w:p>
    <w:p w14:paraId="30748E1C"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Craniofacial disorders include abnormal development of craniofacial structures, such as a hypoplastic face with maxillary retrusion and mandibular prognathism, as well as an abnormal skull base (Van Dijk, &amp; </w:t>
      </w:r>
      <w:proofErr w:type="spellStart"/>
      <w:r>
        <w:rPr>
          <w:rFonts w:ascii="Arial" w:eastAsia="Arial" w:hAnsi="Arial" w:cs="Arial"/>
          <w:color w:val="000000"/>
        </w:rPr>
        <w:t>Sillence</w:t>
      </w:r>
      <w:proofErr w:type="spellEnd"/>
      <w:r>
        <w:rPr>
          <w:rFonts w:ascii="Arial" w:eastAsia="Arial" w:hAnsi="Arial" w:cs="Arial"/>
          <w:color w:val="000000"/>
        </w:rPr>
        <w:t>, 2014).</w:t>
      </w:r>
    </w:p>
    <w:p w14:paraId="027C9A86"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In the hip, the condition is characterized by coxa </w:t>
      </w:r>
      <w:proofErr w:type="spellStart"/>
      <w:r>
        <w:rPr>
          <w:rFonts w:ascii="Arial" w:eastAsia="Arial" w:hAnsi="Arial" w:cs="Arial"/>
          <w:color w:val="000000"/>
        </w:rPr>
        <w:t>vara</w:t>
      </w:r>
      <w:proofErr w:type="spellEnd"/>
      <w:r>
        <w:rPr>
          <w:rFonts w:ascii="Arial" w:eastAsia="Arial" w:hAnsi="Arial" w:cs="Arial"/>
          <w:color w:val="000000"/>
        </w:rPr>
        <w:t xml:space="preserve"> and sometimes coxa </w:t>
      </w:r>
      <w:proofErr w:type="spellStart"/>
      <w:r>
        <w:rPr>
          <w:rFonts w:ascii="Arial" w:eastAsia="Arial" w:hAnsi="Arial" w:cs="Arial"/>
          <w:color w:val="000000"/>
        </w:rPr>
        <w:t>valga</w:t>
      </w:r>
      <w:proofErr w:type="spellEnd"/>
      <w:r>
        <w:rPr>
          <w:rFonts w:ascii="Arial" w:eastAsia="Arial" w:hAnsi="Arial" w:cs="Arial"/>
          <w:color w:val="000000"/>
        </w:rPr>
        <w:t xml:space="preserve"> (Torrent, 2020).  </w:t>
      </w:r>
    </w:p>
    <w:p w14:paraId="0140ABB3"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Short stature is a common feature, especially in severe forms of OI, and to a lesser extent in milder type I OI (</w:t>
      </w:r>
      <w:proofErr w:type="spellStart"/>
      <w:r>
        <w:rPr>
          <w:rFonts w:ascii="Arial" w:eastAsia="Arial" w:hAnsi="Arial" w:cs="Arial"/>
          <w:color w:val="000000"/>
        </w:rPr>
        <w:t>Forlino</w:t>
      </w:r>
      <w:proofErr w:type="spellEnd"/>
      <w:r>
        <w:rPr>
          <w:rFonts w:ascii="Arial" w:eastAsia="Arial" w:hAnsi="Arial" w:cs="Arial"/>
          <w:color w:val="000000"/>
        </w:rPr>
        <w:t xml:space="preserve"> &amp; Marini, 2016). In addition to skeletal findings, multiple systems can be affected.</w:t>
      </w:r>
    </w:p>
    <w:p w14:paraId="29079B2B"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Ocular disorders include bluish or grayish discoloration of the sclera, corneal abnormalities, refractive errors, and glaucoma (Torrent, 2020).  </w:t>
      </w:r>
    </w:p>
    <w:p w14:paraId="23D88062"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Oral: </w:t>
      </w:r>
      <w:proofErr w:type="spellStart"/>
      <w:r>
        <w:rPr>
          <w:rFonts w:ascii="Arial" w:eastAsia="Arial" w:hAnsi="Arial" w:cs="Arial"/>
          <w:color w:val="000000"/>
        </w:rPr>
        <w:t>dentinogenesis</w:t>
      </w:r>
      <w:proofErr w:type="spellEnd"/>
      <w:r>
        <w:rPr>
          <w:rFonts w:ascii="Arial" w:eastAsia="Arial" w:hAnsi="Arial" w:cs="Arial"/>
          <w:color w:val="000000"/>
        </w:rPr>
        <w:t xml:space="preserve"> imperfecta (yellowing and brittle teeth), tooth eruption abnormalities, malposition, malocclusion (Marom, Rabenhorst, &amp; Morello, 2020) (Morello, 2018).</w:t>
      </w:r>
    </w:p>
    <w:p w14:paraId="43C1E609"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Auditory: progressive conductive hearing loss, sensorineural or mixed hearing loss, even deafness (Marini, et al., 2017).</w:t>
      </w:r>
    </w:p>
    <w:p w14:paraId="00A2D2D5"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Muscle weakness and reduced muscle mass may also result from the patient's limited mobility (</w:t>
      </w:r>
      <w:proofErr w:type="spellStart"/>
      <w:proofErr w:type="gramStart"/>
      <w:r>
        <w:rPr>
          <w:rFonts w:ascii="Arial" w:eastAsia="Arial" w:hAnsi="Arial" w:cs="Arial"/>
          <w:color w:val="000000"/>
        </w:rPr>
        <w:t>Veilleux,Trejo</w:t>
      </w:r>
      <w:proofErr w:type="spellEnd"/>
      <w:proofErr w:type="gramEnd"/>
      <w:r>
        <w:rPr>
          <w:rFonts w:ascii="Arial" w:eastAsia="Arial" w:hAnsi="Arial" w:cs="Arial"/>
          <w:color w:val="000000"/>
        </w:rPr>
        <w:t>, &amp; Rauch, 2017).</w:t>
      </w:r>
    </w:p>
    <w:p w14:paraId="017EF23A" w14:textId="43831F0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Cardiovascular manifestations include aortic root dilation, valvular dysfunction, and rarely, aortic aneurysm and dissection</w:t>
      </w:r>
      <w:r w:rsidR="00671ABD">
        <w:rPr>
          <w:rFonts w:ascii="Arial" w:eastAsia="Arial" w:hAnsi="Arial" w:cs="Arial"/>
          <w:color w:val="000000"/>
        </w:rPr>
        <w:t xml:space="preserve"> </w:t>
      </w:r>
      <w:r>
        <w:rPr>
          <w:rFonts w:ascii="Arial" w:eastAsia="Arial" w:hAnsi="Arial" w:cs="Arial"/>
          <w:color w:val="000000"/>
        </w:rPr>
        <w:t xml:space="preserve">(Balasubramanian, Verschueren, </w:t>
      </w:r>
      <w:proofErr w:type="spellStart"/>
      <w:r>
        <w:rPr>
          <w:rFonts w:ascii="Arial" w:eastAsia="Arial" w:hAnsi="Arial" w:cs="Arial"/>
          <w:color w:val="000000"/>
        </w:rPr>
        <w:t>Kleevens</w:t>
      </w:r>
      <w:proofErr w:type="spellEnd"/>
      <w:r>
        <w:rPr>
          <w:rFonts w:ascii="Arial" w:eastAsia="Arial" w:hAnsi="Arial" w:cs="Arial"/>
          <w:color w:val="000000"/>
        </w:rPr>
        <w:t xml:space="preserve">, Luyckx, Perik, </w:t>
      </w:r>
      <w:proofErr w:type="spellStart"/>
      <w:r>
        <w:rPr>
          <w:rFonts w:ascii="Arial" w:eastAsia="Arial" w:hAnsi="Arial" w:cs="Arial"/>
          <w:color w:val="000000"/>
        </w:rPr>
        <w:t>Schirwani</w:t>
      </w:r>
      <w:proofErr w:type="spellEnd"/>
      <w:r>
        <w:rPr>
          <w:rFonts w:ascii="Arial" w:eastAsia="Arial" w:hAnsi="Arial" w:cs="Arial"/>
          <w:color w:val="000000"/>
        </w:rPr>
        <w:t xml:space="preserve">, Mortier, Morisaki, Rodrigus, Van Laer, </w:t>
      </w:r>
      <w:proofErr w:type="spellStart"/>
      <w:r>
        <w:rPr>
          <w:rFonts w:ascii="Arial" w:eastAsia="Arial" w:hAnsi="Arial" w:cs="Arial"/>
          <w:color w:val="000000"/>
        </w:rPr>
        <w:t>Verstraeten</w:t>
      </w:r>
      <w:proofErr w:type="spellEnd"/>
      <w:r>
        <w:rPr>
          <w:rFonts w:ascii="Arial" w:eastAsia="Arial" w:hAnsi="Arial" w:cs="Arial"/>
          <w:color w:val="000000"/>
        </w:rPr>
        <w:t xml:space="preserve">, &amp; </w:t>
      </w:r>
      <w:proofErr w:type="spellStart"/>
      <w:r>
        <w:rPr>
          <w:rFonts w:ascii="Arial" w:eastAsia="Arial" w:hAnsi="Arial" w:cs="Arial"/>
          <w:color w:val="000000"/>
        </w:rPr>
        <w:t>Loeys</w:t>
      </w:r>
      <w:proofErr w:type="spellEnd"/>
      <w:r>
        <w:rPr>
          <w:rFonts w:ascii="Arial" w:eastAsia="Arial" w:hAnsi="Arial" w:cs="Arial"/>
          <w:color w:val="000000"/>
        </w:rPr>
        <w:t xml:space="preserve">, 2019) (Marom, Rabenhorst, &amp; Morello, 2020). </w:t>
      </w:r>
    </w:p>
    <w:p w14:paraId="7E1F3B10"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Lung function: Loss of lung function is associated with scoliosis greater than 60° (Widmann, Bitan, </w:t>
      </w:r>
      <w:proofErr w:type="spellStart"/>
      <w:r>
        <w:rPr>
          <w:rFonts w:ascii="Arial" w:eastAsia="Arial" w:hAnsi="Arial" w:cs="Arial"/>
          <w:color w:val="000000"/>
        </w:rPr>
        <w:t>Laplaza</w:t>
      </w:r>
      <w:proofErr w:type="spellEnd"/>
      <w:r>
        <w:rPr>
          <w:rFonts w:ascii="Arial" w:eastAsia="Arial" w:hAnsi="Arial" w:cs="Arial"/>
          <w:color w:val="000000"/>
        </w:rPr>
        <w:t>, Burke, DiMaio, &amp; Schneider, 1999), skeletal abnormalities affecting the rib cage and pectoral deformity, which impair the action of the respiratory muscles and chest wall, contributing to respiratory infections and respiratory failure (</w:t>
      </w:r>
      <w:proofErr w:type="spellStart"/>
      <w:r>
        <w:rPr>
          <w:rFonts w:ascii="Arial" w:eastAsia="Arial" w:hAnsi="Arial" w:cs="Arial"/>
          <w:color w:val="000000"/>
        </w:rPr>
        <w:t>Forlino</w:t>
      </w:r>
      <w:proofErr w:type="spellEnd"/>
      <w:r>
        <w:rPr>
          <w:rFonts w:ascii="Arial" w:eastAsia="Arial" w:hAnsi="Arial" w:cs="Arial"/>
          <w:color w:val="000000"/>
        </w:rPr>
        <w:t xml:space="preserve"> &amp; Marini, 2016) (LoMauro, Pochintesta, Romei, D'Angelo, Pedotti, </w:t>
      </w:r>
      <w:proofErr w:type="spellStart"/>
      <w:r>
        <w:rPr>
          <w:rFonts w:ascii="Arial" w:eastAsia="Arial" w:hAnsi="Arial" w:cs="Arial"/>
          <w:color w:val="000000"/>
        </w:rPr>
        <w:t>Turconi</w:t>
      </w:r>
      <w:proofErr w:type="spellEnd"/>
      <w:r>
        <w:rPr>
          <w:rFonts w:ascii="Arial" w:eastAsia="Arial" w:hAnsi="Arial" w:cs="Arial"/>
          <w:color w:val="000000"/>
        </w:rPr>
        <w:t xml:space="preserve">, &amp; </w:t>
      </w:r>
      <w:proofErr w:type="spellStart"/>
      <w:r>
        <w:rPr>
          <w:rFonts w:ascii="Arial" w:eastAsia="Arial" w:hAnsi="Arial" w:cs="Arial"/>
          <w:color w:val="000000"/>
        </w:rPr>
        <w:t>Aliverti</w:t>
      </w:r>
      <w:proofErr w:type="spellEnd"/>
      <w:r>
        <w:rPr>
          <w:rFonts w:ascii="Arial" w:eastAsia="Arial" w:hAnsi="Arial" w:cs="Arial"/>
          <w:color w:val="000000"/>
        </w:rPr>
        <w:t>, 2012) (Torrent, 2020) (Veilleux, Trejo, &amp; Rauch, 2017).</w:t>
      </w:r>
    </w:p>
    <w:p w14:paraId="0F29CFA9"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Impaired lung function is the main cause of morbidity and mortality in osteogenesis imperfecta (Singer, Ogston, &amp; Paterson, 2001).</w:t>
      </w:r>
    </w:p>
    <w:p w14:paraId="52102E7B"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diagnosis is based on clinical and radiological findings. The main features are fractures due to mild trauma, accompanied by deformities in the long bones and thorax, scoliosis, kyphosis, and growth retardation (</w:t>
      </w:r>
      <w:proofErr w:type="spellStart"/>
      <w:r>
        <w:rPr>
          <w:rFonts w:ascii="Arial" w:eastAsia="Arial" w:hAnsi="Arial" w:cs="Arial"/>
          <w:color w:val="000000"/>
        </w:rPr>
        <w:t>Forlino</w:t>
      </w:r>
      <w:proofErr w:type="spellEnd"/>
      <w:r>
        <w:rPr>
          <w:rFonts w:ascii="Arial" w:eastAsia="Arial" w:hAnsi="Arial" w:cs="Arial"/>
          <w:color w:val="000000"/>
        </w:rPr>
        <w:t xml:space="preserve"> &amp; Marini, 2016).</w:t>
      </w:r>
    </w:p>
    <w:p w14:paraId="521206E1" w14:textId="0664E336" w:rsidR="00C52D61" w:rsidRDefault="00576BD9">
      <w:pPr>
        <w:pBdr>
          <w:top w:val="nil"/>
          <w:left w:val="nil"/>
          <w:bottom w:val="nil"/>
          <w:right w:val="nil"/>
          <w:between w:val="nil"/>
        </w:pBdr>
        <w:spacing w:after="240"/>
        <w:jc w:val="both"/>
        <w:rPr>
          <w:rFonts w:ascii="Arial" w:eastAsia="Arial" w:hAnsi="Arial" w:cs="Arial"/>
          <w:color w:val="000000"/>
        </w:rPr>
      </w:pPr>
      <w:r w:rsidRPr="00C52D61">
        <w:rPr>
          <w:rFonts w:ascii="Arial" w:eastAsia="Arial" w:hAnsi="Arial" w:cs="Arial"/>
          <w:color w:val="000000"/>
          <w:highlight w:val="yellow"/>
        </w:rPr>
        <w:t>Prenatal</w:t>
      </w:r>
      <w:r w:rsidR="00BB2C90" w:rsidRPr="00C52D61">
        <w:rPr>
          <w:rFonts w:ascii="Arial" w:eastAsia="Arial" w:hAnsi="Arial" w:cs="Arial"/>
          <w:color w:val="000000"/>
          <w:highlight w:val="yellow"/>
        </w:rPr>
        <w:t xml:space="preserve"> diagnosis is possible but not always. In some patients with OI, </w:t>
      </w:r>
      <w:r w:rsidRPr="00C52D61">
        <w:rPr>
          <w:rFonts w:ascii="Arial" w:eastAsia="Arial" w:hAnsi="Arial" w:cs="Arial"/>
          <w:color w:val="000000"/>
          <w:highlight w:val="yellow"/>
        </w:rPr>
        <w:t>it cannot</w:t>
      </w:r>
      <w:r w:rsidR="00BB2C90" w:rsidRPr="00C52D61">
        <w:rPr>
          <w:rFonts w:ascii="Arial" w:eastAsia="Arial" w:hAnsi="Arial" w:cs="Arial"/>
          <w:color w:val="000000"/>
          <w:highlight w:val="yellow"/>
        </w:rPr>
        <w:t xml:space="preserve"> be </w:t>
      </w:r>
      <w:r w:rsidRPr="00C52D61">
        <w:rPr>
          <w:rFonts w:ascii="Arial" w:eastAsia="Arial" w:hAnsi="Arial" w:cs="Arial"/>
          <w:color w:val="000000"/>
          <w:highlight w:val="yellow"/>
        </w:rPr>
        <w:t>predicted</w:t>
      </w:r>
      <w:r w:rsidR="00BB2C90" w:rsidRPr="00C52D61">
        <w:rPr>
          <w:rFonts w:ascii="Arial" w:eastAsia="Arial" w:hAnsi="Arial" w:cs="Arial"/>
          <w:color w:val="000000"/>
          <w:highlight w:val="yellow"/>
        </w:rPr>
        <w:t xml:space="preserve"> as it is mentioned by </w:t>
      </w:r>
      <w:bookmarkStart w:id="3" w:name="_Hlk210640787"/>
      <w:r w:rsidR="00BB2C90" w:rsidRPr="00C52D61">
        <w:rPr>
          <w:rFonts w:ascii="Arial" w:eastAsia="Arial" w:hAnsi="Arial" w:cs="Arial"/>
          <w:color w:val="000000"/>
          <w:highlight w:val="yellow"/>
        </w:rPr>
        <w:t>Edelu</w:t>
      </w:r>
      <w:r w:rsidR="00C52D61" w:rsidRPr="00C52D61">
        <w:rPr>
          <w:rFonts w:ascii="Arial" w:eastAsia="Arial" w:hAnsi="Arial" w:cs="Arial"/>
          <w:color w:val="000000"/>
          <w:highlight w:val="yellow"/>
        </w:rPr>
        <w:t>,</w:t>
      </w:r>
      <w:r w:rsidR="00BB2C90" w:rsidRPr="00C52D61">
        <w:rPr>
          <w:rFonts w:ascii="Arial" w:eastAsia="Arial" w:hAnsi="Arial" w:cs="Arial"/>
          <w:color w:val="000000"/>
          <w:highlight w:val="yellow"/>
        </w:rPr>
        <w:t xml:space="preserve"> </w:t>
      </w:r>
      <w:proofErr w:type="spellStart"/>
      <w:r w:rsidR="00BB2C90" w:rsidRPr="00C52D61">
        <w:rPr>
          <w:rFonts w:ascii="Arial" w:eastAsia="Arial" w:hAnsi="Arial" w:cs="Arial"/>
          <w:color w:val="000000"/>
          <w:highlight w:val="yellow"/>
        </w:rPr>
        <w:t>Ndu</w:t>
      </w:r>
      <w:proofErr w:type="spellEnd"/>
      <w:r w:rsidR="00BB2C90" w:rsidRPr="00C52D61">
        <w:rPr>
          <w:rFonts w:ascii="Arial" w:eastAsia="Arial" w:hAnsi="Arial" w:cs="Arial"/>
          <w:color w:val="000000"/>
          <w:highlight w:val="yellow"/>
        </w:rPr>
        <w:t xml:space="preserve">, </w:t>
      </w:r>
      <w:proofErr w:type="spellStart"/>
      <w:r w:rsidR="00BB2C90" w:rsidRPr="00C52D61">
        <w:rPr>
          <w:rFonts w:ascii="Arial" w:eastAsia="Arial" w:hAnsi="Arial" w:cs="Arial"/>
          <w:color w:val="000000"/>
          <w:highlight w:val="yellow"/>
        </w:rPr>
        <w:t>Asinobi</w:t>
      </w:r>
      <w:proofErr w:type="spellEnd"/>
      <w:r w:rsidR="00BB2C90" w:rsidRPr="00C52D61">
        <w:rPr>
          <w:rFonts w:ascii="Arial" w:eastAsia="Arial" w:hAnsi="Arial" w:cs="Arial"/>
          <w:color w:val="000000"/>
          <w:highlight w:val="yellow"/>
        </w:rPr>
        <w:t xml:space="preserve">, </w:t>
      </w:r>
      <w:proofErr w:type="spellStart"/>
      <w:r w:rsidR="00BB2C90" w:rsidRPr="00C52D61">
        <w:rPr>
          <w:rFonts w:ascii="Arial" w:eastAsia="Arial" w:hAnsi="Arial" w:cs="Arial"/>
          <w:color w:val="000000"/>
          <w:highlight w:val="yellow"/>
        </w:rPr>
        <w:t>Obu</w:t>
      </w:r>
      <w:proofErr w:type="spellEnd"/>
      <w:r w:rsidR="00BB2C90" w:rsidRPr="00C52D61">
        <w:rPr>
          <w:rFonts w:ascii="Arial" w:eastAsia="Arial" w:hAnsi="Arial" w:cs="Arial"/>
          <w:color w:val="000000"/>
          <w:highlight w:val="yellow"/>
        </w:rPr>
        <w:t xml:space="preserve">, &amp; </w:t>
      </w:r>
      <w:proofErr w:type="spellStart"/>
      <w:r w:rsidR="00BB2C90" w:rsidRPr="00C52D61">
        <w:rPr>
          <w:rFonts w:ascii="Arial" w:eastAsia="Arial" w:hAnsi="Arial" w:cs="Arial"/>
          <w:color w:val="000000"/>
          <w:highlight w:val="yellow"/>
        </w:rPr>
        <w:t>Adimora</w:t>
      </w:r>
      <w:proofErr w:type="spellEnd"/>
      <w:r w:rsidR="00C52D61" w:rsidRPr="00C52D61">
        <w:rPr>
          <w:rFonts w:ascii="Arial" w:eastAsia="Arial" w:hAnsi="Arial" w:cs="Arial"/>
          <w:color w:val="000000"/>
          <w:highlight w:val="yellow"/>
        </w:rPr>
        <w:t xml:space="preserve"> (2014)</w:t>
      </w:r>
      <w:r w:rsidR="00BB2C90" w:rsidRPr="00C52D61">
        <w:rPr>
          <w:rFonts w:ascii="Arial" w:eastAsia="Arial" w:hAnsi="Arial" w:cs="Arial"/>
          <w:color w:val="000000"/>
          <w:highlight w:val="yellow"/>
        </w:rPr>
        <w:t xml:space="preserve">, </w:t>
      </w:r>
      <w:bookmarkEnd w:id="3"/>
      <w:r w:rsidR="00C52D61" w:rsidRPr="00C52D61">
        <w:rPr>
          <w:rFonts w:ascii="Arial" w:eastAsia="Arial" w:hAnsi="Arial" w:cs="Arial"/>
          <w:color w:val="000000"/>
          <w:highlight w:val="yellow"/>
        </w:rPr>
        <w:t>in their case report. The case in Guanajuato, the pregnant mother did not receive any prenatal care.</w:t>
      </w:r>
    </w:p>
    <w:p w14:paraId="51D40557" w14:textId="018E2A39" w:rsidR="00330014" w:rsidRDefault="001B5E43">
      <w:pPr>
        <w:pBdr>
          <w:top w:val="nil"/>
          <w:left w:val="nil"/>
          <w:bottom w:val="nil"/>
          <w:right w:val="nil"/>
          <w:between w:val="nil"/>
        </w:pBdr>
        <w:spacing w:after="240"/>
        <w:jc w:val="both"/>
        <w:rPr>
          <w:rFonts w:ascii="Arial" w:eastAsia="Arial" w:hAnsi="Arial" w:cs="Arial"/>
          <w:color w:val="000000"/>
        </w:rPr>
      </w:pPr>
      <w:r w:rsidRPr="00576BD9">
        <w:rPr>
          <w:rFonts w:ascii="Arial" w:eastAsia="Arial" w:hAnsi="Arial" w:cs="Arial"/>
          <w:color w:val="000000"/>
          <w:highlight w:val="yellow"/>
        </w:rPr>
        <w:t>The management for OI is multidisciplinary and tailored to the patient based on their age, type, and severity of OI (</w:t>
      </w:r>
      <w:proofErr w:type="spellStart"/>
      <w:r w:rsidRPr="00576BD9">
        <w:rPr>
          <w:rFonts w:ascii="Arial" w:eastAsia="Arial" w:hAnsi="Arial" w:cs="Arial"/>
          <w:color w:val="000000"/>
          <w:highlight w:val="yellow"/>
        </w:rPr>
        <w:t>Forlino</w:t>
      </w:r>
      <w:proofErr w:type="spellEnd"/>
      <w:r w:rsidRPr="00576BD9">
        <w:rPr>
          <w:rFonts w:ascii="Arial" w:eastAsia="Arial" w:hAnsi="Arial" w:cs="Arial"/>
          <w:color w:val="000000"/>
          <w:highlight w:val="yellow"/>
        </w:rPr>
        <w:t xml:space="preserve"> &amp; Marini, 2016)</w:t>
      </w:r>
      <w:r w:rsidR="00576BD9" w:rsidRPr="00576BD9">
        <w:rPr>
          <w:rFonts w:ascii="Arial" w:eastAsia="Arial" w:hAnsi="Arial" w:cs="Arial"/>
          <w:color w:val="000000"/>
          <w:highlight w:val="yellow"/>
        </w:rPr>
        <w:t xml:space="preserve"> </w:t>
      </w:r>
      <w:bookmarkStart w:id="4" w:name="_Hlk210641505"/>
      <w:r w:rsidR="00576BD9" w:rsidRPr="00576BD9">
        <w:rPr>
          <w:rFonts w:ascii="Arial" w:eastAsia="Arial" w:hAnsi="Arial" w:cs="Arial"/>
          <w:color w:val="000000"/>
          <w:highlight w:val="yellow"/>
        </w:rPr>
        <w:t>(</w:t>
      </w:r>
      <w:r w:rsidR="00576BD9" w:rsidRPr="00576BD9">
        <w:rPr>
          <w:rFonts w:ascii="Arial" w:eastAsia="Arial" w:hAnsi="Arial" w:cs="Arial"/>
          <w:color w:val="000000"/>
          <w:highlight w:val="yellow"/>
        </w:rPr>
        <w:t>Timila</w:t>
      </w:r>
      <w:r w:rsidR="00576BD9" w:rsidRPr="00576BD9">
        <w:rPr>
          <w:rFonts w:ascii="Arial" w:eastAsia="Arial" w:hAnsi="Arial" w:cs="Arial"/>
          <w:color w:val="000000"/>
          <w:highlight w:val="yellow"/>
        </w:rPr>
        <w:t>,</w:t>
      </w:r>
      <w:r w:rsidR="00576BD9" w:rsidRPr="00576BD9">
        <w:rPr>
          <w:rFonts w:ascii="Arial" w:eastAsia="Arial" w:hAnsi="Arial" w:cs="Arial"/>
          <w:color w:val="000000"/>
          <w:highlight w:val="yellow"/>
        </w:rPr>
        <w:t xml:space="preserve"> Mousa</w:t>
      </w:r>
      <w:r w:rsidR="00576BD9" w:rsidRPr="00576BD9">
        <w:rPr>
          <w:rFonts w:ascii="Arial" w:eastAsia="Arial" w:hAnsi="Arial" w:cs="Arial"/>
          <w:color w:val="000000"/>
          <w:highlight w:val="yellow"/>
        </w:rPr>
        <w:t>,</w:t>
      </w:r>
      <w:r w:rsidR="00576BD9" w:rsidRPr="00576BD9">
        <w:rPr>
          <w:rFonts w:ascii="Arial" w:eastAsia="Arial" w:hAnsi="Arial" w:cs="Arial"/>
          <w:color w:val="000000"/>
          <w:highlight w:val="yellow"/>
        </w:rPr>
        <w:t xml:space="preserve"> </w:t>
      </w:r>
      <w:r w:rsidR="00576BD9" w:rsidRPr="00576BD9">
        <w:rPr>
          <w:rFonts w:ascii="Arial" w:eastAsia="Arial" w:hAnsi="Arial" w:cs="Arial"/>
          <w:color w:val="000000"/>
          <w:highlight w:val="yellow"/>
        </w:rPr>
        <w:t>&amp;</w:t>
      </w:r>
      <w:r w:rsidR="00576BD9" w:rsidRPr="00576BD9">
        <w:rPr>
          <w:rFonts w:ascii="Arial" w:eastAsia="Arial" w:hAnsi="Arial" w:cs="Arial"/>
          <w:color w:val="000000"/>
          <w:highlight w:val="yellow"/>
        </w:rPr>
        <w:t xml:space="preserve"> Gundamraj</w:t>
      </w:r>
      <w:r w:rsidR="00576BD9" w:rsidRPr="00576BD9">
        <w:rPr>
          <w:rFonts w:ascii="Arial" w:eastAsia="Arial" w:hAnsi="Arial" w:cs="Arial"/>
          <w:color w:val="000000"/>
          <w:highlight w:val="yellow"/>
        </w:rPr>
        <w:t>,</w:t>
      </w:r>
      <w:r w:rsidR="00576BD9" w:rsidRPr="00576BD9">
        <w:rPr>
          <w:rFonts w:ascii="Arial" w:eastAsia="Arial" w:hAnsi="Arial" w:cs="Arial"/>
          <w:color w:val="000000"/>
          <w:highlight w:val="yellow"/>
        </w:rPr>
        <w:t xml:space="preserve"> 2025)</w:t>
      </w:r>
      <w:r w:rsidR="00576BD9" w:rsidRPr="00576BD9">
        <w:rPr>
          <w:rFonts w:ascii="Arial" w:eastAsia="Arial" w:hAnsi="Arial" w:cs="Arial"/>
          <w:color w:val="000000"/>
          <w:highlight w:val="yellow"/>
        </w:rPr>
        <w:t>.</w:t>
      </w:r>
      <w:r w:rsidR="00576BD9" w:rsidRPr="00576BD9">
        <w:rPr>
          <w:rFonts w:ascii="Arial" w:eastAsia="Arial" w:hAnsi="Arial" w:cs="Arial"/>
          <w:color w:val="000000"/>
        </w:rPr>
        <w:t xml:space="preserve"> </w:t>
      </w:r>
    </w:p>
    <w:bookmarkEnd w:id="4"/>
    <w:p w14:paraId="4DDDC095"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It is based on four main pillars:</w:t>
      </w:r>
    </w:p>
    <w:p w14:paraId="4F31F622"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1) Physical rehabilitation is possibly the most important contribution to the function of this pathology, helping patients recover from fractures and achieving maximum functional independence in basic activities of daily living (Barnes, Chang, Morello, Cabral, Weis, Eyre, Leikin, </w:t>
      </w:r>
      <w:proofErr w:type="spellStart"/>
      <w:r>
        <w:rPr>
          <w:rFonts w:ascii="Arial" w:eastAsia="Arial" w:hAnsi="Arial" w:cs="Arial"/>
          <w:color w:val="000000"/>
        </w:rPr>
        <w:t>Makareeva</w:t>
      </w:r>
      <w:proofErr w:type="spellEnd"/>
      <w:r>
        <w:rPr>
          <w:rFonts w:ascii="Arial" w:eastAsia="Arial" w:hAnsi="Arial" w:cs="Arial"/>
          <w:color w:val="000000"/>
        </w:rPr>
        <w:t>, Kuznetsova, Uveges, Ashok, Flor, Mulvihill, Wilson, Sundaram, Lee, &amp; Marini, 2006). (Torrent, 2020).</w:t>
      </w:r>
    </w:p>
    <w:p w14:paraId="4ABC66AB"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2) Orthopedic surgery with intramedullary nailing, and in pediatric patients, telescopic intramedullary nails that enlarge as the bone grows, correcting bone deformities with osteotomies (Torrent, 2020).</w:t>
      </w:r>
    </w:p>
    <w:p w14:paraId="38BB92AD"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3) The </w:t>
      </w:r>
      <w:proofErr w:type="gramStart"/>
      <w:r>
        <w:rPr>
          <w:rFonts w:ascii="Arial" w:eastAsia="Arial" w:hAnsi="Arial" w:cs="Arial"/>
          <w:color w:val="000000"/>
        </w:rPr>
        <w:t>most commonly used</w:t>
      </w:r>
      <w:proofErr w:type="gramEnd"/>
      <w:r>
        <w:rPr>
          <w:rFonts w:ascii="Arial" w:eastAsia="Arial" w:hAnsi="Arial" w:cs="Arial"/>
          <w:color w:val="000000"/>
        </w:rPr>
        <w:t xml:space="preserve"> medical treatment is oral or intravenous bisphosphonates, which improve bone mass and architecture (Marini, et al., 2017) (Reznikov et al., 2019).  Bisphosphonates act by inhibiting osteoclastic activity and bone resorption, which improves bone mineral density and reduces the incidence of fractures (Reznikov, et al.,2019).</w:t>
      </w:r>
    </w:p>
    <w:p w14:paraId="0EF6C78C"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Teriparatide (PTH) is associated with an anabolic bone response, with increased bone mineral formation and density (Neer, Arnaud, Zanchetta, Prince, Gaich, </w:t>
      </w:r>
      <w:proofErr w:type="spellStart"/>
      <w:r>
        <w:rPr>
          <w:rFonts w:ascii="Arial" w:eastAsia="Arial" w:hAnsi="Arial" w:cs="Arial"/>
          <w:color w:val="000000"/>
        </w:rPr>
        <w:t>Reginster</w:t>
      </w:r>
      <w:proofErr w:type="spellEnd"/>
      <w:r>
        <w:rPr>
          <w:rFonts w:ascii="Arial" w:eastAsia="Arial" w:hAnsi="Arial" w:cs="Arial"/>
          <w:color w:val="000000"/>
        </w:rPr>
        <w:t xml:space="preserve">, </w:t>
      </w:r>
      <w:proofErr w:type="spellStart"/>
      <w:r>
        <w:rPr>
          <w:rFonts w:ascii="Arial" w:eastAsia="Arial" w:hAnsi="Arial" w:cs="Arial"/>
          <w:color w:val="000000"/>
        </w:rPr>
        <w:t>Hodsman</w:t>
      </w:r>
      <w:proofErr w:type="spellEnd"/>
      <w:r>
        <w:rPr>
          <w:rFonts w:ascii="Arial" w:eastAsia="Arial" w:hAnsi="Arial" w:cs="Arial"/>
          <w:color w:val="000000"/>
        </w:rPr>
        <w:t xml:space="preserve">, Eriksen, Ish-Shalom, </w:t>
      </w:r>
      <w:proofErr w:type="spellStart"/>
      <w:r>
        <w:rPr>
          <w:rFonts w:ascii="Arial" w:eastAsia="Arial" w:hAnsi="Arial" w:cs="Arial"/>
          <w:color w:val="000000"/>
        </w:rPr>
        <w:t>Genant</w:t>
      </w:r>
      <w:proofErr w:type="spellEnd"/>
      <w:r>
        <w:rPr>
          <w:rFonts w:ascii="Arial" w:eastAsia="Arial" w:hAnsi="Arial" w:cs="Arial"/>
          <w:color w:val="000000"/>
        </w:rPr>
        <w:t xml:space="preserve">, Wang, &amp; </w:t>
      </w:r>
      <w:proofErr w:type="spellStart"/>
      <w:r>
        <w:rPr>
          <w:rFonts w:ascii="Arial" w:eastAsia="Arial" w:hAnsi="Arial" w:cs="Arial"/>
          <w:color w:val="000000"/>
        </w:rPr>
        <w:t>Mitlak</w:t>
      </w:r>
      <w:proofErr w:type="spellEnd"/>
      <w:r>
        <w:rPr>
          <w:rFonts w:ascii="Arial" w:eastAsia="Arial" w:hAnsi="Arial" w:cs="Arial"/>
          <w:color w:val="000000"/>
        </w:rPr>
        <w:t>, 2001).</w:t>
      </w:r>
    </w:p>
    <w:p w14:paraId="2C521163"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Other therapies used are under investigation, such as denosumab (an anti-RANKL monoclonal antibody), anti-sclerostin antibody, and TGFB inhibitor antibody, as well as stem cell therapy (</w:t>
      </w:r>
      <w:proofErr w:type="spellStart"/>
      <w:r>
        <w:rPr>
          <w:rFonts w:ascii="Arial" w:eastAsia="Arial" w:hAnsi="Arial" w:cs="Arial"/>
          <w:color w:val="000000"/>
        </w:rPr>
        <w:t>Forlino</w:t>
      </w:r>
      <w:proofErr w:type="spellEnd"/>
      <w:r>
        <w:rPr>
          <w:rFonts w:ascii="Arial" w:eastAsia="Arial" w:hAnsi="Arial" w:cs="Arial"/>
          <w:color w:val="000000"/>
        </w:rPr>
        <w:t xml:space="preserve"> &amp; Marini, 2016) (Reznikov, et al., 2019). (Hoyer-Kuhn, Franklin, </w:t>
      </w:r>
      <w:proofErr w:type="spellStart"/>
      <w:r>
        <w:rPr>
          <w:rFonts w:ascii="Arial" w:eastAsia="Arial" w:hAnsi="Arial" w:cs="Arial"/>
          <w:color w:val="000000"/>
        </w:rPr>
        <w:t>Allo</w:t>
      </w:r>
      <w:proofErr w:type="spellEnd"/>
      <w:r>
        <w:rPr>
          <w:rFonts w:ascii="Arial" w:eastAsia="Arial" w:hAnsi="Arial" w:cs="Arial"/>
          <w:color w:val="000000"/>
        </w:rPr>
        <w:t xml:space="preserve">, Kron, Netzer, </w:t>
      </w:r>
      <w:proofErr w:type="spellStart"/>
      <w:r>
        <w:rPr>
          <w:rFonts w:ascii="Arial" w:eastAsia="Arial" w:hAnsi="Arial" w:cs="Arial"/>
          <w:color w:val="000000"/>
        </w:rPr>
        <w:t>Eysel</w:t>
      </w:r>
      <w:proofErr w:type="spellEnd"/>
      <w:r>
        <w:rPr>
          <w:rFonts w:ascii="Arial" w:eastAsia="Arial" w:hAnsi="Arial" w:cs="Arial"/>
          <w:color w:val="000000"/>
        </w:rPr>
        <w:t xml:space="preserve">, Hero, </w:t>
      </w:r>
      <w:proofErr w:type="spellStart"/>
      <w:r>
        <w:rPr>
          <w:rFonts w:ascii="Arial" w:eastAsia="Arial" w:hAnsi="Arial" w:cs="Arial"/>
          <w:color w:val="000000"/>
        </w:rPr>
        <w:t>Schoenau</w:t>
      </w:r>
      <w:proofErr w:type="spellEnd"/>
      <w:r>
        <w:rPr>
          <w:rFonts w:ascii="Arial" w:eastAsia="Arial" w:hAnsi="Arial" w:cs="Arial"/>
          <w:color w:val="000000"/>
        </w:rPr>
        <w:t>, &amp; Semler, 2016) (Tauer, Robinson, &amp; Rauch, 2019).</w:t>
      </w:r>
    </w:p>
    <w:p w14:paraId="6371E066"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4) Psychological treatment.</w:t>
      </w:r>
    </w:p>
    <w:p w14:paraId="22BA964D"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Patients with mild OI will likely only require monitoring for complications, but patients with moderate and severe OI will require multidisciplinary management with medications, physical therapy, occupational therapy, orthopedic interventions, and follow-up by other subspecialists (</w:t>
      </w:r>
      <w:proofErr w:type="spellStart"/>
      <w:r>
        <w:rPr>
          <w:rFonts w:ascii="Arial" w:eastAsia="Arial" w:hAnsi="Arial" w:cs="Arial"/>
          <w:color w:val="000000"/>
        </w:rPr>
        <w:t>Forlino</w:t>
      </w:r>
      <w:proofErr w:type="spellEnd"/>
      <w:r>
        <w:rPr>
          <w:rFonts w:ascii="Arial" w:eastAsia="Arial" w:hAnsi="Arial" w:cs="Arial"/>
          <w:color w:val="000000"/>
        </w:rPr>
        <w:t xml:space="preserve"> &amp; Marini, 2016).</w:t>
      </w:r>
    </w:p>
    <w:p w14:paraId="6B24DB5E"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Orthopedic treatment has been conservative so far, as the patient reportedly had several fractures with adequate healing. The newborn's progress was satisfactory, and the fracture healing was as expected.</w:t>
      </w:r>
    </w:p>
    <w:p w14:paraId="0000855C"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complication associated with the highest mortality is respiratory failure (Singer, Ogston, &amp; Paterson, 2001).</w:t>
      </w:r>
    </w:p>
    <w:p w14:paraId="2F08D697" w14:textId="440B0FA6"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Prenatal care is very important, as early diagnosis of this condition allows for a successful delivery and management of the newborn with the necessary care, minimizing mobilization, which increases the chances of survival. However, in our case, this was not performed because the mother stated that she was unaware she was pregnant, and the birth conditions were inadequate, thus increasing the risk of fractures.</w:t>
      </w:r>
      <w:r w:rsidR="00576BD9">
        <w:rPr>
          <w:rFonts w:ascii="Arial" w:eastAsia="Arial" w:hAnsi="Arial" w:cs="Arial"/>
          <w:color w:val="000000"/>
        </w:rPr>
        <w:t xml:space="preserve"> </w:t>
      </w:r>
      <w:r w:rsidR="00576BD9" w:rsidRPr="00576BD9">
        <w:rPr>
          <w:rFonts w:ascii="Arial" w:eastAsia="Arial" w:hAnsi="Arial" w:cs="Arial"/>
          <w:color w:val="000000"/>
          <w:highlight w:val="yellow"/>
        </w:rPr>
        <w:t>The case reported did not receive any prenatal care.</w:t>
      </w:r>
    </w:p>
    <w:p w14:paraId="011D333B"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Although the definitive diagnosis is made by genetic sequencing, as this service is not available in the unit, the patient was referred to a tertiary hospital for further evaluation. The patient is still awaiting evaluation.</w:t>
      </w:r>
    </w:p>
    <w:p w14:paraId="58430D90"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newborn had background of family members with osteogenesis imperfecta; If the mother had had prenatal care and with the family history, it was a possibility of a better prognosis for the newborn (</w:t>
      </w:r>
      <w:proofErr w:type="spellStart"/>
      <w:r>
        <w:rPr>
          <w:rFonts w:ascii="Arial" w:eastAsia="Arial" w:hAnsi="Arial" w:cs="Arial"/>
          <w:color w:val="000000"/>
        </w:rPr>
        <w:t>Zhytnik</w:t>
      </w:r>
      <w:proofErr w:type="spellEnd"/>
      <w:r>
        <w:rPr>
          <w:rFonts w:ascii="Arial" w:eastAsia="Arial" w:hAnsi="Arial" w:cs="Arial"/>
          <w:color w:val="000000"/>
        </w:rPr>
        <w:t xml:space="preserve">, Simm, </w:t>
      </w:r>
      <w:proofErr w:type="spellStart"/>
      <w:r>
        <w:rPr>
          <w:rFonts w:ascii="Arial" w:eastAsia="Arial" w:hAnsi="Arial" w:cs="Arial"/>
          <w:color w:val="000000"/>
        </w:rPr>
        <w:t>Salumets</w:t>
      </w:r>
      <w:proofErr w:type="spellEnd"/>
      <w:r>
        <w:rPr>
          <w:rFonts w:ascii="Arial" w:eastAsia="Arial" w:hAnsi="Arial" w:cs="Arial"/>
          <w:color w:val="000000"/>
        </w:rPr>
        <w:t xml:space="preserve">, Peters, </w:t>
      </w:r>
      <w:proofErr w:type="spellStart"/>
      <w:r>
        <w:rPr>
          <w:rFonts w:ascii="Arial" w:eastAsia="Arial" w:hAnsi="Arial" w:cs="Arial"/>
          <w:color w:val="000000"/>
        </w:rPr>
        <w:t>Märtson</w:t>
      </w:r>
      <w:proofErr w:type="spellEnd"/>
      <w:r>
        <w:rPr>
          <w:rFonts w:ascii="Arial" w:eastAsia="Arial" w:hAnsi="Arial" w:cs="Arial"/>
          <w:color w:val="000000"/>
        </w:rPr>
        <w:t xml:space="preserve">, &amp; </w:t>
      </w:r>
      <w:proofErr w:type="spellStart"/>
      <w:r>
        <w:rPr>
          <w:rFonts w:ascii="Arial" w:eastAsia="Arial" w:hAnsi="Arial" w:cs="Arial"/>
          <w:color w:val="000000"/>
        </w:rPr>
        <w:t>Maasalu</w:t>
      </w:r>
      <w:proofErr w:type="spellEnd"/>
      <w:r>
        <w:rPr>
          <w:rFonts w:ascii="Arial" w:eastAsia="Arial" w:hAnsi="Arial" w:cs="Arial"/>
          <w:color w:val="000000"/>
        </w:rPr>
        <w:t>, 2020).</w:t>
      </w:r>
    </w:p>
    <w:p w14:paraId="1F6C30D2" w14:textId="77777777" w:rsidR="00330014" w:rsidRDefault="001B5E43">
      <w:pPr>
        <w:pBdr>
          <w:top w:val="nil"/>
          <w:left w:val="nil"/>
          <w:bottom w:val="nil"/>
          <w:right w:val="nil"/>
          <w:between w:val="nil"/>
        </w:pBdr>
        <w:spacing w:after="240"/>
        <w:jc w:val="both"/>
        <w:rPr>
          <w:rFonts w:ascii="Arial" w:eastAsia="Arial" w:hAnsi="Arial" w:cs="Arial"/>
          <w:b/>
          <w:color w:val="000000"/>
          <w:sz w:val="22"/>
          <w:szCs w:val="22"/>
        </w:rPr>
      </w:pPr>
      <w:r>
        <w:rPr>
          <w:rFonts w:ascii="Arial" w:eastAsia="Arial" w:hAnsi="Arial" w:cs="Arial"/>
          <w:b/>
          <w:color w:val="000000"/>
          <w:sz w:val="22"/>
          <w:szCs w:val="22"/>
        </w:rPr>
        <w:t>4. CONCLUSION</w:t>
      </w:r>
    </w:p>
    <w:p w14:paraId="1499AFA0" w14:textId="2E8206A1" w:rsidR="00330014" w:rsidRDefault="0007269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Prenatal control</w:t>
      </w:r>
      <w:r w:rsidR="001B5E43">
        <w:rPr>
          <w:rFonts w:ascii="Arial" w:eastAsia="Arial" w:hAnsi="Arial" w:cs="Arial"/>
          <w:color w:val="000000"/>
        </w:rPr>
        <w:t xml:space="preserve"> is fundamental for the care of </w:t>
      </w:r>
      <w:proofErr w:type="gramStart"/>
      <w:r w:rsidR="001B5E43">
        <w:rPr>
          <w:rFonts w:ascii="Arial" w:eastAsia="Arial" w:hAnsi="Arial" w:cs="Arial"/>
          <w:color w:val="000000"/>
        </w:rPr>
        <w:t>mother</w:t>
      </w:r>
      <w:proofErr w:type="gramEnd"/>
      <w:r w:rsidR="001B5E43">
        <w:rPr>
          <w:rFonts w:ascii="Arial" w:eastAsia="Arial" w:hAnsi="Arial" w:cs="Arial"/>
          <w:color w:val="000000"/>
        </w:rPr>
        <w:t xml:space="preserve"> and outcome. In this case, </w:t>
      </w:r>
      <w:r>
        <w:rPr>
          <w:rFonts w:ascii="Arial" w:eastAsia="Arial" w:hAnsi="Arial" w:cs="Arial"/>
          <w:color w:val="000000"/>
        </w:rPr>
        <w:t>that</w:t>
      </w:r>
      <w:r w:rsidR="001B5E43">
        <w:rPr>
          <w:rFonts w:ascii="Arial" w:eastAsia="Arial" w:hAnsi="Arial" w:cs="Arial"/>
          <w:color w:val="000000"/>
        </w:rPr>
        <w:t xml:space="preserve"> absence of it, caused more problems on health for the newborns.</w:t>
      </w:r>
    </w:p>
    <w:p w14:paraId="66F33D9A"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evolution of the case was satisfactory.</w:t>
      </w:r>
    </w:p>
    <w:p w14:paraId="76AAC15E" w14:textId="77777777" w:rsidR="00330014" w:rsidRDefault="001B5E43">
      <w:pPr>
        <w:pBdr>
          <w:top w:val="nil"/>
          <w:left w:val="nil"/>
          <w:bottom w:val="nil"/>
          <w:right w:val="nil"/>
          <w:between w:val="nil"/>
        </w:pBdr>
        <w:spacing w:after="240"/>
        <w:jc w:val="both"/>
        <w:rPr>
          <w:rFonts w:ascii="Arial" w:eastAsia="Arial" w:hAnsi="Arial" w:cs="Arial"/>
          <w:b/>
          <w:color w:val="000000"/>
          <w:sz w:val="22"/>
          <w:szCs w:val="22"/>
        </w:rPr>
      </w:pPr>
      <w:r>
        <w:rPr>
          <w:rFonts w:ascii="Arial" w:eastAsia="Arial" w:hAnsi="Arial" w:cs="Arial"/>
          <w:b/>
          <w:color w:val="000000"/>
          <w:sz w:val="22"/>
          <w:szCs w:val="22"/>
        </w:rPr>
        <w:t>CONSENT</w:t>
      </w:r>
    </w:p>
    <w:p w14:paraId="0FC926C4"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mother of the newborn signed a consent</w:t>
      </w:r>
      <w:r>
        <w:rPr>
          <w:rFonts w:ascii="Arial" w:eastAsia="Arial" w:hAnsi="Arial" w:cs="Arial"/>
        </w:rPr>
        <w:t xml:space="preserve"> form</w:t>
      </w:r>
      <w:r>
        <w:rPr>
          <w:rFonts w:ascii="Arial" w:eastAsia="Arial" w:hAnsi="Arial" w:cs="Arial"/>
          <w:color w:val="000000"/>
        </w:rPr>
        <w:t xml:space="preserve"> to publish clinical and image data, and the patients cannot be identified. </w:t>
      </w:r>
    </w:p>
    <w:p w14:paraId="32E0EB2C"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A copy of the written consent is available for review by the Editorial office/Chief Editor/Editorial Board members of this journal.</w:t>
      </w:r>
    </w:p>
    <w:p w14:paraId="79AAB2C6" w14:textId="77777777" w:rsidR="00330014" w:rsidRDefault="001B5E43">
      <w:pPr>
        <w:pBdr>
          <w:top w:val="nil"/>
          <w:left w:val="nil"/>
          <w:bottom w:val="nil"/>
          <w:right w:val="nil"/>
          <w:between w:val="nil"/>
        </w:pBdr>
        <w:spacing w:after="240"/>
        <w:jc w:val="both"/>
        <w:rPr>
          <w:rFonts w:ascii="Arial" w:eastAsia="Arial" w:hAnsi="Arial" w:cs="Arial"/>
          <w:b/>
          <w:color w:val="000000"/>
          <w:sz w:val="22"/>
          <w:szCs w:val="22"/>
        </w:rPr>
      </w:pPr>
      <w:r>
        <w:rPr>
          <w:rFonts w:ascii="Arial" w:eastAsia="Arial" w:hAnsi="Arial" w:cs="Arial"/>
          <w:b/>
          <w:color w:val="000000"/>
          <w:sz w:val="22"/>
          <w:szCs w:val="22"/>
        </w:rPr>
        <w:t xml:space="preserve">ETHICAL APPROVAL </w:t>
      </w:r>
    </w:p>
    <w:p w14:paraId="24995430" w14:textId="6FDC277C"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Not applicable</w:t>
      </w:r>
    </w:p>
    <w:p w14:paraId="24EE32F3" w14:textId="77777777" w:rsidR="000018D7" w:rsidRPr="00072699" w:rsidRDefault="000018D7" w:rsidP="000018D7">
      <w:pPr>
        <w:rPr>
          <w:rFonts w:ascii="Arial" w:eastAsia="Calibri" w:hAnsi="Arial" w:cs="Arial"/>
          <w:b/>
          <w:bCs/>
          <w:kern w:val="2"/>
          <w:sz w:val="22"/>
          <w:szCs w:val="22"/>
          <w:highlight w:val="yellow"/>
          <w:lang w:val="en-US"/>
        </w:rPr>
      </w:pPr>
      <w:bookmarkStart w:id="5" w:name="_Hlk209008097"/>
      <w:bookmarkStart w:id="6" w:name="_Hlk204003461"/>
      <w:bookmarkStart w:id="7" w:name="_Hlk209007716"/>
      <w:r w:rsidRPr="00072699">
        <w:rPr>
          <w:rFonts w:ascii="Arial" w:eastAsia="Calibri" w:hAnsi="Arial" w:cs="Arial"/>
          <w:b/>
          <w:bCs/>
          <w:kern w:val="2"/>
          <w:sz w:val="22"/>
          <w:szCs w:val="22"/>
          <w:highlight w:val="yellow"/>
          <w:lang w:val="en-US"/>
        </w:rPr>
        <w:t>Disclaimer (Artificial intelligence)</w:t>
      </w:r>
    </w:p>
    <w:p w14:paraId="61255F81" w14:textId="1033298C" w:rsidR="000018D7" w:rsidRDefault="000018D7" w:rsidP="000018D7">
      <w:pPr>
        <w:rPr>
          <w:rFonts w:ascii="Calibri" w:eastAsia="Calibri" w:hAnsi="Calibri" w:cs="Times New Roman"/>
          <w:kern w:val="2"/>
          <w:highlight w:val="yellow"/>
          <w:lang w:val="en-US"/>
        </w:rPr>
      </w:pPr>
    </w:p>
    <w:p w14:paraId="71CDBFC9" w14:textId="0B71B238" w:rsidR="000018D7" w:rsidRPr="00072699" w:rsidRDefault="000018D7" w:rsidP="000018D7">
      <w:pPr>
        <w:rPr>
          <w:rFonts w:ascii="Arial" w:eastAsia="Calibri" w:hAnsi="Arial" w:cs="Arial"/>
          <w:kern w:val="2"/>
          <w:highlight w:val="yellow"/>
          <w:lang w:val="en-US"/>
        </w:rPr>
      </w:pPr>
      <w:r w:rsidRPr="00072699">
        <w:rPr>
          <w:rFonts w:ascii="Arial" w:eastAsia="Calibri" w:hAnsi="Arial" w:cs="Arial"/>
          <w:kern w:val="2"/>
          <w:highlight w:val="yellow"/>
          <w:lang w:val="en-US"/>
        </w:rPr>
        <w:t xml:space="preserve">Authors hereby declare that NO generative AI technologies such as Large Language Models (ChatGPT, COPILOT, etc.) and text-to-image generators have been used during the writing or editing of this manuscript. </w:t>
      </w:r>
    </w:p>
    <w:bookmarkEnd w:id="5"/>
    <w:bookmarkEnd w:id="6"/>
    <w:bookmarkEnd w:id="7"/>
    <w:p w14:paraId="5B98E881" w14:textId="77777777" w:rsidR="000018D7" w:rsidRDefault="000018D7">
      <w:pPr>
        <w:pBdr>
          <w:top w:val="nil"/>
          <w:left w:val="nil"/>
          <w:bottom w:val="nil"/>
          <w:right w:val="nil"/>
          <w:between w:val="nil"/>
        </w:pBdr>
        <w:spacing w:after="240"/>
        <w:jc w:val="both"/>
        <w:rPr>
          <w:rFonts w:ascii="Arial" w:eastAsia="Arial" w:hAnsi="Arial" w:cs="Arial"/>
          <w:color w:val="000000"/>
        </w:rPr>
      </w:pPr>
    </w:p>
    <w:p w14:paraId="293F6B76" w14:textId="77777777" w:rsidR="00330014" w:rsidRDefault="001B5E43">
      <w:pPr>
        <w:pBdr>
          <w:top w:val="nil"/>
          <w:left w:val="nil"/>
          <w:bottom w:val="nil"/>
          <w:right w:val="nil"/>
          <w:between w:val="nil"/>
        </w:pBdr>
        <w:spacing w:after="240"/>
        <w:jc w:val="both"/>
        <w:rPr>
          <w:rFonts w:ascii="Arial" w:eastAsia="Arial" w:hAnsi="Arial" w:cs="Arial"/>
          <w:b/>
          <w:color w:val="000000"/>
          <w:sz w:val="22"/>
          <w:szCs w:val="22"/>
        </w:rPr>
      </w:pPr>
      <w:r>
        <w:rPr>
          <w:rFonts w:ascii="Arial" w:eastAsia="Arial" w:hAnsi="Arial" w:cs="Arial"/>
          <w:b/>
          <w:color w:val="000000"/>
          <w:sz w:val="22"/>
          <w:szCs w:val="22"/>
        </w:rPr>
        <w:t>REFERENCES</w:t>
      </w:r>
    </w:p>
    <w:p w14:paraId="010A6649"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rPr>
        <w:t>A</w:t>
      </w:r>
      <w:r>
        <w:rPr>
          <w:rFonts w:ascii="Arial" w:eastAsia="Arial" w:hAnsi="Arial" w:cs="Arial"/>
          <w:color w:val="000000"/>
        </w:rPr>
        <w:t xml:space="preserve">rponen, H., </w:t>
      </w:r>
      <w:proofErr w:type="spellStart"/>
      <w:r>
        <w:rPr>
          <w:rFonts w:ascii="Arial" w:eastAsia="Arial" w:hAnsi="Arial" w:cs="Arial"/>
          <w:color w:val="000000"/>
        </w:rPr>
        <w:t>Makitie</w:t>
      </w:r>
      <w:proofErr w:type="spellEnd"/>
      <w:r>
        <w:rPr>
          <w:rFonts w:ascii="Arial" w:eastAsia="Arial" w:hAnsi="Arial" w:cs="Arial"/>
          <w:color w:val="000000"/>
        </w:rPr>
        <w:t xml:space="preserve">, O., </w:t>
      </w:r>
      <w:proofErr w:type="spellStart"/>
      <w:r>
        <w:rPr>
          <w:rFonts w:ascii="Arial" w:eastAsia="Arial" w:hAnsi="Arial" w:cs="Arial"/>
          <w:color w:val="000000"/>
        </w:rPr>
        <w:t>Haukka</w:t>
      </w:r>
      <w:proofErr w:type="spellEnd"/>
      <w:r>
        <w:rPr>
          <w:rFonts w:ascii="Arial" w:eastAsia="Arial" w:hAnsi="Arial" w:cs="Arial"/>
          <w:color w:val="000000"/>
        </w:rPr>
        <w:t xml:space="preserve">, J., Ranta, H., Ekholm, M., </w:t>
      </w:r>
      <w:proofErr w:type="spellStart"/>
      <w:r>
        <w:rPr>
          <w:rFonts w:ascii="Arial" w:eastAsia="Arial" w:hAnsi="Arial" w:cs="Arial"/>
          <w:color w:val="000000"/>
        </w:rPr>
        <w:t>Mayranpaa</w:t>
      </w:r>
      <w:proofErr w:type="spellEnd"/>
      <w:r>
        <w:rPr>
          <w:rFonts w:ascii="Arial" w:eastAsia="Arial" w:hAnsi="Arial" w:cs="Arial"/>
          <w:color w:val="000000"/>
        </w:rPr>
        <w:t xml:space="preserve">, M.K., Kaitila, I., &amp; </w:t>
      </w:r>
      <w:proofErr w:type="spellStart"/>
      <w:r>
        <w:rPr>
          <w:rFonts w:ascii="Arial" w:eastAsia="Arial" w:hAnsi="Arial" w:cs="Arial"/>
          <w:color w:val="000000"/>
        </w:rPr>
        <w:t>Waltimo</w:t>
      </w:r>
      <w:proofErr w:type="spellEnd"/>
      <w:r>
        <w:rPr>
          <w:rFonts w:ascii="Arial" w:eastAsia="Arial" w:hAnsi="Arial" w:cs="Arial"/>
          <w:color w:val="000000"/>
        </w:rPr>
        <w:t xml:space="preserve">-Sired, J. (2012). Prevalence and natural course of </w:t>
      </w:r>
      <w:proofErr w:type="spellStart"/>
      <w:r>
        <w:rPr>
          <w:rFonts w:ascii="Arial" w:eastAsia="Arial" w:hAnsi="Arial" w:cs="Arial"/>
          <w:color w:val="000000"/>
        </w:rPr>
        <w:t>craniocervical</w:t>
      </w:r>
      <w:proofErr w:type="spellEnd"/>
      <w:r>
        <w:rPr>
          <w:rFonts w:ascii="Arial" w:eastAsia="Arial" w:hAnsi="Arial" w:cs="Arial"/>
          <w:color w:val="000000"/>
        </w:rPr>
        <w:t xml:space="preserve"> junction anomalies during growth in patients with osteogenesis imperfecta. J Bone Miner Res. 27(5),1142–1149. DOI: https://doi.org/10.1002/jbmr.1555.</w:t>
      </w:r>
    </w:p>
    <w:p w14:paraId="0702BEE3"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Balasubramanian, M., Verschueren, A., </w:t>
      </w:r>
      <w:proofErr w:type="spellStart"/>
      <w:r>
        <w:rPr>
          <w:rFonts w:ascii="Arial" w:eastAsia="Arial" w:hAnsi="Arial" w:cs="Arial"/>
          <w:color w:val="000000"/>
        </w:rPr>
        <w:t>Kleevens</w:t>
      </w:r>
      <w:proofErr w:type="spellEnd"/>
      <w:r>
        <w:rPr>
          <w:rFonts w:ascii="Arial" w:eastAsia="Arial" w:hAnsi="Arial" w:cs="Arial"/>
          <w:color w:val="000000"/>
        </w:rPr>
        <w:t xml:space="preserve">, S., Luyckx, I., Perik, M., Schirwani, S., Mortier, G., Morisaki, H., Rodrigus, I., Van Laer, L., </w:t>
      </w:r>
      <w:proofErr w:type="spellStart"/>
      <w:r>
        <w:rPr>
          <w:rFonts w:ascii="Arial" w:eastAsia="Arial" w:hAnsi="Arial" w:cs="Arial"/>
          <w:color w:val="000000"/>
        </w:rPr>
        <w:t>Verstraeten</w:t>
      </w:r>
      <w:proofErr w:type="spellEnd"/>
      <w:r>
        <w:rPr>
          <w:rFonts w:ascii="Arial" w:eastAsia="Arial" w:hAnsi="Arial" w:cs="Arial"/>
          <w:color w:val="000000"/>
        </w:rPr>
        <w:t xml:space="preserve">, A., &amp; </w:t>
      </w:r>
      <w:proofErr w:type="spellStart"/>
      <w:r>
        <w:rPr>
          <w:rFonts w:ascii="Arial" w:eastAsia="Arial" w:hAnsi="Arial" w:cs="Arial"/>
          <w:color w:val="000000"/>
        </w:rPr>
        <w:t>Loeys</w:t>
      </w:r>
      <w:proofErr w:type="spellEnd"/>
      <w:r>
        <w:rPr>
          <w:rFonts w:ascii="Arial" w:eastAsia="Arial" w:hAnsi="Arial" w:cs="Arial"/>
          <w:color w:val="000000"/>
        </w:rPr>
        <w:t>, B. (2019). Aortic aneurysm/dissection and osteogenesis imperfecta: Four new families and review of the literature. Bone, 121, 191-195. https://doi.org/10.1016/j.bone.2019.01.022</w:t>
      </w:r>
    </w:p>
    <w:p w14:paraId="0F61BF12"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Barnes, A.M., Chang, W., Morello, R., Cabral, W.A., Weis, M., Eyre, D.R., Leikin, S., </w:t>
      </w:r>
      <w:proofErr w:type="spellStart"/>
      <w:r>
        <w:rPr>
          <w:rFonts w:ascii="Arial" w:eastAsia="Arial" w:hAnsi="Arial" w:cs="Arial"/>
          <w:color w:val="000000"/>
        </w:rPr>
        <w:t>Makareeva</w:t>
      </w:r>
      <w:proofErr w:type="spellEnd"/>
      <w:r>
        <w:rPr>
          <w:rFonts w:ascii="Arial" w:eastAsia="Arial" w:hAnsi="Arial" w:cs="Arial"/>
          <w:color w:val="000000"/>
        </w:rPr>
        <w:t>, E., Kuznetsova, N., Uveges, T.E., Ashok, A., Flor, A.W., Mulvihill, J.J., Wilson, P.L., Sundaram, U.</w:t>
      </w:r>
      <w:proofErr w:type="gramStart"/>
      <w:r>
        <w:rPr>
          <w:rFonts w:ascii="Arial" w:eastAsia="Arial" w:hAnsi="Arial" w:cs="Arial"/>
          <w:color w:val="000000"/>
        </w:rPr>
        <w:t>T.,</w:t>
      </w:r>
      <w:proofErr w:type="gramEnd"/>
      <w:r>
        <w:rPr>
          <w:rFonts w:ascii="Arial" w:eastAsia="Arial" w:hAnsi="Arial" w:cs="Arial"/>
          <w:color w:val="000000"/>
        </w:rPr>
        <w:t xml:space="preserve"> Lee, B., &amp; Marini, J.C. (2006). Deficiency of cartilage-associated protein in recessive lethal osteogenesis imperfecta. N Engl J Med, 355(26), 2757-2764. DOI: https://doi.org/10.1056/NEJMoa063804.</w:t>
      </w:r>
    </w:p>
    <w:p w14:paraId="33EBC1C9" w14:textId="77777777" w:rsidR="00330014" w:rsidRPr="00BB2C90" w:rsidRDefault="001B5E43">
      <w:pPr>
        <w:pBdr>
          <w:top w:val="nil"/>
          <w:left w:val="nil"/>
          <w:bottom w:val="nil"/>
          <w:right w:val="nil"/>
          <w:between w:val="nil"/>
        </w:pBdr>
        <w:spacing w:after="240"/>
        <w:jc w:val="both"/>
        <w:rPr>
          <w:rFonts w:ascii="Arial" w:eastAsia="Arial" w:hAnsi="Arial" w:cs="Arial"/>
          <w:color w:val="000000"/>
          <w:highlight w:val="yellow"/>
          <w:lang w:val="es-MX"/>
        </w:rPr>
      </w:pPr>
      <w:r>
        <w:rPr>
          <w:rFonts w:ascii="Arial" w:eastAsia="Arial" w:hAnsi="Arial" w:cs="Arial"/>
          <w:color w:val="000000"/>
        </w:rPr>
        <w:t>Bonafe, L.</w:t>
      </w:r>
      <w:proofErr w:type="gramStart"/>
      <w:r>
        <w:rPr>
          <w:rFonts w:ascii="Arial" w:eastAsia="Arial" w:hAnsi="Arial" w:cs="Arial"/>
          <w:color w:val="000000"/>
        </w:rPr>
        <w:t>,  Cormier</w:t>
      </w:r>
      <w:proofErr w:type="gramEnd"/>
      <w:r>
        <w:rPr>
          <w:rFonts w:ascii="Arial" w:eastAsia="Arial" w:hAnsi="Arial" w:cs="Arial"/>
          <w:color w:val="000000"/>
        </w:rPr>
        <w:t>-Daire, V.</w:t>
      </w:r>
      <w:proofErr w:type="gramStart"/>
      <w:r>
        <w:rPr>
          <w:rFonts w:ascii="Arial" w:eastAsia="Arial" w:hAnsi="Arial" w:cs="Arial"/>
          <w:color w:val="000000"/>
        </w:rPr>
        <w:t>,  Hall</w:t>
      </w:r>
      <w:proofErr w:type="gramEnd"/>
      <w:r>
        <w:rPr>
          <w:rFonts w:ascii="Arial" w:eastAsia="Arial" w:hAnsi="Arial" w:cs="Arial"/>
          <w:color w:val="000000"/>
        </w:rPr>
        <w:t>, C.</w:t>
      </w:r>
      <w:proofErr w:type="gramStart"/>
      <w:r>
        <w:rPr>
          <w:rFonts w:ascii="Arial" w:eastAsia="Arial" w:hAnsi="Arial" w:cs="Arial"/>
          <w:color w:val="000000"/>
        </w:rPr>
        <w:t>,  Lachman</w:t>
      </w:r>
      <w:proofErr w:type="gramEnd"/>
      <w:r>
        <w:rPr>
          <w:rFonts w:ascii="Arial" w:eastAsia="Arial" w:hAnsi="Arial" w:cs="Arial"/>
          <w:color w:val="000000"/>
        </w:rPr>
        <w:t xml:space="preserve">, R., Mortier, G., </w:t>
      </w:r>
      <w:proofErr w:type="spellStart"/>
      <w:r>
        <w:rPr>
          <w:rFonts w:ascii="Arial" w:eastAsia="Arial" w:hAnsi="Arial" w:cs="Arial"/>
          <w:color w:val="000000"/>
        </w:rPr>
        <w:t>Mundlos</w:t>
      </w:r>
      <w:proofErr w:type="spellEnd"/>
      <w:r>
        <w:rPr>
          <w:rFonts w:ascii="Arial" w:eastAsia="Arial" w:hAnsi="Arial" w:cs="Arial"/>
          <w:color w:val="000000"/>
        </w:rPr>
        <w:t>, S.</w:t>
      </w:r>
      <w:proofErr w:type="gramStart"/>
      <w:r>
        <w:rPr>
          <w:rFonts w:ascii="Arial" w:eastAsia="Arial" w:hAnsi="Arial" w:cs="Arial"/>
          <w:color w:val="000000"/>
        </w:rPr>
        <w:t>,  Nishimura</w:t>
      </w:r>
      <w:proofErr w:type="gramEnd"/>
      <w:r>
        <w:rPr>
          <w:rFonts w:ascii="Arial" w:eastAsia="Arial" w:hAnsi="Arial" w:cs="Arial"/>
          <w:color w:val="000000"/>
        </w:rPr>
        <w:t>, G.</w:t>
      </w:r>
      <w:proofErr w:type="gramStart"/>
      <w:r>
        <w:rPr>
          <w:rFonts w:ascii="Arial" w:eastAsia="Arial" w:hAnsi="Arial" w:cs="Arial"/>
          <w:color w:val="000000"/>
        </w:rPr>
        <w:t>,  Sangiorgi</w:t>
      </w:r>
      <w:proofErr w:type="gramEnd"/>
      <w:r>
        <w:rPr>
          <w:rFonts w:ascii="Arial" w:eastAsia="Arial" w:hAnsi="Arial" w:cs="Arial"/>
          <w:color w:val="000000"/>
        </w:rPr>
        <w:t>, L.</w:t>
      </w:r>
      <w:proofErr w:type="gramStart"/>
      <w:r>
        <w:rPr>
          <w:rFonts w:ascii="Arial" w:eastAsia="Arial" w:hAnsi="Arial" w:cs="Arial"/>
          <w:color w:val="000000"/>
        </w:rPr>
        <w:t xml:space="preserve">,  </w:t>
      </w:r>
      <w:proofErr w:type="spellStart"/>
      <w:r>
        <w:rPr>
          <w:rFonts w:ascii="Arial" w:eastAsia="Arial" w:hAnsi="Arial" w:cs="Arial"/>
          <w:color w:val="000000"/>
        </w:rPr>
        <w:t>Savarirayan</w:t>
      </w:r>
      <w:proofErr w:type="spellEnd"/>
      <w:proofErr w:type="gramEnd"/>
      <w:r>
        <w:rPr>
          <w:rFonts w:ascii="Arial" w:eastAsia="Arial" w:hAnsi="Arial" w:cs="Arial"/>
          <w:color w:val="000000"/>
        </w:rPr>
        <w:t xml:space="preserve">, R., </w:t>
      </w:r>
      <w:proofErr w:type="spellStart"/>
      <w:r>
        <w:rPr>
          <w:rFonts w:ascii="Arial" w:eastAsia="Arial" w:hAnsi="Arial" w:cs="Arial"/>
          <w:color w:val="000000"/>
        </w:rPr>
        <w:t>Sillence</w:t>
      </w:r>
      <w:proofErr w:type="spellEnd"/>
      <w:r>
        <w:rPr>
          <w:rFonts w:ascii="Arial" w:eastAsia="Arial" w:hAnsi="Arial" w:cs="Arial"/>
          <w:color w:val="000000"/>
        </w:rPr>
        <w:t>, D.</w:t>
      </w:r>
      <w:proofErr w:type="gramStart"/>
      <w:r>
        <w:rPr>
          <w:rFonts w:ascii="Arial" w:eastAsia="Arial" w:hAnsi="Arial" w:cs="Arial"/>
          <w:color w:val="000000"/>
        </w:rPr>
        <w:t>,  Spranger</w:t>
      </w:r>
      <w:proofErr w:type="gramEnd"/>
      <w:r>
        <w:rPr>
          <w:rFonts w:ascii="Arial" w:eastAsia="Arial" w:hAnsi="Arial" w:cs="Arial"/>
          <w:color w:val="000000"/>
        </w:rPr>
        <w:t>, J.</w:t>
      </w:r>
      <w:proofErr w:type="gramStart"/>
      <w:r>
        <w:rPr>
          <w:rFonts w:ascii="Arial" w:eastAsia="Arial" w:hAnsi="Arial" w:cs="Arial"/>
          <w:color w:val="000000"/>
        </w:rPr>
        <w:t xml:space="preserve">,  </w:t>
      </w:r>
      <w:proofErr w:type="spellStart"/>
      <w:r>
        <w:rPr>
          <w:rFonts w:ascii="Arial" w:eastAsia="Arial" w:hAnsi="Arial" w:cs="Arial"/>
          <w:color w:val="000000"/>
        </w:rPr>
        <w:t>Superti</w:t>
      </w:r>
      <w:proofErr w:type="gramEnd"/>
      <w:r>
        <w:rPr>
          <w:rFonts w:ascii="Arial" w:eastAsia="Arial" w:hAnsi="Arial" w:cs="Arial"/>
          <w:color w:val="000000"/>
        </w:rPr>
        <w:t>-Furga</w:t>
      </w:r>
      <w:proofErr w:type="spellEnd"/>
      <w:r>
        <w:rPr>
          <w:rFonts w:ascii="Arial" w:eastAsia="Arial" w:hAnsi="Arial" w:cs="Arial"/>
          <w:color w:val="000000"/>
        </w:rPr>
        <w:t xml:space="preserve">, A., Warman, M., &amp; Unger, S. (2015). Nosology and classification of genetic skeletal disorders: 2015 revision. </w:t>
      </w:r>
      <w:proofErr w:type="gramStart"/>
      <w:r>
        <w:rPr>
          <w:rFonts w:ascii="Arial" w:eastAsia="Arial" w:hAnsi="Arial" w:cs="Arial"/>
          <w:color w:val="000000"/>
        </w:rPr>
        <w:t>Am</w:t>
      </w:r>
      <w:proofErr w:type="gramEnd"/>
      <w:r>
        <w:rPr>
          <w:rFonts w:ascii="Arial" w:eastAsia="Arial" w:hAnsi="Arial" w:cs="Arial"/>
          <w:color w:val="000000"/>
        </w:rPr>
        <w:t xml:space="preserve"> J Med Genet, 167(12), 2869-2892. </w:t>
      </w:r>
      <w:r w:rsidRPr="00BB2C90">
        <w:rPr>
          <w:rFonts w:ascii="Arial" w:eastAsia="Arial" w:hAnsi="Arial" w:cs="Arial"/>
          <w:color w:val="000000"/>
          <w:lang w:val="es-MX"/>
        </w:rPr>
        <w:t>DOI: https://doi.org/10.1002/ajmg.a.37365.</w:t>
      </w:r>
    </w:p>
    <w:p w14:paraId="515CC660" w14:textId="739BC4B2" w:rsidR="00C52D61" w:rsidRDefault="00C52D61">
      <w:pPr>
        <w:pBdr>
          <w:top w:val="nil"/>
          <w:left w:val="nil"/>
          <w:bottom w:val="nil"/>
          <w:right w:val="nil"/>
          <w:between w:val="nil"/>
        </w:pBdr>
        <w:spacing w:after="240"/>
        <w:jc w:val="both"/>
        <w:rPr>
          <w:rFonts w:ascii="Arial" w:eastAsia="Arial" w:hAnsi="Arial" w:cs="Arial"/>
          <w:color w:val="000000"/>
          <w:lang w:val="es-MX"/>
        </w:rPr>
      </w:pPr>
      <w:bookmarkStart w:id="8" w:name="_heading=h.kxqlagpddtdn" w:colFirst="0" w:colLast="0"/>
      <w:bookmarkEnd w:id="8"/>
      <w:proofErr w:type="spellStart"/>
      <w:r w:rsidRPr="00C52D61">
        <w:rPr>
          <w:rFonts w:ascii="Arial" w:eastAsia="Arial" w:hAnsi="Arial" w:cs="Arial"/>
          <w:color w:val="000000"/>
          <w:highlight w:val="yellow"/>
          <w:lang w:val="es-MX"/>
        </w:rPr>
        <w:t>Edelu</w:t>
      </w:r>
      <w:proofErr w:type="spellEnd"/>
      <w:r w:rsidRPr="00C52D61">
        <w:rPr>
          <w:rFonts w:ascii="Arial" w:eastAsia="Arial" w:hAnsi="Arial" w:cs="Arial"/>
          <w:color w:val="000000"/>
          <w:highlight w:val="yellow"/>
          <w:lang w:val="es-MX"/>
        </w:rPr>
        <w:t xml:space="preserve">, B.O., </w:t>
      </w:r>
      <w:proofErr w:type="spellStart"/>
      <w:r w:rsidRPr="00C52D61">
        <w:rPr>
          <w:rFonts w:ascii="Arial" w:eastAsia="Arial" w:hAnsi="Arial" w:cs="Arial"/>
          <w:color w:val="000000"/>
          <w:highlight w:val="yellow"/>
          <w:lang w:val="es-MX"/>
        </w:rPr>
        <w:t>Ndu</w:t>
      </w:r>
      <w:proofErr w:type="spellEnd"/>
      <w:r w:rsidRPr="00C52D61">
        <w:rPr>
          <w:rFonts w:ascii="Arial" w:eastAsia="Arial" w:hAnsi="Arial" w:cs="Arial"/>
          <w:color w:val="000000"/>
          <w:highlight w:val="yellow"/>
          <w:lang w:val="es-MX"/>
        </w:rPr>
        <w:t xml:space="preserve">, I.K., </w:t>
      </w:r>
      <w:proofErr w:type="spellStart"/>
      <w:r w:rsidRPr="00C52D61">
        <w:rPr>
          <w:rFonts w:ascii="Arial" w:eastAsia="Arial" w:hAnsi="Arial" w:cs="Arial"/>
          <w:color w:val="000000"/>
          <w:highlight w:val="yellow"/>
          <w:lang w:val="es-MX"/>
        </w:rPr>
        <w:t>Asinobi</w:t>
      </w:r>
      <w:proofErr w:type="spellEnd"/>
      <w:r w:rsidRPr="00C52D61">
        <w:rPr>
          <w:rFonts w:ascii="Arial" w:eastAsia="Arial" w:hAnsi="Arial" w:cs="Arial"/>
          <w:color w:val="000000"/>
          <w:highlight w:val="yellow"/>
          <w:lang w:val="es-MX"/>
        </w:rPr>
        <w:t xml:space="preserve">, I.N., </w:t>
      </w:r>
      <w:proofErr w:type="spellStart"/>
      <w:r w:rsidRPr="00C52D61">
        <w:rPr>
          <w:rFonts w:ascii="Arial" w:eastAsia="Arial" w:hAnsi="Arial" w:cs="Arial"/>
          <w:color w:val="000000"/>
          <w:highlight w:val="yellow"/>
          <w:lang w:val="es-MX"/>
        </w:rPr>
        <w:t>Obu</w:t>
      </w:r>
      <w:proofErr w:type="spellEnd"/>
      <w:r w:rsidRPr="00C52D61">
        <w:rPr>
          <w:rFonts w:ascii="Arial" w:eastAsia="Arial" w:hAnsi="Arial" w:cs="Arial"/>
          <w:color w:val="000000"/>
          <w:highlight w:val="yellow"/>
          <w:lang w:val="es-MX"/>
        </w:rPr>
        <w:t xml:space="preserve">, H.A., &amp; </w:t>
      </w:r>
      <w:proofErr w:type="spellStart"/>
      <w:r w:rsidRPr="00C52D61">
        <w:rPr>
          <w:rFonts w:ascii="Arial" w:eastAsia="Arial" w:hAnsi="Arial" w:cs="Arial"/>
          <w:color w:val="000000"/>
          <w:highlight w:val="yellow"/>
          <w:lang w:val="es-MX"/>
        </w:rPr>
        <w:t>Adimora</w:t>
      </w:r>
      <w:proofErr w:type="spellEnd"/>
      <w:r w:rsidRPr="00C52D61">
        <w:rPr>
          <w:rFonts w:ascii="Arial" w:eastAsia="Arial" w:hAnsi="Arial" w:cs="Arial"/>
          <w:color w:val="000000"/>
          <w:highlight w:val="yellow"/>
          <w:lang w:val="es-MX"/>
        </w:rPr>
        <w:t xml:space="preserve">, G.N. (2014). </w:t>
      </w:r>
      <w:r w:rsidRPr="00C52D61">
        <w:rPr>
          <w:rFonts w:ascii="Arial" w:eastAsia="Arial" w:hAnsi="Arial" w:cs="Arial"/>
          <w:color w:val="000000"/>
          <w:highlight w:val="yellow"/>
          <w:lang w:val="en-GB"/>
        </w:rPr>
        <w:t xml:space="preserve">Osteogenesis imperfecta. Annals of </w:t>
      </w:r>
      <w:proofErr w:type="gramStart"/>
      <w:r w:rsidRPr="00C52D61">
        <w:rPr>
          <w:rFonts w:ascii="Arial" w:eastAsia="Arial" w:hAnsi="Arial" w:cs="Arial"/>
          <w:color w:val="000000"/>
          <w:highlight w:val="yellow"/>
          <w:lang w:val="en-GB"/>
        </w:rPr>
        <w:t>Medical  and</w:t>
      </w:r>
      <w:proofErr w:type="gramEnd"/>
      <w:r w:rsidRPr="00C52D61">
        <w:rPr>
          <w:rFonts w:ascii="Arial" w:eastAsia="Arial" w:hAnsi="Arial" w:cs="Arial"/>
          <w:color w:val="000000"/>
          <w:highlight w:val="yellow"/>
          <w:lang w:val="en-GB"/>
        </w:rPr>
        <w:t xml:space="preserve"> Health Sciences Research, 4 (</w:t>
      </w:r>
      <w:proofErr w:type="spellStart"/>
      <w:r w:rsidRPr="00C52D61">
        <w:rPr>
          <w:rFonts w:ascii="Arial" w:eastAsia="Arial" w:hAnsi="Arial" w:cs="Arial"/>
          <w:color w:val="000000"/>
          <w:highlight w:val="yellow"/>
          <w:lang w:val="en-GB"/>
        </w:rPr>
        <w:t>Suppl</w:t>
      </w:r>
      <w:proofErr w:type="spellEnd"/>
      <w:r w:rsidRPr="00C52D61">
        <w:rPr>
          <w:rFonts w:ascii="Arial" w:eastAsia="Arial" w:hAnsi="Arial" w:cs="Arial"/>
          <w:color w:val="000000"/>
          <w:highlight w:val="yellow"/>
          <w:lang w:val="en-GB"/>
        </w:rPr>
        <w:t xml:space="preserve"> 1), S1–S5. </w:t>
      </w:r>
      <w:r w:rsidRPr="00C52D61">
        <w:rPr>
          <w:rFonts w:ascii="Arial" w:eastAsia="Arial" w:hAnsi="Arial" w:cs="Arial"/>
          <w:color w:val="000000"/>
          <w:highlight w:val="yellow"/>
          <w:lang w:val="es-MX"/>
        </w:rPr>
        <w:t>PMID: 25031897.</w:t>
      </w:r>
    </w:p>
    <w:p w14:paraId="76760C9A" w14:textId="6DB92A61" w:rsidR="00330014" w:rsidRPr="0009415C" w:rsidRDefault="001B5E43">
      <w:pPr>
        <w:pBdr>
          <w:top w:val="nil"/>
          <w:left w:val="nil"/>
          <w:bottom w:val="nil"/>
          <w:right w:val="nil"/>
          <w:between w:val="nil"/>
        </w:pBdr>
        <w:spacing w:after="240"/>
        <w:jc w:val="both"/>
        <w:rPr>
          <w:rFonts w:ascii="Arial" w:eastAsia="Arial" w:hAnsi="Arial" w:cs="Arial"/>
          <w:color w:val="000000"/>
          <w:lang w:val="es-MX"/>
        </w:rPr>
      </w:pPr>
      <w:proofErr w:type="spellStart"/>
      <w:r w:rsidRPr="00BB2C90">
        <w:rPr>
          <w:rFonts w:ascii="Arial" w:eastAsia="Arial" w:hAnsi="Arial" w:cs="Arial"/>
          <w:color w:val="000000"/>
          <w:lang w:val="es-MX"/>
        </w:rPr>
        <w:t>Forlino</w:t>
      </w:r>
      <w:proofErr w:type="spellEnd"/>
      <w:r w:rsidRPr="00BB2C90">
        <w:rPr>
          <w:rFonts w:ascii="Arial" w:eastAsia="Arial" w:hAnsi="Arial" w:cs="Arial"/>
          <w:color w:val="000000"/>
          <w:lang w:val="es-MX"/>
        </w:rPr>
        <w:t xml:space="preserve">, A. </w:t>
      </w:r>
      <w:proofErr w:type="gramStart"/>
      <w:r w:rsidRPr="00BB2C90">
        <w:rPr>
          <w:rFonts w:ascii="Arial" w:eastAsia="Arial" w:hAnsi="Arial" w:cs="Arial"/>
          <w:color w:val="000000"/>
          <w:lang w:val="es-MX"/>
        </w:rPr>
        <w:t>&amp;  Marini</w:t>
      </w:r>
      <w:proofErr w:type="gramEnd"/>
      <w:r w:rsidRPr="00BB2C90">
        <w:rPr>
          <w:rFonts w:ascii="Arial" w:eastAsia="Arial" w:hAnsi="Arial" w:cs="Arial"/>
          <w:color w:val="000000"/>
          <w:lang w:val="es-MX"/>
        </w:rPr>
        <w:t xml:space="preserve">, J.C. (2016). </w:t>
      </w:r>
      <w:proofErr w:type="spellStart"/>
      <w:r w:rsidRPr="0009415C">
        <w:rPr>
          <w:rFonts w:ascii="Arial" w:eastAsia="Arial" w:hAnsi="Arial" w:cs="Arial"/>
          <w:color w:val="000000"/>
          <w:lang w:val="es-MX"/>
        </w:rPr>
        <w:t>Osteogenesis</w:t>
      </w:r>
      <w:proofErr w:type="spellEnd"/>
      <w:r w:rsidRPr="0009415C">
        <w:rPr>
          <w:rFonts w:ascii="Arial" w:eastAsia="Arial" w:hAnsi="Arial" w:cs="Arial"/>
          <w:color w:val="000000"/>
          <w:lang w:val="es-MX"/>
        </w:rPr>
        <w:t xml:space="preserve"> imperfecta. Lancet, 387(10028), 1657-1671. DOI:  </w:t>
      </w:r>
      <w:hyperlink r:id="rId18">
        <w:r w:rsidR="00330014" w:rsidRPr="0009415C">
          <w:rPr>
            <w:rFonts w:ascii="Arial" w:eastAsia="Arial" w:hAnsi="Arial" w:cs="Arial"/>
            <w:color w:val="FF0080"/>
            <w:u w:val="single"/>
            <w:lang w:val="es-MX"/>
          </w:rPr>
          <w:t>https://doi.org/10.1016/S0140-6736(15)00728-X</w:t>
        </w:r>
      </w:hyperlink>
      <w:r w:rsidRPr="0009415C">
        <w:rPr>
          <w:rFonts w:ascii="Arial" w:eastAsia="Arial" w:hAnsi="Arial" w:cs="Arial"/>
          <w:color w:val="000000"/>
          <w:lang w:val="es-MX"/>
        </w:rPr>
        <w:t xml:space="preserve">.  </w:t>
      </w:r>
    </w:p>
    <w:p w14:paraId="29CE6A91"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Hoyer-Kuhn, H., Franklin, J., </w:t>
      </w:r>
      <w:proofErr w:type="spellStart"/>
      <w:r>
        <w:rPr>
          <w:rFonts w:ascii="Arial" w:eastAsia="Arial" w:hAnsi="Arial" w:cs="Arial"/>
          <w:color w:val="000000"/>
        </w:rPr>
        <w:t>Allo</w:t>
      </w:r>
      <w:proofErr w:type="spellEnd"/>
      <w:r>
        <w:rPr>
          <w:rFonts w:ascii="Arial" w:eastAsia="Arial" w:hAnsi="Arial" w:cs="Arial"/>
          <w:color w:val="000000"/>
        </w:rPr>
        <w:t xml:space="preserve">, G., Kron, M., Netzer, C., </w:t>
      </w:r>
      <w:proofErr w:type="spellStart"/>
      <w:r>
        <w:rPr>
          <w:rFonts w:ascii="Arial" w:eastAsia="Arial" w:hAnsi="Arial" w:cs="Arial"/>
          <w:color w:val="000000"/>
        </w:rPr>
        <w:t>Eysel</w:t>
      </w:r>
      <w:proofErr w:type="spellEnd"/>
      <w:r>
        <w:rPr>
          <w:rFonts w:ascii="Arial" w:eastAsia="Arial" w:hAnsi="Arial" w:cs="Arial"/>
          <w:color w:val="000000"/>
        </w:rPr>
        <w:t xml:space="preserve">, P., Hero, B., </w:t>
      </w:r>
      <w:proofErr w:type="spellStart"/>
      <w:r>
        <w:rPr>
          <w:rFonts w:ascii="Arial" w:eastAsia="Arial" w:hAnsi="Arial" w:cs="Arial"/>
          <w:color w:val="000000"/>
        </w:rPr>
        <w:t>Schoenau</w:t>
      </w:r>
      <w:proofErr w:type="spellEnd"/>
      <w:r>
        <w:rPr>
          <w:rFonts w:ascii="Arial" w:eastAsia="Arial" w:hAnsi="Arial" w:cs="Arial"/>
          <w:color w:val="000000"/>
        </w:rPr>
        <w:t xml:space="preserve">, E., &amp; Semler, O. (2016). Safety and efficacy of denosumab in children with osteogenesis imperfect </w:t>
      </w:r>
      <w:proofErr w:type="gramStart"/>
      <w:r>
        <w:rPr>
          <w:rFonts w:ascii="Arial" w:eastAsia="Arial" w:hAnsi="Arial" w:cs="Arial"/>
          <w:color w:val="000000"/>
        </w:rPr>
        <w:t>a first</w:t>
      </w:r>
      <w:proofErr w:type="gramEnd"/>
      <w:r>
        <w:rPr>
          <w:rFonts w:ascii="Arial" w:eastAsia="Arial" w:hAnsi="Arial" w:cs="Arial"/>
          <w:color w:val="000000"/>
        </w:rPr>
        <w:t xml:space="preserve"> prospective trial. J </w:t>
      </w:r>
      <w:proofErr w:type="spellStart"/>
      <w:r>
        <w:rPr>
          <w:rFonts w:ascii="Arial" w:eastAsia="Arial" w:hAnsi="Arial" w:cs="Arial"/>
          <w:color w:val="000000"/>
        </w:rPr>
        <w:t>Musculoskelet</w:t>
      </w:r>
      <w:proofErr w:type="spellEnd"/>
      <w:r>
        <w:rPr>
          <w:rFonts w:ascii="Arial" w:eastAsia="Arial" w:hAnsi="Arial" w:cs="Arial"/>
          <w:color w:val="000000"/>
        </w:rPr>
        <w:t xml:space="preserve"> Neuronal Interact, 16(1),24-32. Available </w:t>
      </w:r>
      <w:proofErr w:type="gramStart"/>
      <w:r>
        <w:rPr>
          <w:rFonts w:ascii="Arial" w:eastAsia="Arial" w:hAnsi="Arial" w:cs="Arial"/>
          <w:color w:val="000000"/>
        </w:rPr>
        <w:t>in</w:t>
      </w:r>
      <w:proofErr w:type="gramEnd"/>
      <w:r>
        <w:rPr>
          <w:rFonts w:ascii="Arial" w:eastAsia="Arial" w:hAnsi="Arial" w:cs="Arial"/>
          <w:color w:val="000000"/>
        </w:rPr>
        <w:t>: PMID: 26944820</w:t>
      </w:r>
    </w:p>
    <w:p w14:paraId="6EDB0D39" w14:textId="77777777" w:rsidR="00330014" w:rsidRDefault="001B5E43">
      <w:pPr>
        <w:pBdr>
          <w:top w:val="nil"/>
          <w:left w:val="nil"/>
          <w:bottom w:val="nil"/>
          <w:right w:val="nil"/>
          <w:between w:val="nil"/>
        </w:pBdr>
        <w:spacing w:after="240"/>
        <w:jc w:val="both"/>
        <w:rPr>
          <w:rFonts w:ascii="Arial" w:eastAsia="Arial" w:hAnsi="Arial" w:cs="Arial"/>
          <w:color w:val="000000"/>
          <w:highlight w:val="yellow"/>
        </w:rPr>
      </w:pPr>
      <w:r>
        <w:rPr>
          <w:rFonts w:ascii="Arial" w:eastAsia="Arial" w:hAnsi="Arial" w:cs="Arial"/>
          <w:color w:val="000000"/>
        </w:rPr>
        <w:t xml:space="preserve">LoMauro, A., Pochintesta, S., Romei, M., D'Angelo, M.G., Pedotti, A., </w:t>
      </w:r>
      <w:proofErr w:type="spellStart"/>
      <w:r>
        <w:rPr>
          <w:rFonts w:ascii="Arial" w:eastAsia="Arial" w:hAnsi="Arial" w:cs="Arial"/>
          <w:color w:val="000000"/>
        </w:rPr>
        <w:t>Turconi</w:t>
      </w:r>
      <w:proofErr w:type="spellEnd"/>
      <w:r>
        <w:rPr>
          <w:rFonts w:ascii="Arial" w:eastAsia="Arial" w:hAnsi="Arial" w:cs="Arial"/>
          <w:color w:val="000000"/>
        </w:rPr>
        <w:t xml:space="preserve">, A.C., &amp; </w:t>
      </w:r>
      <w:proofErr w:type="spellStart"/>
      <w:r>
        <w:rPr>
          <w:rFonts w:ascii="Arial" w:eastAsia="Arial" w:hAnsi="Arial" w:cs="Arial"/>
          <w:color w:val="000000"/>
        </w:rPr>
        <w:t>Aliverti</w:t>
      </w:r>
      <w:proofErr w:type="spellEnd"/>
      <w:r>
        <w:rPr>
          <w:rFonts w:ascii="Arial" w:eastAsia="Arial" w:hAnsi="Arial" w:cs="Arial"/>
          <w:color w:val="000000"/>
        </w:rPr>
        <w:t xml:space="preserve">, A. (2012). Rib cage deformities alter respiratory muscle action and chest wall function in patients with severe osteogenesis imperfecta. </w:t>
      </w:r>
      <w:proofErr w:type="spellStart"/>
      <w:r>
        <w:rPr>
          <w:rFonts w:ascii="Arial" w:eastAsia="Arial" w:hAnsi="Arial" w:cs="Arial"/>
          <w:color w:val="000000"/>
        </w:rPr>
        <w:t>PLoS</w:t>
      </w:r>
      <w:proofErr w:type="spellEnd"/>
      <w:r>
        <w:rPr>
          <w:rFonts w:ascii="Arial" w:eastAsia="Arial" w:hAnsi="Arial" w:cs="Arial"/>
          <w:color w:val="000000"/>
        </w:rPr>
        <w:t xml:space="preserve"> One, 7(4), e35965. DOI: </w:t>
      </w:r>
      <w:proofErr w:type="gramStart"/>
      <w:r>
        <w:rPr>
          <w:rFonts w:ascii="Arial" w:eastAsia="Arial" w:hAnsi="Arial" w:cs="Arial"/>
          <w:color w:val="000000"/>
        </w:rPr>
        <w:t>https://doi.org/10.1371/journal.pone.0035965.  .</w:t>
      </w:r>
      <w:proofErr w:type="gramEnd"/>
    </w:p>
    <w:p w14:paraId="649727A9" w14:textId="77777777" w:rsidR="00330014" w:rsidRDefault="001B5E43">
      <w:pPr>
        <w:rPr>
          <w:rFonts w:ascii="Arial" w:eastAsia="Arial" w:hAnsi="Arial" w:cs="Arial"/>
        </w:rPr>
      </w:pPr>
      <w:r>
        <w:rPr>
          <w:rFonts w:ascii="Arial" w:eastAsia="Arial" w:hAnsi="Arial" w:cs="Arial"/>
        </w:rPr>
        <w:t xml:space="preserve">Marini, J.C. &amp; Dang Do, A.N. (2020). Osteogenesis Imperfecta. </w:t>
      </w:r>
      <w:proofErr w:type="spellStart"/>
      <w:r>
        <w:rPr>
          <w:rFonts w:ascii="Arial" w:eastAsia="Arial" w:hAnsi="Arial" w:cs="Arial"/>
        </w:rPr>
        <w:t>Endotext</w:t>
      </w:r>
      <w:proofErr w:type="spellEnd"/>
      <w:r>
        <w:rPr>
          <w:rFonts w:ascii="Arial" w:eastAsia="Arial" w:hAnsi="Arial" w:cs="Arial"/>
        </w:rPr>
        <w:t xml:space="preserve">. Available in: https://endotext.org/wp-content/uploads/pdfs/osteogenesis-imperfecta.pdf </w:t>
      </w:r>
    </w:p>
    <w:p w14:paraId="15D9643A" w14:textId="77777777" w:rsidR="00330014" w:rsidRDefault="00330014">
      <w:pPr>
        <w:rPr>
          <w:rFonts w:ascii="Arial" w:eastAsia="Arial" w:hAnsi="Arial" w:cs="Arial"/>
        </w:rPr>
      </w:pPr>
    </w:p>
    <w:p w14:paraId="4FE6B2C7" w14:textId="77777777" w:rsidR="00330014" w:rsidRDefault="001B5E43">
      <w:pPr>
        <w:rPr>
          <w:rFonts w:ascii="Arial" w:eastAsia="Arial" w:hAnsi="Arial" w:cs="Arial"/>
        </w:rPr>
      </w:pPr>
      <w:r>
        <w:rPr>
          <w:rFonts w:ascii="Arial" w:eastAsia="Arial" w:hAnsi="Arial" w:cs="Arial"/>
        </w:rPr>
        <w:t xml:space="preserve">Marini, J.C., </w:t>
      </w:r>
      <w:proofErr w:type="spellStart"/>
      <w:r>
        <w:rPr>
          <w:rFonts w:ascii="Arial" w:eastAsia="Arial" w:hAnsi="Arial" w:cs="Arial"/>
        </w:rPr>
        <w:t>Forlino</w:t>
      </w:r>
      <w:proofErr w:type="spellEnd"/>
      <w:r>
        <w:rPr>
          <w:rFonts w:ascii="Arial" w:eastAsia="Arial" w:hAnsi="Arial" w:cs="Arial"/>
        </w:rPr>
        <w:t xml:space="preserve">, A., </w:t>
      </w:r>
      <w:proofErr w:type="spellStart"/>
      <w:r>
        <w:rPr>
          <w:rFonts w:ascii="Arial" w:eastAsia="Arial" w:hAnsi="Arial" w:cs="Arial"/>
        </w:rPr>
        <w:t>Bächinger</w:t>
      </w:r>
      <w:proofErr w:type="spellEnd"/>
      <w:r>
        <w:rPr>
          <w:rFonts w:ascii="Arial" w:eastAsia="Arial" w:hAnsi="Arial" w:cs="Arial"/>
        </w:rPr>
        <w:t xml:space="preserve">, H.P., Bishop, N.J., Byers, P.H., Paepe, A., </w:t>
      </w:r>
      <w:proofErr w:type="spellStart"/>
      <w:r>
        <w:rPr>
          <w:rFonts w:ascii="Arial" w:eastAsia="Arial" w:hAnsi="Arial" w:cs="Arial"/>
        </w:rPr>
        <w:t>Fassier</w:t>
      </w:r>
      <w:proofErr w:type="spellEnd"/>
      <w:r>
        <w:rPr>
          <w:rFonts w:ascii="Arial" w:eastAsia="Arial" w:hAnsi="Arial" w:cs="Arial"/>
        </w:rPr>
        <w:t xml:space="preserve">, F., Fratzl-Zelman, N., Kozloff, K.M., Krakow, D., Montpetit, K. &amp; Semler, O. (2017). Osteogenesis imperfecta. Nat Rev Dis Primers, 18 (3),17052. DOI: </w:t>
      </w:r>
      <w:hyperlink r:id="rId19">
        <w:r w:rsidR="00330014">
          <w:rPr>
            <w:rFonts w:ascii="Arial" w:eastAsia="Arial" w:hAnsi="Arial" w:cs="Arial"/>
            <w:color w:val="FF0080"/>
            <w:u w:val="single"/>
          </w:rPr>
          <w:t>https://doi.org/10.1038/nrdp.2017.52</w:t>
        </w:r>
      </w:hyperlink>
      <w:r>
        <w:rPr>
          <w:rFonts w:ascii="Arial" w:eastAsia="Arial" w:hAnsi="Arial" w:cs="Arial"/>
        </w:rPr>
        <w:t>.</w:t>
      </w:r>
    </w:p>
    <w:p w14:paraId="60654E7D" w14:textId="77777777" w:rsidR="00330014" w:rsidRDefault="00330014">
      <w:pPr>
        <w:pBdr>
          <w:top w:val="nil"/>
          <w:left w:val="nil"/>
          <w:bottom w:val="nil"/>
          <w:right w:val="nil"/>
          <w:between w:val="nil"/>
        </w:pBdr>
        <w:spacing w:after="240"/>
        <w:jc w:val="both"/>
        <w:rPr>
          <w:rFonts w:ascii="Arial" w:eastAsia="Arial" w:hAnsi="Arial" w:cs="Arial"/>
          <w:color w:val="000000"/>
        </w:rPr>
      </w:pPr>
    </w:p>
    <w:p w14:paraId="2980F537" w14:textId="77777777" w:rsidR="00330014" w:rsidRDefault="001B5E43">
      <w:pPr>
        <w:pBdr>
          <w:top w:val="nil"/>
          <w:left w:val="nil"/>
          <w:bottom w:val="nil"/>
          <w:right w:val="nil"/>
          <w:between w:val="nil"/>
        </w:pBdr>
        <w:spacing w:after="240"/>
        <w:jc w:val="both"/>
        <w:rPr>
          <w:rFonts w:ascii="Arial" w:eastAsia="Arial" w:hAnsi="Arial" w:cs="Arial"/>
          <w:color w:val="000000"/>
          <w:highlight w:val="yellow"/>
        </w:rPr>
      </w:pPr>
      <w:r>
        <w:rPr>
          <w:rFonts w:ascii="Arial" w:eastAsia="Arial" w:hAnsi="Arial" w:cs="Arial"/>
          <w:color w:val="000000"/>
        </w:rPr>
        <w:t xml:space="preserve">Marini, J.C., Reich, A. &amp; Smith, </w:t>
      </w:r>
      <w:proofErr w:type="gramStart"/>
      <w:r>
        <w:rPr>
          <w:rFonts w:ascii="Arial" w:eastAsia="Arial" w:hAnsi="Arial" w:cs="Arial"/>
          <w:color w:val="000000"/>
        </w:rPr>
        <w:t>S,M.</w:t>
      </w:r>
      <w:proofErr w:type="gramEnd"/>
      <w:r>
        <w:rPr>
          <w:rFonts w:ascii="Arial" w:eastAsia="Arial" w:hAnsi="Arial" w:cs="Arial"/>
          <w:color w:val="000000"/>
        </w:rPr>
        <w:t xml:space="preserve"> (2014). Osteogenesis imperfecta due to mutations in non-collagenous genes: lessons in the biology of bone formation. Curr </w:t>
      </w:r>
      <w:proofErr w:type="spellStart"/>
      <w:r>
        <w:rPr>
          <w:rFonts w:ascii="Arial" w:eastAsia="Arial" w:hAnsi="Arial" w:cs="Arial"/>
          <w:color w:val="000000"/>
        </w:rPr>
        <w:t>Opin</w:t>
      </w:r>
      <w:proofErr w:type="spellEnd"/>
      <w:r>
        <w:rPr>
          <w:rFonts w:ascii="Arial" w:eastAsia="Arial" w:hAnsi="Arial" w:cs="Arial"/>
          <w:color w:val="000000"/>
        </w:rPr>
        <w:t xml:space="preserve"> Pediatr, 26, 500–507. DOI: https://doi.org/10.1097/MOP.0000000000000117.</w:t>
      </w:r>
    </w:p>
    <w:p w14:paraId="534C16B8"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Marom, R., Rabenhorst, B., &amp; Morello, R. (2020). Osteogenesis Imperfecta: An Update on Clinical Features and Therapies </w:t>
      </w:r>
      <w:proofErr w:type="spellStart"/>
      <w:r>
        <w:rPr>
          <w:rFonts w:ascii="Arial" w:eastAsia="Arial" w:hAnsi="Arial" w:cs="Arial"/>
          <w:color w:val="000000"/>
        </w:rPr>
        <w:t>Eur</w:t>
      </w:r>
      <w:proofErr w:type="spellEnd"/>
      <w:r>
        <w:rPr>
          <w:rFonts w:ascii="Arial" w:eastAsia="Arial" w:hAnsi="Arial" w:cs="Arial"/>
          <w:color w:val="000000"/>
        </w:rPr>
        <w:t xml:space="preserve"> J Endocrinol, 183(4). R95–106. DOI: </w:t>
      </w:r>
      <w:hyperlink r:id="rId20">
        <w:r w:rsidR="00330014">
          <w:rPr>
            <w:rFonts w:ascii="Arial" w:eastAsia="Arial" w:hAnsi="Arial" w:cs="Arial"/>
            <w:color w:val="FF0080"/>
            <w:u w:val="single"/>
          </w:rPr>
          <w:t>https://doi.org/10.1530/EJE-20-0299</w:t>
        </w:r>
      </w:hyperlink>
      <w:r>
        <w:rPr>
          <w:rFonts w:ascii="Arial" w:eastAsia="Arial" w:hAnsi="Arial" w:cs="Arial"/>
          <w:color w:val="000000"/>
        </w:rPr>
        <w:t>.</w:t>
      </w:r>
    </w:p>
    <w:p w14:paraId="29108595"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Martin, E., &amp; Shapiro, J.R. (2007). Osteogenesis imperfecta: epidemiology and pathophysiology. Curr </w:t>
      </w:r>
      <w:proofErr w:type="spellStart"/>
      <w:r>
        <w:rPr>
          <w:rFonts w:ascii="Arial" w:eastAsia="Arial" w:hAnsi="Arial" w:cs="Arial"/>
          <w:color w:val="000000"/>
        </w:rPr>
        <w:t>Osteoporos</w:t>
      </w:r>
      <w:proofErr w:type="spellEnd"/>
      <w:r>
        <w:rPr>
          <w:rFonts w:ascii="Arial" w:eastAsia="Arial" w:hAnsi="Arial" w:cs="Arial"/>
          <w:color w:val="000000"/>
        </w:rPr>
        <w:t xml:space="preserve"> Rep, 5(3), 91-97. DOI: https://doi.org/10.1007/s11914-007-0023-z.</w:t>
      </w:r>
    </w:p>
    <w:p w14:paraId="79E17ED1" w14:textId="77777777" w:rsidR="00330014" w:rsidRPr="0009415C" w:rsidRDefault="001B5E43">
      <w:pPr>
        <w:pBdr>
          <w:top w:val="nil"/>
          <w:left w:val="nil"/>
          <w:bottom w:val="nil"/>
          <w:right w:val="nil"/>
          <w:between w:val="nil"/>
        </w:pBdr>
        <w:spacing w:after="240"/>
        <w:jc w:val="both"/>
        <w:rPr>
          <w:rFonts w:ascii="Arial" w:eastAsia="Arial" w:hAnsi="Arial" w:cs="Arial"/>
          <w:color w:val="000000"/>
          <w:highlight w:val="yellow"/>
          <w:lang w:val="es-MX"/>
        </w:rPr>
      </w:pPr>
      <w:r>
        <w:rPr>
          <w:rFonts w:ascii="Arial" w:eastAsia="Arial" w:hAnsi="Arial" w:cs="Arial"/>
          <w:color w:val="000000"/>
        </w:rPr>
        <w:t xml:space="preserve">Morello, R. (2018). </w:t>
      </w:r>
      <w:proofErr w:type="spellStart"/>
      <w:r w:rsidRPr="0009415C">
        <w:rPr>
          <w:rFonts w:ascii="Arial" w:eastAsia="Arial" w:hAnsi="Arial" w:cs="Arial"/>
          <w:color w:val="000000"/>
          <w:lang w:val="es-MX"/>
        </w:rPr>
        <w:t>Osteogenesis</w:t>
      </w:r>
      <w:proofErr w:type="spellEnd"/>
      <w:r w:rsidRPr="0009415C">
        <w:rPr>
          <w:rFonts w:ascii="Arial" w:eastAsia="Arial" w:hAnsi="Arial" w:cs="Arial"/>
          <w:color w:val="000000"/>
          <w:lang w:val="es-MX"/>
        </w:rPr>
        <w:t xml:space="preserve"> imperfecta y </w:t>
      </w:r>
      <w:proofErr w:type="spellStart"/>
      <w:r w:rsidRPr="0009415C">
        <w:rPr>
          <w:rFonts w:ascii="Arial" w:eastAsia="Arial" w:hAnsi="Arial" w:cs="Arial"/>
          <w:color w:val="000000"/>
          <w:lang w:val="es-MX"/>
        </w:rPr>
        <w:t>terapeutics</w:t>
      </w:r>
      <w:proofErr w:type="spellEnd"/>
      <w:r w:rsidRPr="0009415C">
        <w:rPr>
          <w:rFonts w:ascii="Arial" w:eastAsia="Arial" w:hAnsi="Arial" w:cs="Arial"/>
          <w:color w:val="000000"/>
          <w:lang w:val="es-MX"/>
        </w:rPr>
        <w:t xml:space="preserve"> Matrix </w:t>
      </w:r>
      <w:proofErr w:type="spellStart"/>
      <w:r w:rsidRPr="0009415C">
        <w:rPr>
          <w:rFonts w:ascii="Arial" w:eastAsia="Arial" w:hAnsi="Arial" w:cs="Arial"/>
          <w:color w:val="000000"/>
          <w:lang w:val="es-MX"/>
        </w:rPr>
        <w:t>Biol</w:t>
      </w:r>
      <w:proofErr w:type="spellEnd"/>
      <w:r w:rsidRPr="0009415C">
        <w:rPr>
          <w:rFonts w:ascii="Arial" w:eastAsia="Arial" w:hAnsi="Arial" w:cs="Arial"/>
          <w:color w:val="000000"/>
          <w:lang w:val="es-MX"/>
        </w:rPr>
        <w:t>, 71-72, 294–312. DOI: https://doi.org/10.1016/j.matbio.2018.03.010</w:t>
      </w:r>
    </w:p>
    <w:p w14:paraId="5ACB0206" w14:textId="77777777" w:rsidR="00330014" w:rsidRDefault="001B5E43">
      <w:pPr>
        <w:pBdr>
          <w:top w:val="nil"/>
          <w:left w:val="nil"/>
          <w:bottom w:val="nil"/>
          <w:right w:val="nil"/>
          <w:between w:val="nil"/>
        </w:pBdr>
        <w:spacing w:after="240"/>
        <w:jc w:val="both"/>
        <w:rPr>
          <w:rFonts w:ascii="Arial" w:eastAsia="Arial" w:hAnsi="Arial" w:cs="Arial"/>
          <w:color w:val="000000"/>
          <w:highlight w:val="yellow"/>
        </w:rPr>
      </w:pPr>
      <w:r w:rsidRPr="0009415C">
        <w:rPr>
          <w:rFonts w:ascii="Arial" w:eastAsia="Arial" w:hAnsi="Arial" w:cs="Arial"/>
          <w:color w:val="000000"/>
          <w:lang w:val="es-MX"/>
        </w:rPr>
        <w:t xml:space="preserve">Neer, R.M., Arnaud, C.D., </w:t>
      </w:r>
      <w:proofErr w:type="spellStart"/>
      <w:r w:rsidRPr="0009415C">
        <w:rPr>
          <w:rFonts w:ascii="Arial" w:eastAsia="Arial" w:hAnsi="Arial" w:cs="Arial"/>
          <w:color w:val="000000"/>
          <w:lang w:val="es-MX"/>
        </w:rPr>
        <w:t>Zanchetta</w:t>
      </w:r>
      <w:proofErr w:type="spellEnd"/>
      <w:r w:rsidRPr="0009415C">
        <w:rPr>
          <w:rFonts w:ascii="Arial" w:eastAsia="Arial" w:hAnsi="Arial" w:cs="Arial"/>
          <w:color w:val="000000"/>
          <w:lang w:val="es-MX"/>
        </w:rPr>
        <w:t xml:space="preserve">, J.R., Prince, R., </w:t>
      </w:r>
      <w:proofErr w:type="spellStart"/>
      <w:r w:rsidRPr="0009415C">
        <w:rPr>
          <w:rFonts w:ascii="Arial" w:eastAsia="Arial" w:hAnsi="Arial" w:cs="Arial"/>
          <w:color w:val="000000"/>
          <w:lang w:val="es-MX"/>
        </w:rPr>
        <w:t>Gaich</w:t>
      </w:r>
      <w:proofErr w:type="spellEnd"/>
      <w:r w:rsidRPr="0009415C">
        <w:rPr>
          <w:rFonts w:ascii="Arial" w:eastAsia="Arial" w:hAnsi="Arial" w:cs="Arial"/>
          <w:color w:val="000000"/>
          <w:lang w:val="es-MX"/>
        </w:rPr>
        <w:t xml:space="preserve">, G.A., </w:t>
      </w:r>
      <w:proofErr w:type="spellStart"/>
      <w:r w:rsidRPr="0009415C">
        <w:rPr>
          <w:rFonts w:ascii="Arial" w:eastAsia="Arial" w:hAnsi="Arial" w:cs="Arial"/>
          <w:color w:val="000000"/>
          <w:lang w:val="es-MX"/>
        </w:rPr>
        <w:t>Reginster</w:t>
      </w:r>
      <w:proofErr w:type="spellEnd"/>
      <w:r w:rsidRPr="0009415C">
        <w:rPr>
          <w:rFonts w:ascii="Arial" w:eastAsia="Arial" w:hAnsi="Arial" w:cs="Arial"/>
          <w:color w:val="000000"/>
          <w:lang w:val="es-MX"/>
        </w:rPr>
        <w:t xml:space="preserve">, J.Y., </w:t>
      </w:r>
      <w:proofErr w:type="spellStart"/>
      <w:r w:rsidRPr="0009415C">
        <w:rPr>
          <w:rFonts w:ascii="Arial" w:eastAsia="Arial" w:hAnsi="Arial" w:cs="Arial"/>
          <w:color w:val="000000"/>
          <w:lang w:val="es-MX"/>
        </w:rPr>
        <w:t>Hodsman</w:t>
      </w:r>
      <w:proofErr w:type="spellEnd"/>
      <w:r w:rsidRPr="0009415C">
        <w:rPr>
          <w:rFonts w:ascii="Arial" w:eastAsia="Arial" w:hAnsi="Arial" w:cs="Arial"/>
          <w:color w:val="000000"/>
          <w:lang w:val="es-MX"/>
        </w:rPr>
        <w:t xml:space="preserve">, A.B., Eriksen, E.F., Ish-Shalom, S., </w:t>
      </w:r>
      <w:proofErr w:type="spellStart"/>
      <w:r w:rsidRPr="0009415C">
        <w:rPr>
          <w:rFonts w:ascii="Arial" w:eastAsia="Arial" w:hAnsi="Arial" w:cs="Arial"/>
          <w:color w:val="000000"/>
          <w:lang w:val="es-MX"/>
        </w:rPr>
        <w:t>Genant</w:t>
      </w:r>
      <w:proofErr w:type="spellEnd"/>
      <w:r w:rsidRPr="0009415C">
        <w:rPr>
          <w:rFonts w:ascii="Arial" w:eastAsia="Arial" w:hAnsi="Arial" w:cs="Arial"/>
          <w:color w:val="000000"/>
          <w:lang w:val="es-MX"/>
        </w:rPr>
        <w:t xml:space="preserve">, H.K., Wang, O., &amp; </w:t>
      </w:r>
      <w:proofErr w:type="spellStart"/>
      <w:r w:rsidRPr="0009415C">
        <w:rPr>
          <w:rFonts w:ascii="Arial" w:eastAsia="Arial" w:hAnsi="Arial" w:cs="Arial"/>
          <w:color w:val="000000"/>
          <w:lang w:val="es-MX"/>
        </w:rPr>
        <w:t>Mitlak</w:t>
      </w:r>
      <w:proofErr w:type="spellEnd"/>
      <w:r w:rsidRPr="0009415C">
        <w:rPr>
          <w:rFonts w:ascii="Arial" w:eastAsia="Arial" w:hAnsi="Arial" w:cs="Arial"/>
          <w:color w:val="000000"/>
          <w:lang w:val="es-MX"/>
        </w:rPr>
        <w:t xml:space="preserve">, B.H. (2001). </w:t>
      </w:r>
      <w:r>
        <w:rPr>
          <w:rFonts w:ascii="Arial" w:eastAsia="Arial" w:hAnsi="Arial" w:cs="Arial"/>
          <w:color w:val="000000"/>
        </w:rPr>
        <w:t>Effect of parathyroid hormone (1-34) on fractures and bone mineral density in postmenopausal women with osteoporosis. N Engl J Med, 344(19), 1434-1441. DOI: https://doi.org/10.1056/NEJM200105103441904.</w:t>
      </w:r>
    </w:p>
    <w:p w14:paraId="391981D0"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Reznikov, N., Dagdeviren, D., Tamimi, F., Glorieux, F., Rauch, F., &amp; </w:t>
      </w:r>
      <w:proofErr w:type="spellStart"/>
      <w:r>
        <w:rPr>
          <w:rFonts w:ascii="Arial" w:eastAsia="Arial" w:hAnsi="Arial" w:cs="Arial"/>
          <w:color w:val="000000"/>
        </w:rPr>
        <w:t>Retrouvey</w:t>
      </w:r>
      <w:proofErr w:type="spellEnd"/>
      <w:r>
        <w:rPr>
          <w:rFonts w:ascii="Arial" w:eastAsia="Arial" w:hAnsi="Arial" w:cs="Arial"/>
          <w:color w:val="000000"/>
        </w:rPr>
        <w:t>, J.M. (2019). Cone-Beam Computed Tomography of Osteogenesis Imperfecta Types III and IV: Three-Dimensional Evaluation of Craniofacial Features and Upper Airways. JBMR Plus, 3(6), e10124. DOI: https://doi.org/10.1002/jbm4.10124.</w:t>
      </w:r>
    </w:p>
    <w:p w14:paraId="2295D60A" w14:textId="77777777" w:rsidR="00330014" w:rsidRDefault="001B5E43">
      <w:pPr>
        <w:pBdr>
          <w:top w:val="nil"/>
          <w:left w:val="nil"/>
          <w:bottom w:val="nil"/>
          <w:right w:val="nil"/>
          <w:between w:val="nil"/>
        </w:pBdr>
        <w:spacing w:after="240"/>
        <w:jc w:val="both"/>
        <w:rPr>
          <w:rFonts w:ascii="Arial" w:eastAsia="Arial" w:hAnsi="Arial" w:cs="Arial"/>
          <w:color w:val="000000"/>
        </w:rPr>
      </w:pPr>
      <w:proofErr w:type="spellStart"/>
      <w:r>
        <w:rPr>
          <w:rFonts w:ascii="Arial" w:eastAsia="Arial" w:hAnsi="Arial" w:cs="Arial"/>
          <w:color w:val="000000"/>
        </w:rPr>
        <w:t>Sillence</w:t>
      </w:r>
      <w:proofErr w:type="spellEnd"/>
      <w:r>
        <w:rPr>
          <w:rFonts w:ascii="Arial" w:eastAsia="Arial" w:hAnsi="Arial" w:cs="Arial"/>
          <w:color w:val="000000"/>
        </w:rPr>
        <w:t xml:space="preserve">, D.O., Senn, A.  &amp; Danks, D. (1979). Genetic heterogeneity in osteogenesis imperfecta. J. </w:t>
      </w:r>
      <w:proofErr w:type="spellStart"/>
      <w:r>
        <w:rPr>
          <w:rFonts w:ascii="Arial" w:eastAsia="Arial" w:hAnsi="Arial" w:cs="Arial"/>
          <w:color w:val="000000"/>
        </w:rPr>
        <w:t>Med.Genet</w:t>
      </w:r>
      <w:proofErr w:type="spellEnd"/>
      <w:r>
        <w:rPr>
          <w:rFonts w:ascii="Arial" w:eastAsia="Arial" w:hAnsi="Arial" w:cs="Arial"/>
          <w:color w:val="000000"/>
        </w:rPr>
        <w:t>, 16(2), 101-</w:t>
      </w:r>
      <w:proofErr w:type="gramStart"/>
      <w:r>
        <w:rPr>
          <w:rFonts w:ascii="Arial" w:eastAsia="Arial" w:hAnsi="Arial" w:cs="Arial"/>
          <w:color w:val="000000"/>
        </w:rPr>
        <w:t>116 .DOI</w:t>
      </w:r>
      <w:proofErr w:type="gramEnd"/>
      <w:r>
        <w:rPr>
          <w:rFonts w:ascii="Arial" w:eastAsia="Arial" w:hAnsi="Arial" w:cs="Arial"/>
          <w:color w:val="000000"/>
        </w:rPr>
        <w:t xml:space="preserve">: https://doi.org/10.1136/jmg.16.2.101.  </w:t>
      </w:r>
    </w:p>
    <w:p w14:paraId="6941106D"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Singer, R.B., Ogston, S.A., &amp; Paterson, C.R. (2001). Mortality in various types of </w:t>
      </w:r>
      <w:proofErr w:type="gramStart"/>
      <w:r>
        <w:rPr>
          <w:rFonts w:ascii="Arial" w:eastAsia="Arial" w:hAnsi="Arial" w:cs="Arial"/>
          <w:color w:val="000000"/>
        </w:rPr>
        <w:t>osteogenesis</w:t>
      </w:r>
      <w:proofErr w:type="gramEnd"/>
      <w:r>
        <w:rPr>
          <w:rFonts w:ascii="Arial" w:eastAsia="Arial" w:hAnsi="Arial" w:cs="Arial"/>
          <w:color w:val="000000"/>
        </w:rPr>
        <w:t xml:space="preserve"> imperfecta. J </w:t>
      </w:r>
      <w:proofErr w:type="spellStart"/>
      <w:r>
        <w:rPr>
          <w:rFonts w:ascii="Arial" w:eastAsia="Arial" w:hAnsi="Arial" w:cs="Arial"/>
          <w:color w:val="000000"/>
        </w:rPr>
        <w:t>Insur</w:t>
      </w:r>
      <w:proofErr w:type="spellEnd"/>
      <w:r>
        <w:rPr>
          <w:rFonts w:ascii="Arial" w:eastAsia="Arial" w:hAnsi="Arial" w:cs="Arial"/>
          <w:color w:val="000000"/>
        </w:rPr>
        <w:t xml:space="preserve"> Med, 33(3), 216-220. PMID: 11558400.</w:t>
      </w:r>
    </w:p>
    <w:p w14:paraId="00201ACA" w14:textId="77777777" w:rsidR="00330014" w:rsidRDefault="001B5E43">
      <w:pPr>
        <w:pBdr>
          <w:top w:val="nil"/>
          <w:left w:val="nil"/>
          <w:bottom w:val="nil"/>
          <w:right w:val="nil"/>
          <w:between w:val="nil"/>
        </w:pBdr>
        <w:spacing w:after="240"/>
        <w:jc w:val="both"/>
        <w:rPr>
          <w:rFonts w:ascii="Arial" w:eastAsia="Arial" w:hAnsi="Arial" w:cs="Arial"/>
          <w:color w:val="000000"/>
          <w:highlight w:val="yellow"/>
        </w:rPr>
      </w:pPr>
      <w:r>
        <w:rPr>
          <w:rFonts w:ascii="Arial" w:eastAsia="Arial" w:hAnsi="Arial" w:cs="Arial"/>
          <w:color w:val="000000"/>
        </w:rPr>
        <w:t xml:space="preserve">Tauer, J.T., Robinson, M.E., Rauch F. (2019). Osteogenesis Imperfecta: New Perspectives </w:t>
      </w:r>
      <w:proofErr w:type="gramStart"/>
      <w:r>
        <w:rPr>
          <w:rFonts w:ascii="Arial" w:eastAsia="Arial" w:hAnsi="Arial" w:cs="Arial"/>
          <w:color w:val="000000"/>
        </w:rPr>
        <w:t>From</w:t>
      </w:r>
      <w:proofErr w:type="gramEnd"/>
      <w:r>
        <w:rPr>
          <w:rFonts w:ascii="Arial" w:eastAsia="Arial" w:hAnsi="Arial" w:cs="Arial"/>
          <w:color w:val="000000"/>
        </w:rPr>
        <w:t xml:space="preserve"> Clinical and Translational Research. JBMR Plus, 3(8), e10174. DOI: https://doi.org/10.1002/jbm4.10174.</w:t>
      </w:r>
    </w:p>
    <w:p w14:paraId="7E62534D" w14:textId="44256C50" w:rsidR="00576BD9" w:rsidRDefault="00576BD9">
      <w:pPr>
        <w:pBdr>
          <w:top w:val="nil"/>
          <w:left w:val="nil"/>
          <w:bottom w:val="nil"/>
          <w:right w:val="nil"/>
          <w:between w:val="nil"/>
        </w:pBdr>
        <w:spacing w:after="240"/>
        <w:jc w:val="both"/>
        <w:rPr>
          <w:rFonts w:ascii="Arial" w:eastAsia="Arial" w:hAnsi="Arial" w:cs="Arial"/>
          <w:color w:val="000000"/>
        </w:rPr>
      </w:pPr>
      <w:bookmarkStart w:id="9" w:name="_heading=h.bhdztjvfrjt2" w:colFirst="0" w:colLast="0"/>
      <w:bookmarkEnd w:id="9"/>
      <w:proofErr w:type="spellStart"/>
      <w:r w:rsidRPr="00072699">
        <w:rPr>
          <w:rFonts w:ascii="Arial" w:eastAsia="Arial" w:hAnsi="Arial" w:cs="Arial"/>
          <w:color w:val="000000"/>
          <w:highlight w:val="yellow"/>
          <w:lang w:val="es-MX"/>
        </w:rPr>
        <w:t>Timila</w:t>
      </w:r>
      <w:proofErr w:type="spellEnd"/>
      <w:r w:rsidRPr="00072699">
        <w:rPr>
          <w:rFonts w:ascii="Arial" w:eastAsia="Arial" w:hAnsi="Arial" w:cs="Arial"/>
          <w:color w:val="000000"/>
          <w:highlight w:val="yellow"/>
          <w:lang w:val="es-MX"/>
        </w:rPr>
        <w:t xml:space="preserve">, D., Mousa, A., &amp; </w:t>
      </w:r>
      <w:proofErr w:type="spellStart"/>
      <w:r w:rsidRPr="00072699">
        <w:rPr>
          <w:rFonts w:ascii="Arial" w:eastAsia="Arial" w:hAnsi="Arial" w:cs="Arial"/>
          <w:color w:val="000000"/>
          <w:highlight w:val="yellow"/>
          <w:lang w:val="es-MX"/>
        </w:rPr>
        <w:t>Gundamraj</w:t>
      </w:r>
      <w:proofErr w:type="spellEnd"/>
      <w:r w:rsidRPr="00072699">
        <w:rPr>
          <w:rFonts w:ascii="Arial" w:eastAsia="Arial" w:hAnsi="Arial" w:cs="Arial"/>
          <w:color w:val="000000"/>
          <w:highlight w:val="yellow"/>
          <w:lang w:val="es-MX"/>
        </w:rPr>
        <w:t xml:space="preserve">, L. (2025). </w:t>
      </w:r>
      <w:r w:rsidRPr="00072699">
        <w:rPr>
          <w:rFonts w:ascii="Arial" w:eastAsia="Arial" w:hAnsi="Arial" w:cs="Arial"/>
          <w:color w:val="000000"/>
          <w:highlight w:val="yellow"/>
        </w:rPr>
        <w:t xml:space="preserve">Case Report: Holistic approach to management of an infant with severe osteogenesis imperfecta in the neonatal intensive care unit. Front. </w:t>
      </w:r>
      <w:proofErr w:type="spellStart"/>
      <w:r w:rsidRPr="00072699">
        <w:rPr>
          <w:rFonts w:ascii="Arial" w:eastAsia="Arial" w:hAnsi="Arial" w:cs="Arial"/>
          <w:color w:val="000000"/>
          <w:highlight w:val="yellow"/>
        </w:rPr>
        <w:t>Pediatr</w:t>
      </w:r>
      <w:proofErr w:type="spellEnd"/>
      <w:r w:rsidRPr="00072699">
        <w:rPr>
          <w:rFonts w:ascii="Arial" w:eastAsia="Arial" w:hAnsi="Arial" w:cs="Arial"/>
          <w:color w:val="000000"/>
          <w:highlight w:val="yellow"/>
        </w:rPr>
        <w:t xml:space="preserve">, 13: 1475545. DOI: </w:t>
      </w:r>
      <w:hyperlink r:id="rId21" w:history="1">
        <w:r w:rsidRPr="00072699">
          <w:rPr>
            <w:rStyle w:val="Hipervnculo"/>
            <w:rFonts w:ascii="Arial" w:eastAsia="Arial" w:hAnsi="Arial" w:cs="Arial"/>
            <w:highlight w:val="yellow"/>
          </w:rPr>
          <w:t>https://doi.org/10.3389/fped.2025.1475545</w:t>
        </w:r>
      </w:hyperlink>
      <w:r>
        <w:rPr>
          <w:rFonts w:ascii="Arial" w:eastAsia="Arial" w:hAnsi="Arial" w:cs="Arial"/>
          <w:color w:val="000000"/>
        </w:rPr>
        <w:t xml:space="preserve"> </w:t>
      </w:r>
    </w:p>
    <w:p w14:paraId="6AB06E27" w14:textId="55DC457B"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Torrent, R. B. (2020). </w:t>
      </w:r>
      <w:r w:rsidRPr="0009415C">
        <w:rPr>
          <w:rFonts w:ascii="Arial" w:eastAsia="Arial" w:hAnsi="Arial" w:cs="Arial"/>
          <w:color w:val="000000"/>
          <w:lang w:val="es-MX"/>
        </w:rPr>
        <w:t xml:space="preserve">Osteogénesis imperfecta. Protocolos diagnósticos y terapéuticos en Pediatría, 2, 349-359. </w:t>
      </w:r>
      <w:r>
        <w:rPr>
          <w:rFonts w:ascii="Arial" w:eastAsia="Arial" w:hAnsi="Arial" w:cs="Arial"/>
          <w:color w:val="000000"/>
        </w:rPr>
        <w:t xml:space="preserve">Available in: </w:t>
      </w:r>
      <w:hyperlink r:id="rId22">
        <w:r w:rsidR="00330014">
          <w:rPr>
            <w:rFonts w:ascii="Arial" w:eastAsia="Arial" w:hAnsi="Arial" w:cs="Arial"/>
            <w:color w:val="FF0080"/>
            <w:u w:val="single"/>
          </w:rPr>
          <w:t>https://www.aeped.es/sites/default/files/documentos/30_osteogenesis_imp.pdf</w:t>
        </w:r>
      </w:hyperlink>
      <w:r>
        <w:rPr>
          <w:rFonts w:ascii="Arial" w:eastAsia="Arial" w:hAnsi="Arial" w:cs="Arial"/>
          <w:color w:val="000000"/>
        </w:rPr>
        <w:t xml:space="preserve"> </w:t>
      </w:r>
    </w:p>
    <w:p w14:paraId="0D7EC5E9" w14:textId="77777777" w:rsidR="00330014" w:rsidRDefault="001B5E43">
      <w:pPr>
        <w:pBdr>
          <w:top w:val="nil"/>
          <w:left w:val="nil"/>
          <w:bottom w:val="nil"/>
          <w:right w:val="nil"/>
          <w:between w:val="nil"/>
        </w:pBdr>
        <w:spacing w:after="240"/>
        <w:jc w:val="both"/>
        <w:rPr>
          <w:rFonts w:ascii="Arial" w:eastAsia="Arial" w:hAnsi="Arial" w:cs="Arial"/>
          <w:color w:val="000000"/>
        </w:rPr>
      </w:pPr>
      <w:bookmarkStart w:id="10" w:name="_heading=h.1v2xhh2lmm8c" w:colFirst="0" w:colLast="0"/>
      <w:bookmarkEnd w:id="10"/>
      <w:r w:rsidRPr="0009415C">
        <w:rPr>
          <w:rFonts w:ascii="Arial" w:eastAsia="Arial" w:hAnsi="Arial" w:cs="Arial"/>
          <w:color w:val="000000"/>
          <w:lang w:val="es-MX"/>
        </w:rPr>
        <w:t xml:space="preserve">Van Dijk, F.S., &amp; </w:t>
      </w:r>
      <w:proofErr w:type="spellStart"/>
      <w:r w:rsidRPr="0009415C">
        <w:rPr>
          <w:rFonts w:ascii="Arial" w:eastAsia="Arial" w:hAnsi="Arial" w:cs="Arial"/>
          <w:color w:val="000000"/>
          <w:lang w:val="es-MX"/>
        </w:rPr>
        <w:t>Sillence</w:t>
      </w:r>
      <w:proofErr w:type="spellEnd"/>
      <w:r w:rsidRPr="0009415C">
        <w:rPr>
          <w:rFonts w:ascii="Arial" w:eastAsia="Arial" w:hAnsi="Arial" w:cs="Arial"/>
          <w:color w:val="000000"/>
          <w:lang w:val="es-MX"/>
        </w:rPr>
        <w:t xml:space="preserve">, D.O. (2014). </w:t>
      </w:r>
      <w:r>
        <w:rPr>
          <w:rFonts w:ascii="Arial" w:eastAsia="Arial" w:hAnsi="Arial" w:cs="Arial"/>
          <w:color w:val="000000"/>
        </w:rPr>
        <w:t xml:space="preserve">Osteogenesis imperfecta: clinical diagnosis, nomenclature and severity assessment. Am J Med Genet, 164(6), 1470–1481. DOI: </w:t>
      </w:r>
      <w:hyperlink r:id="rId23">
        <w:r w:rsidR="00330014">
          <w:rPr>
            <w:rFonts w:ascii="Arial" w:eastAsia="Arial" w:hAnsi="Arial" w:cs="Arial"/>
            <w:color w:val="FF0080"/>
            <w:u w:val="single"/>
          </w:rPr>
          <w:t>https://doi.org/10.1002/ajmg.a.36545</w:t>
        </w:r>
      </w:hyperlink>
      <w:r>
        <w:rPr>
          <w:rFonts w:ascii="Arial" w:eastAsia="Arial" w:hAnsi="Arial" w:cs="Arial"/>
          <w:color w:val="000000"/>
        </w:rPr>
        <w:t xml:space="preserve">, </w:t>
      </w:r>
    </w:p>
    <w:p w14:paraId="537B212F" w14:textId="77777777" w:rsidR="00330014" w:rsidRDefault="001B5E43">
      <w:pPr>
        <w:pBdr>
          <w:top w:val="nil"/>
          <w:left w:val="nil"/>
          <w:bottom w:val="nil"/>
          <w:right w:val="nil"/>
          <w:between w:val="nil"/>
        </w:pBdr>
        <w:spacing w:after="240"/>
        <w:jc w:val="both"/>
        <w:rPr>
          <w:rFonts w:ascii="Arial" w:eastAsia="Arial" w:hAnsi="Arial" w:cs="Arial"/>
          <w:color w:val="000000"/>
        </w:rPr>
      </w:pPr>
      <w:bookmarkStart w:id="11" w:name="_heading=h.z4zniv9k13ee" w:colFirst="0" w:colLast="0"/>
      <w:bookmarkEnd w:id="11"/>
      <w:proofErr w:type="spellStart"/>
      <w:r w:rsidRPr="0009415C">
        <w:rPr>
          <w:rFonts w:ascii="Arial" w:eastAsia="Arial" w:hAnsi="Arial" w:cs="Arial"/>
          <w:color w:val="000000"/>
          <w:lang w:val="es-MX"/>
        </w:rPr>
        <w:t>Veilleux</w:t>
      </w:r>
      <w:proofErr w:type="spellEnd"/>
      <w:r w:rsidRPr="0009415C">
        <w:rPr>
          <w:rFonts w:ascii="Arial" w:eastAsia="Arial" w:hAnsi="Arial" w:cs="Arial"/>
          <w:color w:val="000000"/>
          <w:lang w:val="es-MX"/>
        </w:rPr>
        <w:t xml:space="preserve">, L.N., Trejo, P., &amp; Rauch, F. (2017). </w:t>
      </w:r>
      <w:r>
        <w:rPr>
          <w:rFonts w:ascii="Arial" w:eastAsia="Arial" w:hAnsi="Arial" w:cs="Arial"/>
          <w:color w:val="000000"/>
        </w:rPr>
        <w:t xml:space="preserve">Muscle abnormalities in osteogenesis imperfecta. J </w:t>
      </w:r>
      <w:proofErr w:type="spellStart"/>
      <w:r>
        <w:rPr>
          <w:rFonts w:ascii="Arial" w:eastAsia="Arial" w:hAnsi="Arial" w:cs="Arial"/>
          <w:color w:val="000000"/>
        </w:rPr>
        <w:t>Musculoskelet</w:t>
      </w:r>
      <w:proofErr w:type="spellEnd"/>
      <w:r>
        <w:rPr>
          <w:rFonts w:ascii="Arial" w:eastAsia="Arial" w:hAnsi="Arial" w:cs="Arial"/>
          <w:color w:val="000000"/>
        </w:rPr>
        <w:t xml:space="preserve"> Neuronal Interact, 17(2): 1-7. Available in: </w:t>
      </w:r>
      <w:hyperlink r:id="rId24">
        <w:r w:rsidR="00330014">
          <w:rPr>
            <w:rFonts w:ascii="Arial" w:eastAsia="Arial" w:hAnsi="Arial" w:cs="Arial"/>
            <w:color w:val="FF0080"/>
            <w:u w:val="single"/>
          </w:rPr>
          <w:t>https://pmc.ncbi.nlm.nih.gov/articles/PMC5492314/</w:t>
        </w:r>
      </w:hyperlink>
      <w:r>
        <w:rPr>
          <w:rFonts w:ascii="Arial" w:eastAsia="Arial" w:hAnsi="Arial" w:cs="Arial"/>
          <w:color w:val="000000"/>
        </w:rPr>
        <w:t xml:space="preserve"> </w:t>
      </w:r>
    </w:p>
    <w:p w14:paraId="35B4E1FD"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Widmann, R.F., Bitan, F.D., </w:t>
      </w:r>
      <w:proofErr w:type="spellStart"/>
      <w:r>
        <w:rPr>
          <w:rFonts w:ascii="Arial" w:eastAsia="Arial" w:hAnsi="Arial" w:cs="Arial"/>
          <w:color w:val="000000"/>
        </w:rPr>
        <w:t>Laplaza</w:t>
      </w:r>
      <w:proofErr w:type="spellEnd"/>
      <w:r>
        <w:rPr>
          <w:rFonts w:ascii="Arial" w:eastAsia="Arial" w:hAnsi="Arial" w:cs="Arial"/>
          <w:color w:val="000000"/>
        </w:rPr>
        <w:t xml:space="preserve">, F.J., Burke, S.W., DiMaio, M.F., &amp; Schneider, R. (1999). Spinal deformity, pulmonary compromise, and quality of life in osteogenesis imperfecta, Spine, 24: 1673–1678. DOI: </w:t>
      </w:r>
      <w:hyperlink r:id="rId25">
        <w:r w:rsidR="00330014">
          <w:rPr>
            <w:rFonts w:ascii="Arial" w:eastAsia="Arial" w:hAnsi="Arial" w:cs="Arial"/>
            <w:color w:val="FF0080"/>
            <w:u w:val="single"/>
          </w:rPr>
          <w:t>https://doi.org/10.1097/00007632-199908150-00008</w:t>
        </w:r>
      </w:hyperlink>
      <w:r>
        <w:rPr>
          <w:rFonts w:ascii="Arial" w:eastAsia="Arial" w:hAnsi="Arial" w:cs="Arial"/>
          <w:color w:val="000000"/>
        </w:rPr>
        <w:t xml:space="preserve">. </w:t>
      </w:r>
    </w:p>
    <w:p w14:paraId="774E7F8C" w14:textId="77777777" w:rsidR="00330014" w:rsidRDefault="001B5E43">
      <w:pPr>
        <w:pBdr>
          <w:top w:val="nil"/>
          <w:left w:val="nil"/>
          <w:bottom w:val="nil"/>
          <w:right w:val="nil"/>
          <w:between w:val="nil"/>
        </w:pBdr>
        <w:jc w:val="both"/>
        <w:rPr>
          <w:rFonts w:ascii="Arial" w:eastAsia="Arial" w:hAnsi="Arial" w:cs="Arial"/>
          <w:color w:val="000000"/>
        </w:rPr>
      </w:pPr>
      <w:bookmarkStart w:id="12" w:name="_heading=h.kyjbztv5l2qv" w:colFirst="0" w:colLast="0"/>
      <w:bookmarkEnd w:id="12"/>
      <w:proofErr w:type="spellStart"/>
      <w:r>
        <w:rPr>
          <w:rFonts w:ascii="Arial" w:eastAsia="Arial" w:hAnsi="Arial" w:cs="Arial"/>
          <w:color w:val="000000"/>
        </w:rPr>
        <w:t>Zhytnik</w:t>
      </w:r>
      <w:proofErr w:type="spellEnd"/>
      <w:r>
        <w:rPr>
          <w:rFonts w:ascii="Arial" w:eastAsia="Arial" w:hAnsi="Arial" w:cs="Arial"/>
          <w:color w:val="000000"/>
        </w:rPr>
        <w:t xml:space="preserve">, L., Simm, K., </w:t>
      </w:r>
      <w:proofErr w:type="spellStart"/>
      <w:r>
        <w:rPr>
          <w:rFonts w:ascii="Arial" w:eastAsia="Arial" w:hAnsi="Arial" w:cs="Arial"/>
          <w:color w:val="000000"/>
        </w:rPr>
        <w:t>Salumets</w:t>
      </w:r>
      <w:proofErr w:type="spellEnd"/>
      <w:r>
        <w:rPr>
          <w:rFonts w:ascii="Arial" w:eastAsia="Arial" w:hAnsi="Arial" w:cs="Arial"/>
          <w:color w:val="000000"/>
        </w:rPr>
        <w:t xml:space="preserve">, A., Peters, M., Märtson, A., &amp; </w:t>
      </w:r>
      <w:proofErr w:type="spellStart"/>
      <w:r>
        <w:rPr>
          <w:rFonts w:ascii="Arial" w:eastAsia="Arial" w:hAnsi="Arial" w:cs="Arial"/>
          <w:color w:val="000000"/>
        </w:rPr>
        <w:t>Maasalu</w:t>
      </w:r>
      <w:proofErr w:type="spellEnd"/>
      <w:r>
        <w:rPr>
          <w:rFonts w:ascii="Arial" w:eastAsia="Arial" w:hAnsi="Arial" w:cs="Arial"/>
          <w:color w:val="000000"/>
        </w:rPr>
        <w:t xml:space="preserve">, K. (2020). Reproductive options for families at risk of Osteogenesis Imperfecta: a review. </w:t>
      </w:r>
      <w:proofErr w:type="spellStart"/>
      <w:r>
        <w:rPr>
          <w:rFonts w:ascii="Arial" w:eastAsia="Arial" w:hAnsi="Arial" w:cs="Arial"/>
          <w:color w:val="000000"/>
        </w:rPr>
        <w:t>Orphanet</w:t>
      </w:r>
      <w:proofErr w:type="spellEnd"/>
      <w:r>
        <w:rPr>
          <w:rFonts w:ascii="Arial" w:eastAsia="Arial" w:hAnsi="Arial" w:cs="Arial"/>
          <w:color w:val="000000"/>
        </w:rPr>
        <w:t xml:space="preserve"> J Rare Dis 15, 128. DOI: https://doi.org/10.1186/s13023-020-01404-w</w:t>
      </w:r>
    </w:p>
    <w:p w14:paraId="1980197E" w14:textId="77777777" w:rsidR="00330014" w:rsidRDefault="00330014">
      <w:pPr>
        <w:pBdr>
          <w:top w:val="nil"/>
          <w:left w:val="nil"/>
          <w:bottom w:val="nil"/>
          <w:right w:val="nil"/>
          <w:between w:val="nil"/>
        </w:pBdr>
        <w:jc w:val="both"/>
        <w:rPr>
          <w:rFonts w:ascii="Arial" w:eastAsia="Arial" w:hAnsi="Arial" w:cs="Arial"/>
          <w:color w:val="000000"/>
        </w:rPr>
      </w:pPr>
    </w:p>
    <w:sectPr w:rsidR="00330014" w:rsidSect="00447ACD">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204AC7" w14:textId="77777777" w:rsidR="00FC6BE6" w:rsidRDefault="00FC6BE6">
      <w:r>
        <w:separator/>
      </w:r>
    </w:p>
  </w:endnote>
  <w:endnote w:type="continuationSeparator" w:id="0">
    <w:p w14:paraId="7F5DDA42" w14:textId="77777777" w:rsidR="00FC6BE6" w:rsidRDefault="00FC6B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altName w:val="Arial"/>
    <w:charset w:val="00"/>
    <w:family w:val="auto"/>
    <w:pitch w:val="default"/>
    <w:embedRegular r:id="rId1" w:fontKey="{7DF0AB17-CA18-41E5-916C-CB9388367C4E}"/>
    <w:embedBold r:id="rId2" w:fontKey="{31EAAFA4-6903-4867-B733-961500595B4E}"/>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fontKey="{32FDD3DD-3AF9-46F6-9A17-F50E8B7FBCE7}"/>
    <w:embedBold r:id="rId4" w:fontKey="{74686534-2B8A-4F40-81A8-8A6037CED163}"/>
  </w:font>
  <w:font w:name="Helvetica">
    <w:panose1 w:val="020B0604020202020204"/>
    <w:charset w:val="00"/>
    <w:family w:val="swiss"/>
    <w:pitch w:val="variable"/>
    <w:sig w:usb0="E0002EFF" w:usb1="C000785B" w:usb2="00000009" w:usb3="00000000" w:csb0="000001FF" w:csb1="00000000"/>
    <w:embedRegular r:id="rId5" w:fontKey="{06B406C1-0385-4A94-B146-576BE820B4A7}"/>
  </w:font>
  <w:font w:name="Tahoma">
    <w:panose1 w:val="020B0604030504040204"/>
    <w:charset w:val="00"/>
    <w:family w:val="swiss"/>
    <w:pitch w:val="variable"/>
    <w:sig w:usb0="E1002EFF" w:usb1="C000605B" w:usb2="00000029" w:usb3="00000000" w:csb0="000101FF" w:csb1="00000000"/>
    <w:embedRegular r:id="rId6" w:fontKey="{6B587F70-5B4F-493F-8B28-1BB2F5C8138E}"/>
  </w:font>
  <w:font w:name="Georgia">
    <w:panose1 w:val="02040502050405020303"/>
    <w:charset w:val="00"/>
    <w:family w:val="roman"/>
    <w:pitch w:val="variable"/>
    <w:sig w:usb0="00000287" w:usb1="00000000" w:usb2="00000000" w:usb3="00000000" w:csb0="0000009F" w:csb1="00000000"/>
    <w:embedRegular r:id="rId7" w:fontKey="{FCF5E1F4-5D5B-4536-9D36-A808FC26D5C6}"/>
    <w:embedItalic r:id="rId8" w:fontKey="{43F17C1C-1504-4454-92CC-A97B6FD2DD91}"/>
  </w:font>
  <w:font w:name="Cambria">
    <w:panose1 w:val="02040503050406030204"/>
    <w:charset w:val="00"/>
    <w:family w:val="roman"/>
    <w:pitch w:val="variable"/>
    <w:sig w:usb0="E00006FF" w:usb1="420024FF" w:usb2="02000000" w:usb3="00000000" w:csb0="0000019F" w:csb1="00000000"/>
    <w:embedRegular r:id="rId9" w:fontKey="{8E6BD5F4-5639-4768-BED9-7CE849DBE8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93929" w14:textId="77777777" w:rsidR="00447ACD" w:rsidRDefault="00447AC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B126A" w14:textId="77777777" w:rsidR="00447ACD" w:rsidRDefault="00447AC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FA83F" w14:textId="1D101F0B" w:rsidR="00330014" w:rsidRPr="00447ACD" w:rsidRDefault="00330014" w:rsidP="00447AC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7B2AF8" w14:textId="77777777" w:rsidR="00FC6BE6" w:rsidRDefault="00FC6BE6">
      <w:r>
        <w:separator/>
      </w:r>
    </w:p>
  </w:footnote>
  <w:footnote w:type="continuationSeparator" w:id="0">
    <w:p w14:paraId="1827B7A3" w14:textId="77777777" w:rsidR="00FC6BE6" w:rsidRDefault="00FC6B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B3CEE" w14:textId="7CE7B7B7" w:rsidR="00447ACD" w:rsidRDefault="00000000">
    <w:pPr>
      <w:pStyle w:val="Encabezado"/>
    </w:pPr>
    <w:r>
      <w:rPr>
        <w:noProof/>
      </w:rPr>
      <w:pict w14:anchorId="664194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5550032"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7E90E" w14:textId="051EB127" w:rsidR="00447ACD" w:rsidRDefault="00000000">
    <w:pPr>
      <w:pStyle w:val="Encabezado"/>
    </w:pPr>
    <w:r>
      <w:rPr>
        <w:noProof/>
      </w:rPr>
      <w:pict w14:anchorId="6DAF9C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5550033"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DE816" w14:textId="49979FFA" w:rsidR="00330014" w:rsidRDefault="00000000">
    <w:pPr>
      <w:ind w:left="2160"/>
      <w:jc w:val="center"/>
      <w:rPr>
        <w:rFonts w:ascii="Times New Roman" w:eastAsia="Times New Roman" w:hAnsi="Times New Roman" w:cs="Times New Roman"/>
        <w:i/>
        <w:sz w:val="18"/>
        <w:szCs w:val="18"/>
      </w:rPr>
    </w:pPr>
    <w:r>
      <w:rPr>
        <w:noProof/>
      </w:rPr>
      <w:pict w14:anchorId="2CC2D5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5550031"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p w14:paraId="7B1D649D" w14:textId="77777777" w:rsidR="00330014" w:rsidRDefault="001B5E43">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31A9C5F6" w14:textId="77777777" w:rsidR="00330014" w:rsidRDefault="001B5E43">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591C29A2" w14:textId="77777777" w:rsidR="00330014" w:rsidRDefault="001B5E43">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28761FB1" w14:textId="77777777" w:rsidR="00330014" w:rsidRDefault="001B5E43">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56AA9C18" w14:textId="77777777" w:rsidR="00330014" w:rsidRDefault="001B5E43">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6A3339E8" w14:textId="77777777" w:rsidR="00330014" w:rsidRDefault="001B5E43">
    <w:pPr>
      <w:pBdr>
        <w:top w:val="nil"/>
        <w:left w:val="nil"/>
        <w:bottom w:val="nil"/>
        <w:right w:val="nil"/>
        <w:between w:val="nil"/>
      </w:pBdr>
      <w:tabs>
        <w:tab w:val="center" w:pos="4320"/>
        <w:tab w:val="right" w:pos="8640"/>
      </w:tabs>
      <w:rPr>
        <w:color w:val="000000"/>
      </w:rPr>
    </w:pPr>
    <w:r>
      <w:rPr>
        <w:color w:val="00000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3E3EFE"/>
    <w:multiLevelType w:val="multilevel"/>
    <w:tmpl w:val="1C5ECB18"/>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3768125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0014"/>
    <w:rsid w:val="000018D7"/>
    <w:rsid w:val="00072699"/>
    <w:rsid w:val="0009415C"/>
    <w:rsid w:val="001667F8"/>
    <w:rsid w:val="001B5E43"/>
    <w:rsid w:val="00330014"/>
    <w:rsid w:val="00447ACD"/>
    <w:rsid w:val="00576BD9"/>
    <w:rsid w:val="00621FD9"/>
    <w:rsid w:val="00671ABD"/>
    <w:rsid w:val="006C6091"/>
    <w:rsid w:val="00722E99"/>
    <w:rsid w:val="008225AE"/>
    <w:rsid w:val="009B491E"/>
    <w:rsid w:val="00A31B2C"/>
    <w:rsid w:val="00A9325F"/>
    <w:rsid w:val="00A953FF"/>
    <w:rsid w:val="00B1250D"/>
    <w:rsid w:val="00BB2C90"/>
    <w:rsid w:val="00C52D61"/>
    <w:rsid w:val="00FC6BE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882DCB"/>
  <w15:docId w15:val="{3940207C-993E-46CC-A99F-46212F0C5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lang w:val="en"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360"/>
      <w:jc w:val="right"/>
    </w:pPr>
    <w:rPr>
      <w:b/>
      <w:sz w:val="36"/>
      <w:szCs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Piedepgina">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Encabezado">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Firma">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Fuentedeprrafopredeter"/>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ipervnculo">
    <w:name w:val="Hyperlink"/>
    <w:basedOn w:val="Fuentedeprrafopredeter"/>
    <w:rsid w:val="00030174"/>
    <w:rPr>
      <w:color w:val="FF0080"/>
      <w:u w:val="single"/>
    </w:rPr>
  </w:style>
  <w:style w:type="character" w:styleId="Hipervnculovisitado">
    <w:name w:val="FollowedHyperlink"/>
    <w:basedOn w:val="Fuentedeprrafopredeter"/>
    <w:rsid w:val="00FB3A86"/>
    <w:rPr>
      <w:color w:val="800080"/>
      <w:u w:val="single"/>
    </w:rPr>
  </w:style>
  <w:style w:type="table" w:styleId="Tablaconcuadrcula">
    <w:name w:val="Table Grid"/>
    <w:basedOn w:val="Tabla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2">
    <w:name w:val="Body Text 2"/>
    <w:basedOn w:val="Normal"/>
    <w:link w:val="Textoindependiente2Car"/>
    <w:rsid w:val="00EF7FD8"/>
    <w:pPr>
      <w:spacing w:after="120" w:line="480" w:lineRule="auto"/>
    </w:pPr>
  </w:style>
  <w:style w:type="character" w:customStyle="1" w:styleId="Textoindependiente2Car">
    <w:name w:val="Texto independiente 2 Car"/>
    <w:basedOn w:val="Fuentedeprrafopredeter"/>
    <w:link w:val="Textoindependiente2"/>
    <w:rsid w:val="00EF7FD8"/>
    <w:rPr>
      <w:rFonts w:ascii="Helvetica" w:hAnsi="Helvetica"/>
    </w:rPr>
  </w:style>
  <w:style w:type="character" w:styleId="Refdecomentario">
    <w:name w:val="annotation reference"/>
    <w:basedOn w:val="Fuentedeprrafopredeter"/>
    <w:uiPriority w:val="99"/>
    <w:unhideWhenUsed/>
    <w:rsid w:val="00746E59"/>
    <w:rPr>
      <w:sz w:val="16"/>
      <w:szCs w:val="16"/>
    </w:rPr>
  </w:style>
  <w:style w:type="paragraph" w:styleId="Textocomentario">
    <w:name w:val="annotation text"/>
    <w:basedOn w:val="Normal"/>
    <w:link w:val="TextocomentarioCar"/>
    <w:uiPriority w:val="99"/>
    <w:unhideWhenUsed/>
    <w:rsid w:val="00746E59"/>
    <w:rPr>
      <w:rFonts w:ascii="Times New Roman" w:hAnsi="Times New Roman"/>
      <w:lang w:val="nb-NO" w:eastAsia="nb-NO"/>
    </w:rPr>
  </w:style>
  <w:style w:type="character" w:customStyle="1" w:styleId="TextocomentarioCar">
    <w:name w:val="Texto comentario Car"/>
    <w:basedOn w:val="Fuentedeprrafopredeter"/>
    <w:link w:val="Textocomentario"/>
    <w:uiPriority w:val="99"/>
    <w:rsid w:val="00746E59"/>
    <w:rPr>
      <w:lang w:val="nb-NO" w:eastAsia="nb-NO"/>
    </w:rPr>
  </w:style>
  <w:style w:type="paragraph" w:styleId="Textodeglobo">
    <w:name w:val="Balloon Text"/>
    <w:basedOn w:val="Normal"/>
    <w:link w:val="TextodegloboCar"/>
    <w:rsid w:val="00746E59"/>
    <w:rPr>
      <w:rFonts w:ascii="Tahoma" w:hAnsi="Tahoma" w:cs="Tahoma"/>
      <w:sz w:val="16"/>
      <w:szCs w:val="16"/>
    </w:rPr>
  </w:style>
  <w:style w:type="character" w:customStyle="1" w:styleId="TextodegloboCar">
    <w:name w:val="Texto de globo Car"/>
    <w:basedOn w:val="Fuentedeprrafopredeter"/>
    <w:link w:val="Textodeglobo"/>
    <w:rsid w:val="00746E59"/>
    <w:rPr>
      <w:rFonts w:ascii="Tahoma" w:hAnsi="Tahoma" w:cs="Tahoma"/>
      <w:sz w:val="16"/>
      <w:szCs w:val="16"/>
    </w:rPr>
  </w:style>
  <w:style w:type="paragraph" w:styleId="Textoindependiente3">
    <w:name w:val="Body Text 3"/>
    <w:basedOn w:val="Normal"/>
    <w:link w:val="Textoindependiente3Car"/>
    <w:rsid w:val="00231920"/>
    <w:pPr>
      <w:spacing w:after="120"/>
    </w:pPr>
    <w:rPr>
      <w:sz w:val="16"/>
      <w:szCs w:val="16"/>
    </w:rPr>
  </w:style>
  <w:style w:type="character" w:customStyle="1" w:styleId="Textoindependiente3Car">
    <w:name w:val="Texto independiente 3 Car"/>
    <w:basedOn w:val="Fuentedeprrafopredeter"/>
    <w:link w:val="Textoindependiente3"/>
    <w:rsid w:val="00231920"/>
    <w:rPr>
      <w:rFonts w:ascii="Helvetica" w:hAnsi="Helvetica"/>
      <w:sz w:val="16"/>
      <w:szCs w:val="16"/>
    </w:rPr>
  </w:style>
  <w:style w:type="character" w:styleId="Nmerodelnea">
    <w:name w:val="line number"/>
    <w:basedOn w:val="Fuentedeprrafopredeter"/>
    <w:rsid w:val="00412475"/>
  </w:style>
  <w:style w:type="character" w:styleId="nfasis">
    <w:name w:val="Emphasis"/>
    <w:basedOn w:val="Fuentedeprrafopredeter"/>
    <w:uiPriority w:val="20"/>
    <w:qFormat/>
    <w:rsid w:val="0024282C"/>
    <w:rPr>
      <w:i/>
      <w:iCs/>
    </w:rPr>
  </w:style>
  <w:style w:type="character" w:styleId="Mencinsinresolver">
    <w:name w:val="Unresolved Mention"/>
    <w:basedOn w:val="Fuentedeprrafopredeter"/>
    <w:uiPriority w:val="99"/>
    <w:semiHidden/>
    <w:unhideWhenUsed/>
    <w:rsid w:val="00287E68"/>
    <w:rPr>
      <w:color w:val="605E5C"/>
      <w:shd w:val="clear" w:color="auto" w:fill="E1DFDD"/>
    </w:rPr>
  </w:style>
  <w:style w:type="paragraph" w:styleId="NormalWeb">
    <w:name w:val="Normal (Web)"/>
    <w:basedOn w:val="Normal"/>
    <w:uiPriority w:val="99"/>
    <w:semiHidden/>
    <w:unhideWhenUsed/>
    <w:rsid w:val="00C67D3A"/>
    <w:pPr>
      <w:spacing w:before="100" w:beforeAutospacing="1" w:after="100" w:afterAutospacing="1"/>
    </w:pPr>
    <w:rPr>
      <w:rFonts w:ascii="Times New Roman" w:hAnsi="Times New Roman"/>
      <w:sz w:val="24"/>
      <w:szCs w:val="24"/>
      <w:lang w:val="es-MX"/>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oi.org/10.1016/S0140-6736(15)00728-X"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i.org/10.3389/fped.2025.1475545"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g"/><Relationship Id="rId25" Type="http://schemas.openxmlformats.org/officeDocument/2006/relationships/hyperlink" Target="https://doi.org/10.1097/00007632-199908150-00008" TargetMode="Externa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hyperlink" Target="https://doi.org/10.1530/EJE-20-029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pmc.ncbi.nlm.nih.gov/articles/PMC5492314/" TargetMode="External"/><Relationship Id="rId5" Type="http://schemas.openxmlformats.org/officeDocument/2006/relationships/webSettings" Target="webSettings.xml"/><Relationship Id="rId15" Type="http://schemas.openxmlformats.org/officeDocument/2006/relationships/image" Target="media/image1.jpg"/><Relationship Id="rId23" Type="http://schemas.openxmlformats.org/officeDocument/2006/relationships/hyperlink" Target="https://doi.org/10.1002/ajmg.a.36545" TargetMode="External"/><Relationship Id="rId10" Type="http://schemas.openxmlformats.org/officeDocument/2006/relationships/footer" Target="footer1.xml"/><Relationship Id="rId19" Type="http://schemas.openxmlformats.org/officeDocument/2006/relationships/hyperlink" Target="https://doi.org/10.1038/nrdp.2017.52"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hyperlink" Target="https://www.aeped.es/sites/default/files/documentos/30_osteogenesis_imp.pdf"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ntyqbHrIW+hdrcvda5VqDb+U1w==">CgMxLjAyDmgueTd2Y3Myb2swYTY5Mg5oLjRydGppbXhpOWw5YzIOaC5nZmNxMTVtODIxM2YyDmgueG5yc3M5M2ZnOXU1Mg5oLmt4cWxhZ3BkZHRkbjIOaC5iaGR6dGp2ZnJqdDIyDmguMXYyeGhoMmxtbThjMg5oLno0em5pdjlrMTNlZTIOaC5reWpienR2NWwycXY4AHIhMWJZQjNaZW5rSkh2d08xZDktaU1VWldKZ21XNy1IZEs4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10</Pages>
  <Words>4204</Words>
  <Characters>23125</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Nicolas Padilla</cp:lastModifiedBy>
  <cp:revision>3</cp:revision>
  <dcterms:created xsi:type="dcterms:W3CDTF">2025-10-06T13:00:00Z</dcterms:created>
  <dcterms:modified xsi:type="dcterms:W3CDTF">2025-10-06T17:14:00Z</dcterms:modified>
</cp:coreProperties>
</file>