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66EC1">
      <w:pPr>
        <w:pStyle w:val="20"/>
        <w:spacing w:after="0"/>
        <w:jc w:val="both"/>
        <w:rPr>
          <w:rFonts w:ascii="Arial" w:hAnsi="Arial" w:cs="Arial"/>
        </w:rPr>
      </w:pPr>
      <w:r>
        <w:rPr>
          <w:rFonts w:ascii="Arial" w:hAnsi="Arial" w:cs="Arial"/>
        </w:rPr>
        <w:t>Original Research Article</w:t>
      </w:r>
    </w:p>
    <w:p w14:paraId="09F5D0DB">
      <w:pPr>
        <w:pStyle w:val="20"/>
        <w:spacing w:after="0"/>
        <w:jc w:val="both"/>
        <w:rPr>
          <w:rFonts w:ascii="Arial" w:hAnsi="Arial" w:cs="Arial"/>
        </w:rPr>
      </w:pPr>
    </w:p>
    <w:p w14:paraId="1F83A95F">
      <w:pPr>
        <w:pStyle w:val="21"/>
        <w:spacing w:line="240" w:lineRule="auto"/>
        <w:rPr>
          <w:rFonts w:ascii="Arial" w:hAnsi="Arial" w:cs="Arial"/>
          <w:bCs/>
          <w:iCs/>
          <w:kern w:val="28"/>
          <w:sz w:val="36"/>
        </w:rPr>
      </w:pPr>
      <w:r>
        <w:rPr>
          <w:rFonts w:ascii="Arial" w:hAnsi="Arial" w:cs="Arial"/>
          <w:bCs/>
          <w:sz w:val="36"/>
          <w:szCs w:val="36"/>
        </w:rPr>
        <w:t>DETERMINE THE RISK FACTORS ASSOCIATED WITH NEONATAL SEPSIS AMONG NEONATES IN THE NEWBORN UNIT AT MANDERA COUNTY</w:t>
      </w:r>
      <w:r>
        <w:rPr>
          <w:rFonts w:ascii="Arial" w:hAnsi="Arial" w:cs="Arial"/>
          <w:bCs/>
          <w:spacing w:val="-1"/>
          <w:sz w:val="36"/>
          <w:szCs w:val="36"/>
        </w:rPr>
        <w:t xml:space="preserve"> </w:t>
      </w:r>
      <w:r>
        <w:rPr>
          <w:rFonts w:ascii="Arial" w:hAnsi="Arial" w:cs="Arial"/>
          <w:bCs/>
          <w:sz w:val="36"/>
          <w:szCs w:val="36"/>
        </w:rPr>
        <w:t>REFERRAL HOSPITAL, MANDERA COUNTY</w:t>
      </w:r>
    </w:p>
    <w:p w14:paraId="19057163">
      <w:pPr>
        <w:pStyle w:val="21"/>
        <w:spacing w:line="240" w:lineRule="auto"/>
        <w:jc w:val="both"/>
        <w:rPr>
          <w:rFonts w:ascii="Arial" w:hAnsi="Arial" w:cs="Arial"/>
          <w:sz w:val="36"/>
        </w:rPr>
      </w:pPr>
    </w:p>
    <w:p w14:paraId="336E1D32">
      <w:pPr>
        <w:pStyle w:val="22"/>
        <w:spacing w:after="0" w:line="240" w:lineRule="auto"/>
        <w:jc w:val="both"/>
        <w:rPr>
          <w:rFonts w:ascii="Arial" w:hAnsi="Arial" w:cs="Arial"/>
        </w:rPr>
      </w:pPr>
    </w:p>
    <w:p w14:paraId="2262DFF5">
      <w:pPr>
        <w:pStyle w:val="22"/>
        <w:spacing w:after="0" w:line="240" w:lineRule="auto"/>
        <w:jc w:val="both"/>
        <w:rPr>
          <w:rFonts w:ascii="Arial" w:hAnsi="Arial" w:cs="Arial"/>
        </w:rPr>
      </w:pPr>
    </w:p>
    <w:p w14:paraId="463676D8">
      <w:pPr>
        <w:pStyle w:val="33"/>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327A2931">
      <w:pPr>
        <w:pStyle w:val="24"/>
        <w:spacing w:after="0"/>
        <w:jc w:val="both"/>
        <w:rPr>
          <w:rFonts w:ascii="Arial" w:hAnsi="Arial" w:cs="Arial"/>
        </w:rPr>
      </w:pPr>
      <w:r>
        <w:rPr>
          <w:rFonts w:ascii="Arial" w:hAnsi="Arial" w:cs="Arial"/>
        </w:rPr>
        <w:t xml:space="preserve">ABSTRACT </w:t>
      </w:r>
    </w:p>
    <w:p w14:paraId="138B05C9">
      <w:pPr>
        <w:pStyle w:val="24"/>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6DBB5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5769A059">
            <w:pPr>
              <w:pStyle w:val="23"/>
              <w:spacing w:after="0"/>
              <w:rPr>
                <w:rFonts w:ascii="Arial" w:hAnsi="Arial" w:eastAsia="Calibri" w:cs="Arial"/>
                <w:szCs w:val="22"/>
              </w:rPr>
            </w:pPr>
          </w:p>
          <w:p w14:paraId="0A39563E">
            <w:pPr>
              <w:pStyle w:val="23"/>
              <w:spacing w:after="0"/>
              <w:rPr>
                <w:rFonts w:ascii="Arial" w:hAnsi="Arial" w:eastAsia="Calibri" w:cs="Arial"/>
                <w:b/>
                <w:szCs w:val="22"/>
              </w:rPr>
            </w:pPr>
          </w:p>
          <w:p w14:paraId="54AE4F2E">
            <w:pPr>
              <w:pStyle w:val="23"/>
              <w:spacing w:after="0"/>
              <w:rPr>
                <w:rFonts w:ascii="Arial" w:hAnsi="Arial" w:eastAsia="Calibri"/>
                <w:szCs w:val="22"/>
              </w:rPr>
            </w:pPr>
            <w:r>
              <w:rPr>
                <w:rFonts w:ascii="Arial" w:hAnsi="Arial" w:eastAsia="Calibri" w:cs="Arial"/>
                <w:b/>
                <w:szCs w:val="22"/>
              </w:rPr>
              <w:t xml:space="preserve">Aims: </w:t>
            </w:r>
            <w:r>
              <w:rPr>
                <w:rFonts w:hint="default" w:ascii="Arial" w:hAnsi="Arial" w:eastAsia="Calibri" w:cs="Arial"/>
                <w:b/>
                <w:szCs w:val="22"/>
                <w:lang w:val="en-US"/>
              </w:rPr>
              <w:t>I</w:t>
            </w:r>
            <w:r>
              <w:rPr>
                <w:rFonts w:ascii="Arial" w:hAnsi="Arial" w:eastAsia="Calibri"/>
                <w:szCs w:val="22"/>
              </w:rPr>
              <w:t>dentif</w:t>
            </w:r>
            <w:r>
              <w:rPr>
                <w:rFonts w:hint="default" w:ascii="Arial" w:hAnsi="Arial" w:eastAsia="Calibri"/>
                <w:szCs w:val="22"/>
                <w:lang w:val="en-US"/>
              </w:rPr>
              <w:t>ied</w:t>
            </w:r>
            <w:r>
              <w:rPr>
                <w:rFonts w:ascii="Arial" w:hAnsi="Arial" w:eastAsia="Calibri"/>
                <w:szCs w:val="22"/>
              </w:rPr>
              <w:t xml:space="preserve"> neonate-related factors associated with neonatal sepsis and determine</w:t>
            </w:r>
            <w:r>
              <w:rPr>
                <w:rFonts w:hint="default" w:ascii="Arial" w:hAnsi="Arial" w:eastAsia="Calibri"/>
                <w:szCs w:val="22"/>
                <w:lang w:val="en-US"/>
              </w:rPr>
              <w:t>d</w:t>
            </w:r>
            <w:r>
              <w:rPr>
                <w:rFonts w:ascii="Arial" w:hAnsi="Arial" w:eastAsia="Calibri"/>
                <w:szCs w:val="22"/>
              </w:rPr>
              <w:t xml:space="preserve"> knowledge gaps among healthcare providers on neonatal sepsis at Mandera County Referral Hospital.</w:t>
            </w:r>
          </w:p>
          <w:p w14:paraId="3E207C91">
            <w:pPr>
              <w:pStyle w:val="23"/>
              <w:spacing w:after="0"/>
              <w:rPr>
                <w:rFonts w:ascii="Arial" w:hAnsi="Arial" w:eastAsia="Calibri"/>
                <w:szCs w:val="22"/>
              </w:rPr>
            </w:pPr>
          </w:p>
          <w:p w14:paraId="7F578CE1">
            <w:pPr>
              <w:pStyle w:val="23"/>
              <w:spacing w:after="0"/>
              <w:rPr>
                <w:rFonts w:ascii="Arial" w:hAnsi="Arial" w:eastAsia="Calibri"/>
                <w:szCs w:val="22"/>
              </w:rPr>
            </w:pPr>
            <w:r>
              <w:rPr>
                <w:rFonts w:ascii="Arial" w:hAnsi="Arial" w:eastAsia="Calibri" w:cs="Arial"/>
                <w:b/>
                <w:szCs w:val="22"/>
              </w:rPr>
              <w:t>Study design:</w:t>
            </w:r>
            <w:r>
              <w:rPr>
                <w:rFonts w:ascii="Arial" w:hAnsi="Arial" w:eastAsia="Calibri" w:cs="Arial"/>
                <w:szCs w:val="22"/>
              </w:rPr>
              <w:t xml:space="preserve">  </w:t>
            </w:r>
            <w:r>
              <w:rPr>
                <w:rFonts w:ascii="Arial" w:hAnsi="Arial" w:eastAsia="Calibri"/>
                <w:szCs w:val="22"/>
              </w:rPr>
              <w:t>In light of the information presented above, a retrospective study that is both descriptive and analytic in nature</w:t>
            </w:r>
            <w:r>
              <w:rPr>
                <w:rFonts w:hint="default" w:ascii="Arial" w:hAnsi="Arial" w:eastAsia="Calibri"/>
                <w:szCs w:val="22"/>
                <w:lang w:val="en-US"/>
              </w:rPr>
              <w:t xml:space="preserve"> was employed</w:t>
            </w:r>
            <w:r>
              <w:rPr>
                <w:rFonts w:ascii="Arial" w:hAnsi="Arial" w:eastAsia="Calibri"/>
                <w:szCs w:val="22"/>
              </w:rPr>
              <w:t>.</w:t>
            </w:r>
          </w:p>
          <w:p w14:paraId="5CC49B82">
            <w:pPr>
              <w:pStyle w:val="23"/>
              <w:spacing w:after="0"/>
              <w:rPr>
                <w:rFonts w:ascii="Arial" w:hAnsi="Arial" w:eastAsia="Calibri"/>
                <w:szCs w:val="22"/>
              </w:rPr>
            </w:pPr>
            <w:r>
              <w:rPr>
                <w:rFonts w:ascii="Arial" w:hAnsi="Arial" w:eastAsia="Calibri" w:cs="Arial"/>
                <w:b/>
                <w:szCs w:val="22"/>
              </w:rPr>
              <w:t>Place and Duration of Study:</w:t>
            </w:r>
            <w:r>
              <w:rPr>
                <w:rFonts w:ascii="Arial" w:hAnsi="Arial" w:eastAsia="Calibri" w:cs="Arial"/>
                <w:szCs w:val="22"/>
              </w:rPr>
              <w:t xml:space="preserve"> The study </w:t>
            </w:r>
            <w:r>
              <w:rPr>
                <w:rFonts w:ascii="Arial" w:hAnsi="Arial" w:eastAsia="Calibri"/>
                <w:szCs w:val="22"/>
              </w:rPr>
              <w:t>w</w:t>
            </w:r>
            <w:r>
              <w:rPr>
                <w:rFonts w:hint="default" w:ascii="Arial" w:hAnsi="Arial" w:eastAsia="Calibri"/>
                <w:szCs w:val="22"/>
                <w:lang w:val="en-US"/>
              </w:rPr>
              <w:t>as</w:t>
            </w:r>
            <w:r>
              <w:rPr>
                <w:rFonts w:ascii="Arial" w:hAnsi="Arial" w:eastAsia="Calibri"/>
                <w:szCs w:val="22"/>
              </w:rPr>
              <w:t xml:space="preserve"> carried out in the Newborn Unit of the Mandera County Referral Hospital in Mandera County between May 2022 and May 2023 with the goal of identifying risk variables associated with newborn sepsis. </w:t>
            </w:r>
          </w:p>
          <w:p w14:paraId="7D8EA928">
            <w:pPr>
              <w:pStyle w:val="23"/>
              <w:spacing w:after="0"/>
              <w:rPr>
                <w:rFonts w:ascii="Arial" w:hAnsi="Arial" w:eastAsia="Calibri"/>
                <w:szCs w:val="22"/>
              </w:rPr>
            </w:pPr>
          </w:p>
          <w:p w14:paraId="64FC690D">
            <w:pPr>
              <w:pStyle w:val="23"/>
              <w:spacing w:after="0"/>
              <w:rPr>
                <w:rFonts w:ascii="Arial" w:hAnsi="Arial" w:eastAsia="Calibri"/>
                <w:szCs w:val="22"/>
              </w:rPr>
            </w:pPr>
            <w:r>
              <w:rPr>
                <w:rFonts w:ascii="Arial" w:hAnsi="Arial" w:eastAsia="Calibri" w:cs="Arial"/>
                <w:b/>
                <w:bCs/>
                <w:szCs w:val="22"/>
              </w:rPr>
              <w:t>Methodology:</w:t>
            </w:r>
            <w:r>
              <w:rPr>
                <w:rFonts w:ascii="Arial" w:hAnsi="Arial" w:eastAsia="Calibri" w:cs="Arial"/>
                <w:szCs w:val="22"/>
              </w:rPr>
              <w:t xml:space="preserve"> </w:t>
            </w:r>
            <w:r>
              <w:rPr>
                <w:rFonts w:ascii="Arial" w:hAnsi="Arial" w:eastAsia="Calibri"/>
                <w:szCs w:val="22"/>
              </w:rPr>
              <w:t>Purposive sampling w</w:t>
            </w:r>
            <w:r>
              <w:rPr>
                <w:rFonts w:hint="default" w:ascii="Arial" w:hAnsi="Arial" w:eastAsia="Calibri"/>
                <w:szCs w:val="22"/>
                <w:lang w:val="en-US"/>
              </w:rPr>
              <w:t>as</w:t>
            </w:r>
            <w:r>
              <w:rPr>
                <w:rFonts w:ascii="Arial" w:hAnsi="Arial" w:eastAsia="Calibri"/>
                <w:szCs w:val="22"/>
              </w:rPr>
              <w:t xml:space="preserve"> used to </w:t>
            </w:r>
            <w:r>
              <w:rPr>
                <w:rFonts w:hint="default" w:ascii="Arial" w:hAnsi="Arial" w:eastAsia="Calibri"/>
                <w:szCs w:val="22"/>
                <w:lang w:val="en-US"/>
              </w:rPr>
              <w:t>select</w:t>
            </w:r>
            <w:r>
              <w:rPr>
                <w:rFonts w:ascii="Arial" w:hAnsi="Arial" w:eastAsia="Calibri"/>
                <w:szCs w:val="22"/>
              </w:rPr>
              <w:t xml:space="preserve"> 199 infants aged 0 to 28 days old for inclusion in th</w:t>
            </w:r>
            <w:r>
              <w:rPr>
                <w:rFonts w:hint="default" w:ascii="Arial" w:hAnsi="Arial" w:eastAsia="Calibri"/>
                <w:szCs w:val="22"/>
                <w:lang w:val="en-US"/>
              </w:rPr>
              <w:t>e</w:t>
            </w:r>
            <w:r>
              <w:rPr>
                <w:rFonts w:ascii="Arial" w:hAnsi="Arial" w:eastAsia="Calibri"/>
                <w:szCs w:val="22"/>
              </w:rPr>
              <w:t xml:space="preserve"> study. These infants ha</w:t>
            </w:r>
            <w:r>
              <w:rPr>
                <w:rFonts w:hint="default" w:ascii="Arial" w:hAnsi="Arial" w:eastAsia="Calibri"/>
                <w:szCs w:val="22"/>
                <w:lang w:val="en-US"/>
              </w:rPr>
              <w:t>d</w:t>
            </w:r>
            <w:r>
              <w:rPr>
                <w:rFonts w:ascii="Arial" w:hAnsi="Arial" w:eastAsia="Calibri"/>
                <w:szCs w:val="22"/>
              </w:rPr>
              <w:t xml:space="preserve"> been referred to the neonatal intensive care unit (NICU) with a suspicion of sepsis and/or had been discharged through the same ward following delivery. </w:t>
            </w:r>
            <w:r>
              <w:rPr>
                <w:rFonts w:hint="default" w:ascii="Arial" w:hAnsi="Arial" w:eastAsia="Calibri"/>
                <w:szCs w:val="22"/>
                <w:lang w:val="en-US"/>
              </w:rPr>
              <w:t>The</w:t>
            </w:r>
            <w:r>
              <w:rPr>
                <w:rFonts w:ascii="Arial" w:hAnsi="Arial" w:eastAsia="Calibri"/>
                <w:szCs w:val="22"/>
              </w:rPr>
              <w:t xml:space="preserve"> single formula for population proportion</w:t>
            </w:r>
            <w:r>
              <w:rPr>
                <w:rFonts w:hint="default" w:ascii="Arial" w:hAnsi="Arial" w:eastAsia="Calibri"/>
                <w:szCs w:val="22"/>
                <w:lang w:val="en-US"/>
              </w:rPr>
              <w:t xml:space="preserve"> was utilized where</w:t>
            </w:r>
            <w:r>
              <w:rPr>
                <w:rFonts w:ascii="Arial" w:hAnsi="Arial" w:eastAsia="Calibri"/>
                <w:szCs w:val="22"/>
              </w:rPr>
              <w:t xml:space="preserve"> a sample size of 50 for the medical staff working in the pediatric unit w</w:t>
            </w:r>
            <w:r>
              <w:rPr>
                <w:rFonts w:hint="default" w:ascii="Arial" w:hAnsi="Arial" w:eastAsia="Calibri"/>
                <w:szCs w:val="22"/>
                <w:lang w:val="en-US"/>
              </w:rPr>
              <w:t>as</w:t>
            </w:r>
            <w:r>
              <w:rPr>
                <w:rFonts w:ascii="Arial" w:hAnsi="Arial" w:eastAsia="Calibri"/>
                <w:szCs w:val="22"/>
              </w:rPr>
              <w:t xml:space="preserve"> used in the study.</w:t>
            </w:r>
          </w:p>
          <w:p w14:paraId="42570BF0">
            <w:pPr>
              <w:pStyle w:val="23"/>
              <w:spacing w:after="0"/>
              <w:rPr>
                <w:rFonts w:ascii="Arial" w:hAnsi="Arial" w:eastAsia="Calibri" w:cs="Arial"/>
                <w:szCs w:val="22"/>
              </w:rPr>
            </w:pPr>
          </w:p>
          <w:p w14:paraId="2071C577">
            <w:pPr>
              <w:pStyle w:val="23"/>
              <w:spacing w:after="0"/>
              <w:rPr>
                <w:rFonts w:ascii="Arial" w:hAnsi="Arial" w:eastAsia="Calibri"/>
                <w:szCs w:val="22"/>
              </w:rPr>
            </w:pPr>
            <w:r>
              <w:rPr>
                <w:rFonts w:ascii="Arial" w:hAnsi="Arial" w:eastAsia="Calibri" w:cs="Arial"/>
                <w:b/>
                <w:bCs/>
                <w:szCs w:val="22"/>
              </w:rPr>
              <w:t>Results:</w:t>
            </w:r>
            <w:r>
              <w:rPr>
                <w:rFonts w:ascii="Arial" w:hAnsi="Arial" w:eastAsia="Calibri" w:cs="Arial"/>
                <w:szCs w:val="22"/>
              </w:rPr>
              <w:t xml:space="preserve"> </w:t>
            </w:r>
            <w:r>
              <w:rPr>
                <w:rFonts w:ascii="Arial" w:hAnsi="Arial" w:eastAsia="Calibri"/>
                <w:szCs w:val="22"/>
              </w:rPr>
              <w:t xml:space="preserve">A total of 199 neonates were included (100% response rate); 71.9% were &lt;7 days old, 56.8% were male, and 60% were breastfed. Overall, 79.4% (95% CI: 75.2–83.6%) of neonates had sepsis. Low birth weight (&lt;2.5 kg, 60.8%), prematurity (&lt;37 weeks, 54.3%), male sex (56.8%), and birth asphyxia (41.2%) were common among septic neonates, though not significantly associated with sepsis severity (all P &gt; 0.05). </w:t>
            </w:r>
            <w:r>
              <w:rPr>
                <w:rFonts w:hint="default" w:ascii="Arial" w:hAnsi="Arial" w:eastAsia="Calibri"/>
                <w:szCs w:val="22"/>
              </w:rPr>
              <w:t>Of the 50 nurses surveyed, most were aged 21–30 (72%), female (74%), held a BSc in Nursing (52%), had 2–4 years of experience (66%), and the majority (82%) had not taken specialized neonatology courses.</w:t>
            </w:r>
            <w:r>
              <w:rPr>
                <w:rFonts w:hint="default" w:ascii="Arial" w:hAnsi="Arial" w:eastAsia="Calibri"/>
                <w:szCs w:val="22"/>
                <w:lang w:val="en-US"/>
              </w:rPr>
              <w:t xml:space="preserve"> </w:t>
            </w:r>
            <w:r>
              <w:rPr>
                <w:rFonts w:ascii="Arial" w:hAnsi="Arial" w:eastAsia="Calibri"/>
                <w:szCs w:val="22"/>
              </w:rPr>
              <w:t>Among healthcare providers, neonates managed by nurses knowledgeable in essential care had higher odds of sepsis (AOR = 2.69; 95% CI: 1.526–7.672). Multivariate analysis identified neonatal age &lt;3 days (aOR = 2.77; 95% CI: 1.31–5.84; P = 0.008) and preterm birth (&lt;37 weeks) (aOR = 4.15; 95% CI: 1.19–9.17; P ≤ 0.001) as significant predictors.</w:t>
            </w:r>
          </w:p>
          <w:p w14:paraId="47B12073">
            <w:pPr>
              <w:pStyle w:val="23"/>
              <w:spacing w:after="0"/>
              <w:rPr>
                <w:rFonts w:ascii="Arial" w:hAnsi="Arial" w:eastAsia="Calibri"/>
                <w:szCs w:val="22"/>
              </w:rPr>
            </w:pPr>
          </w:p>
          <w:p w14:paraId="7136BAC9">
            <w:pPr>
              <w:pStyle w:val="23"/>
              <w:spacing w:after="0"/>
              <w:rPr>
                <w:rFonts w:ascii="Arial" w:hAnsi="Arial" w:eastAsia="Calibri"/>
                <w:szCs w:val="22"/>
              </w:rPr>
            </w:pPr>
            <w:r>
              <w:rPr>
                <w:rFonts w:ascii="Arial" w:hAnsi="Arial" w:eastAsia="Calibri" w:cs="Arial"/>
                <w:b/>
                <w:bCs/>
                <w:szCs w:val="22"/>
              </w:rPr>
              <w:t>Conclusion:</w:t>
            </w:r>
            <w:r>
              <w:rPr>
                <w:rFonts w:ascii="Arial" w:hAnsi="Arial" w:eastAsia="Calibri" w:cs="Arial"/>
                <w:szCs w:val="22"/>
              </w:rPr>
              <w:t xml:space="preserve"> </w:t>
            </w:r>
            <w:r>
              <w:rPr>
                <w:rFonts w:ascii="Arial" w:hAnsi="Arial" w:eastAsia="Calibri"/>
                <w:szCs w:val="22"/>
              </w:rPr>
              <w:t xml:space="preserve">Neonatal sepsis </w:t>
            </w:r>
            <w:r>
              <w:rPr>
                <w:rFonts w:hint="default" w:ascii="Arial" w:hAnsi="Arial" w:eastAsia="Calibri"/>
                <w:szCs w:val="22"/>
                <w:lang w:val="en-US"/>
              </w:rPr>
              <w:t>wa</w:t>
            </w:r>
            <w:r>
              <w:rPr>
                <w:rFonts w:ascii="Arial" w:hAnsi="Arial" w:eastAsia="Calibri"/>
                <w:szCs w:val="22"/>
              </w:rPr>
              <w:t>s highly prevalent at Mandera County Referral Hospital, affecting 79.4% of admitted neonates. Early neonatal age (&lt;3 days) and preterm birth (&lt;37 weeks) were significant predictors of sepsis, while other factors such as low birth weight, male sex, and birth asphyxia were common but not independently associated with severity. Targeted surveillance, early diagnosis, and improved healthcare provider knowledge are essential to reduce the burden of neonatal sepsis in this setting.</w:t>
            </w:r>
          </w:p>
          <w:p w14:paraId="5BA89725">
            <w:pPr>
              <w:pStyle w:val="23"/>
              <w:spacing w:after="0"/>
              <w:rPr>
                <w:rFonts w:ascii="Arial" w:hAnsi="Arial" w:eastAsia="Calibri"/>
                <w:szCs w:val="22"/>
              </w:rPr>
            </w:pPr>
          </w:p>
        </w:tc>
      </w:tr>
    </w:tbl>
    <w:p w14:paraId="46F0B58C">
      <w:pPr>
        <w:pStyle w:val="23"/>
        <w:spacing w:after="0"/>
        <w:rPr>
          <w:rFonts w:ascii="Arial" w:hAnsi="Arial" w:cs="Arial"/>
          <w:i/>
        </w:rPr>
      </w:pPr>
    </w:p>
    <w:p w14:paraId="1B719D32">
      <w:pPr>
        <w:jc w:val="both"/>
        <w:rPr>
          <w:rFonts w:ascii="Arial" w:hAnsi="Arial" w:cs="Arial"/>
          <w:i/>
          <w:sz w:val="18"/>
        </w:rPr>
      </w:pPr>
      <w:r>
        <w:rPr>
          <w:rFonts w:ascii="Arial" w:hAnsi="Arial" w:cs="Arial"/>
          <w:i/>
        </w:rPr>
        <w:t xml:space="preserve">Keywords: </w:t>
      </w:r>
      <w:r>
        <w:rPr>
          <w:rFonts w:ascii="Arial" w:hAnsi="Arial" w:cs="Arial"/>
          <w:i/>
          <w:iCs/>
        </w:rPr>
        <w:t xml:space="preserve">Hospital, Mandera County, Mandera County Referral Hospital, Neonates, </w:t>
      </w:r>
      <w:r>
        <w:rPr>
          <w:rFonts w:ascii="Arial" w:hAnsi="Arial" w:eastAsia="SimSun" w:cs="Arial"/>
          <w:i/>
          <w:iCs/>
        </w:rPr>
        <w:t>Newborn unit,</w:t>
      </w:r>
      <w:r>
        <w:rPr>
          <w:rFonts w:ascii="Arial" w:hAnsi="Arial" w:cs="Arial"/>
          <w:i/>
          <w:iCs/>
        </w:rPr>
        <w:t>Risk Factors,</w:t>
      </w:r>
      <w:r>
        <w:rPr>
          <w:rFonts w:ascii="Arial" w:hAnsi="Arial" w:eastAsia="SimSun" w:cs="Arial"/>
          <w:i/>
          <w:iCs/>
        </w:rPr>
        <w:t xml:space="preserve"> </w:t>
      </w:r>
      <w:r>
        <w:rPr>
          <w:rFonts w:ascii="Arial" w:hAnsi="Arial" w:cs="Arial"/>
          <w:i/>
          <w:iCs/>
        </w:rPr>
        <w:t>Sepsis</w:t>
      </w:r>
    </w:p>
    <w:p w14:paraId="70A838C4">
      <w:pPr>
        <w:pStyle w:val="23"/>
        <w:spacing w:after="0"/>
        <w:rPr>
          <w:rFonts w:ascii="Arial" w:hAnsi="Arial" w:cs="Arial"/>
          <w:i/>
        </w:rPr>
      </w:pPr>
    </w:p>
    <w:p w14:paraId="00969A7D">
      <w:pPr>
        <w:pStyle w:val="24"/>
        <w:spacing w:after="0"/>
        <w:jc w:val="both"/>
        <w:rPr>
          <w:rFonts w:ascii="Arial" w:hAnsi="Arial" w:cs="Arial"/>
        </w:rPr>
      </w:pPr>
      <w:r>
        <w:rPr>
          <w:rFonts w:ascii="Arial" w:hAnsi="Arial" w:cs="Arial"/>
        </w:rPr>
        <w:t xml:space="preserve">1. INTRODUCTION </w:t>
      </w:r>
    </w:p>
    <w:p w14:paraId="2CB15473">
      <w:pPr>
        <w:pStyle w:val="24"/>
        <w:spacing w:after="0"/>
        <w:jc w:val="both"/>
        <w:rPr>
          <w:rFonts w:ascii="Arial" w:hAnsi="Arial" w:cs="Arial"/>
        </w:rPr>
      </w:pPr>
    </w:p>
    <w:p w14:paraId="2A018B9C">
      <w:pPr>
        <w:pStyle w:val="23"/>
        <w:spacing w:after="0"/>
        <w:rPr>
          <w:rFonts w:ascii="Arial" w:hAnsi="Arial"/>
        </w:rPr>
      </w:pPr>
      <w:r>
        <w:rPr>
          <w:rFonts w:ascii="Arial" w:hAnsi="Arial"/>
        </w:rPr>
        <w:t>Neonatal mortality is referred to as the death of a child within the 1st 28</w:t>
      </w:r>
      <w:r>
        <w:rPr>
          <w:rFonts w:ascii="Arial" w:hAnsi="Arial"/>
          <w:vertAlign w:val="superscript"/>
        </w:rPr>
        <w:t>th</w:t>
      </w:r>
      <w:r>
        <w:rPr>
          <w:rFonts w:ascii="Arial" w:hAnsi="Arial"/>
        </w:rPr>
        <w:t xml:space="preserve"> days of life as defined by the World Health Organization (WHO) and it happens to be a critical factor in the health of a child (WHO, 2019). The global death rate of children is at 18 in every 1000 live births, within the firth month of birth, making this time in a child's life the most vulnerable. Newborn sepsis, which causes 30% to 50% of all newborn fatalities in Africa, is the most frequent cause of neonatal mortality. Up to 20% of newborns are predicted to develop sepsis, and only around 1% of them will pass away from sepsis-related reasons. Due to sociodemographic, neonatal, and maternal factors, neonatal sepsis has emerged as a major cause of hospitalization and mortality in neonatal hospitals, particularly in developing nations, despite advancements in diagnosis and treatment (</w:t>
      </w:r>
      <w:r>
        <w:rPr>
          <w:sz w:val="20"/>
          <w:szCs w:val="20"/>
          <w:lang w:val="en-GB"/>
        </w:rPr>
        <w:t>Adedokun,.Onosakponome &amp; Nyenke. 2020</w:t>
      </w:r>
      <w:r>
        <w:rPr>
          <w:rFonts w:hint="default"/>
          <w:sz w:val="20"/>
          <w:szCs w:val="20"/>
          <w:lang w:val="en-US"/>
        </w:rPr>
        <w:t xml:space="preserve">; </w:t>
      </w:r>
      <w:r>
        <w:rPr>
          <w:rFonts w:ascii="Arial" w:hAnsi="Arial"/>
        </w:rPr>
        <w:t>Roble, Ayehubizu &amp; Olad, 2022). Moreover, despite the high prevalence of neonatal sepsis among African nations and other underdeveloped countries, little data was available on the potential risk factors for the disease (Vergnano et al., 2018).</w:t>
      </w:r>
    </w:p>
    <w:p w14:paraId="185597C2">
      <w:pPr>
        <w:pStyle w:val="23"/>
        <w:spacing w:after="0"/>
        <w:rPr>
          <w:rFonts w:ascii="Arial" w:hAnsi="Arial"/>
        </w:rPr>
      </w:pPr>
      <w:r>
        <w:rPr>
          <w:rFonts w:ascii="Arial" w:hAnsi="Arial"/>
        </w:rPr>
        <w:t>A variety of neonatal risk factors, do play a major role when it comes to the early as well as the late start of neonatal sepsis and they include but not limited to; gestational age, sex, low birth weight 2.5kg, less than 7 APGAR score in the 1st minute, prolonged membrane rupture and mechanical ventilation (Yelda et al., 2020; Stephanie et al., 2018; Chiabi et al., 2017). Several study findings have listed a number of obstetric risk factors that lead to the neonatal sepsis and they include but not limited to; meconium-stained amniotic fluid, one having had urinary tract infection, presence of foul-smelling alcohol, age of mothers, presence of group B Streptococcus in the genital tract colonization, having long membrane rupture (Yelda et al., 2020, Stephanie et al., 2018). If a mother has had more than 3 vaginal exams, more than 9 hours of labour and prolonged rapture of the membrane (18 hours and more) the newborn is likely to have neonatal sepsis this is as per research done on Sri Lanka (Perera et al., 2018).</w:t>
      </w:r>
    </w:p>
    <w:p w14:paraId="26ABB286">
      <w:pPr>
        <w:pStyle w:val="23"/>
        <w:spacing w:after="0"/>
        <w:rPr>
          <w:rFonts w:ascii="Arial" w:hAnsi="Arial"/>
        </w:rPr>
      </w:pPr>
      <w:r>
        <w:rPr>
          <w:rFonts w:ascii="Arial" w:hAnsi="Arial"/>
        </w:rPr>
        <w:t xml:space="preserve">As per findings of a study conducted by Knoema in Kenya revealed neonatal deaths related to neonatal sepsis between 2000 and 2010 remained stable at 7%. UNICEF in their studies found 15.6% and 16.9% in the years 2007 and 2016 respectively to be deaths caused by neonatal sepsis in Kenya (UNICEF 2007 and 2016). </w:t>
      </w:r>
    </w:p>
    <w:p w14:paraId="23EC93FD">
      <w:pPr>
        <w:pStyle w:val="23"/>
        <w:spacing w:after="0"/>
        <w:rPr>
          <w:rFonts w:ascii="Arial" w:hAnsi="Arial" w:cs="Arial"/>
        </w:rPr>
      </w:pPr>
      <w:r>
        <w:rPr>
          <w:rFonts w:ascii="Arial" w:hAnsi="Arial"/>
        </w:rPr>
        <w:t>In Mandera County Referral Hospital the period between September 2020 and August 2021 shows 35.2% of 528 neonates admitted having neonatal sepsis (Mandera County Referral Hospital Records, 2021). However, there is little or no published data on neonatal sepsis and its risk factors specific to Mandera County Referral Hospital or the broader North Eastern region of Kenya. Moreover, most studies are from urban or better-resourced hospitals, making it unclear if the same risk factors apply in Mandera.  This study was justified because neonatal sepsis remains a leading cause of morbidity and mortality among newborns, yet there is limited evidence on its risk factors in Mandera County, where unique socio-cultural and healthcare challenges may influence outcomes. Thus, the investigation intended to clarify the risk factors and the prevalence of sepsis in neonates in Mandera County Referral Hospital. Identifying these risk factors will provide context-specific data to guide preventive measures, improve clinical management, and strengthen neonatal survival strategies at Mandera County Referral Hospital.The proposed solution is to generate evidence-based data on the maternal, neonatal, and health-system risk factors contributing to neonatal sepsis at Mandera County Referral Hospital. By identifying these factors, the study will guide the development of targeted interventions such as strengthening infection prevention and control measures, enhancing maternal and newborn care practices, improving diagnostic capacity, and informing policy decisions to reduce neonatal sepsis and improve survival outcomes in Mandera County.</w:t>
      </w:r>
    </w:p>
    <w:p w14:paraId="45F60FD0">
      <w:pPr>
        <w:pStyle w:val="23"/>
        <w:spacing w:after="0"/>
        <w:rPr>
          <w:rFonts w:ascii="Arial" w:hAnsi="Arial" w:cs="Arial"/>
        </w:rPr>
      </w:pPr>
    </w:p>
    <w:p w14:paraId="0BC977EB">
      <w:pPr>
        <w:pStyle w:val="24"/>
        <w:spacing w:after="0"/>
        <w:jc w:val="both"/>
        <w:rPr>
          <w:rFonts w:ascii="Arial" w:hAnsi="Arial" w:cs="Arial"/>
        </w:rPr>
      </w:pPr>
      <w:r>
        <w:rPr>
          <w:rFonts w:ascii="Arial" w:hAnsi="Arial" w:cs="Arial"/>
        </w:rPr>
        <w:t>2. RESEARCH methodology</w:t>
      </w:r>
    </w:p>
    <w:p w14:paraId="4B0A29F8">
      <w:pPr>
        <w:pStyle w:val="24"/>
        <w:spacing w:after="0"/>
        <w:jc w:val="both"/>
        <w:rPr>
          <w:rFonts w:ascii="Arial" w:hAnsi="Arial" w:cs="Arial"/>
        </w:rPr>
      </w:pPr>
    </w:p>
    <w:p w14:paraId="5FF8E064">
      <w:pPr>
        <w:pStyle w:val="23"/>
        <w:spacing w:after="0"/>
        <w:rPr>
          <w:rFonts w:ascii="Arial" w:hAnsi="Arial"/>
          <w:b/>
          <w:bCs/>
        </w:rPr>
      </w:pPr>
      <w:r>
        <w:rPr>
          <w:rFonts w:ascii="Arial" w:hAnsi="Arial"/>
          <w:b/>
          <w:bCs/>
        </w:rPr>
        <w:t>2.1 Research design</w:t>
      </w:r>
    </w:p>
    <w:p w14:paraId="69C5393D">
      <w:pPr>
        <w:pStyle w:val="23"/>
        <w:spacing w:after="0"/>
        <w:rPr>
          <w:rFonts w:ascii="Arial" w:hAnsi="Arial"/>
        </w:rPr>
      </w:pPr>
      <w:r>
        <w:rPr>
          <w:rFonts w:ascii="Arial" w:hAnsi="Arial"/>
        </w:rPr>
        <w:t>A retrospective descriptive study design was used in this study, mainly because it incorporates human experience and uses various data forms.</w:t>
      </w:r>
    </w:p>
    <w:p w14:paraId="4E31BBFD">
      <w:pPr>
        <w:pStyle w:val="23"/>
        <w:spacing w:after="0"/>
        <w:rPr>
          <w:rFonts w:ascii="Arial" w:hAnsi="Arial"/>
          <w:b/>
          <w:bCs/>
        </w:rPr>
      </w:pPr>
    </w:p>
    <w:p w14:paraId="6505C927">
      <w:pPr>
        <w:pStyle w:val="23"/>
        <w:spacing w:after="0"/>
        <w:rPr>
          <w:rFonts w:ascii="Arial" w:hAnsi="Arial"/>
          <w:b/>
          <w:bCs/>
        </w:rPr>
      </w:pPr>
      <w:r>
        <w:rPr>
          <w:rFonts w:ascii="Arial" w:hAnsi="Arial"/>
          <w:b/>
          <w:bCs/>
        </w:rPr>
        <w:t>2.2 Study Site</w:t>
      </w:r>
    </w:p>
    <w:p w14:paraId="2A02BAC1">
      <w:pPr>
        <w:pStyle w:val="23"/>
        <w:spacing w:after="0"/>
        <w:rPr>
          <w:rFonts w:ascii="Arial" w:hAnsi="Arial"/>
        </w:rPr>
      </w:pPr>
      <w:r>
        <w:rPr>
          <w:rFonts w:ascii="Arial" w:hAnsi="Arial"/>
        </w:rPr>
        <w:t>The study location was Mandera County, which is located in the North-eastern part of the County.The study was in a primary care hospital run by the Ministry of Health, Mandera County Referral Hospital, which is situated in Neboi, Mandera East, in the county of Mandera. The facility attended to majority of the neonates. Moreover, it was the only healthcare facility in the surrounding region with NICUs and provided services in this field, thus the hospital was purposively chosen.</w:t>
      </w:r>
    </w:p>
    <w:p w14:paraId="45C352EF">
      <w:pPr>
        <w:pStyle w:val="23"/>
        <w:spacing w:after="0"/>
        <w:rPr>
          <w:rFonts w:ascii="Arial" w:hAnsi="Arial"/>
        </w:rPr>
      </w:pPr>
    </w:p>
    <w:p w14:paraId="715165FA">
      <w:pPr>
        <w:pStyle w:val="23"/>
        <w:spacing w:after="0"/>
        <w:rPr>
          <w:rFonts w:ascii="Arial" w:hAnsi="Arial"/>
          <w:b/>
          <w:bCs/>
        </w:rPr>
      </w:pPr>
      <w:r>
        <w:rPr>
          <w:rFonts w:ascii="Arial" w:hAnsi="Arial"/>
          <w:b/>
          <w:bCs/>
        </w:rPr>
        <w:t>2.3 Targeted Population</w:t>
      </w:r>
    </w:p>
    <w:p w14:paraId="5AC208C7">
      <w:pPr>
        <w:pStyle w:val="23"/>
        <w:spacing w:after="0"/>
        <w:rPr>
          <w:rFonts w:ascii="Arial" w:hAnsi="Arial"/>
        </w:rPr>
      </w:pPr>
      <w:r>
        <w:rPr>
          <w:rFonts w:ascii="Arial" w:hAnsi="Arial"/>
        </w:rPr>
        <w:t>The targeted population was the neonates who were clinically diagnosed with neonatal sepsis at Mandera County Referral Hospital and admitted in the pediatric general ward and those discharged through the same ward after delivery over the period of May 2022 to May 2023. The study also targeted healthcare providers at the pediatric unit who took care of the babies.</w:t>
      </w:r>
    </w:p>
    <w:p w14:paraId="60D795EE">
      <w:pPr>
        <w:pStyle w:val="23"/>
        <w:spacing w:after="0"/>
        <w:rPr>
          <w:rFonts w:ascii="Arial" w:hAnsi="Arial"/>
        </w:rPr>
      </w:pPr>
    </w:p>
    <w:p w14:paraId="499FAAEB">
      <w:pPr>
        <w:pStyle w:val="23"/>
        <w:spacing w:after="0"/>
        <w:rPr>
          <w:rFonts w:ascii="Arial" w:hAnsi="Arial"/>
          <w:b/>
          <w:bCs/>
        </w:rPr>
      </w:pPr>
      <w:r>
        <w:rPr>
          <w:rFonts w:ascii="Arial" w:hAnsi="Arial"/>
          <w:b/>
          <w:bCs/>
        </w:rPr>
        <w:t>2.4 Sampling technique and size determination</w:t>
      </w:r>
    </w:p>
    <w:p w14:paraId="0D6CE2F3">
      <w:pPr>
        <w:pStyle w:val="23"/>
        <w:spacing w:after="0"/>
        <w:rPr>
          <w:rFonts w:ascii="Arial" w:hAnsi="Arial"/>
        </w:rPr>
      </w:pPr>
      <w:r>
        <w:rPr>
          <w:rFonts w:ascii="Arial" w:hAnsi="Arial"/>
        </w:rPr>
        <w:t>Because only sepsis files were sampled (case series), the investigator did not estimate incidence nor causal effects. 199 files pertaining to neonates who were diagnosed with neonatal sepsis between May 2022 and May 2023 were purposively reviewed. The Keish and Leslie (1965) formula determined the sample size calculation of this study: 199 neonates. Using a single formula for population proportion, with the following assumption serving as the foundation, allowed for the determination of the sample size for the medical staff working in the pediatric unit. It has been determined that 75% of HCWs are capable of carrying out medical duties for neonates, that the target accuracy degree will be 5%, and that a confidence interval of 95% will be utilized. In light of these findings, the size of the sample is 47; however, when a contingency rate of 5% for non-respondents is taken into account, the overall sample size will be 50.</w:t>
      </w:r>
    </w:p>
    <w:p w14:paraId="254B3522">
      <w:pPr>
        <w:pStyle w:val="23"/>
        <w:spacing w:after="0"/>
        <w:rPr>
          <w:rFonts w:ascii="Arial" w:hAnsi="Arial"/>
        </w:rPr>
      </w:pPr>
    </w:p>
    <w:p w14:paraId="51421D50">
      <w:pPr>
        <w:pStyle w:val="23"/>
        <w:spacing w:after="0"/>
        <w:rPr>
          <w:rFonts w:ascii="Arial" w:hAnsi="Arial"/>
          <w:b/>
          <w:bCs/>
        </w:rPr>
      </w:pPr>
      <w:r>
        <w:rPr>
          <w:rFonts w:ascii="Arial" w:hAnsi="Arial"/>
          <w:b/>
          <w:bCs/>
        </w:rPr>
        <w:t>2.5 Data collection process/instruments</w:t>
      </w:r>
    </w:p>
    <w:p w14:paraId="706B563C">
      <w:pPr>
        <w:pStyle w:val="23"/>
        <w:spacing w:after="0"/>
        <w:rPr>
          <w:rFonts w:ascii="Arial" w:hAnsi="Arial"/>
        </w:rPr>
      </w:pPr>
      <w:r>
        <w:rPr>
          <w:rFonts w:ascii="Arial" w:hAnsi="Arial"/>
        </w:rPr>
        <w:t>Based on a study of relevant literature on the risk factors of newborn sepsis, a semi structured pre-tested data collection checklist and administered-interviewer questionnaire instrument were created as per the study objectives. An expert evaluation of the checklist's components and questionaire test items revealed the genuine measure of the notion being examined, so establishing the face and content validity of the instruments.</w:t>
      </w:r>
    </w:p>
    <w:p w14:paraId="60D82345">
      <w:pPr>
        <w:pStyle w:val="23"/>
        <w:spacing w:after="0"/>
        <w:rPr>
          <w:rFonts w:ascii="Arial" w:hAnsi="Arial"/>
        </w:rPr>
      </w:pPr>
    </w:p>
    <w:p w14:paraId="5ECE086C">
      <w:pPr>
        <w:pStyle w:val="23"/>
        <w:spacing w:after="0"/>
        <w:rPr>
          <w:rFonts w:ascii="Arial" w:hAnsi="Arial"/>
          <w:b/>
          <w:bCs/>
        </w:rPr>
      </w:pPr>
      <w:r>
        <w:rPr>
          <w:rFonts w:ascii="Arial" w:hAnsi="Arial"/>
          <w:b/>
          <w:bCs/>
        </w:rPr>
        <w:t>2.6 Data analysis</w:t>
      </w:r>
    </w:p>
    <w:p w14:paraId="212608D4">
      <w:pPr>
        <w:pStyle w:val="23"/>
        <w:spacing w:after="0"/>
        <w:rPr>
          <w:rFonts w:ascii="Arial" w:hAnsi="Arial"/>
        </w:rPr>
      </w:pPr>
      <w:r>
        <w:rPr>
          <w:rFonts w:ascii="Arial" w:hAnsi="Arial"/>
        </w:rPr>
        <w:t>Data analysis wias done first through conducting data error correction and to check for accuracy and completeness. In order to correct data entry errors, the retrieved data was double-entered using Epidata software version 3.1. After that, STATA 14.0 was used to export the data and do data analysis and cleaning. Descriptive analysis summarized the data so as to have a meaningful description. The analysis utilized figures, percentages, frequencies distribution tables, mean and standard deviation of neonatal characteristics to explain the variables of the study. Analysis was done using Statistical Package for Social Sciences version 27.</w:t>
      </w:r>
    </w:p>
    <w:p w14:paraId="4B2D6E94">
      <w:pPr>
        <w:pStyle w:val="23"/>
        <w:spacing w:after="0"/>
        <w:rPr>
          <w:rFonts w:ascii="Arial" w:hAnsi="Arial" w:cs="Arial"/>
        </w:rPr>
      </w:pPr>
    </w:p>
    <w:p w14:paraId="28F7FB22">
      <w:pPr>
        <w:pStyle w:val="35"/>
        <w:spacing w:after="0"/>
        <w:jc w:val="both"/>
        <w:rPr>
          <w:rFonts w:ascii="Arial" w:hAnsi="Arial" w:cs="Arial"/>
        </w:rPr>
      </w:pPr>
      <w:r>
        <w:rPr>
          <w:rFonts w:ascii="Arial" w:hAnsi="Arial" w:cs="Arial"/>
        </w:rPr>
        <w:t>3. results and discussion</w:t>
      </w:r>
    </w:p>
    <w:p w14:paraId="4C6A193F">
      <w:pPr>
        <w:pStyle w:val="35"/>
        <w:spacing w:after="0"/>
        <w:jc w:val="both"/>
        <w:rPr>
          <w:rFonts w:ascii="Arial" w:hAnsi="Arial" w:cs="Arial"/>
        </w:rPr>
      </w:pPr>
    </w:p>
    <w:p w14:paraId="1D57742F">
      <w:pPr>
        <w:pStyle w:val="23"/>
        <w:spacing w:after="0"/>
        <w:rPr>
          <w:rFonts w:ascii="Arial" w:hAnsi="Arial"/>
          <w:b/>
          <w:bCs/>
        </w:rPr>
      </w:pPr>
      <w:r>
        <w:rPr>
          <w:rFonts w:ascii="Arial" w:hAnsi="Arial"/>
          <w:b/>
          <w:bCs/>
        </w:rPr>
        <w:t>3.1 Demographic Characteristics of the Study Subjects</w:t>
      </w:r>
    </w:p>
    <w:p w14:paraId="3F10F0F0">
      <w:pPr>
        <w:pStyle w:val="23"/>
        <w:spacing w:after="0"/>
        <w:rPr>
          <w:rFonts w:ascii="Arial" w:hAnsi="Arial"/>
          <w:b/>
          <w:bCs/>
        </w:rPr>
      </w:pPr>
    </w:p>
    <w:p w14:paraId="07F7F411">
      <w:pPr>
        <w:pStyle w:val="23"/>
        <w:spacing w:after="0"/>
        <w:rPr>
          <w:rFonts w:ascii="Arial" w:hAnsi="Arial"/>
        </w:rPr>
      </w:pPr>
      <w:r>
        <w:rPr>
          <w:rFonts w:ascii="Arial" w:hAnsi="Arial"/>
        </w:rPr>
        <w:t>Understanding the sample's characteristics, spotting potential biases, and interpreting results in light of various groups are the reasons why sociodemographic characteristics determination in the study was essential. The study evaluated the sociodemographic traits of the participants, such as their age, gender, and maternal age. The results shown in Table 1 were based on the data analysis, 199 neonates in all were included in the study with a 100% response rate, overall, 103 (71.9%) were less than seven days, 56 (28.1%) were older than seven days, 88 (44.2%) were male, and 111 (55.7%) were female.</w:t>
      </w:r>
    </w:p>
    <w:p w14:paraId="4E5AF196">
      <w:pPr>
        <w:pStyle w:val="23"/>
        <w:spacing w:after="0"/>
        <w:rPr>
          <w:rFonts w:ascii="Arial" w:hAnsi="Arial"/>
        </w:rPr>
      </w:pPr>
      <w:r>
        <w:rPr>
          <w:rFonts w:ascii="Arial" w:hAnsi="Arial"/>
        </w:rPr>
        <w:t>The majority of the mothers/guardian respondents (76.4%) are between the ages of 18 and 35, followed by those under the age of 18 (7.5%) and those over 35 (16.1%). 60% of the neonates in the sample are breastfed, while 40% are not, indicating a lopsided distribution of nutrients. Most finished elementary school (33%), then secondary school (44%). 192 (96.60%) of the moms were married. Additionally, a sizable percentage of respondents (23%) had a college or university degree, suggesting that the general public is well-informed. This suggests that the study participants were intelligent enough to understand and analyze the inquiries. These results were consistent with those of Amare et al. (2022), who found that lower levels of education, particularly no formal education, are related with higher odds of newborn sepsis, and that maternal age (less than 20 or more than 35) can be linked to an increased risk. According to a related study by Tisho et al. (2025) at Kenyatta National Hospital, unmarried moms may be more susceptible to newborn sepsis.</w:t>
      </w:r>
    </w:p>
    <w:p w14:paraId="11F2F74A">
      <w:pPr>
        <w:pStyle w:val="23"/>
        <w:spacing w:after="0"/>
        <w:jc w:val="center"/>
        <w:rPr>
          <w:rFonts w:ascii="Arial" w:hAnsi="Arial"/>
        </w:rPr>
      </w:pPr>
      <w:r>
        <w:rPr>
          <w:rFonts w:ascii="Arial" w:hAnsi="Arial"/>
        </w:rPr>
        <w:t>Table 1: Socio Demographic Characteristics of Neonates and Mothers at Mandera County Referral Hospital.</w:t>
      </w:r>
    </w:p>
    <w:p w14:paraId="310585A9">
      <w:pPr>
        <w:pStyle w:val="23"/>
        <w:spacing w:after="0"/>
        <w:rPr>
          <w:rFonts w:ascii="Arial" w:hAnsi="Arial"/>
        </w:rPr>
      </w:pPr>
    </w:p>
    <w:tbl>
      <w:tblPr>
        <w:tblStyle w:val="4"/>
        <w:tblW w:w="0" w:type="auto"/>
        <w:tblInd w:w="367" w:type="dxa"/>
        <w:tblLayout w:type="fixed"/>
        <w:tblCellMar>
          <w:top w:w="0" w:type="dxa"/>
          <w:left w:w="0" w:type="dxa"/>
          <w:bottom w:w="0" w:type="dxa"/>
          <w:right w:w="0" w:type="dxa"/>
        </w:tblCellMar>
      </w:tblPr>
      <w:tblGrid>
        <w:gridCol w:w="1446"/>
        <w:gridCol w:w="2102"/>
        <w:gridCol w:w="1939"/>
        <w:gridCol w:w="1843"/>
      </w:tblGrid>
      <w:tr w14:paraId="6F8906CD">
        <w:tblPrEx>
          <w:tblCellMar>
            <w:top w:w="0" w:type="dxa"/>
            <w:left w:w="0" w:type="dxa"/>
            <w:bottom w:w="0" w:type="dxa"/>
            <w:right w:w="0" w:type="dxa"/>
          </w:tblCellMar>
        </w:tblPrEx>
        <w:trPr>
          <w:trHeight w:val="550" w:hRule="atLeast"/>
        </w:trPr>
        <w:tc>
          <w:tcPr>
            <w:tcW w:w="1446" w:type="dxa"/>
            <w:tcBorders>
              <w:top w:val="single" w:color="000000" w:sz="12" w:space="0"/>
              <w:bottom w:val="single" w:color="000000" w:sz="12" w:space="0"/>
            </w:tcBorders>
          </w:tcPr>
          <w:p w14:paraId="3BE56B94">
            <w:pPr>
              <w:pStyle w:val="65"/>
              <w:spacing w:before="1"/>
              <w:rPr>
                <w:b/>
                <w:sz w:val="24"/>
              </w:rPr>
            </w:pPr>
            <w:r>
              <w:rPr>
                <w:b/>
                <w:spacing w:val="-2"/>
                <w:sz w:val="24"/>
              </w:rPr>
              <w:t>Variable</w:t>
            </w:r>
          </w:p>
        </w:tc>
        <w:tc>
          <w:tcPr>
            <w:tcW w:w="2102" w:type="dxa"/>
            <w:tcBorders>
              <w:top w:val="single" w:color="000000" w:sz="12" w:space="0"/>
              <w:bottom w:val="single" w:color="000000" w:sz="12" w:space="0"/>
            </w:tcBorders>
          </w:tcPr>
          <w:p w14:paraId="6B5CD5AB">
            <w:pPr>
              <w:pStyle w:val="65"/>
              <w:rPr>
                <w:sz w:val="24"/>
              </w:rPr>
            </w:pPr>
          </w:p>
        </w:tc>
        <w:tc>
          <w:tcPr>
            <w:tcW w:w="1939" w:type="dxa"/>
            <w:tcBorders>
              <w:top w:val="single" w:color="000000" w:sz="12" w:space="0"/>
              <w:bottom w:val="single" w:color="000000" w:sz="12" w:space="0"/>
            </w:tcBorders>
          </w:tcPr>
          <w:p w14:paraId="637DF735">
            <w:pPr>
              <w:pStyle w:val="65"/>
              <w:spacing w:before="1"/>
              <w:ind w:right="128"/>
              <w:jc w:val="center"/>
              <w:rPr>
                <w:b/>
                <w:sz w:val="24"/>
              </w:rPr>
            </w:pPr>
            <w:r>
              <w:rPr>
                <w:b/>
                <w:spacing w:val="-2"/>
                <w:sz w:val="24"/>
              </w:rPr>
              <w:t>Frequency</w:t>
            </w:r>
          </w:p>
        </w:tc>
        <w:tc>
          <w:tcPr>
            <w:tcW w:w="1843" w:type="dxa"/>
            <w:tcBorders>
              <w:top w:val="single" w:color="000000" w:sz="12" w:space="0"/>
              <w:bottom w:val="single" w:color="000000" w:sz="12" w:space="0"/>
            </w:tcBorders>
          </w:tcPr>
          <w:p w14:paraId="72819048">
            <w:pPr>
              <w:pStyle w:val="65"/>
              <w:spacing w:before="1"/>
              <w:ind w:right="97"/>
              <w:jc w:val="center"/>
              <w:rPr>
                <w:b/>
                <w:sz w:val="24"/>
              </w:rPr>
            </w:pPr>
            <w:r>
              <w:rPr>
                <w:b/>
                <w:spacing w:val="-5"/>
                <w:sz w:val="24"/>
              </w:rPr>
              <w:t>(%)</w:t>
            </w:r>
          </w:p>
        </w:tc>
      </w:tr>
      <w:tr w14:paraId="6ED9C6E8">
        <w:tblPrEx>
          <w:tblCellMar>
            <w:top w:w="0" w:type="dxa"/>
            <w:left w:w="0" w:type="dxa"/>
            <w:bottom w:w="0" w:type="dxa"/>
            <w:right w:w="0" w:type="dxa"/>
          </w:tblCellMar>
        </w:tblPrEx>
        <w:trPr>
          <w:trHeight w:val="979" w:hRule="atLeast"/>
        </w:trPr>
        <w:tc>
          <w:tcPr>
            <w:tcW w:w="1446" w:type="dxa"/>
            <w:tcBorders>
              <w:top w:val="single" w:color="000000" w:sz="12" w:space="0"/>
            </w:tcBorders>
          </w:tcPr>
          <w:p w14:paraId="76D6CEFF">
            <w:pPr>
              <w:pStyle w:val="65"/>
              <w:spacing w:line="272" w:lineRule="exact"/>
              <w:ind w:left="62"/>
              <w:rPr>
                <w:sz w:val="24"/>
              </w:rPr>
            </w:pPr>
            <w:r>
              <w:rPr>
                <w:spacing w:val="-5"/>
                <w:sz w:val="24"/>
              </w:rPr>
              <w:t>Age</w:t>
            </w:r>
          </w:p>
        </w:tc>
        <w:tc>
          <w:tcPr>
            <w:tcW w:w="2102" w:type="dxa"/>
            <w:tcBorders>
              <w:top w:val="single" w:color="000000" w:sz="12" w:space="0"/>
            </w:tcBorders>
          </w:tcPr>
          <w:p w14:paraId="29CFF577">
            <w:pPr>
              <w:pStyle w:val="65"/>
              <w:spacing w:line="272" w:lineRule="exact"/>
              <w:ind w:left="556"/>
              <w:rPr>
                <w:sz w:val="24"/>
              </w:rPr>
            </w:pPr>
            <w:r>
              <w:rPr>
                <w:sz w:val="24"/>
              </w:rPr>
              <w:t>&lt;</w:t>
            </w:r>
            <w:r>
              <w:rPr>
                <w:spacing w:val="-1"/>
                <w:sz w:val="24"/>
              </w:rPr>
              <w:t xml:space="preserve"> </w:t>
            </w:r>
            <w:r>
              <w:rPr>
                <w:sz w:val="24"/>
              </w:rPr>
              <w:t>7</w:t>
            </w:r>
            <w:r>
              <w:rPr>
                <w:spacing w:val="2"/>
                <w:sz w:val="24"/>
              </w:rPr>
              <w:t xml:space="preserve"> </w:t>
            </w:r>
            <w:r>
              <w:rPr>
                <w:spacing w:val="-4"/>
                <w:sz w:val="24"/>
              </w:rPr>
              <w:t>days</w:t>
            </w:r>
          </w:p>
          <w:p w14:paraId="2A088E34">
            <w:pPr>
              <w:pStyle w:val="65"/>
              <w:rPr>
                <w:sz w:val="24"/>
              </w:rPr>
            </w:pPr>
          </w:p>
          <w:p w14:paraId="25442EAB">
            <w:pPr>
              <w:pStyle w:val="65"/>
              <w:ind w:left="618"/>
              <w:rPr>
                <w:sz w:val="24"/>
              </w:rPr>
            </w:pPr>
            <w:r>
              <w:rPr>
                <w:sz w:val="24"/>
              </w:rPr>
              <w:t>&gt;7</w:t>
            </w:r>
            <w:r>
              <w:rPr>
                <w:spacing w:val="1"/>
                <w:sz w:val="24"/>
              </w:rPr>
              <w:t xml:space="preserve"> </w:t>
            </w:r>
            <w:r>
              <w:rPr>
                <w:spacing w:val="-5"/>
                <w:sz w:val="24"/>
              </w:rPr>
              <w:t>day</w:t>
            </w:r>
          </w:p>
        </w:tc>
        <w:tc>
          <w:tcPr>
            <w:tcW w:w="1939" w:type="dxa"/>
            <w:tcBorders>
              <w:top w:val="single" w:color="000000" w:sz="12" w:space="0"/>
            </w:tcBorders>
          </w:tcPr>
          <w:p w14:paraId="43BF1E6D">
            <w:pPr>
              <w:pStyle w:val="65"/>
              <w:spacing w:line="272" w:lineRule="exact"/>
              <w:ind w:left="12" w:right="128"/>
              <w:jc w:val="center"/>
              <w:rPr>
                <w:sz w:val="24"/>
              </w:rPr>
            </w:pPr>
            <w:r>
              <w:rPr>
                <w:spacing w:val="-5"/>
                <w:sz w:val="24"/>
              </w:rPr>
              <w:t>143</w:t>
            </w:r>
          </w:p>
          <w:p w14:paraId="15FF204E">
            <w:pPr>
              <w:pStyle w:val="65"/>
              <w:rPr>
                <w:sz w:val="24"/>
              </w:rPr>
            </w:pPr>
          </w:p>
          <w:p w14:paraId="7787089B">
            <w:pPr>
              <w:pStyle w:val="65"/>
              <w:ind w:left="7" w:right="128"/>
              <w:jc w:val="center"/>
              <w:rPr>
                <w:sz w:val="24"/>
              </w:rPr>
            </w:pPr>
            <w:r>
              <w:rPr>
                <w:spacing w:val="-5"/>
                <w:sz w:val="24"/>
              </w:rPr>
              <w:t>56</w:t>
            </w:r>
          </w:p>
        </w:tc>
        <w:tc>
          <w:tcPr>
            <w:tcW w:w="1843" w:type="dxa"/>
            <w:tcBorders>
              <w:top w:val="single" w:color="000000" w:sz="12" w:space="0"/>
            </w:tcBorders>
          </w:tcPr>
          <w:p w14:paraId="12620BF6">
            <w:pPr>
              <w:pStyle w:val="65"/>
              <w:spacing w:line="272" w:lineRule="exact"/>
              <w:ind w:left="563"/>
              <w:rPr>
                <w:sz w:val="24"/>
              </w:rPr>
            </w:pPr>
            <w:r>
              <w:rPr>
                <w:spacing w:val="-2"/>
                <w:sz w:val="24"/>
              </w:rPr>
              <w:t>71.9%</w:t>
            </w:r>
          </w:p>
          <w:p w14:paraId="56719456">
            <w:pPr>
              <w:pStyle w:val="65"/>
              <w:rPr>
                <w:sz w:val="24"/>
              </w:rPr>
            </w:pPr>
          </w:p>
          <w:p w14:paraId="5E549B61">
            <w:pPr>
              <w:pStyle w:val="65"/>
              <w:ind w:left="563"/>
              <w:rPr>
                <w:sz w:val="24"/>
              </w:rPr>
            </w:pPr>
            <w:r>
              <w:rPr>
                <w:spacing w:val="-2"/>
                <w:sz w:val="24"/>
              </w:rPr>
              <w:t>28.1%</w:t>
            </w:r>
          </w:p>
        </w:tc>
      </w:tr>
      <w:tr w14:paraId="18512983">
        <w:tblPrEx>
          <w:tblCellMar>
            <w:top w:w="0" w:type="dxa"/>
            <w:left w:w="0" w:type="dxa"/>
            <w:bottom w:w="0" w:type="dxa"/>
            <w:right w:w="0" w:type="dxa"/>
          </w:tblCellMar>
        </w:tblPrEx>
        <w:trPr>
          <w:trHeight w:val="694" w:hRule="atLeast"/>
        </w:trPr>
        <w:tc>
          <w:tcPr>
            <w:tcW w:w="1446" w:type="dxa"/>
            <w:tcBorders>
              <w:bottom w:val="single" w:color="000000" w:sz="12" w:space="0"/>
            </w:tcBorders>
          </w:tcPr>
          <w:p w14:paraId="33B096FC">
            <w:pPr>
              <w:pStyle w:val="65"/>
              <w:rPr>
                <w:sz w:val="24"/>
              </w:rPr>
            </w:pPr>
          </w:p>
        </w:tc>
        <w:tc>
          <w:tcPr>
            <w:tcW w:w="2102" w:type="dxa"/>
            <w:tcBorders>
              <w:bottom w:val="single" w:color="000000" w:sz="12" w:space="0"/>
            </w:tcBorders>
          </w:tcPr>
          <w:p w14:paraId="189D202F">
            <w:pPr>
              <w:pStyle w:val="65"/>
              <w:spacing w:before="145"/>
              <w:ind w:left="556"/>
              <w:rPr>
                <w:b/>
                <w:sz w:val="24"/>
              </w:rPr>
            </w:pPr>
            <w:r>
              <w:rPr>
                <w:b/>
                <w:spacing w:val="-2"/>
                <w:sz w:val="24"/>
              </w:rPr>
              <w:t>Total</w:t>
            </w:r>
          </w:p>
        </w:tc>
        <w:tc>
          <w:tcPr>
            <w:tcW w:w="1939" w:type="dxa"/>
            <w:tcBorders>
              <w:bottom w:val="single" w:color="000000" w:sz="12" w:space="0"/>
            </w:tcBorders>
          </w:tcPr>
          <w:p w14:paraId="5EE86E5C">
            <w:pPr>
              <w:pStyle w:val="65"/>
              <w:spacing w:before="145"/>
              <w:ind w:left="12" w:right="128"/>
              <w:jc w:val="center"/>
              <w:rPr>
                <w:b/>
                <w:sz w:val="24"/>
              </w:rPr>
            </w:pPr>
            <w:r>
              <w:rPr>
                <w:b/>
                <w:spacing w:val="-5"/>
                <w:sz w:val="24"/>
              </w:rPr>
              <w:t>199</w:t>
            </w:r>
          </w:p>
        </w:tc>
        <w:tc>
          <w:tcPr>
            <w:tcW w:w="1843" w:type="dxa"/>
            <w:tcBorders>
              <w:bottom w:val="single" w:color="000000" w:sz="12" w:space="0"/>
            </w:tcBorders>
          </w:tcPr>
          <w:p w14:paraId="15DE9D9C">
            <w:pPr>
              <w:pStyle w:val="65"/>
              <w:spacing w:before="145"/>
              <w:ind w:left="12" w:right="97"/>
              <w:jc w:val="center"/>
              <w:rPr>
                <w:b/>
                <w:sz w:val="24"/>
              </w:rPr>
            </w:pPr>
            <w:r>
              <w:rPr>
                <w:b/>
                <w:spacing w:val="-2"/>
                <w:sz w:val="24"/>
              </w:rPr>
              <w:t>100.0%</w:t>
            </w:r>
          </w:p>
        </w:tc>
      </w:tr>
      <w:tr w14:paraId="6E25CC87">
        <w:tblPrEx>
          <w:tblCellMar>
            <w:top w:w="0" w:type="dxa"/>
            <w:left w:w="0" w:type="dxa"/>
            <w:bottom w:w="0" w:type="dxa"/>
            <w:right w:w="0" w:type="dxa"/>
          </w:tblCellMar>
        </w:tblPrEx>
        <w:trPr>
          <w:trHeight w:val="276" w:hRule="atLeast"/>
        </w:trPr>
        <w:tc>
          <w:tcPr>
            <w:tcW w:w="1446" w:type="dxa"/>
            <w:tcBorders>
              <w:top w:val="single" w:color="000000" w:sz="12" w:space="0"/>
            </w:tcBorders>
          </w:tcPr>
          <w:p w14:paraId="7CB25722">
            <w:pPr>
              <w:pStyle w:val="65"/>
              <w:spacing w:before="1" w:line="256" w:lineRule="exact"/>
              <w:ind w:left="124"/>
              <w:rPr>
                <w:sz w:val="24"/>
              </w:rPr>
            </w:pPr>
            <w:r>
              <w:rPr>
                <w:spacing w:val="-2"/>
                <w:sz w:val="24"/>
              </w:rPr>
              <w:t>Gender</w:t>
            </w:r>
          </w:p>
        </w:tc>
        <w:tc>
          <w:tcPr>
            <w:tcW w:w="2102" w:type="dxa"/>
            <w:tcBorders>
              <w:top w:val="single" w:color="000000" w:sz="12" w:space="0"/>
            </w:tcBorders>
          </w:tcPr>
          <w:p w14:paraId="60C5BDAB">
            <w:pPr>
              <w:pStyle w:val="65"/>
              <w:spacing w:before="1" w:line="256" w:lineRule="exact"/>
              <w:ind w:left="556"/>
              <w:rPr>
                <w:sz w:val="24"/>
              </w:rPr>
            </w:pPr>
            <w:r>
              <w:rPr>
                <w:spacing w:val="-4"/>
                <w:sz w:val="24"/>
              </w:rPr>
              <w:t>Male</w:t>
            </w:r>
          </w:p>
        </w:tc>
        <w:tc>
          <w:tcPr>
            <w:tcW w:w="1939" w:type="dxa"/>
            <w:tcBorders>
              <w:top w:val="single" w:color="000000" w:sz="12" w:space="0"/>
            </w:tcBorders>
          </w:tcPr>
          <w:p w14:paraId="1D0A2EF3">
            <w:pPr>
              <w:pStyle w:val="65"/>
              <w:spacing w:before="1" w:line="256" w:lineRule="exact"/>
              <w:ind w:left="7" w:right="128"/>
              <w:jc w:val="center"/>
              <w:rPr>
                <w:sz w:val="24"/>
              </w:rPr>
            </w:pPr>
            <w:r>
              <w:rPr>
                <w:spacing w:val="-5"/>
                <w:sz w:val="24"/>
              </w:rPr>
              <w:t>88</w:t>
            </w:r>
          </w:p>
        </w:tc>
        <w:tc>
          <w:tcPr>
            <w:tcW w:w="1843" w:type="dxa"/>
            <w:tcBorders>
              <w:top w:val="single" w:color="000000" w:sz="12" w:space="0"/>
            </w:tcBorders>
          </w:tcPr>
          <w:p w14:paraId="2AB7F459">
            <w:pPr>
              <w:pStyle w:val="65"/>
              <w:spacing w:before="1" w:line="256" w:lineRule="exact"/>
              <w:ind w:left="5" w:right="97"/>
              <w:jc w:val="center"/>
              <w:rPr>
                <w:sz w:val="24"/>
              </w:rPr>
            </w:pPr>
            <w:r>
              <w:rPr>
                <w:spacing w:val="-2"/>
                <w:sz w:val="24"/>
              </w:rPr>
              <w:t>44.2%</w:t>
            </w:r>
          </w:p>
        </w:tc>
      </w:tr>
    </w:tbl>
    <w:p w14:paraId="3B243AD9">
      <w:pPr>
        <w:pStyle w:val="6"/>
        <w:spacing w:before="4"/>
        <w:rPr>
          <w:sz w:val="2"/>
        </w:rPr>
      </w:pPr>
    </w:p>
    <w:tbl>
      <w:tblPr>
        <w:tblStyle w:val="4"/>
        <w:tblW w:w="0" w:type="auto"/>
        <w:tblInd w:w="367" w:type="dxa"/>
        <w:tblLayout w:type="fixed"/>
        <w:tblCellMar>
          <w:top w:w="0" w:type="dxa"/>
          <w:left w:w="0" w:type="dxa"/>
          <w:bottom w:w="0" w:type="dxa"/>
          <w:right w:w="0" w:type="dxa"/>
        </w:tblCellMar>
      </w:tblPr>
      <w:tblGrid>
        <w:gridCol w:w="1812"/>
        <w:gridCol w:w="1977"/>
        <w:gridCol w:w="1518"/>
        <w:gridCol w:w="2022"/>
      </w:tblGrid>
      <w:tr w14:paraId="470CC492">
        <w:tblPrEx>
          <w:tblCellMar>
            <w:top w:w="0" w:type="dxa"/>
            <w:left w:w="0" w:type="dxa"/>
            <w:bottom w:w="0" w:type="dxa"/>
            <w:right w:w="0" w:type="dxa"/>
          </w:tblCellMar>
        </w:tblPrEx>
        <w:trPr>
          <w:trHeight w:val="411" w:hRule="atLeast"/>
        </w:trPr>
        <w:tc>
          <w:tcPr>
            <w:tcW w:w="1812" w:type="dxa"/>
          </w:tcPr>
          <w:p w14:paraId="77F26E92">
            <w:pPr>
              <w:pStyle w:val="65"/>
              <w:rPr>
                <w:sz w:val="24"/>
              </w:rPr>
            </w:pPr>
          </w:p>
        </w:tc>
        <w:tc>
          <w:tcPr>
            <w:tcW w:w="1977" w:type="dxa"/>
          </w:tcPr>
          <w:p w14:paraId="2A88CBC7">
            <w:pPr>
              <w:pStyle w:val="65"/>
              <w:spacing w:line="266" w:lineRule="exact"/>
              <w:ind w:left="190"/>
              <w:rPr>
                <w:sz w:val="24"/>
              </w:rPr>
            </w:pPr>
            <w:r>
              <w:rPr>
                <w:spacing w:val="-2"/>
                <w:sz w:val="24"/>
              </w:rPr>
              <w:t>Female</w:t>
            </w:r>
          </w:p>
        </w:tc>
        <w:tc>
          <w:tcPr>
            <w:tcW w:w="1518" w:type="dxa"/>
          </w:tcPr>
          <w:p w14:paraId="5CFE6B21">
            <w:pPr>
              <w:pStyle w:val="65"/>
              <w:spacing w:line="266" w:lineRule="exact"/>
              <w:ind w:right="666"/>
              <w:jc w:val="right"/>
              <w:rPr>
                <w:sz w:val="24"/>
              </w:rPr>
            </w:pPr>
            <w:r>
              <w:rPr>
                <w:spacing w:val="-5"/>
                <w:sz w:val="24"/>
              </w:rPr>
              <w:t>111</w:t>
            </w:r>
          </w:p>
        </w:tc>
        <w:tc>
          <w:tcPr>
            <w:tcW w:w="2022" w:type="dxa"/>
          </w:tcPr>
          <w:p w14:paraId="2760C906">
            <w:pPr>
              <w:pStyle w:val="65"/>
              <w:spacing w:line="266" w:lineRule="exact"/>
              <w:ind w:left="93" w:right="7"/>
              <w:jc w:val="center"/>
              <w:rPr>
                <w:sz w:val="24"/>
              </w:rPr>
            </w:pPr>
            <w:r>
              <w:rPr>
                <w:spacing w:val="-2"/>
                <w:sz w:val="24"/>
              </w:rPr>
              <w:t>55.8%</w:t>
            </w:r>
          </w:p>
        </w:tc>
      </w:tr>
      <w:tr w14:paraId="00DE7533">
        <w:tblPrEx>
          <w:tblCellMar>
            <w:top w:w="0" w:type="dxa"/>
            <w:left w:w="0" w:type="dxa"/>
            <w:bottom w:w="0" w:type="dxa"/>
            <w:right w:w="0" w:type="dxa"/>
          </w:tblCellMar>
        </w:tblPrEx>
        <w:trPr>
          <w:trHeight w:val="685" w:hRule="atLeast"/>
        </w:trPr>
        <w:tc>
          <w:tcPr>
            <w:tcW w:w="1812" w:type="dxa"/>
            <w:tcBorders>
              <w:bottom w:val="single" w:color="000000" w:sz="12" w:space="0"/>
            </w:tcBorders>
          </w:tcPr>
          <w:p w14:paraId="4FDDE343">
            <w:pPr>
              <w:pStyle w:val="65"/>
              <w:rPr>
                <w:sz w:val="24"/>
              </w:rPr>
            </w:pPr>
          </w:p>
        </w:tc>
        <w:tc>
          <w:tcPr>
            <w:tcW w:w="1977" w:type="dxa"/>
            <w:tcBorders>
              <w:bottom w:val="single" w:color="000000" w:sz="12" w:space="0"/>
            </w:tcBorders>
          </w:tcPr>
          <w:p w14:paraId="0E647375">
            <w:pPr>
              <w:pStyle w:val="65"/>
              <w:spacing w:before="135"/>
              <w:ind w:left="190"/>
              <w:rPr>
                <w:b/>
                <w:sz w:val="24"/>
              </w:rPr>
            </w:pPr>
            <w:r>
              <w:rPr>
                <w:b/>
                <w:spacing w:val="-2"/>
                <w:sz w:val="24"/>
              </w:rPr>
              <w:t>Total</w:t>
            </w:r>
          </w:p>
        </w:tc>
        <w:tc>
          <w:tcPr>
            <w:tcW w:w="1518" w:type="dxa"/>
            <w:tcBorders>
              <w:bottom w:val="single" w:color="000000" w:sz="12" w:space="0"/>
            </w:tcBorders>
          </w:tcPr>
          <w:p w14:paraId="3EAE1B7B">
            <w:pPr>
              <w:pStyle w:val="65"/>
              <w:spacing w:before="135"/>
              <w:ind w:right="666"/>
              <w:jc w:val="right"/>
              <w:rPr>
                <w:b/>
                <w:sz w:val="24"/>
              </w:rPr>
            </w:pPr>
            <w:r>
              <w:rPr>
                <w:b/>
                <w:spacing w:val="-5"/>
                <w:sz w:val="24"/>
              </w:rPr>
              <w:t>199</w:t>
            </w:r>
          </w:p>
        </w:tc>
        <w:tc>
          <w:tcPr>
            <w:tcW w:w="2022" w:type="dxa"/>
            <w:tcBorders>
              <w:bottom w:val="single" w:color="000000" w:sz="12" w:space="0"/>
            </w:tcBorders>
          </w:tcPr>
          <w:p w14:paraId="38611E91">
            <w:pPr>
              <w:pStyle w:val="65"/>
              <w:spacing w:before="135"/>
              <w:ind w:left="93"/>
              <w:jc w:val="center"/>
              <w:rPr>
                <w:b/>
                <w:sz w:val="24"/>
              </w:rPr>
            </w:pPr>
            <w:r>
              <w:rPr>
                <w:b/>
                <w:spacing w:val="-2"/>
                <w:sz w:val="24"/>
              </w:rPr>
              <w:t>100.0%</w:t>
            </w:r>
          </w:p>
        </w:tc>
      </w:tr>
      <w:tr w14:paraId="1903762A">
        <w:tblPrEx>
          <w:tblCellMar>
            <w:top w:w="0" w:type="dxa"/>
            <w:left w:w="0" w:type="dxa"/>
            <w:bottom w:w="0" w:type="dxa"/>
            <w:right w:w="0" w:type="dxa"/>
          </w:tblCellMar>
        </w:tblPrEx>
        <w:trPr>
          <w:trHeight w:val="415" w:hRule="atLeast"/>
        </w:trPr>
        <w:tc>
          <w:tcPr>
            <w:tcW w:w="1812" w:type="dxa"/>
            <w:tcBorders>
              <w:top w:val="single" w:color="000000" w:sz="12" w:space="0"/>
            </w:tcBorders>
          </w:tcPr>
          <w:p w14:paraId="7142D4CE">
            <w:pPr>
              <w:pStyle w:val="65"/>
              <w:spacing w:line="272" w:lineRule="exact"/>
              <w:ind w:left="124"/>
              <w:rPr>
                <w:sz w:val="24"/>
              </w:rPr>
            </w:pPr>
            <w:r>
              <w:rPr>
                <w:sz w:val="24"/>
              </w:rPr>
              <w:t>Maternal</w:t>
            </w:r>
            <w:r>
              <w:rPr>
                <w:spacing w:val="-4"/>
                <w:sz w:val="24"/>
              </w:rPr>
              <w:t xml:space="preserve"> </w:t>
            </w:r>
            <w:r>
              <w:rPr>
                <w:spacing w:val="-5"/>
                <w:sz w:val="24"/>
              </w:rPr>
              <w:t>Age</w:t>
            </w:r>
          </w:p>
        </w:tc>
        <w:tc>
          <w:tcPr>
            <w:tcW w:w="1977" w:type="dxa"/>
            <w:tcBorders>
              <w:top w:val="single" w:color="000000" w:sz="12" w:space="0"/>
            </w:tcBorders>
          </w:tcPr>
          <w:p w14:paraId="2BEAD448">
            <w:pPr>
              <w:pStyle w:val="65"/>
              <w:spacing w:line="272" w:lineRule="exact"/>
              <w:ind w:left="190"/>
              <w:rPr>
                <w:sz w:val="24"/>
              </w:rPr>
            </w:pPr>
            <w:r>
              <w:rPr>
                <w:sz w:val="24"/>
              </w:rPr>
              <w:t>&lt;18</w:t>
            </w:r>
            <w:r>
              <w:rPr>
                <w:spacing w:val="5"/>
                <w:sz w:val="24"/>
              </w:rPr>
              <w:t xml:space="preserve"> </w:t>
            </w:r>
            <w:r>
              <w:rPr>
                <w:spacing w:val="-2"/>
                <w:sz w:val="24"/>
              </w:rPr>
              <w:t>years</w:t>
            </w:r>
          </w:p>
        </w:tc>
        <w:tc>
          <w:tcPr>
            <w:tcW w:w="1518" w:type="dxa"/>
            <w:tcBorders>
              <w:top w:val="single" w:color="000000" w:sz="12" w:space="0"/>
            </w:tcBorders>
          </w:tcPr>
          <w:p w14:paraId="6ADE8D52">
            <w:pPr>
              <w:pStyle w:val="65"/>
              <w:spacing w:line="272" w:lineRule="exact"/>
              <w:ind w:right="729"/>
              <w:jc w:val="right"/>
              <w:rPr>
                <w:sz w:val="24"/>
              </w:rPr>
            </w:pPr>
            <w:r>
              <w:rPr>
                <w:spacing w:val="-5"/>
                <w:sz w:val="24"/>
              </w:rPr>
              <w:t>15</w:t>
            </w:r>
          </w:p>
        </w:tc>
        <w:tc>
          <w:tcPr>
            <w:tcW w:w="2022" w:type="dxa"/>
            <w:tcBorders>
              <w:top w:val="single" w:color="000000" w:sz="12" w:space="0"/>
            </w:tcBorders>
          </w:tcPr>
          <w:p w14:paraId="76E06158">
            <w:pPr>
              <w:pStyle w:val="65"/>
              <w:spacing w:line="272" w:lineRule="exact"/>
              <w:ind w:left="93" w:right="2"/>
              <w:jc w:val="center"/>
              <w:rPr>
                <w:sz w:val="24"/>
              </w:rPr>
            </w:pPr>
            <w:r>
              <w:rPr>
                <w:spacing w:val="-4"/>
                <w:sz w:val="24"/>
              </w:rPr>
              <w:t>7.5%</w:t>
            </w:r>
          </w:p>
        </w:tc>
      </w:tr>
      <w:tr w14:paraId="602CA1DF">
        <w:tblPrEx>
          <w:tblCellMar>
            <w:top w:w="0" w:type="dxa"/>
            <w:left w:w="0" w:type="dxa"/>
            <w:bottom w:w="0" w:type="dxa"/>
            <w:right w:w="0" w:type="dxa"/>
          </w:tblCellMar>
        </w:tblPrEx>
        <w:trPr>
          <w:trHeight w:val="552" w:hRule="atLeast"/>
        </w:trPr>
        <w:tc>
          <w:tcPr>
            <w:tcW w:w="1812" w:type="dxa"/>
          </w:tcPr>
          <w:p w14:paraId="34D8F337">
            <w:pPr>
              <w:pStyle w:val="65"/>
              <w:rPr>
                <w:sz w:val="24"/>
              </w:rPr>
            </w:pPr>
          </w:p>
        </w:tc>
        <w:tc>
          <w:tcPr>
            <w:tcW w:w="1977" w:type="dxa"/>
          </w:tcPr>
          <w:p w14:paraId="01F7432D">
            <w:pPr>
              <w:pStyle w:val="65"/>
              <w:spacing w:before="133"/>
              <w:ind w:left="190"/>
              <w:rPr>
                <w:sz w:val="24"/>
              </w:rPr>
            </w:pPr>
            <w:r>
              <w:rPr>
                <w:sz w:val="24"/>
              </w:rPr>
              <w:t>18–35</w:t>
            </w:r>
            <w:r>
              <w:rPr>
                <w:spacing w:val="2"/>
                <w:sz w:val="24"/>
              </w:rPr>
              <w:t xml:space="preserve"> </w:t>
            </w:r>
            <w:r>
              <w:rPr>
                <w:spacing w:val="-2"/>
                <w:sz w:val="24"/>
              </w:rPr>
              <w:t>years</w:t>
            </w:r>
          </w:p>
        </w:tc>
        <w:tc>
          <w:tcPr>
            <w:tcW w:w="1518" w:type="dxa"/>
          </w:tcPr>
          <w:p w14:paraId="05D8BFB0">
            <w:pPr>
              <w:pStyle w:val="65"/>
              <w:spacing w:before="133"/>
              <w:ind w:right="666"/>
              <w:jc w:val="right"/>
              <w:rPr>
                <w:sz w:val="24"/>
              </w:rPr>
            </w:pPr>
            <w:r>
              <w:rPr>
                <w:spacing w:val="-5"/>
                <w:sz w:val="24"/>
              </w:rPr>
              <w:t>152</w:t>
            </w:r>
          </w:p>
        </w:tc>
        <w:tc>
          <w:tcPr>
            <w:tcW w:w="2022" w:type="dxa"/>
          </w:tcPr>
          <w:p w14:paraId="673E681A">
            <w:pPr>
              <w:pStyle w:val="65"/>
              <w:spacing w:before="133"/>
              <w:ind w:left="93" w:right="7"/>
              <w:jc w:val="center"/>
              <w:rPr>
                <w:sz w:val="24"/>
              </w:rPr>
            </w:pPr>
            <w:r>
              <w:rPr>
                <w:spacing w:val="-2"/>
                <w:sz w:val="24"/>
              </w:rPr>
              <w:t>76.4%</w:t>
            </w:r>
          </w:p>
        </w:tc>
      </w:tr>
      <w:tr w14:paraId="30D55E1E">
        <w:tblPrEx>
          <w:tblCellMar>
            <w:top w:w="0" w:type="dxa"/>
            <w:left w:w="0" w:type="dxa"/>
            <w:bottom w:w="0" w:type="dxa"/>
            <w:right w:w="0" w:type="dxa"/>
          </w:tblCellMar>
        </w:tblPrEx>
        <w:trPr>
          <w:trHeight w:val="554" w:hRule="atLeast"/>
        </w:trPr>
        <w:tc>
          <w:tcPr>
            <w:tcW w:w="1812" w:type="dxa"/>
          </w:tcPr>
          <w:p w14:paraId="2B4AE345">
            <w:pPr>
              <w:pStyle w:val="65"/>
              <w:rPr>
                <w:sz w:val="24"/>
              </w:rPr>
            </w:pPr>
          </w:p>
        </w:tc>
        <w:tc>
          <w:tcPr>
            <w:tcW w:w="1977" w:type="dxa"/>
          </w:tcPr>
          <w:p w14:paraId="72FDA02F">
            <w:pPr>
              <w:pStyle w:val="65"/>
              <w:spacing w:before="133"/>
              <w:ind w:left="190"/>
              <w:rPr>
                <w:sz w:val="24"/>
              </w:rPr>
            </w:pPr>
            <w:r>
              <w:rPr>
                <w:sz w:val="24"/>
              </w:rPr>
              <w:t>&gt;35</w:t>
            </w:r>
            <w:r>
              <w:rPr>
                <w:spacing w:val="5"/>
                <w:sz w:val="24"/>
              </w:rPr>
              <w:t xml:space="preserve"> </w:t>
            </w:r>
            <w:r>
              <w:rPr>
                <w:spacing w:val="-2"/>
                <w:sz w:val="24"/>
              </w:rPr>
              <w:t>years</w:t>
            </w:r>
          </w:p>
        </w:tc>
        <w:tc>
          <w:tcPr>
            <w:tcW w:w="1518" w:type="dxa"/>
          </w:tcPr>
          <w:p w14:paraId="06F72E47">
            <w:pPr>
              <w:pStyle w:val="65"/>
              <w:spacing w:before="133"/>
              <w:ind w:right="729"/>
              <w:jc w:val="right"/>
              <w:rPr>
                <w:sz w:val="24"/>
              </w:rPr>
            </w:pPr>
            <w:r>
              <w:rPr>
                <w:spacing w:val="-5"/>
                <w:sz w:val="24"/>
              </w:rPr>
              <w:t>32</w:t>
            </w:r>
          </w:p>
        </w:tc>
        <w:tc>
          <w:tcPr>
            <w:tcW w:w="2022" w:type="dxa"/>
          </w:tcPr>
          <w:p w14:paraId="53B70F5E">
            <w:pPr>
              <w:pStyle w:val="65"/>
              <w:spacing w:before="133"/>
              <w:ind w:left="93" w:right="7"/>
              <w:jc w:val="center"/>
              <w:rPr>
                <w:sz w:val="24"/>
              </w:rPr>
            </w:pPr>
            <w:r>
              <w:rPr>
                <w:spacing w:val="-2"/>
                <w:sz w:val="24"/>
              </w:rPr>
              <w:t>16.1%</w:t>
            </w:r>
          </w:p>
        </w:tc>
      </w:tr>
      <w:tr w14:paraId="6A99684E">
        <w:tblPrEx>
          <w:tblCellMar>
            <w:top w:w="0" w:type="dxa"/>
            <w:left w:w="0" w:type="dxa"/>
            <w:bottom w:w="0" w:type="dxa"/>
            <w:right w:w="0" w:type="dxa"/>
          </w:tblCellMar>
        </w:tblPrEx>
        <w:trPr>
          <w:trHeight w:val="552" w:hRule="atLeast"/>
        </w:trPr>
        <w:tc>
          <w:tcPr>
            <w:tcW w:w="1812" w:type="dxa"/>
          </w:tcPr>
          <w:p w14:paraId="04887DFE">
            <w:pPr>
              <w:pStyle w:val="65"/>
              <w:rPr>
                <w:sz w:val="24"/>
              </w:rPr>
            </w:pPr>
          </w:p>
        </w:tc>
        <w:tc>
          <w:tcPr>
            <w:tcW w:w="1977" w:type="dxa"/>
          </w:tcPr>
          <w:p w14:paraId="03562BA1">
            <w:pPr>
              <w:pStyle w:val="65"/>
              <w:spacing w:before="135"/>
              <w:ind w:left="190"/>
              <w:rPr>
                <w:b/>
                <w:sz w:val="24"/>
              </w:rPr>
            </w:pPr>
            <w:r>
              <w:rPr>
                <w:b/>
                <w:spacing w:val="-2"/>
                <w:sz w:val="24"/>
              </w:rPr>
              <w:t>Total</w:t>
            </w:r>
          </w:p>
        </w:tc>
        <w:tc>
          <w:tcPr>
            <w:tcW w:w="1518" w:type="dxa"/>
          </w:tcPr>
          <w:p w14:paraId="1BD4755D">
            <w:pPr>
              <w:pStyle w:val="65"/>
              <w:spacing w:before="135"/>
              <w:ind w:right="666"/>
              <w:jc w:val="right"/>
              <w:rPr>
                <w:b/>
                <w:sz w:val="24"/>
              </w:rPr>
            </w:pPr>
            <w:r>
              <w:rPr>
                <w:b/>
                <w:spacing w:val="-5"/>
                <w:sz w:val="24"/>
              </w:rPr>
              <w:t>199</w:t>
            </w:r>
          </w:p>
        </w:tc>
        <w:tc>
          <w:tcPr>
            <w:tcW w:w="2022" w:type="dxa"/>
          </w:tcPr>
          <w:p w14:paraId="40A73B44">
            <w:pPr>
              <w:pStyle w:val="65"/>
              <w:spacing w:before="135"/>
              <w:ind w:left="93"/>
              <w:jc w:val="center"/>
              <w:rPr>
                <w:b/>
                <w:sz w:val="24"/>
              </w:rPr>
            </w:pPr>
            <w:r>
              <w:rPr>
                <w:b/>
                <w:spacing w:val="-2"/>
                <w:sz w:val="24"/>
              </w:rPr>
              <w:t>100.0%</w:t>
            </w:r>
          </w:p>
        </w:tc>
      </w:tr>
      <w:tr w14:paraId="1E4D7236">
        <w:tblPrEx>
          <w:tblCellMar>
            <w:top w:w="0" w:type="dxa"/>
            <w:left w:w="0" w:type="dxa"/>
            <w:bottom w:w="0" w:type="dxa"/>
            <w:right w:w="0" w:type="dxa"/>
          </w:tblCellMar>
        </w:tblPrEx>
        <w:trPr>
          <w:trHeight w:val="549" w:hRule="atLeast"/>
        </w:trPr>
        <w:tc>
          <w:tcPr>
            <w:tcW w:w="1812" w:type="dxa"/>
          </w:tcPr>
          <w:p w14:paraId="1A4378EA">
            <w:pPr>
              <w:pStyle w:val="65"/>
              <w:spacing w:before="130"/>
              <w:rPr>
                <w:sz w:val="24"/>
              </w:rPr>
            </w:pPr>
            <w:r>
              <w:rPr>
                <w:sz w:val="24"/>
              </w:rPr>
              <w:t>Mother’s</w:t>
            </w:r>
            <w:r>
              <w:rPr>
                <w:spacing w:val="-3"/>
                <w:sz w:val="24"/>
              </w:rPr>
              <w:t xml:space="preserve"> </w:t>
            </w:r>
            <w:r>
              <w:rPr>
                <w:sz w:val="24"/>
              </w:rPr>
              <w:t>level</w:t>
            </w:r>
            <w:r>
              <w:rPr>
                <w:spacing w:val="-8"/>
                <w:sz w:val="24"/>
              </w:rPr>
              <w:t xml:space="preserve"> </w:t>
            </w:r>
            <w:r>
              <w:rPr>
                <w:spacing w:val="-5"/>
                <w:sz w:val="24"/>
              </w:rPr>
              <w:t>of</w:t>
            </w:r>
          </w:p>
        </w:tc>
        <w:tc>
          <w:tcPr>
            <w:tcW w:w="1977" w:type="dxa"/>
          </w:tcPr>
          <w:p w14:paraId="29827729">
            <w:pPr>
              <w:pStyle w:val="65"/>
              <w:spacing w:before="130"/>
              <w:ind w:left="190"/>
              <w:rPr>
                <w:sz w:val="24"/>
              </w:rPr>
            </w:pPr>
            <w:r>
              <w:rPr>
                <w:spacing w:val="-2"/>
                <w:sz w:val="24"/>
              </w:rPr>
              <w:t>Primary</w:t>
            </w:r>
          </w:p>
        </w:tc>
        <w:tc>
          <w:tcPr>
            <w:tcW w:w="1518" w:type="dxa"/>
          </w:tcPr>
          <w:p w14:paraId="0D2224AF">
            <w:pPr>
              <w:pStyle w:val="65"/>
              <w:spacing w:before="130"/>
              <w:ind w:right="729"/>
              <w:jc w:val="right"/>
              <w:rPr>
                <w:sz w:val="24"/>
              </w:rPr>
            </w:pPr>
            <w:r>
              <w:rPr>
                <w:spacing w:val="-5"/>
                <w:sz w:val="24"/>
              </w:rPr>
              <w:t>66</w:t>
            </w:r>
          </w:p>
        </w:tc>
        <w:tc>
          <w:tcPr>
            <w:tcW w:w="2022" w:type="dxa"/>
          </w:tcPr>
          <w:p w14:paraId="71E5F74E">
            <w:pPr>
              <w:pStyle w:val="65"/>
              <w:spacing w:before="130"/>
              <w:ind w:left="93" w:right="7"/>
              <w:jc w:val="center"/>
              <w:rPr>
                <w:sz w:val="24"/>
              </w:rPr>
            </w:pPr>
            <w:r>
              <w:rPr>
                <w:spacing w:val="-5"/>
                <w:sz w:val="24"/>
              </w:rPr>
              <w:t>33%</w:t>
            </w:r>
          </w:p>
        </w:tc>
      </w:tr>
      <w:tr w14:paraId="135B1E70">
        <w:tblPrEx>
          <w:tblCellMar>
            <w:top w:w="0" w:type="dxa"/>
            <w:left w:w="0" w:type="dxa"/>
            <w:bottom w:w="0" w:type="dxa"/>
            <w:right w:w="0" w:type="dxa"/>
          </w:tblCellMar>
        </w:tblPrEx>
        <w:trPr>
          <w:trHeight w:val="552" w:hRule="atLeast"/>
        </w:trPr>
        <w:tc>
          <w:tcPr>
            <w:tcW w:w="1812" w:type="dxa"/>
          </w:tcPr>
          <w:p w14:paraId="1C23334C">
            <w:pPr>
              <w:pStyle w:val="65"/>
              <w:spacing w:before="133"/>
              <w:rPr>
                <w:sz w:val="24"/>
              </w:rPr>
            </w:pPr>
            <w:r>
              <w:rPr>
                <w:spacing w:val="-2"/>
                <w:sz w:val="24"/>
              </w:rPr>
              <w:t>education</w:t>
            </w:r>
          </w:p>
        </w:tc>
        <w:tc>
          <w:tcPr>
            <w:tcW w:w="1977" w:type="dxa"/>
          </w:tcPr>
          <w:p w14:paraId="0D73AE7F">
            <w:pPr>
              <w:pStyle w:val="65"/>
              <w:spacing w:before="133"/>
              <w:ind w:left="190"/>
              <w:rPr>
                <w:sz w:val="24"/>
              </w:rPr>
            </w:pPr>
            <w:r>
              <w:rPr>
                <w:spacing w:val="-2"/>
                <w:sz w:val="24"/>
              </w:rPr>
              <w:t>Secondary</w:t>
            </w:r>
          </w:p>
        </w:tc>
        <w:tc>
          <w:tcPr>
            <w:tcW w:w="1518" w:type="dxa"/>
          </w:tcPr>
          <w:p w14:paraId="29FA0758">
            <w:pPr>
              <w:pStyle w:val="65"/>
              <w:spacing w:before="133"/>
              <w:ind w:right="729"/>
              <w:jc w:val="right"/>
              <w:rPr>
                <w:sz w:val="24"/>
              </w:rPr>
            </w:pPr>
            <w:r>
              <w:rPr>
                <w:spacing w:val="-5"/>
                <w:sz w:val="24"/>
              </w:rPr>
              <w:t>87</w:t>
            </w:r>
          </w:p>
        </w:tc>
        <w:tc>
          <w:tcPr>
            <w:tcW w:w="2022" w:type="dxa"/>
          </w:tcPr>
          <w:p w14:paraId="77F88033">
            <w:pPr>
              <w:pStyle w:val="65"/>
              <w:spacing w:before="133"/>
              <w:ind w:left="93" w:right="7"/>
              <w:jc w:val="center"/>
              <w:rPr>
                <w:sz w:val="24"/>
              </w:rPr>
            </w:pPr>
            <w:r>
              <w:rPr>
                <w:spacing w:val="-5"/>
                <w:sz w:val="24"/>
              </w:rPr>
              <w:t>44%</w:t>
            </w:r>
          </w:p>
        </w:tc>
      </w:tr>
      <w:tr w14:paraId="6EE32D5A">
        <w:tblPrEx>
          <w:tblCellMar>
            <w:top w:w="0" w:type="dxa"/>
            <w:left w:w="0" w:type="dxa"/>
            <w:bottom w:w="0" w:type="dxa"/>
            <w:right w:w="0" w:type="dxa"/>
          </w:tblCellMar>
        </w:tblPrEx>
        <w:trPr>
          <w:trHeight w:val="554" w:hRule="atLeast"/>
        </w:trPr>
        <w:tc>
          <w:tcPr>
            <w:tcW w:w="1812" w:type="dxa"/>
          </w:tcPr>
          <w:p w14:paraId="29AB768C">
            <w:pPr>
              <w:pStyle w:val="65"/>
              <w:rPr>
                <w:sz w:val="24"/>
              </w:rPr>
            </w:pPr>
          </w:p>
        </w:tc>
        <w:tc>
          <w:tcPr>
            <w:tcW w:w="1977" w:type="dxa"/>
          </w:tcPr>
          <w:p w14:paraId="31EF93C1">
            <w:pPr>
              <w:pStyle w:val="65"/>
              <w:spacing w:before="133"/>
              <w:ind w:left="190"/>
              <w:rPr>
                <w:sz w:val="24"/>
              </w:rPr>
            </w:pPr>
            <w:r>
              <w:rPr>
                <w:spacing w:val="-2"/>
                <w:sz w:val="24"/>
              </w:rPr>
              <w:t>College/Uni</w:t>
            </w:r>
          </w:p>
        </w:tc>
        <w:tc>
          <w:tcPr>
            <w:tcW w:w="1518" w:type="dxa"/>
          </w:tcPr>
          <w:p w14:paraId="4F04241C">
            <w:pPr>
              <w:pStyle w:val="65"/>
              <w:spacing w:before="133"/>
              <w:ind w:right="729"/>
              <w:jc w:val="right"/>
              <w:rPr>
                <w:sz w:val="24"/>
              </w:rPr>
            </w:pPr>
            <w:r>
              <w:rPr>
                <w:spacing w:val="-5"/>
                <w:sz w:val="24"/>
              </w:rPr>
              <w:t>46</w:t>
            </w:r>
          </w:p>
        </w:tc>
        <w:tc>
          <w:tcPr>
            <w:tcW w:w="2022" w:type="dxa"/>
          </w:tcPr>
          <w:p w14:paraId="6CEA2D92">
            <w:pPr>
              <w:pStyle w:val="65"/>
              <w:spacing w:before="133"/>
              <w:ind w:left="93" w:right="7"/>
              <w:jc w:val="center"/>
              <w:rPr>
                <w:sz w:val="24"/>
              </w:rPr>
            </w:pPr>
            <w:r>
              <w:rPr>
                <w:spacing w:val="-5"/>
                <w:sz w:val="24"/>
              </w:rPr>
              <w:t>23%</w:t>
            </w:r>
          </w:p>
        </w:tc>
      </w:tr>
      <w:tr w14:paraId="1DDA9C12">
        <w:tblPrEx>
          <w:tblCellMar>
            <w:top w:w="0" w:type="dxa"/>
            <w:left w:w="0" w:type="dxa"/>
            <w:bottom w:w="0" w:type="dxa"/>
            <w:right w:w="0" w:type="dxa"/>
          </w:tblCellMar>
        </w:tblPrEx>
        <w:trPr>
          <w:trHeight w:val="551" w:hRule="atLeast"/>
        </w:trPr>
        <w:tc>
          <w:tcPr>
            <w:tcW w:w="1812" w:type="dxa"/>
          </w:tcPr>
          <w:p w14:paraId="1C4FC484">
            <w:pPr>
              <w:pStyle w:val="65"/>
              <w:rPr>
                <w:sz w:val="24"/>
              </w:rPr>
            </w:pPr>
          </w:p>
        </w:tc>
        <w:tc>
          <w:tcPr>
            <w:tcW w:w="1977" w:type="dxa"/>
          </w:tcPr>
          <w:p w14:paraId="3B32C84E">
            <w:pPr>
              <w:pStyle w:val="65"/>
              <w:spacing w:before="135"/>
              <w:ind w:left="190"/>
              <w:rPr>
                <w:b/>
                <w:sz w:val="24"/>
              </w:rPr>
            </w:pPr>
            <w:r>
              <w:rPr>
                <w:b/>
                <w:spacing w:val="-2"/>
                <w:sz w:val="24"/>
              </w:rPr>
              <w:t>Total</w:t>
            </w:r>
          </w:p>
        </w:tc>
        <w:tc>
          <w:tcPr>
            <w:tcW w:w="1518" w:type="dxa"/>
          </w:tcPr>
          <w:p w14:paraId="263B35B3">
            <w:pPr>
              <w:pStyle w:val="65"/>
              <w:spacing w:before="135"/>
              <w:ind w:right="666"/>
              <w:jc w:val="right"/>
              <w:rPr>
                <w:b/>
                <w:sz w:val="24"/>
              </w:rPr>
            </w:pPr>
            <w:r>
              <w:rPr>
                <w:b/>
                <w:spacing w:val="-5"/>
                <w:sz w:val="24"/>
              </w:rPr>
              <w:t>199</w:t>
            </w:r>
          </w:p>
        </w:tc>
        <w:tc>
          <w:tcPr>
            <w:tcW w:w="2022" w:type="dxa"/>
          </w:tcPr>
          <w:p w14:paraId="4887D3F1">
            <w:pPr>
              <w:pStyle w:val="65"/>
              <w:spacing w:before="135"/>
              <w:ind w:left="93" w:right="10"/>
              <w:jc w:val="center"/>
              <w:rPr>
                <w:b/>
                <w:sz w:val="24"/>
              </w:rPr>
            </w:pPr>
            <w:r>
              <w:rPr>
                <w:b/>
                <w:spacing w:val="-4"/>
                <w:sz w:val="24"/>
              </w:rPr>
              <w:t>100%</w:t>
            </w:r>
          </w:p>
        </w:tc>
      </w:tr>
      <w:tr w14:paraId="54AACD5A">
        <w:tblPrEx>
          <w:tblCellMar>
            <w:top w:w="0" w:type="dxa"/>
            <w:left w:w="0" w:type="dxa"/>
            <w:bottom w:w="0" w:type="dxa"/>
            <w:right w:w="0" w:type="dxa"/>
          </w:tblCellMar>
        </w:tblPrEx>
        <w:trPr>
          <w:trHeight w:val="549" w:hRule="atLeast"/>
        </w:trPr>
        <w:tc>
          <w:tcPr>
            <w:tcW w:w="1812" w:type="dxa"/>
          </w:tcPr>
          <w:p w14:paraId="66A21802">
            <w:pPr>
              <w:pStyle w:val="65"/>
              <w:rPr>
                <w:sz w:val="24"/>
              </w:rPr>
            </w:pPr>
          </w:p>
        </w:tc>
        <w:tc>
          <w:tcPr>
            <w:tcW w:w="1977" w:type="dxa"/>
          </w:tcPr>
          <w:p w14:paraId="737FEAC7">
            <w:pPr>
              <w:pStyle w:val="65"/>
              <w:spacing w:before="130"/>
              <w:ind w:left="190"/>
              <w:rPr>
                <w:sz w:val="24"/>
              </w:rPr>
            </w:pPr>
            <w:r>
              <w:rPr>
                <w:spacing w:val="-2"/>
                <w:sz w:val="24"/>
              </w:rPr>
              <w:t>Breastfed</w:t>
            </w:r>
          </w:p>
        </w:tc>
        <w:tc>
          <w:tcPr>
            <w:tcW w:w="1518" w:type="dxa"/>
          </w:tcPr>
          <w:p w14:paraId="0D5EBD45">
            <w:pPr>
              <w:pStyle w:val="65"/>
              <w:spacing w:before="130"/>
              <w:ind w:right="666"/>
              <w:jc w:val="right"/>
              <w:rPr>
                <w:sz w:val="24"/>
              </w:rPr>
            </w:pPr>
            <w:r>
              <w:rPr>
                <w:spacing w:val="-5"/>
                <w:sz w:val="24"/>
              </w:rPr>
              <w:t>119</w:t>
            </w:r>
          </w:p>
        </w:tc>
        <w:tc>
          <w:tcPr>
            <w:tcW w:w="2022" w:type="dxa"/>
          </w:tcPr>
          <w:p w14:paraId="068FC5FA">
            <w:pPr>
              <w:pStyle w:val="65"/>
              <w:spacing w:before="130"/>
              <w:ind w:left="93" w:right="7"/>
              <w:jc w:val="center"/>
              <w:rPr>
                <w:sz w:val="24"/>
              </w:rPr>
            </w:pPr>
            <w:r>
              <w:rPr>
                <w:spacing w:val="-5"/>
                <w:sz w:val="24"/>
              </w:rPr>
              <w:t>60%</w:t>
            </w:r>
          </w:p>
        </w:tc>
      </w:tr>
      <w:tr w14:paraId="62E426D0">
        <w:tblPrEx>
          <w:tblCellMar>
            <w:top w:w="0" w:type="dxa"/>
            <w:left w:w="0" w:type="dxa"/>
            <w:bottom w:w="0" w:type="dxa"/>
            <w:right w:w="0" w:type="dxa"/>
          </w:tblCellMar>
        </w:tblPrEx>
        <w:trPr>
          <w:trHeight w:val="552" w:hRule="atLeast"/>
        </w:trPr>
        <w:tc>
          <w:tcPr>
            <w:tcW w:w="1812" w:type="dxa"/>
          </w:tcPr>
          <w:p w14:paraId="3794E51D">
            <w:pPr>
              <w:pStyle w:val="65"/>
              <w:spacing w:before="133"/>
              <w:rPr>
                <w:sz w:val="24"/>
              </w:rPr>
            </w:pPr>
            <w:r>
              <w:rPr>
                <w:spacing w:val="-2"/>
                <w:sz w:val="24"/>
              </w:rPr>
              <w:t>Nutrition</w:t>
            </w:r>
          </w:p>
        </w:tc>
        <w:tc>
          <w:tcPr>
            <w:tcW w:w="1977" w:type="dxa"/>
          </w:tcPr>
          <w:p w14:paraId="66266732">
            <w:pPr>
              <w:pStyle w:val="65"/>
              <w:spacing w:before="133"/>
              <w:ind w:left="190"/>
              <w:rPr>
                <w:sz w:val="24"/>
              </w:rPr>
            </w:pPr>
            <w:r>
              <w:rPr>
                <w:sz w:val="24"/>
              </w:rPr>
              <w:t>Not</w:t>
            </w:r>
            <w:r>
              <w:rPr>
                <w:spacing w:val="2"/>
                <w:sz w:val="24"/>
              </w:rPr>
              <w:t xml:space="preserve"> </w:t>
            </w:r>
            <w:r>
              <w:rPr>
                <w:spacing w:val="-2"/>
                <w:sz w:val="24"/>
              </w:rPr>
              <w:t>breastfed</w:t>
            </w:r>
          </w:p>
        </w:tc>
        <w:tc>
          <w:tcPr>
            <w:tcW w:w="1518" w:type="dxa"/>
          </w:tcPr>
          <w:p w14:paraId="6A51C4F3">
            <w:pPr>
              <w:pStyle w:val="65"/>
              <w:spacing w:before="133"/>
              <w:ind w:right="729"/>
              <w:jc w:val="right"/>
              <w:rPr>
                <w:sz w:val="24"/>
              </w:rPr>
            </w:pPr>
            <w:r>
              <w:rPr>
                <w:spacing w:val="-5"/>
                <w:sz w:val="24"/>
              </w:rPr>
              <w:t>80</w:t>
            </w:r>
          </w:p>
        </w:tc>
        <w:tc>
          <w:tcPr>
            <w:tcW w:w="2022" w:type="dxa"/>
          </w:tcPr>
          <w:p w14:paraId="5DFD8BAC">
            <w:pPr>
              <w:pStyle w:val="65"/>
              <w:spacing w:before="133"/>
              <w:ind w:left="93" w:right="7"/>
              <w:jc w:val="center"/>
              <w:rPr>
                <w:sz w:val="24"/>
              </w:rPr>
            </w:pPr>
            <w:r>
              <w:rPr>
                <w:spacing w:val="-5"/>
                <w:sz w:val="24"/>
              </w:rPr>
              <w:t>40%</w:t>
            </w:r>
          </w:p>
        </w:tc>
      </w:tr>
      <w:tr w14:paraId="16EA0B91">
        <w:tblPrEx>
          <w:tblCellMar>
            <w:top w:w="0" w:type="dxa"/>
            <w:left w:w="0" w:type="dxa"/>
            <w:bottom w:w="0" w:type="dxa"/>
            <w:right w:w="0" w:type="dxa"/>
          </w:tblCellMar>
        </w:tblPrEx>
        <w:trPr>
          <w:trHeight w:val="554" w:hRule="atLeast"/>
        </w:trPr>
        <w:tc>
          <w:tcPr>
            <w:tcW w:w="1812" w:type="dxa"/>
          </w:tcPr>
          <w:p w14:paraId="65B1F7E4">
            <w:pPr>
              <w:pStyle w:val="65"/>
              <w:rPr>
                <w:sz w:val="24"/>
              </w:rPr>
            </w:pPr>
          </w:p>
        </w:tc>
        <w:tc>
          <w:tcPr>
            <w:tcW w:w="1977" w:type="dxa"/>
          </w:tcPr>
          <w:p w14:paraId="777FC91B">
            <w:pPr>
              <w:pStyle w:val="65"/>
              <w:spacing w:before="137"/>
              <w:ind w:left="190"/>
              <w:rPr>
                <w:b/>
                <w:sz w:val="24"/>
              </w:rPr>
            </w:pPr>
            <w:r>
              <w:rPr>
                <w:b/>
                <w:spacing w:val="-2"/>
                <w:sz w:val="24"/>
              </w:rPr>
              <w:t>Total</w:t>
            </w:r>
          </w:p>
        </w:tc>
        <w:tc>
          <w:tcPr>
            <w:tcW w:w="1518" w:type="dxa"/>
          </w:tcPr>
          <w:p w14:paraId="7C53047F">
            <w:pPr>
              <w:pStyle w:val="65"/>
              <w:spacing w:before="137"/>
              <w:ind w:right="666"/>
              <w:jc w:val="right"/>
              <w:rPr>
                <w:b/>
                <w:sz w:val="24"/>
              </w:rPr>
            </w:pPr>
            <w:r>
              <w:rPr>
                <w:b/>
                <w:spacing w:val="-5"/>
                <w:sz w:val="24"/>
              </w:rPr>
              <w:t>199</w:t>
            </w:r>
          </w:p>
        </w:tc>
        <w:tc>
          <w:tcPr>
            <w:tcW w:w="2022" w:type="dxa"/>
          </w:tcPr>
          <w:p w14:paraId="17E0675D">
            <w:pPr>
              <w:pStyle w:val="65"/>
              <w:spacing w:before="133"/>
              <w:ind w:left="93" w:right="11"/>
              <w:jc w:val="center"/>
              <w:rPr>
                <w:sz w:val="24"/>
              </w:rPr>
            </w:pPr>
            <w:r>
              <w:rPr>
                <w:spacing w:val="-4"/>
                <w:sz w:val="24"/>
              </w:rPr>
              <w:t>100%</w:t>
            </w:r>
          </w:p>
        </w:tc>
      </w:tr>
      <w:tr w14:paraId="7CACF466">
        <w:tblPrEx>
          <w:tblCellMar>
            <w:top w:w="0" w:type="dxa"/>
            <w:left w:w="0" w:type="dxa"/>
            <w:bottom w:w="0" w:type="dxa"/>
            <w:right w:w="0" w:type="dxa"/>
          </w:tblCellMar>
        </w:tblPrEx>
        <w:trPr>
          <w:trHeight w:val="549" w:hRule="atLeast"/>
        </w:trPr>
        <w:tc>
          <w:tcPr>
            <w:tcW w:w="1812" w:type="dxa"/>
          </w:tcPr>
          <w:p w14:paraId="2BCA76AB">
            <w:pPr>
              <w:pStyle w:val="65"/>
              <w:spacing w:before="130"/>
              <w:rPr>
                <w:sz w:val="24"/>
              </w:rPr>
            </w:pPr>
            <w:r>
              <w:rPr>
                <w:sz w:val="24"/>
              </w:rPr>
              <w:t>Mother’s</w:t>
            </w:r>
            <w:r>
              <w:rPr>
                <w:spacing w:val="-3"/>
                <w:sz w:val="24"/>
              </w:rPr>
              <w:t xml:space="preserve"> </w:t>
            </w:r>
            <w:r>
              <w:rPr>
                <w:spacing w:val="-2"/>
                <w:sz w:val="24"/>
              </w:rPr>
              <w:t>marital</w:t>
            </w:r>
          </w:p>
        </w:tc>
        <w:tc>
          <w:tcPr>
            <w:tcW w:w="1977" w:type="dxa"/>
          </w:tcPr>
          <w:p w14:paraId="1137526B">
            <w:pPr>
              <w:pStyle w:val="65"/>
              <w:spacing w:before="130"/>
              <w:ind w:left="190"/>
              <w:rPr>
                <w:sz w:val="24"/>
              </w:rPr>
            </w:pPr>
            <w:r>
              <w:rPr>
                <w:spacing w:val="-2"/>
                <w:sz w:val="24"/>
              </w:rPr>
              <w:t>Married</w:t>
            </w:r>
          </w:p>
        </w:tc>
        <w:tc>
          <w:tcPr>
            <w:tcW w:w="1518" w:type="dxa"/>
          </w:tcPr>
          <w:p w14:paraId="1261939D">
            <w:pPr>
              <w:pStyle w:val="65"/>
              <w:spacing w:before="130"/>
              <w:ind w:right="666"/>
              <w:jc w:val="right"/>
              <w:rPr>
                <w:sz w:val="24"/>
              </w:rPr>
            </w:pPr>
            <w:r>
              <w:rPr>
                <w:spacing w:val="-5"/>
                <w:sz w:val="24"/>
              </w:rPr>
              <w:t>192</w:t>
            </w:r>
          </w:p>
        </w:tc>
        <w:tc>
          <w:tcPr>
            <w:tcW w:w="2022" w:type="dxa"/>
          </w:tcPr>
          <w:p w14:paraId="44689F1D">
            <w:pPr>
              <w:pStyle w:val="65"/>
              <w:spacing w:before="130"/>
              <w:ind w:left="93" w:right="7"/>
              <w:jc w:val="center"/>
              <w:rPr>
                <w:sz w:val="24"/>
              </w:rPr>
            </w:pPr>
            <w:r>
              <w:rPr>
                <w:spacing w:val="-2"/>
                <w:sz w:val="24"/>
              </w:rPr>
              <w:t>96.5%</w:t>
            </w:r>
          </w:p>
        </w:tc>
      </w:tr>
      <w:tr w14:paraId="4B088960">
        <w:tblPrEx>
          <w:tblCellMar>
            <w:top w:w="0" w:type="dxa"/>
            <w:left w:w="0" w:type="dxa"/>
            <w:bottom w:w="0" w:type="dxa"/>
            <w:right w:w="0" w:type="dxa"/>
          </w:tblCellMar>
        </w:tblPrEx>
        <w:trPr>
          <w:trHeight w:val="554" w:hRule="atLeast"/>
        </w:trPr>
        <w:tc>
          <w:tcPr>
            <w:tcW w:w="1812" w:type="dxa"/>
          </w:tcPr>
          <w:p w14:paraId="1228D73B">
            <w:pPr>
              <w:pStyle w:val="65"/>
              <w:spacing w:before="133"/>
              <w:rPr>
                <w:sz w:val="24"/>
              </w:rPr>
            </w:pPr>
            <w:r>
              <w:rPr>
                <w:spacing w:val="-2"/>
                <w:sz w:val="24"/>
              </w:rPr>
              <w:t>status</w:t>
            </w:r>
          </w:p>
        </w:tc>
        <w:tc>
          <w:tcPr>
            <w:tcW w:w="1977" w:type="dxa"/>
          </w:tcPr>
          <w:p w14:paraId="43D5B4BF">
            <w:pPr>
              <w:pStyle w:val="65"/>
              <w:spacing w:before="133"/>
              <w:ind w:left="190"/>
              <w:rPr>
                <w:sz w:val="24"/>
              </w:rPr>
            </w:pPr>
            <w:r>
              <w:rPr>
                <w:spacing w:val="-2"/>
                <w:sz w:val="24"/>
              </w:rPr>
              <w:t>Unmarried</w:t>
            </w:r>
          </w:p>
        </w:tc>
        <w:tc>
          <w:tcPr>
            <w:tcW w:w="1518" w:type="dxa"/>
          </w:tcPr>
          <w:p w14:paraId="7883D3B5">
            <w:pPr>
              <w:pStyle w:val="65"/>
              <w:spacing w:before="133"/>
              <w:ind w:right="176"/>
              <w:jc w:val="center"/>
              <w:rPr>
                <w:sz w:val="24"/>
              </w:rPr>
            </w:pPr>
            <w:r>
              <w:rPr>
                <w:spacing w:val="-10"/>
                <w:sz w:val="24"/>
              </w:rPr>
              <w:t>7</w:t>
            </w:r>
          </w:p>
        </w:tc>
        <w:tc>
          <w:tcPr>
            <w:tcW w:w="2022" w:type="dxa"/>
          </w:tcPr>
          <w:p w14:paraId="745DBC2A">
            <w:pPr>
              <w:pStyle w:val="65"/>
              <w:spacing w:before="133"/>
              <w:ind w:left="93" w:right="2"/>
              <w:jc w:val="center"/>
              <w:rPr>
                <w:sz w:val="24"/>
              </w:rPr>
            </w:pPr>
            <w:r>
              <w:rPr>
                <w:spacing w:val="-4"/>
                <w:sz w:val="24"/>
              </w:rPr>
              <w:t>3.5%</w:t>
            </w:r>
          </w:p>
        </w:tc>
      </w:tr>
      <w:tr w14:paraId="67468A34">
        <w:tblPrEx>
          <w:tblCellMar>
            <w:top w:w="0" w:type="dxa"/>
            <w:left w:w="0" w:type="dxa"/>
            <w:bottom w:w="0" w:type="dxa"/>
            <w:right w:w="0" w:type="dxa"/>
          </w:tblCellMar>
        </w:tblPrEx>
        <w:trPr>
          <w:trHeight w:val="411" w:hRule="atLeast"/>
        </w:trPr>
        <w:tc>
          <w:tcPr>
            <w:tcW w:w="1812" w:type="dxa"/>
          </w:tcPr>
          <w:p w14:paraId="218AF3EE">
            <w:pPr>
              <w:pStyle w:val="65"/>
              <w:rPr>
                <w:sz w:val="24"/>
              </w:rPr>
            </w:pPr>
          </w:p>
        </w:tc>
        <w:tc>
          <w:tcPr>
            <w:tcW w:w="1977" w:type="dxa"/>
          </w:tcPr>
          <w:p w14:paraId="6ABCB2F2">
            <w:pPr>
              <w:pStyle w:val="65"/>
              <w:spacing w:before="135" w:line="256" w:lineRule="exact"/>
              <w:ind w:left="190"/>
              <w:rPr>
                <w:b/>
                <w:sz w:val="24"/>
              </w:rPr>
            </w:pPr>
            <w:r>
              <w:rPr>
                <w:b/>
                <w:spacing w:val="-2"/>
                <w:sz w:val="24"/>
              </w:rPr>
              <w:t>Total</w:t>
            </w:r>
          </w:p>
        </w:tc>
        <w:tc>
          <w:tcPr>
            <w:tcW w:w="1518" w:type="dxa"/>
          </w:tcPr>
          <w:p w14:paraId="6429E4AC">
            <w:pPr>
              <w:pStyle w:val="65"/>
              <w:spacing w:before="135" w:line="256" w:lineRule="exact"/>
              <w:ind w:right="666"/>
              <w:jc w:val="right"/>
              <w:rPr>
                <w:b/>
                <w:sz w:val="24"/>
              </w:rPr>
            </w:pPr>
            <w:r>
              <w:rPr>
                <w:b/>
                <w:spacing w:val="-5"/>
                <w:sz w:val="24"/>
              </w:rPr>
              <w:t>199</w:t>
            </w:r>
          </w:p>
        </w:tc>
        <w:tc>
          <w:tcPr>
            <w:tcW w:w="2022" w:type="dxa"/>
          </w:tcPr>
          <w:p w14:paraId="363696DE">
            <w:pPr>
              <w:pStyle w:val="65"/>
              <w:spacing w:before="135" w:line="256" w:lineRule="exact"/>
              <w:ind w:left="93" w:right="10"/>
              <w:jc w:val="center"/>
              <w:rPr>
                <w:b/>
                <w:sz w:val="24"/>
              </w:rPr>
            </w:pPr>
            <w:r>
              <w:rPr>
                <w:b/>
                <w:spacing w:val="-4"/>
                <w:sz w:val="24"/>
              </w:rPr>
              <w:t>100%</w:t>
            </w:r>
          </w:p>
        </w:tc>
      </w:tr>
    </w:tbl>
    <w:p w14:paraId="1830D8A4">
      <w:pPr>
        <w:pStyle w:val="23"/>
        <w:spacing w:after="0"/>
        <w:rPr>
          <w:rFonts w:ascii="Arial" w:hAnsi="Arial"/>
        </w:rPr>
      </w:pPr>
      <w:r>
        <w:rPr>
          <w:rFonts w:ascii="Arial" w:hAnsi="Arial"/>
        </w:rPr>
        <w:t>Source: (Researcher, 2025)</w:t>
      </w:r>
    </w:p>
    <w:p w14:paraId="24F3C6B3">
      <w:pPr>
        <w:pStyle w:val="23"/>
        <w:spacing w:after="0"/>
        <w:rPr>
          <w:rFonts w:ascii="Arial" w:hAnsi="Arial"/>
          <w:b/>
          <w:bCs/>
        </w:rPr>
      </w:pPr>
      <w:r>
        <w:rPr>
          <w:rFonts w:ascii="Arial" w:hAnsi="Arial"/>
          <w:b/>
          <w:bCs/>
        </w:rPr>
        <w:t>3.1 The neonate-related factors causing neonatal sepsis in Mandera County Referral Hospital.</w:t>
      </w:r>
    </w:p>
    <w:p w14:paraId="371A8091">
      <w:pPr>
        <w:pStyle w:val="23"/>
        <w:spacing w:after="0"/>
        <w:rPr>
          <w:rFonts w:ascii="Arial" w:hAnsi="Arial"/>
          <w:b/>
          <w:bCs/>
        </w:rPr>
      </w:pPr>
      <w:r>
        <w:rPr>
          <w:rFonts w:ascii="Arial" w:hAnsi="Arial"/>
          <w:b/>
          <w:bCs/>
        </w:rPr>
        <w:t>3.1.1 Proportion of Children with Neonatal Sepsis in Mandera County Referral Hospital</w:t>
      </w:r>
    </w:p>
    <w:p w14:paraId="0EC315B8">
      <w:pPr>
        <w:pStyle w:val="23"/>
        <w:spacing w:after="0"/>
        <w:rPr>
          <w:rFonts w:ascii="Arial" w:hAnsi="Arial"/>
        </w:rPr>
      </w:pPr>
      <w:r>
        <w:rPr>
          <w:rFonts w:ascii="Arial" w:hAnsi="Arial"/>
        </w:rPr>
        <w:t xml:space="preserve">The study sought to investigate the proportion of children with neonatal sepsis in Mandera County Referral Hospital as shown in Figure 1 below where Overall, 79.4% (95% CI: 75.2–83.6%) of babies in this research had neonatal sepsis. Neonatal sepsis was diagnosed using biological blood tests and/or clinical symptoms. If a newborn exhibits at least two of the following clinical symptoms, they are diagnosed with sepsis: Temperatures above 37.5°C, below 35.5°C, convulsions, rapid breathing (&gt;60 breaths per minute), tightness in the chest, swollen nose, lethargy, grunting, bulging fontanel, </w:t>
      </w:r>
      <w:r>
        <w:rPr>
          <w:rFonts w:hint="default" w:ascii="Arial" w:hAnsi="Arial"/>
        </w:rPr>
        <w:t>purulent discharge from ear canal</w:t>
      </w:r>
      <w:r>
        <w:rPr>
          <w:rFonts w:ascii="Arial" w:hAnsi="Arial"/>
        </w:rPr>
        <w:t>, skin-like umbilical redness, feeling cold (from past history), having many or severe skin pustules, having trouble waking up, not being able to be soothed in an hour, having less regular movements, not being able to feed, and not being able to attach to the breast or suckle (Tisho et al., 2025; Thaver &amp; Zaidi, 2019). The denominator used to determine the proportion of neonates with sepsis was: The total number of neonates admitted to the Newborn Unit during the study period (regardless of whether they developed sepsis or not). This was expressed mathematically:</w:t>
      </w:r>
    </w:p>
    <w:p w14:paraId="6D24DB8E">
      <w:pPr>
        <w:pStyle w:val="23"/>
        <w:spacing w:after="0"/>
        <w:rPr>
          <w:rFonts w:ascii="Arial" w:hAnsi="Arial"/>
        </w:rPr>
      </w:pPr>
      <w:r>
        <w:rPr>
          <w:rFonts w:ascii="Arial" w:hAnsi="Arial"/>
        </w:rPr>
        <w:t>Proportion of neonates with sepsis=Total number of neonates admitted to the NBU (from June 1 to December 31, 2024) /Number of neonates diagnosed with sepsis​×100</w:t>
      </w:r>
    </w:p>
    <w:p w14:paraId="3A07BAC4">
      <w:pPr>
        <w:pStyle w:val="23"/>
        <w:spacing w:after="0"/>
      </w:pPr>
      <w:r>
        <w:drawing>
          <wp:inline distT="0" distB="0" distL="0" distR="0">
            <wp:extent cx="5201920" cy="2729865"/>
            <wp:effectExtent l="0" t="0" r="10160" b="13335"/>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5202442" cy="2730341"/>
                    </a:xfrm>
                    <a:prstGeom prst="rect">
                      <a:avLst/>
                    </a:prstGeom>
                  </pic:spPr>
                </pic:pic>
              </a:graphicData>
            </a:graphic>
          </wp:inline>
        </w:drawing>
      </w:r>
    </w:p>
    <w:p w14:paraId="5594C57F">
      <w:pPr>
        <w:pStyle w:val="23"/>
        <w:spacing w:after="0"/>
      </w:pPr>
      <w:r>
        <w:t>Figure 1 Proportion of children with neonatal sepsis among neonates in Mandera County Referral Hospital, from June 1 to December 31, 2024</w:t>
      </w:r>
    </w:p>
    <w:p w14:paraId="4769803D">
      <w:pPr>
        <w:pStyle w:val="23"/>
        <w:spacing w:after="0"/>
      </w:pPr>
    </w:p>
    <w:p w14:paraId="35697B9A">
      <w:pPr>
        <w:pStyle w:val="23"/>
        <w:spacing w:after="0"/>
        <w:rPr>
          <w:b/>
          <w:bCs/>
        </w:rPr>
      </w:pPr>
      <w:r>
        <w:rPr>
          <w:b/>
          <w:bCs/>
        </w:rPr>
        <w:t>3.1.2 The neonate-related factors causing neonatal sepsis in Mandera County Referral Hospital.</w:t>
      </w:r>
    </w:p>
    <w:p w14:paraId="2AB79BD0">
      <w:pPr>
        <w:pStyle w:val="23"/>
        <w:spacing w:after="0"/>
      </w:pPr>
      <w:r>
        <w:t>With regard to the first study objective the  investigator sought to assess the neonate-related factors causing neonatal sepsis in Mandera County Referral Hospital. The findings are  summarized in table 2:</w:t>
      </w:r>
    </w:p>
    <w:p w14:paraId="60E13E5F">
      <w:pPr>
        <w:pStyle w:val="23"/>
        <w:spacing w:after="0"/>
        <w:jc w:val="center"/>
      </w:pPr>
      <w:r>
        <w:t>Table 2 Neonate-Related Risk Factors, Proportion, and Association with Sepsis Severity at Mandera County Referral Hospital (n = 199)</w:t>
      </w:r>
    </w:p>
    <w:tbl>
      <w:tblPr>
        <w:tblStyle w:val="4"/>
        <w:tblW w:w="0" w:type="auto"/>
        <w:tblCellSpacing w:w="15" w:type="dxa"/>
        <w:tblInd w:w="0" w:type="dxa"/>
        <w:tblLayout w:type="autofit"/>
        <w:tblCellMar>
          <w:top w:w="15" w:type="dxa"/>
          <w:left w:w="15" w:type="dxa"/>
          <w:bottom w:w="15" w:type="dxa"/>
          <w:right w:w="15" w:type="dxa"/>
        </w:tblCellMar>
      </w:tblPr>
      <w:tblGrid>
        <w:gridCol w:w="1697"/>
        <w:gridCol w:w="1467"/>
        <w:gridCol w:w="1330"/>
        <w:gridCol w:w="1422"/>
        <w:gridCol w:w="730"/>
        <w:gridCol w:w="916"/>
        <w:gridCol w:w="736"/>
      </w:tblGrid>
      <w:tr w14:paraId="5116D8A4">
        <w:tblPrEx>
          <w:tblCellMar>
            <w:top w:w="15" w:type="dxa"/>
            <w:left w:w="15" w:type="dxa"/>
            <w:bottom w:w="15" w:type="dxa"/>
            <w:right w:w="15" w:type="dxa"/>
          </w:tblCellMar>
        </w:tblPrEx>
        <w:trPr>
          <w:tblHeader/>
          <w:tblCellSpacing w:w="15" w:type="dxa"/>
        </w:trPr>
        <w:tc>
          <w:tcPr>
            <w:tcW w:w="0" w:type="auto"/>
            <w:vAlign w:val="center"/>
          </w:tcPr>
          <w:p w14:paraId="3C22AB1D">
            <w:pPr>
              <w:jc w:val="center"/>
              <w:rPr>
                <w:rFonts w:ascii="Times New Roman" w:hAnsi="Times New Roman"/>
                <w:b/>
                <w:bCs/>
                <w:sz w:val="24"/>
                <w:szCs w:val="24"/>
              </w:rPr>
            </w:pPr>
            <w:r>
              <w:rPr>
                <w:rFonts w:ascii="Times New Roman" w:hAnsi="Times New Roman" w:eastAsia="SimSun"/>
                <w:b/>
                <w:bCs/>
                <w:sz w:val="24"/>
                <w:szCs w:val="24"/>
                <w:lang w:eastAsia="zh-CN" w:bidi="ar"/>
              </w:rPr>
              <w:t>Factor</w:t>
            </w:r>
          </w:p>
        </w:tc>
        <w:tc>
          <w:tcPr>
            <w:tcW w:w="0" w:type="auto"/>
            <w:vAlign w:val="center"/>
          </w:tcPr>
          <w:p w14:paraId="190B40E5">
            <w:pPr>
              <w:jc w:val="center"/>
              <w:rPr>
                <w:rFonts w:ascii="Times New Roman" w:hAnsi="Times New Roman"/>
                <w:b/>
                <w:bCs/>
                <w:sz w:val="24"/>
                <w:szCs w:val="24"/>
              </w:rPr>
            </w:pPr>
            <w:r>
              <w:rPr>
                <w:rFonts w:ascii="Times New Roman" w:hAnsi="Times New Roman" w:eastAsia="SimSun"/>
                <w:b/>
                <w:bCs/>
                <w:sz w:val="24"/>
                <w:szCs w:val="24"/>
                <w:lang w:eastAsia="zh-CN" w:bidi="ar"/>
              </w:rPr>
              <w:t>Category</w:t>
            </w:r>
          </w:p>
        </w:tc>
        <w:tc>
          <w:tcPr>
            <w:tcW w:w="0" w:type="auto"/>
            <w:vAlign w:val="center"/>
          </w:tcPr>
          <w:p w14:paraId="5FC53DFF">
            <w:pPr>
              <w:jc w:val="center"/>
              <w:rPr>
                <w:rFonts w:ascii="Times New Roman" w:hAnsi="Times New Roman"/>
                <w:b/>
                <w:bCs/>
                <w:sz w:val="24"/>
                <w:szCs w:val="24"/>
              </w:rPr>
            </w:pPr>
            <w:r>
              <w:rPr>
                <w:rFonts w:ascii="Times New Roman" w:hAnsi="Times New Roman" w:eastAsia="SimSun"/>
                <w:b/>
                <w:bCs/>
                <w:sz w:val="24"/>
                <w:szCs w:val="24"/>
                <w:lang w:eastAsia="zh-CN" w:bidi="ar"/>
              </w:rPr>
              <w:t>Frequency (n)</w:t>
            </w:r>
          </w:p>
        </w:tc>
        <w:tc>
          <w:tcPr>
            <w:tcW w:w="0" w:type="auto"/>
            <w:vAlign w:val="center"/>
          </w:tcPr>
          <w:p w14:paraId="2CE8514E">
            <w:pPr>
              <w:jc w:val="center"/>
              <w:rPr>
                <w:rFonts w:ascii="Times New Roman" w:hAnsi="Times New Roman"/>
                <w:b/>
                <w:bCs/>
                <w:sz w:val="24"/>
                <w:szCs w:val="24"/>
              </w:rPr>
            </w:pPr>
            <w:r>
              <w:rPr>
                <w:rFonts w:ascii="Times New Roman" w:hAnsi="Times New Roman" w:eastAsia="SimSun"/>
                <w:b/>
                <w:bCs/>
                <w:sz w:val="24"/>
                <w:szCs w:val="24"/>
                <w:lang w:eastAsia="zh-CN" w:bidi="ar"/>
              </w:rPr>
              <w:t>Percentage (%)</w:t>
            </w:r>
          </w:p>
        </w:tc>
        <w:tc>
          <w:tcPr>
            <w:tcW w:w="0" w:type="auto"/>
            <w:vAlign w:val="center"/>
          </w:tcPr>
          <w:p w14:paraId="6783E5DD">
            <w:pPr>
              <w:jc w:val="center"/>
              <w:rPr>
                <w:rFonts w:ascii="Times New Roman" w:hAnsi="Times New Roman"/>
                <w:b/>
                <w:bCs/>
                <w:sz w:val="24"/>
                <w:szCs w:val="24"/>
              </w:rPr>
            </w:pPr>
            <w:r>
              <w:rPr>
                <w:rFonts w:ascii="Times New Roman" w:hAnsi="Times New Roman" w:eastAsia="SimSun"/>
                <w:b/>
                <w:bCs/>
                <w:sz w:val="24"/>
                <w:szCs w:val="24"/>
                <w:lang w:eastAsia="zh-CN" w:bidi="ar"/>
              </w:rPr>
              <w:t>Mild (n)</w:t>
            </w:r>
          </w:p>
        </w:tc>
        <w:tc>
          <w:tcPr>
            <w:tcW w:w="0" w:type="auto"/>
            <w:vAlign w:val="center"/>
          </w:tcPr>
          <w:p w14:paraId="4A1648E5">
            <w:pPr>
              <w:jc w:val="center"/>
              <w:rPr>
                <w:rFonts w:ascii="Times New Roman" w:hAnsi="Times New Roman"/>
                <w:b/>
                <w:bCs/>
                <w:sz w:val="24"/>
                <w:szCs w:val="24"/>
              </w:rPr>
            </w:pPr>
            <w:r>
              <w:rPr>
                <w:rFonts w:ascii="Times New Roman" w:hAnsi="Times New Roman" w:eastAsia="SimSun"/>
                <w:b/>
                <w:bCs/>
                <w:sz w:val="24"/>
                <w:szCs w:val="24"/>
                <w:lang w:eastAsia="zh-CN" w:bidi="ar"/>
              </w:rPr>
              <w:t>Severe (n)</w:t>
            </w:r>
          </w:p>
        </w:tc>
        <w:tc>
          <w:tcPr>
            <w:tcW w:w="0" w:type="auto"/>
            <w:vAlign w:val="center"/>
          </w:tcPr>
          <w:p w14:paraId="53F74B76">
            <w:pPr>
              <w:jc w:val="center"/>
              <w:rPr>
                <w:rFonts w:ascii="Times New Roman" w:hAnsi="Times New Roman"/>
                <w:b/>
                <w:bCs/>
                <w:sz w:val="24"/>
                <w:szCs w:val="24"/>
              </w:rPr>
            </w:pPr>
            <w:r>
              <w:rPr>
                <w:rStyle w:val="11"/>
                <w:rFonts w:ascii="Times New Roman" w:hAnsi="Times New Roman" w:eastAsia="SimSun"/>
                <w:b/>
                <w:bCs/>
                <w:sz w:val="24"/>
                <w:szCs w:val="24"/>
                <w:lang w:eastAsia="zh-CN" w:bidi="ar"/>
              </w:rPr>
              <w:t>P</w:t>
            </w:r>
            <w:r>
              <w:rPr>
                <w:rFonts w:ascii="Times New Roman" w:hAnsi="Times New Roman" w:eastAsia="SimSun"/>
                <w:b/>
                <w:bCs/>
                <w:sz w:val="24"/>
                <w:szCs w:val="24"/>
                <w:lang w:eastAsia="zh-CN" w:bidi="ar"/>
              </w:rPr>
              <w:t>-value</w:t>
            </w:r>
          </w:p>
        </w:tc>
      </w:tr>
      <w:tr w14:paraId="49353679">
        <w:tblPrEx>
          <w:tblCellMar>
            <w:top w:w="15" w:type="dxa"/>
            <w:left w:w="15" w:type="dxa"/>
            <w:bottom w:w="15" w:type="dxa"/>
            <w:right w:w="15" w:type="dxa"/>
          </w:tblCellMar>
        </w:tblPrEx>
        <w:trPr>
          <w:tblCellSpacing w:w="15" w:type="dxa"/>
        </w:trPr>
        <w:tc>
          <w:tcPr>
            <w:tcW w:w="0" w:type="auto"/>
            <w:vAlign w:val="center"/>
          </w:tcPr>
          <w:p w14:paraId="7481DF32">
            <w:pPr>
              <w:rPr>
                <w:rFonts w:ascii="Times New Roman" w:hAnsi="Times New Roman"/>
                <w:sz w:val="24"/>
                <w:szCs w:val="24"/>
              </w:rPr>
            </w:pPr>
            <w:r>
              <w:rPr>
                <w:rStyle w:val="18"/>
                <w:rFonts w:ascii="Times New Roman" w:hAnsi="Times New Roman" w:eastAsia="SimSun"/>
                <w:b w:val="0"/>
                <w:bCs w:val="0"/>
                <w:sz w:val="24"/>
                <w:szCs w:val="24"/>
                <w:lang w:eastAsia="zh-CN" w:bidi="ar"/>
              </w:rPr>
              <w:t>Birth Weight</w:t>
            </w:r>
          </w:p>
        </w:tc>
        <w:tc>
          <w:tcPr>
            <w:tcW w:w="0" w:type="auto"/>
            <w:vAlign w:val="center"/>
          </w:tcPr>
          <w:p w14:paraId="355C7647">
            <w:pPr>
              <w:rPr>
                <w:rFonts w:ascii="Times New Roman" w:hAnsi="Times New Roman"/>
                <w:sz w:val="24"/>
                <w:szCs w:val="24"/>
              </w:rPr>
            </w:pPr>
            <w:r>
              <w:rPr>
                <w:rFonts w:ascii="Times New Roman" w:hAnsi="Times New Roman" w:eastAsia="SimSun"/>
                <w:sz w:val="24"/>
                <w:szCs w:val="24"/>
                <w:lang w:eastAsia="zh-CN" w:bidi="ar"/>
              </w:rPr>
              <w:t>Low (&lt;2.5 kg)</w:t>
            </w:r>
          </w:p>
        </w:tc>
        <w:tc>
          <w:tcPr>
            <w:tcW w:w="0" w:type="auto"/>
            <w:vAlign w:val="center"/>
          </w:tcPr>
          <w:p w14:paraId="37325809">
            <w:pPr>
              <w:jc w:val="right"/>
              <w:rPr>
                <w:rFonts w:ascii="Times New Roman" w:hAnsi="Times New Roman"/>
                <w:sz w:val="24"/>
                <w:szCs w:val="24"/>
              </w:rPr>
            </w:pPr>
            <w:r>
              <w:rPr>
                <w:rFonts w:ascii="Times New Roman" w:hAnsi="Times New Roman" w:eastAsia="SimSun"/>
                <w:sz w:val="24"/>
                <w:szCs w:val="24"/>
                <w:lang w:eastAsia="zh-CN" w:bidi="ar"/>
              </w:rPr>
              <w:t>121</w:t>
            </w:r>
          </w:p>
        </w:tc>
        <w:tc>
          <w:tcPr>
            <w:tcW w:w="0" w:type="auto"/>
            <w:vAlign w:val="center"/>
          </w:tcPr>
          <w:p w14:paraId="21682DBC">
            <w:pPr>
              <w:jc w:val="right"/>
              <w:rPr>
                <w:rFonts w:ascii="Times New Roman" w:hAnsi="Times New Roman"/>
                <w:sz w:val="24"/>
                <w:szCs w:val="24"/>
              </w:rPr>
            </w:pPr>
            <w:r>
              <w:rPr>
                <w:rFonts w:ascii="Times New Roman" w:hAnsi="Times New Roman" w:eastAsia="SimSun"/>
                <w:sz w:val="24"/>
                <w:szCs w:val="24"/>
                <w:lang w:eastAsia="zh-CN" w:bidi="ar"/>
              </w:rPr>
              <w:t>60.8</w:t>
            </w:r>
          </w:p>
        </w:tc>
        <w:tc>
          <w:tcPr>
            <w:tcW w:w="0" w:type="auto"/>
            <w:vAlign w:val="center"/>
          </w:tcPr>
          <w:p w14:paraId="34AF3E51">
            <w:pPr>
              <w:jc w:val="right"/>
              <w:rPr>
                <w:rFonts w:ascii="Times New Roman" w:hAnsi="Times New Roman"/>
                <w:sz w:val="24"/>
                <w:szCs w:val="24"/>
              </w:rPr>
            </w:pPr>
            <w:r>
              <w:rPr>
                <w:rFonts w:ascii="Times New Roman" w:hAnsi="Times New Roman" w:eastAsia="SimSun"/>
                <w:sz w:val="24"/>
                <w:szCs w:val="24"/>
                <w:lang w:eastAsia="zh-CN" w:bidi="ar"/>
              </w:rPr>
              <w:t>62</w:t>
            </w:r>
          </w:p>
        </w:tc>
        <w:tc>
          <w:tcPr>
            <w:tcW w:w="0" w:type="auto"/>
            <w:vAlign w:val="center"/>
          </w:tcPr>
          <w:p w14:paraId="41F68C08">
            <w:pPr>
              <w:jc w:val="right"/>
              <w:rPr>
                <w:rFonts w:ascii="Times New Roman" w:hAnsi="Times New Roman"/>
                <w:sz w:val="24"/>
                <w:szCs w:val="24"/>
              </w:rPr>
            </w:pPr>
            <w:r>
              <w:rPr>
                <w:rFonts w:ascii="Times New Roman" w:hAnsi="Times New Roman" w:eastAsia="SimSun"/>
                <w:sz w:val="24"/>
                <w:szCs w:val="24"/>
                <w:lang w:eastAsia="zh-CN" w:bidi="ar"/>
              </w:rPr>
              <w:t>62</w:t>
            </w:r>
          </w:p>
        </w:tc>
        <w:tc>
          <w:tcPr>
            <w:tcW w:w="0" w:type="auto"/>
            <w:vAlign w:val="center"/>
          </w:tcPr>
          <w:p w14:paraId="2A66EA3F">
            <w:pPr>
              <w:jc w:val="right"/>
              <w:rPr>
                <w:rFonts w:ascii="Times New Roman" w:hAnsi="Times New Roman"/>
                <w:sz w:val="24"/>
                <w:szCs w:val="24"/>
              </w:rPr>
            </w:pPr>
            <w:r>
              <w:rPr>
                <w:rFonts w:ascii="Times New Roman" w:hAnsi="Times New Roman" w:eastAsia="SimSun"/>
                <w:sz w:val="24"/>
                <w:szCs w:val="24"/>
                <w:lang w:eastAsia="zh-CN" w:bidi="ar"/>
              </w:rPr>
              <w:t>0.391</w:t>
            </w:r>
          </w:p>
        </w:tc>
      </w:tr>
      <w:tr w14:paraId="60305B72">
        <w:tblPrEx>
          <w:tblCellMar>
            <w:top w:w="15" w:type="dxa"/>
            <w:left w:w="15" w:type="dxa"/>
            <w:bottom w:w="15" w:type="dxa"/>
            <w:right w:w="15" w:type="dxa"/>
          </w:tblCellMar>
        </w:tblPrEx>
        <w:trPr>
          <w:tblCellSpacing w:w="15" w:type="dxa"/>
        </w:trPr>
        <w:tc>
          <w:tcPr>
            <w:tcW w:w="0" w:type="auto"/>
            <w:vAlign w:val="center"/>
          </w:tcPr>
          <w:p w14:paraId="197793A8">
            <w:pPr>
              <w:rPr>
                <w:rFonts w:ascii="Times New Roman" w:hAnsi="Times New Roman"/>
                <w:sz w:val="24"/>
                <w:szCs w:val="24"/>
              </w:rPr>
            </w:pPr>
          </w:p>
        </w:tc>
        <w:tc>
          <w:tcPr>
            <w:tcW w:w="0" w:type="auto"/>
            <w:vAlign w:val="center"/>
          </w:tcPr>
          <w:p w14:paraId="1B684363">
            <w:pPr>
              <w:rPr>
                <w:rFonts w:ascii="Times New Roman" w:hAnsi="Times New Roman"/>
                <w:sz w:val="24"/>
                <w:szCs w:val="24"/>
              </w:rPr>
            </w:pPr>
            <w:r>
              <w:rPr>
                <w:rFonts w:ascii="Times New Roman" w:hAnsi="Times New Roman" w:eastAsia="SimSun"/>
                <w:sz w:val="24"/>
                <w:szCs w:val="24"/>
                <w:lang w:eastAsia="zh-CN" w:bidi="ar"/>
              </w:rPr>
              <w:t>Normal (≥2.5 kg)</w:t>
            </w:r>
          </w:p>
        </w:tc>
        <w:tc>
          <w:tcPr>
            <w:tcW w:w="0" w:type="auto"/>
            <w:vAlign w:val="center"/>
          </w:tcPr>
          <w:p w14:paraId="09EDFF04">
            <w:pPr>
              <w:jc w:val="right"/>
              <w:rPr>
                <w:rFonts w:ascii="Times New Roman" w:hAnsi="Times New Roman"/>
                <w:sz w:val="24"/>
                <w:szCs w:val="24"/>
              </w:rPr>
            </w:pPr>
            <w:r>
              <w:rPr>
                <w:rFonts w:ascii="Times New Roman" w:hAnsi="Times New Roman" w:eastAsia="SimSun"/>
                <w:sz w:val="24"/>
                <w:szCs w:val="24"/>
                <w:lang w:eastAsia="zh-CN" w:bidi="ar"/>
              </w:rPr>
              <w:t>78</w:t>
            </w:r>
          </w:p>
        </w:tc>
        <w:tc>
          <w:tcPr>
            <w:tcW w:w="0" w:type="auto"/>
            <w:vAlign w:val="center"/>
          </w:tcPr>
          <w:p w14:paraId="0A5CEBF6">
            <w:pPr>
              <w:jc w:val="right"/>
              <w:rPr>
                <w:rFonts w:ascii="Times New Roman" w:hAnsi="Times New Roman"/>
                <w:sz w:val="24"/>
                <w:szCs w:val="24"/>
              </w:rPr>
            </w:pPr>
            <w:r>
              <w:rPr>
                <w:rFonts w:ascii="Times New Roman" w:hAnsi="Times New Roman" w:eastAsia="SimSun"/>
                <w:sz w:val="24"/>
                <w:szCs w:val="24"/>
                <w:lang w:eastAsia="zh-CN" w:bidi="ar"/>
              </w:rPr>
              <w:t>39.2</w:t>
            </w:r>
          </w:p>
        </w:tc>
        <w:tc>
          <w:tcPr>
            <w:tcW w:w="0" w:type="auto"/>
            <w:vAlign w:val="center"/>
          </w:tcPr>
          <w:p w14:paraId="29D4F5FD">
            <w:pPr>
              <w:jc w:val="right"/>
              <w:rPr>
                <w:rFonts w:ascii="Times New Roman" w:hAnsi="Times New Roman"/>
                <w:sz w:val="24"/>
                <w:szCs w:val="24"/>
              </w:rPr>
            </w:pPr>
            <w:r>
              <w:rPr>
                <w:rFonts w:ascii="Times New Roman" w:hAnsi="Times New Roman" w:eastAsia="SimSun"/>
                <w:sz w:val="24"/>
                <w:szCs w:val="24"/>
                <w:lang w:eastAsia="zh-CN" w:bidi="ar"/>
              </w:rPr>
              <w:t>43</w:t>
            </w:r>
          </w:p>
        </w:tc>
        <w:tc>
          <w:tcPr>
            <w:tcW w:w="0" w:type="auto"/>
            <w:vAlign w:val="center"/>
          </w:tcPr>
          <w:p w14:paraId="69EDB889">
            <w:pPr>
              <w:jc w:val="right"/>
              <w:rPr>
                <w:rFonts w:ascii="Times New Roman" w:hAnsi="Times New Roman"/>
                <w:sz w:val="24"/>
                <w:szCs w:val="24"/>
              </w:rPr>
            </w:pPr>
            <w:r>
              <w:rPr>
                <w:rFonts w:ascii="Times New Roman" w:hAnsi="Times New Roman" w:eastAsia="SimSun"/>
                <w:sz w:val="24"/>
                <w:szCs w:val="24"/>
                <w:lang w:eastAsia="zh-CN" w:bidi="ar"/>
              </w:rPr>
              <w:t>32</w:t>
            </w:r>
          </w:p>
        </w:tc>
        <w:tc>
          <w:tcPr>
            <w:tcW w:w="0" w:type="auto"/>
            <w:vAlign w:val="center"/>
          </w:tcPr>
          <w:p w14:paraId="5FCD4080">
            <w:pPr>
              <w:jc w:val="right"/>
              <w:rPr>
                <w:rFonts w:ascii="Times New Roman" w:hAnsi="Times New Roman"/>
                <w:sz w:val="24"/>
                <w:szCs w:val="24"/>
              </w:rPr>
            </w:pPr>
          </w:p>
        </w:tc>
      </w:tr>
      <w:tr w14:paraId="23D231FE">
        <w:tblPrEx>
          <w:tblCellMar>
            <w:top w:w="15" w:type="dxa"/>
            <w:left w:w="15" w:type="dxa"/>
            <w:bottom w:w="15" w:type="dxa"/>
            <w:right w:w="15" w:type="dxa"/>
          </w:tblCellMar>
        </w:tblPrEx>
        <w:trPr>
          <w:tblCellSpacing w:w="15" w:type="dxa"/>
        </w:trPr>
        <w:tc>
          <w:tcPr>
            <w:tcW w:w="0" w:type="auto"/>
            <w:vAlign w:val="center"/>
          </w:tcPr>
          <w:p w14:paraId="3A31024D">
            <w:pPr>
              <w:rPr>
                <w:rFonts w:ascii="Times New Roman" w:hAnsi="Times New Roman"/>
                <w:sz w:val="24"/>
                <w:szCs w:val="24"/>
              </w:rPr>
            </w:pPr>
            <w:r>
              <w:rPr>
                <w:rStyle w:val="18"/>
                <w:rFonts w:ascii="Times New Roman" w:hAnsi="Times New Roman" w:eastAsia="SimSun"/>
                <w:b w:val="0"/>
                <w:bCs w:val="0"/>
                <w:sz w:val="24"/>
                <w:szCs w:val="24"/>
                <w:lang w:eastAsia="zh-CN" w:bidi="ar"/>
              </w:rPr>
              <w:t>Gestational Age</w:t>
            </w:r>
          </w:p>
        </w:tc>
        <w:tc>
          <w:tcPr>
            <w:tcW w:w="0" w:type="auto"/>
            <w:vAlign w:val="center"/>
          </w:tcPr>
          <w:p w14:paraId="05320E4E">
            <w:pPr>
              <w:rPr>
                <w:rFonts w:ascii="Times New Roman" w:hAnsi="Times New Roman"/>
                <w:sz w:val="24"/>
                <w:szCs w:val="24"/>
              </w:rPr>
            </w:pPr>
            <w:r>
              <w:rPr>
                <w:rFonts w:ascii="Times New Roman" w:hAnsi="Times New Roman" w:eastAsia="SimSun"/>
                <w:sz w:val="24"/>
                <w:szCs w:val="24"/>
                <w:lang w:eastAsia="zh-CN" w:bidi="ar"/>
              </w:rPr>
              <w:t>Preterm (&lt;37 wks)</w:t>
            </w:r>
          </w:p>
        </w:tc>
        <w:tc>
          <w:tcPr>
            <w:tcW w:w="0" w:type="auto"/>
            <w:vAlign w:val="center"/>
          </w:tcPr>
          <w:p w14:paraId="6C5B8101">
            <w:pPr>
              <w:jc w:val="right"/>
              <w:rPr>
                <w:rFonts w:ascii="Times New Roman" w:hAnsi="Times New Roman"/>
                <w:sz w:val="24"/>
                <w:szCs w:val="24"/>
              </w:rPr>
            </w:pPr>
            <w:r>
              <w:rPr>
                <w:rFonts w:ascii="Times New Roman" w:hAnsi="Times New Roman" w:eastAsia="SimSun"/>
                <w:sz w:val="24"/>
                <w:szCs w:val="24"/>
                <w:lang w:eastAsia="zh-CN" w:bidi="ar"/>
              </w:rPr>
              <w:t>108</w:t>
            </w:r>
          </w:p>
        </w:tc>
        <w:tc>
          <w:tcPr>
            <w:tcW w:w="0" w:type="auto"/>
            <w:vAlign w:val="center"/>
          </w:tcPr>
          <w:p w14:paraId="0D70E5D3">
            <w:pPr>
              <w:jc w:val="right"/>
              <w:rPr>
                <w:rFonts w:ascii="Times New Roman" w:hAnsi="Times New Roman"/>
                <w:sz w:val="24"/>
                <w:szCs w:val="24"/>
              </w:rPr>
            </w:pPr>
            <w:r>
              <w:rPr>
                <w:rFonts w:ascii="Times New Roman" w:hAnsi="Times New Roman" w:eastAsia="SimSun"/>
                <w:sz w:val="24"/>
                <w:szCs w:val="24"/>
                <w:lang w:eastAsia="zh-CN" w:bidi="ar"/>
              </w:rPr>
              <w:t>54.3</w:t>
            </w:r>
          </w:p>
        </w:tc>
        <w:tc>
          <w:tcPr>
            <w:tcW w:w="0" w:type="auto"/>
            <w:vAlign w:val="center"/>
          </w:tcPr>
          <w:p w14:paraId="3F2D76D7">
            <w:pPr>
              <w:jc w:val="right"/>
              <w:rPr>
                <w:rFonts w:ascii="Times New Roman" w:hAnsi="Times New Roman"/>
                <w:sz w:val="24"/>
                <w:szCs w:val="24"/>
              </w:rPr>
            </w:pPr>
            <w:r>
              <w:rPr>
                <w:rFonts w:ascii="Times New Roman" w:hAnsi="Times New Roman" w:eastAsia="SimSun"/>
                <w:sz w:val="24"/>
                <w:szCs w:val="24"/>
                <w:lang w:eastAsia="zh-CN" w:bidi="ar"/>
              </w:rPr>
              <w:t>51</w:t>
            </w:r>
          </w:p>
        </w:tc>
        <w:tc>
          <w:tcPr>
            <w:tcW w:w="0" w:type="auto"/>
            <w:vAlign w:val="center"/>
          </w:tcPr>
          <w:p w14:paraId="4E34EFDE">
            <w:pPr>
              <w:jc w:val="right"/>
              <w:rPr>
                <w:rFonts w:ascii="Times New Roman" w:hAnsi="Times New Roman"/>
                <w:sz w:val="24"/>
                <w:szCs w:val="24"/>
              </w:rPr>
            </w:pPr>
            <w:r>
              <w:rPr>
                <w:rFonts w:ascii="Times New Roman" w:hAnsi="Times New Roman" w:eastAsia="SimSun"/>
                <w:sz w:val="24"/>
                <w:szCs w:val="24"/>
                <w:lang w:eastAsia="zh-CN" w:bidi="ar"/>
              </w:rPr>
              <w:t>50</w:t>
            </w:r>
          </w:p>
        </w:tc>
        <w:tc>
          <w:tcPr>
            <w:tcW w:w="0" w:type="auto"/>
            <w:vAlign w:val="center"/>
          </w:tcPr>
          <w:p w14:paraId="5FE308B7">
            <w:pPr>
              <w:jc w:val="right"/>
              <w:rPr>
                <w:rFonts w:ascii="Times New Roman" w:hAnsi="Times New Roman"/>
                <w:sz w:val="24"/>
                <w:szCs w:val="24"/>
              </w:rPr>
            </w:pPr>
            <w:r>
              <w:rPr>
                <w:rFonts w:ascii="Times New Roman" w:hAnsi="Times New Roman" w:eastAsia="SimSun"/>
                <w:sz w:val="24"/>
                <w:szCs w:val="24"/>
                <w:lang w:eastAsia="zh-CN" w:bidi="ar"/>
              </w:rPr>
              <w:t>0.611</w:t>
            </w:r>
          </w:p>
        </w:tc>
      </w:tr>
      <w:tr w14:paraId="7E991216">
        <w:tblPrEx>
          <w:tblCellMar>
            <w:top w:w="15" w:type="dxa"/>
            <w:left w:w="15" w:type="dxa"/>
            <w:bottom w:w="15" w:type="dxa"/>
            <w:right w:w="15" w:type="dxa"/>
          </w:tblCellMar>
        </w:tblPrEx>
        <w:trPr>
          <w:tblCellSpacing w:w="15" w:type="dxa"/>
        </w:trPr>
        <w:tc>
          <w:tcPr>
            <w:tcW w:w="0" w:type="auto"/>
            <w:vAlign w:val="center"/>
          </w:tcPr>
          <w:p w14:paraId="51D4AB20">
            <w:pPr>
              <w:rPr>
                <w:rFonts w:ascii="Times New Roman" w:hAnsi="Times New Roman"/>
                <w:sz w:val="24"/>
                <w:szCs w:val="24"/>
              </w:rPr>
            </w:pPr>
          </w:p>
        </w:tc>
        <w:tc>
          <w:tcPr>
            <w:tcW w:w="0" w:type="auto"/>
            <w:vAlign w:val="center"/>
          </w:tcPr>
          <w:p w14:paraId="66B5B9E6">
            <w:pPr>
              <w:rPr>
                <w:rFonts w:ascii="Times New Roman" w:hAnsi="Times New Roman"/>
                <w:sz w:val="24"/>
                <w:szCs w:val="24"/>
              </w:rPr>
            </w:pPr>
            <w:r>
              <w:rPr>
                <w:rFonts w:ascii="Times New Roman" w:hAnsi="Times New Roman" w:eastAsia="SimSun"/>
                <w:sz w:val="24"/>
                <w:szCs w:val="24"/>
                <w:lang w:eastAsia="zh-CN" w:bidi="ar"/>
              </w:rPr>
              <w:t>Term (≥37 wks)</w:t>
            </w:r>
          </w:p>
        </w:tc>
        <w:tc>
          <w:tcPr>
            <w:tcW w:w="0" w:type="auto"/>
            <w:vAlign w:val="center"/>
          </w:tcPr>
          <w:p w14:paraId="64A98D23">
            <w:pPr>
              <w:jc w:val="right"/>
              <w:rPr>
                <w:rFonts w:ascii="Times New Roman" w:hAnsi="Times New Roman"/>
                <w:sz w:val="24"/>
                <w:szCs w:val="24"/>
              </w:rPr>
            </w:pPr>
            <w:r>
              <w:rPr>
                <w:rFonts w:ascii="Times New Roman" w:hAnsi="Times New Roman" w:eastAsia="SimSun"/>
                <w:sz w:val="24"/>
                <w:szCs w:val="24"/>
                <w:lang w:eastAsia="zh-CN" w:bidi="ar"/>
              </w:rPr>
              <w:t>91</w:t>
            </w:r>
          </w:p>
        </w:tc>
        <w:tc>
          <w:tcPr>
            <w:tcW w:w="0" w:type="auto"/>
            <w:vAlign w:val="center"/>
          </w:tcPr>
          <w:p w14:paraId="579856B9">
            <w:pPr>
              <w:jc w:val="right"/>
              <w:rPr>
                <w:rFonts w:ascii="Times New Roman" w:hAnsi="Times New Roman"/>
                <w:sz w:val="24"/>
                <w:szCs w:val="24"/>
              </w:rPr>
            </w:pPr>
            <w:r>
              <w:rPr>
                <w:rFonts w:ascii="Times New Roman" w:hAnsi="Times New Roman" w:eastAsia="SimSun"/>
                <w:sz w:val="24"/>
                <w:szCs w:val="24"/>
                <w:lang w:eastAsia="zh-CN" w:bidi="ar"/>
              </w:rPr>
              <w:t>45.7</w:t>
            </w:r>
          </w:p>
        </w:tc>
        <w:tc>
          <w:tcPr>
            <w:tcW w:w="0" w:type="auto"/>
            <w:vAlign w:val="center"/>
          </w:tcPr>
          <w:p w14:paraId="0A43DD57">
            <w:pPr>
              <w:jc w:val="right"/>
              <w:rPr>
                <w:rFonts w:ascii="Times New Roman" w:hAnsi="Times New Roman"/>
                <w:sz w:val="24"/>
                <w:szCs w:val="24"/>
              </w:rPr>
            </w:pPr>
            <w:r>
              <w:rPr>
                <w:rFonts w:ascii="Times New Roman" w:hAnsi="Times New Roman" w:eastAsia="SimSun"/>
                <w:sz w:val="24"/>
                <w:szCs w:val="24"/>
                <w:lang w:eastAsia="zh-CN" w:bidi="ar"/>
              </w:rPr>
              <w:t>54</w:t>
            </w:r>
          </w:p>
        </w:tc>
        <w:tc>
          <w:tcPr>
            <w:tcW w:w="0" w:type="auto"/>
            <w:vAlign w:val="center"/>
          </w:tcPr>
          <w:p w14:paraId="688EF5D2">
            <w:pPr>
              <w:jc w:val="right"/>
              <w:rPr>
                <w:rFonts w:ascii="Times New Roman" w:hAnsi="Times New Roman"/>
                <w:sz w:val="24"/>
                <w:szCs w:val="24"/>
              </w:rPr>
            </w:pPr>
            <w:r>
              <w:rPr>
                <w:rFonts w:ascii="Times New Roman" w:hAnsi="Times New Roman" w:eastAsia="SimSun"/>
                <w:sz w:val="24"/>
                <w:szCs w:val="24"/>
                <w:lang w:eastAsia="zh-CN" w:bidi="ar"/>
              </w:rPr>
              <w:t>44</w:t>
            </w:r>
          </w:p>
        </w:tc>
        <w:tc>
          <w:tcPr>
            <w:tcW w:w="0" w:type="auto"/>
            <w:vAlign w:val="center"/>
          </w:tcPr>
          <w:p w14:paraId="4F79615D">
            <w:pPr>
              <w:jc w:val="right"/>
              <w:rPr>
                <w:rFonts w:ascii="Times New Roman" w:hAnsi="Times New Roman"/>
                <w:sz w:val="24"/>
                <w:szCs w:val="24"/>
              </w:rPr>
            </w:pPr>
          </w:p>
        </w:tc>
      </w:tr>
      <w:tr w14:paraId="62190645">
        <w:tblPrEx>
          <w:tblCellMar>
            <w:top w:w="15" w:type="dxa"/>
            <w:left w:w="15" w:type="dxa"/>
            <w:bottom w:w="15" w:type="dxa"/>
            <w:right w:w="15" w:type="dxa"/>
          </w:tblCellMar>
        </w:tblPrEx>
        <w:trPr>
          <w:tblCellSpacing w:w="15" w:type="dxa"/>
        </w:trPr>
        <w:tc>
          <w:tcPr>
            <w:tcW w:w="0" w:type="auto"/>
            <w:vAlign w:val="center"/>
          </w:tcPr>
          <w:p w14:paraId="5157C602">
            <w:pPr>
              <w:rPr>
                <w:rFonts w:ascii="Times New Roman" w:hAnsi="Times New Roman"/>
                <w:sz w:val="24"/>
                <w:szCs w:val="24"/>
              </w:rPr>
            </w:pPr>
            <w:r>
              <w:rPr>
                <w:rStyle w:val="18"/>
                <w:rFonts w:ascii="Times New Roman" w:hAnsi="Times New Roman" w:eastAsia="SimSun"/>
                <w:b w:val="0"/>
                <w:bCs w:val="0"/>
                <w:sz w:val="24"/>
                <w:szCs w:val="24"/>
                <w:lang w:eastAsia="zh-CN" w:bidi="ar"/>
              </w:rPr>
              <w:t>Birth Asphyxia</w:t>
            </w:r>
          </w:p>
        </w:tc>
        <w:tc>
          <w:tcPr>
            <w:tcW w:w="0" w:type="auto"/>
            <w:vAlign w:val="center"/>
          </w:tcPr>
          <w:p w14:paraId="2F5429D9">
            <w:pPr>
              <w:rPr>
                <w:rFonts w:ascii="Times New Roman" w:hAnsi="Times New Roman"/>
                <w:sz w:val="24"/>
                <w:szCs w:val="24"/>
              </w:rPr>
            </w:pPr>
            <w:r>
              <w:rPr>
                <w:rFonts w:ascii="Times New Roman" w:hAnsi="Times New Roman" w:eastAsia="SimSun"/>
                <w:sz w:val="24"/>
                <w:szCs w:val="24"/>
                <w:lang w:eastAsia="zh-CN" w:bidi="ar"/>
              </w:rPr>
              <w:t>Present</w:t>
            </w:r>
          </w:p>
        </w:tc>
        <w:tc>
          <w:tcPr>
            <w:tcW w:w="0" w:type="auto"/>
            <w:vAlign w:val="center"/>
          </w:tcPr>
          <w:p w14:paraId="4AD62B9E">
            <w:pPr>
              <w:jc w:val="right"/>
              <w:rPr>
                <w:rFonts w:ascii="Times New Roman" w:hAnsi="Times New Roman"/>
                <w:sz w:val="24"/>
                <w:szCs w:val="24"/>
              </w:rPr>
            </w:pPr>
            <w:r>
              <w:rPr>
                <w:rFonts w:ascii="Times New Roman" w:hAnsi="Times New Roman" w:eastAsia="SimSun"/>
                <w:sz w:val="24"/>
                <w:szCs w:val="24"/>
                <w:lang w:eastAsia="zh-CN" w:bidi="ar"/>
              </w:rPr>
              <w:t>82</w:t>
            </w:r>
          </w:p>
        </w:tc>
        <w:tc>
          <w:tcPr>
            <w:tcW w:w="0" w:type="auto"/>
            <w:vAlign w:val="center"/>
          </w:tcPr>
          <w:p w14:paraId="155438AC">
            <w:pPr>
              <w:jc w:val="right"/>
              <w:rPr>
                <w:rFonts w:ascii="Times New Roman" w:hAnsi="Times New Roman"/>
                <w:sz w:val="24"/>
                <w:szCs w:val="24"/>
              </w:rPr>
            </w:pPr>
            <w:r>
              <w:rPr>
                <w:rFonts w:ascii="Times New Roman" w:hAnsi="Times New Roman" w:eastAsia="SimSun"/>
                <w:sz w:val="24"/>
                <w:szCs w:val="24"/>
                <w:lang w:eastAsia="zh-CN" w:bidi="ar"/>
              </w:rPr>
              <w:t>41.2</w:t>
            </w:r>
          </w:p>
        </w:tc>
        <w:tc>
          <w:tcPr>
            <w:tcW w:w="0" w:type="auto"/>
            <w:vAlign w:val="center"/>
          </w:tcPr>
          <w:p w14:paraId="5B0EE404">
            <w:pPr>
              <w:jc w:val="right"/>
              <w:rPr>
                <w:rFonts w:ascii="Times New Roman" w:hAnsi="Times New Roman"/>
                <w:sz w:val="24"/>
                <w:szCs w:val="24"/>
              </w:rPr>
            </w:pPr>
            <w:r>
              <w:rPr>
                <w:rFonts w:ascii="Times New Roman" w:hAnsi="Times New Roman" w:eastAsia="SimSun"/>
                <w:sz w:val="24"/>
                <w:szCs w:val="24"/>
                <w:lang w:eastAsia="zh-CN" w:bidi="ar"/>
              </w:rPr>
              <w:t>39</w:t>
            </w:r>
          </w:p>
        </w:tc>
        <w:tc>
          <w:tcPr>
            <w:tcW w:w="0" w:type="auto"/>
            <w:vAlign w:val="center"/>
          </w:tcPr>
          <w:p w14:paraId="654E5CDF">
            <w:pPr>
              <w:jc w:val="right"/>
              <w:rPr>
                <w:rFonts w:ascii="Times New Roman" w:hAnsi="Times New Roman"/>
                <w:sz w:val="24"/>
                <w:szCs w:val="24"/>
              </w:rPr>
            </w:pPr>
            <w:r>
              <w:rPr>
                <w:rFonts w:ascii="Times New Roman" w:hAnsi="Times New Roman" w:eastAsia="SimSun"/>
                <w:sz w:val="24"/>
                <w:szCs w:val="24"/>
                <w:lang w:eastAsia="zh-CN" w:bidi="ar"/>
              </w:rPr>
              <w:t>35</w:t>
            </w:r>
          </w:p>
        </w:tc>
        <w:tc>
          <w:tcPr>
            <w:tcW w:w="0" w:type="auto"/>
            <w:vAlign w:val="center"/>
          </w:tcPr>
          <w:p w14:paraId="0A4DB4AD">
            <w:pPr>
              <w:jc w:val="right"/>
              <w:rPr>
                <w:rFonts w:ascii="Times New Roman" w:hAnsi="Times New Roman"/>
                <w:sz w:val="24"/>
                <w:szCs w:val="24"/>
              </w:rPr>
            </w:pPr>
            <w:r>
              <w:rPr>
                <w:rFonts w:ascii="Times New Roman" w:hAnsi="Times New Roman" w:eastAsia="SimSun"/>
                <w:sz w:val="24"/>
                <w:szCs w:val="24"/>
                <w:lang w:eastAsia="zh-CN" w:bidi="ar"/>
              </w:rPr>
              <w:t>1.000</w:t>
            </w:r>
          </w:p>
        </w:tc>
      </w:tr>
      <w:tr w14:paraId="79638829">
        <w:tblPrEx>
          <w:tblCellMar>
            <w:top w:w="15" w:type="dxa"/>
            <w:left w:w="15" w:type="dxa"/>
            <w:bottom w:w="15" w:type="dxa"/>
            <w:right w:w="15" w:type="dxa"/>
          </w:tblCellMar>
        </w:tblPrEx>
        <w:trPr>
          <w:tblCellSpacing w:w="15" w:type="dxa"/>
        </w:trPr>
        <w:tc>
          <w:tcPr>
            <w:tcW w:w="0" w:type="auto"/>
            <w:vAlign w:val="center"/>
          </w:tcPr>
          <w:p w14:paraId="75127275">
            <w:pPr>
              <w:rPr>
                <w:rFonts w:ascii="Times New Roman" w:hAnsi="Times New Roman"/>
                <w:sz w:val="24"/>
                <w:szCs w:val="24"/>
              </w:rPr>
            </w:pPr>
          </w:p>
        </w:tc>
        <w:tc>
          <w:tcPr>
            <w:tcW w:w="0" w:type="auto"/>
            <w:vAlign w:val="center"/>
          </w:tcPr>
          <w:p w14:paraId="5FBDFA33">
            <w:pPr>
              <w:rPr>
                <w:rFonts w:ascii="Times New Roman" w:hAnsi="Times New Roman"/>
                <w:sz w:val="24"/>
                <w:szCs w:val="24"/>
              </w:rPr>
            </w:pPr>
            <w:r>
              <w:rPr>
                <w:rFonts w:ascii="Times New Roman" w:hAnsi="Times New Roman" w:eastAsia="SimSun"/>
                <w:sz w:val="24"/>
                <w:szCs w:val="24"/>
                <w:lang w:eastAsia="zh-CN" w:bidi="ar"/>
              </w:rPr>
              <w:t>Absent</w:t>
            </w:r>
          </w:p>
        </w:tc>
        <w:tc>
          <w:tcPr>
            <w:tcW w:w="0" w:type="auto"/>
            <w:vAlign w:val="center"/>
          </w:tcPr>
          <w:p w14:paraId="16344E92">
            <w:pPr>
              <w:jc w:val="right"/>
              <w:rPr>
                <w:rFonts w:ascii="Times New Roman" w:hAnsi="Times New Roman"/>
                <w:sz w:val="24"/>
                <w:szCs w:val="24"/>
              </w:rPr>
            </w:pPr>
            <w:r>
              <w:rPr>
                <w:rFonts w:ascii="Times New Roman" w:hAnsi="Times New Roman" w:eastAsia="SimSun"/>
                <w:sz w:val="24"/>
                <w:szCs w:val="24"/>
                <w:lang w:eastAsia="zh-CN" w:bidi="ar"/>
              </w:rPr>
              <w:t>117</w:t>
            </w:r>
          </w:p>
        </w:tc>
        <w:tc>
          <w:tcPr>
            <w:tcW w:w="0" w:type="auto"/>
            <w:vAlign w:val="center"/>
          </w:tcPr>
          <w:p w14:paraId="6FB6FAEC">
            <w:pPr>
              <w:jc w:val="right"/>
              <w:rPr>
                <w:rFonts w:ascii="Times New Roman" w:hAnsi="Times New Roman"/>
                <w:sz w:val="24"/>
                <w:szCs w:val="24"/>
              </w:rPr>
            </w:pPr>
            <w:r>
              <w:rPr>
                <w:rFonts w:ascii="Times New Roman" w:hAnsi="Times New Roman" w:eastAsia="SimSun"/>
                <w:sz w:val="24"/>
                <w:szCs w:val="24"/>
                <w:lang w:eastAsia="zh-CN" w:bidi="ar"/>
              </w:rPr>
              <w:t>58.8</w:t>
            </w:r>
          </w:p>
        </w:tc>
        <w:tc>
          <w:tcPr>
            <w:tcW w:w="0" w:type="auto"/>
            <w:vAlign w:val="center"/>
          </w:tcPr>
          <w:p w14:paraId="59C51F4D">
            <w:pPr>
              <w:jc w:val="right"/>
              <w:rPr>
                <w:rFonts w:ascii="Times New Roman" w:hAnsi="Times New Roman"/>
                <w:sz w:val="24"/>
                <w:szCs w:val="24"/>
              </w:rPr>
            </w:pPr>
            <w:r>
              <w:rPr>
                <w:rFonts w:ascii="Times New Roman" w:hAnsi="Times New Roman" w:eastAsia="SimSun"/>
                <w:sz w:val="24"/>
                <w:szCs w:val="24"/>
                <w:lang w:eastAsia="zh-CN" w:bidi="ar"/>
              </w:rPr>
              <w:t>66</w:t>
            </w:r>
          </w:p>
        </w:tc>
        <w:tc>
          <w:tcPr>
            <w:tcW w:w="0" w:type="auto"/>
            <w:vAlign w:val="center"/>
          </w:tcPr>
          <w:p w14:paraId="7A4EB8A4">
            <w:pPr>
              <w:jc w:val="right"/>
              <w:rPr>
                <w:rFonts w:ascii="Times New Roman" w:hAnsi="Times New Roman"/>
                <w:sz w:val="24"/>
                <w:szCs w:val="24"/>
              </w:rPr>
            </w:pPr>
            <w:r>
              <w:rPr>
                <w:rFonts w:ascii="Times New Roman" w:hAnsi="Times New Roman" w:eastAsia="SimSun"/>
                <w:sz w:val="24"/>
                <w:szCs w:val="24"/>
                <w:lang w:eastAsia="zh-CN" w:bidi="ar"/>
              </w:rPr>
              <w:t>59</w:t>
            </w:r>
          </w:p>
        </w:tc>
        <w:tc>
          <w:tcPr>
            <w:tcW w:w="0" w:type="auto"/>
            <w:vAlign w:val="center"/>
          </w:tcPr>
          <w:p w14:paraId="390E6C75">
            <w:pPr>
              <w:jc w:val="right"/>
              <w:rPr>
                <w:rFonts w:ascii="Times New Roman" w:hAnsi="Times New Roman"/>
                <w:sz w:val="24"/>
                <w:szCs w:val="24"/>
              </w:rPr>
            </w:pPr>
          </w:p>
        </w:tc>
      </w:tr>
      <w:tr w14:paraId="1B09A8D4">
        <w:tblPrEx>
          <w:tblCellMar>
            <w:top w:w="15" w:type="dxa"/>
            <w:left w:w="15" w:type="dxa"/>
            <w:bottom w:w="15" w:type="dxa"/>
            <w:right w:w="15" w:type="dxa"/>
          </w:tblCellMar>
        </w:tblPrEx>
        <w:trPr>
          <w:tblCellSpacing w:w="15" w:type="dxa"/>
        </w:trPr>
        <w:tc>
          <w:tcPr>
            <w:tcW w:w="0" w:type="auto"/>
            <w:vAlign w:val="center"/>
          </w:tcPr>
          <w:p w14:paraId="7A6B8DEB">
            <w:pPr>
              <w:rPr>
                <w:rFonts w:ascii="Times New Roman" w:hAnsi="Times New Roman"/>
                <w:sz w:val="24"/>
                <w:szCs w:val="24"/>
              </w:rPr>
            </w:pPr>
            <w:r>
              <w:rPr>
                <w:rStyle w:val="18"/>
                <w:rFonts w:ascii="Times New Roman" w:hAnsi="Times New Roman" w:eastAsia="SimSun"/>
                <w:b w:val="0"/>
                <w:bCs w:val="0"/>
                <w:sz w:val="24"/>
                <w:szCs w:val="24"/>
                <w:lang w:eastAsia="zh-CN" w:bidi="ar"/>
              </w:rPr>
              <w:t>Sex</w:t>
            </w:r>
          </w:p>
        </w:tc>
        <w:tc>
          <w:tcPr>
            <w:tcW w:w="0" w:type="auto"/>
            <w:vAlign w:val="center"/>
          </w:tcPr>
          <w:p w14:paraId="0B30687C">
            <w:pPr>
              <w:rPr>
                <w:rFonts w:ascii="Times New Roman" w:hAnsi="Times New Roman"/>
                <w:sz w:val="24"/>
                <w:szCs w:val="24"/>
              </w:rPr>
            </w:pPr>
            <w:r>
              <w:rPr>
                <w:rFonts w:ascii="Times New Roman" w:hAnsi="Times New Roman" w:eastAsia="SimSun"/>
                <w:sz w:val="24"/>
                <w:szCs w:val="24"/>
                <w:lang w:eastAsia="zh-CN" w:bidi="ar"/>
              </w:rPr>
              <w:t>Male</w:t>
            </w:r>
          </w:p>
        </w:tc>
        <w:tc>
          <w:tcPr>
            <w:tcW w:w="0" w:type="auto"/>
            <w:vAlign w:val="center"/>
          </w:tcPr>
          <w:p w14:paraId="5B25171D">
            <w:pPr>
              <w:jc w:val="right"/>
              <w:rPr>
                <w:rFonts w:ascii="Times New Roman" w:hAnsi="Times New Roman"/>
                <w:sz w:val="24"/>
                <w:szCs w:val="24"/>
              </w:rPr>
            </w:pPr>
            <w:r>
              <w:rPr>
                <w:rFonts w:ascii="Times New Roman" w:hAnsi="Times New Roman" w:eastAsia="SimSun"/>
                <w:sz w:val="24"/>
                <w:szCs w:val="24"/>
                <w:lang w:eastAsia="zh-CN" w:bidi="ar"/>
              </w:rPr>
              <w:t>113</w:t>
            </w:r>
          </w:p>
        </w:tc>
        <w:tc>
          <w:tcPr>
            <w:tcW w:w="0" w:type="auto"/>
            <w:vAlign w:val="center"/>
          </w:tcPr>
          <w:p w14:paraId="38F4AAF9">
            <w:pPr>
              <w:jc w:val="right"/>
              <w:rPr>
                <w:rFonts w:ascii="Times New Roman" w:hAnsi="Times New Roman"/>
                <w:sz w:val="24"/>
                <w:szCs w:val="24"/>
              </w:rPr>
            </w:pPr>
            <w:r>
              <w:rPr>
                <w:rFonts w:ascii="Times New Roman" w:hAnsi="Times New Roman" w:eastAsia="SimSun"/>
                <w:sz w:val="24"/>
                <w:szCs w:val="24"/>
                <w:lang w:eastAsia="zh-CN" w:bidi="ar"/>
              </w:rPr>
              <w:t>56.8</w:t>
            </w:r>
          </w:p>
        </w:tc>
        <w:tc>
          <w:tcPr>
            <w:tcW w:w="0" w:type="auto"/>
            <w:vAlign w:val="center"/>
          </w:tcPr>
          <w:p w14:paraId="1D4FDA77">
            <w:pPr>
              <w:jc w:val="right"/>
              <w:rPr>
                <w:rFonts w:ascii="Times New Roman" w:hAnsi="Times New Roman"/>
                <w:sz w:val="24"/>
                <w:szCs w:val="24"/>
              </w:rPr>
            </w:pPr>
            <w:r>
              <w:rPr>
                <w:rFonts w:ascii="Times New Roman" w:hAnsi="Times New Roman" w:eastAsia="SimSun"/>
                <w:sz w:val="24"/>
                <w:szCs w:val="24"/>
                <w:lang w:eastAsia="zh-CN" w:bidi="ar"/>
              </w:rPr>
              <w:t>61</w:t>
            </w:r>
          </w:p>
        </w:tc>
        <w:tc>
          <w:tcPr>
            <w:tcW w:w="0" w:type="auto"/>
            <w:vAlign w:val="center"/>
          </w:tcPr>
          <w:p w14:paraId="1B7CD010">
            <w:pPr>
              <w:jc w:val="right"/>
              <w:rPr>
                <w:rFonts w:ascii="Times New Roman" w:hAnsi="Times New Roman"/>
                <w:sz w:val="24"/>
                <w:szCs w:val="24"/>
              </w:rPr>
            </w:pPr>
            <w:r>
              <w:rPr>
                <w:rFonts w:ascii="Times New Roman" w:hAnsi="Times New Roman" w:eastAsia="SimSun"/>
                <w:sz w:val="24"/>
                <w:szCs w:val="24"/>
                <w:lang w:eastAsia="zh-CN" w:bidi="ar"/>
              </w:rPr>
              <w:t>61</w:t>
            </w:r>
          </w:p>
        </w:tc>
        <w:tc>
          <w:tcPr>
            <w:tcW w:w="0" w:type="auto"/>
            <w:vAlign w:val="center"/>
          </w:tcPr>
          <w:p w14:paraId="1E46BE92">
            <w:pPr>
              <w:jc w:val="right"/>
              <w:rPr>
                <w:rFonts w:ascii="Times New Roman" w:hAnsi="Times New Roman"/>
                <w:sz w:val="24"/>
                <w:szCs w:val="24"/>
              </w:rPr>
            </w:pPr>
            <w:r>
              <w:rPr>
                <w:rFonts w:ascii="Times New Roman" w:hAnsi="Times New Roman" w:eastAsia="SimSun"/>
                <w:sz w:val="24"/>
                <w:szCs w:val="24"/>
                <w:lang w:eastAsia="zh-CN" w:bidi="ar"/>
              </w:rPr>
              <w:t>0.402</w:t>
            </w:r>
          </w:p>
        </w:tc>
      </w:tr>
      <w:tr w14:paraId="58EE3A2E">
        <w:tblPrEx>
          <w:tblCellMar>
            <w:top w:w="15" w:type="dxa"/>
            <w:left w:w="15" w:type="dxa"/>
            <w:bottom w:w="15" w:type="dxa"/>
            <w:right w:w="15" w:type="dxa"/>
          </w:tblCellMar>
        </w:tblPrEx>
        <w:trPr>
          <w:tblCellSpacing w:w="15" w:type="dxa"/>
        </w:trPr>
        <w:tc>
          <w:tcPr>
            <w:tcW w:w="0" w:type="auto"/>
            <w:vAlign w:val="center"/>
          </w:tcPr>
          <w:p w14:paraId="5C9E92EC">
            <w:pPr>
              <w:rPr>
                <w:rFonts w:ascii="Times New Roman" w:hAnsi="Times New Roman"/>
                <w:sz w:val="24"/>
                <w:szCs w:val="24"/>
              </w:rPr>
            </w:pPr>
          </w:p>
        </w:tc>
        <w:tc>
          <w:tcPr>
            <w:tcW w:w="0" w:type="auto"/>
            <w:vAlign w:val="center"/>
          </w:tcPr>
          <w:p w14:paraId="4A7753A1">
            <w:pPr>
              <w:rPr>
                <w:rFonts w:ascii="Times New Roman" w:hAnsi="Times New Roman"/>
                <w:sz w:val="24"/>
                <w:szCs w:val="24"/>
              </w:rPr>
            </w:pPr>
            <w:r>
              <w:rPr>
                <w:rFonts w:ascii="Times New Roman" w:hAnsi="Times New Roman" w:eastAsia="SimSun"/>
                <w:sz w:val="24"/>
                <w:szCs w:val="24"/>
                <w:lang w:eastAsia="zh-CN" w:bidi="ar"/>
              </w:rPr>
              <w:t>Female</w:t>
            </w:r>
          </w:p>
        </w:tc>
        <w:tc>
          <w:tcPr>
            <w:tcW w:w="0" w:type="auto"/>
            <w:vAlign w:val="center"/>
          </w:tcPr>
          <w:p w14:paraId="5ED036E8">
            <w:pPr>
              <w:jc w:val="right"/>
              <w:rPr>
                <w:rFonts w:ascii="Times New Roman" w:hAnsi="Times New Roman"/>
                <w:sz w:val="24"/>
                <w:szCs w:val="24"/>
              </w:rPr>
            </w:pPr>
            <w:r>
              <w:rPr>
                <w:rFonts w:ascii="Times New Roman" w:hAnsi="Times New Roman" w:eastAsia="SimSun"/>
                <w:sz w:val="24"/>
                <w:szCs w:val="24"/>
                <w:lang w:eastAsia="zh-CN" w:bidi="ar"/>
              </w:rPr>
              <w:t>86</w:t>
            </w:r>
          </w:p>
        </w:tc>
        <w:tc>
          <w:tcPr>
            <w:tcW w:w="0" w:type="auto"/>
            <w:vAlign w:val="center"/>
          </w:tcPr>
          <w:p w14:paraId="74D73FF0">
            <w:pPr>
              <w:jc w:val="right"/>
              <w:rPr>
                <w:rFonts w:ascii="Times New Roman" w:hAnsi="Times New Roman"/>
                <w:sz w:val="24"/>
                <w:szCs w:val="24"/>
              </w:rPr>
            </w:pPr>
            <w:r>
              <w:rPr>
                <w:rFonts w:ascii="Times New Roman" w:hAnsi="Times New Roman" w:eastAsia="SimSun"/>
                <w:sz w:val="24"/>
                <w:szCs w:val="24"/>
                <w:lang w:eastAsia="zh-CN" w:bidi="ar"/>
              </w:rPr>
              <w:t>43.2</w:t>
            </w:r>
          </w:p>
        </w:tc>
        <w:tc>
          <w:tcPr>
            <w:tcW w:w="0" w:type="auto"/>
            <w:vAlign w:val="center"/>
          </w:tcPr>
          <w:p w14:paraId="00BCDC58">
            <w:pPr>
              <w:jc w:val="right"/>
              <w:rPr>
                <w:rFonts w:ascii="Times New Roman" w:hAnsi="Times New Roman"/>
                <w:sz w:val="24"/>
                <w:szCs w:val="24"/>
              </w:rPr>
            </w:pPr>
            <w:r>
              <w:rPr>
                <w:rFonts w:ascii="Times New Roman" w:hAnsi="Times New Roman" w:eastAsia="SimSun"/>
                <w:sz w:val="24"/>
                <w:szCs w:val="24"/>
                <w:lang w:eastAsia="zh-CN" w:bidi="ar"/>
              </w:rPr>
              <w:t>44</w:t>
            </w:r>
          </w:p>
        </w:tc>
        <w:tc>
          <w:tcPr>
            <w:tcW w:w="0" w:type="auto"/>
            <w:vAlign w:val="center"/>
          </w:tcPr>
          <w:p w14:paraId="685DBCB6">
            <w:pPr>
              <w:jc w:val="right"/>
              <w:rPr>
                <w:rFonts w:ascii="Times New Roman" w:hAnsi="Times New Roman"/>
                <w:sz w:val="24"/>
                <w:szCs w:val="24"/>
              </w:rPr>
            </w:pPr>
            <w:r>
              <w:rPr>
                <w:rFonts w:ascii="Times New Roman" w:hAnsi="Times New Roman" w:eastAsia="SimSun"/>
                <w:sz w:val="24"/>
                <w:szCs w:val="24"/>
                <w:lang w:eastAsia="zh-CN" w:bidi="ar"/>
              </w:rPr>
              <w:t>33</w:t>
            </w:r>
          </w:p>
        </w:tc>
        <w:tc>
          <w:tcPr>
            <w:tcW w:w="0" w:type="auto"/>
            <w:vAlign w:val="center"/>
          </w:tcPr>
          <w:p w14:paraId="6F1D7A6A">
            <w:pPr>
              <w:jc w:val="right"/>
              <w:rPr>
                <w:rFonts w:ascii="Times New Roman" w:hAnsi="Times New Roman"/>
                <w:sz w:val="24"/>
                <w:szCs w:val="24"/>
              </w:rPr>
            </w:pPr>
          </w:p>
        </w:tc>
      </w:tr>
      <w:tr w14:paraId="165D6C05">
        <w:tblPrEx>
          <w:tblCellMar>
            <w:top w:w="15" w:type="dxa"/>
            <w:left w:w="15" w:type="dxa"/>
            <w:bottom w:w="15" w:type="dxa"/>
            <w:right w:w="15" w:type="dxa"/>
          </w:tblCellMar>
        </w:tblPrEx>
        <w:trPr>
          <w:tblCellSpacing w:w="15" w:type="dxa"/>
        </w:trPr>
        <w:tc>
          <w:tcPr>
            <w:tcW w:w="0" w:type="auto"/>
            <w:vAlign w:val="center"/>
          </w:tcPr>
          <w:p w14:paraId="463AD259">
            <w:pPr>
              <w:rPr>
                <w:rFonts w:ascii="Times New Roman" w:hAnsi="Times New Roman"/>
                <w:sz w:val="24"/>
                <w:szCs w:val="24"/>
              </w:rPr>
            </w:pPr>
            <w:r>
              <w:rPr>
                <w:rStyle w:val="18"/>
                <w:rFonts w:ascii="Times New Roman" w:hAnsi="Times New Roman" w:eastAsia="SimSun"/>
                <w:b w:val="0"/>
                <w:bCs w:val="0"/>
                <w:sz w:val="24"/>
                <w:szCs w:val="24"/>
                <w:lang w:eastAsia="zh-CN" w:bidi="ar"/>
              </w:rPr>
              <w:t>Congenital Anomalies</w:t>
            </w:r>
          </w:p>
        </w:tc>
        <w:tc>
          <w:tcPr>
            <w:tcW w:w="0" w:type="auto"/>
            <w:vAlign w:val="center"/>
          </w:tcPr>
          <w:p w14:paraId="59A47FCA">
            <w:pPr>
              <w:rPr>
                <w:rFonts w:ascii="Times New Roman" w:hAnsi="Times New Roman"/>
                <w:sz w:val="24"/>
                <w:szCs w:val="24"/>
              </w:rPr>
            </w:pPr>
            <w:r>
              <w:rPr>
                <w:rFonts w:ascii="Times New Roman" w:hAnsi="Times New Roman" w:eastAsia="SimSun"/>
                <w:sz w:val="24"/>
                <w:szCs w:val="24"/>
                <w:lang w:eastAsia="zh-CN" w:bidi="ar"/>
              </w:rPr>
              <w:t>Present</w:t>
            </w:r>
          </w:p>
        </w:tc>
        <w:tc>
          <w:tcPr>
            <w:tcW w:w="0" w:type="auto"/>
            <w:vAlign w:val="center"/>
          </w:tcPr>
          <w:p w14:paraId="16C751F6">
            <w:pPr>
              <w:jc w:val="right"/>
              <w:rPr>
                <w:rFonts w:ascii="Times New Roman" w:hAnsi="Times New Roman"/>
                <w:sz w:val="24"/>
                <w:szCs w:val="24"/>
              </w:rPr>
            </w:pPr>
            <w:r>
              <w:rPr>
                <w:rFonts w:ascii="Times New Roman" w:hAnsi="Times New Roman" w:eastAsia="SimSun"/>
                <w:sz w:val="24"/>
                <w:szCs w:val="24"/>
                <w:lang w:eastAsia="zh-CN" w:bidi="ar"/>
              </w:rPr>
              <w:t>21</w:t>
            </w:r>
          </w:p>
        </w:tc>
        <w:tc>
          <w:tcPr>
            <w:tcW w:w="0" w:type="auto"/>
            <w:vAlign w:val="center"/>
          </w:tcPr>
          <w:p w14:paraId="779FFB38">
            <w:pPr>
              <w:jc w:val="right"/>
              <w:rPr>
                <w:rFonts w:ascii="Times New Roman" w:hAnsi="Times New Roman"/>
                <w:sz w:val="24"/>
                <w:szCs w:val="24"/>
              </w:rPr>
            </w:pPr>
            <w:r>
              <w:rPr>
                <w:rFonts w:ascii="Times New Roman" w:hAnsi="Times New Roman" w:eastAsia="SimSun"/>
                <w:sz w:val="24"/>
                <w:szCs w:val="24"/>
                <w:lang w:eastAsia="zh-CN" w:bidi="ar"/>
              </w:rPr>
              <w:t>10.6</w:t>
            </w:r>
          </w:p>
        </w:tc>
        <w:tc>
          <w:tcPr>
            <w:tcW w:w="0" w:type="auto"/>
            <w:vAlign w:val="center"/>
          </w:tcPr>
          <w:p w14:paraId="4F757DAB">
            <w:pPr>
              <w:jc w:val="right"/>
              <w:rPr>
                <w:rFonts w:ascii="Times New Roman" w:hAnsi="Times New Roman"/>
                <w:sz w:val="24"/>
                <w:szCs w:val="24"/>
              </w:rPr>
            </w:pPr>
            <w:r>
              <w:rPr>
                <w:rFonts w:ascii="Times New Roman" w:hAnsi="Times New Roman" w:eastAsia="SimSun"/>
                <w:sz w:val="24"/>
                <w:szCs w:val="24"/>
                <w:lang w:eastAsia="zh-CN" w:bidi="ar"/>
              </w:rPr>
              <w:t>12</w:t>
            </w:r>
          </w:p>
        </w:tc>
        <w:tc>
          <w:tcPr>
            <w:tcW w:w="0" w:type="auto"/>
            <w:vAlign w:val="center"/>
          </w:tcPr>
          <w:p w14:paraId="6962D95E">
            <w:pPr>
              <w:jc w:val="right"/>
              <w:rPr>
                <w:rFonts w:ascii="Times New Roman" w:hAnsi="Times New Roman"/>
                <w:sz w:val="24"/>
                <w:szCs w:val="24"/>
              </w:rPr>
            </w:pPr>
            <w:r>
              <w:rPr>
                <w:rFonts w:ascii="Times New Roman" w:hAnsi="Times New Roman" w:eastAsia="SimSun"/>
                <w:sz w:val="24"/>
                <w:szCs w:val="24"/>
                <w:lang w:eastAsia="zh-CN" w:bidi="ar"/>
              </w:rPr>
              <w:t>11</w:t>
            </w:r>
          </w:p>
        </w:tc>
        <w:tc>
          <w:tcPr>
            <w:tcW w:w="0" w:type="auto"/>
            <w:vAlign w:val="center"/>
          </w:tcPr>
          <w:p w14:paraId="1039D999">
            <w:pPr>
              <w:jc w:val="right"/>
              <w:rPr>
                <w:rFonts w:ascii="Times New Roman" w:hAnsi="Times New Roman"/>
                <w:sz w:val="24"/>
                <w:szCs w:val="24"/>
              </w:rPr>
            </w:pPr>
            <w:r>
              <w:rPr>
                <w:rFonts w:ascii="Times New Roman" w:hAnsi="Times New Roman" w:eastAsia="SimSun"/>
                <w:sz w:val="24"/>
                <w:szCs w:val="24"/>
                <w:lang w:eastAsia="zh-CN" w:bidi="ar"/>
              </w:rPr>
              <w:t>1.000</w:t>
            </w:r>
          </w:p>
        </w:tc>
      </w:tr>
      <w:tr w14:paraId="760562F2">
        <w:tblPrEx>
          <w:tblCellMar>
            <w:top w:w="15" w:type="dxa"/>
            <w:left w:w="15" w:type="dxa"/>
            <w:bottom w:w="15" w:type="dxa"/>
            <w:right w:w="15" w:type="dxa"/>
          </w:tblCellMar>
        </w:tblPrEx>
        <w:trPr>
          <w:tblCellSpacing w:w="15" w:type="dxa"/>
        </w:trPr>
        <w:tc>
          <w:tcPr>
            <w:tcW w:w="0" w:type="auto"/>
            <w:vAlign w:val="center"/>
          </w:tcPr>
          <w:p w14:paraId="1905C074">
            <w:pPr>
              <w:rPr>
                <w:rFonts w:ascii="Times New Roman" w:hAnsi="Times New Roman"/>
                <w:sz w:val="24"/>
                <w:szCs w:val="24"/>
              </w:rPr>
            </w:pPr>
          </w:p>
        </w:tc>
        <w:tc>
          <w:tcPr>
            <w:tcW w:w="0" w:type="auto"/>
            <w:vAlign w:val="center"/>
          </w:tcPr>
          <w:p w14:paraId="0CB4E44E">
            <w:pPr>
              <w:rPr>
                <w:rFonts w:ascii="Times New Roman" w:hAnsi="Times New Roman"/>
                <w:sz w:val="24"/>
                <w:szCs w:val="24"/>
              </w:rPr>
            </w:pPr>
            <w:r>
              <w:rPr>
                <w:rFonts w:ascii="Times New Roman" w:hAnsi="Times New Roman" w:eastAsia="SimSun"/>
                <w:sz w:val="24"/>
                <w:szCs w:val="24"/>
                <w:lang w:eastAsia="zh-CN" w:bidi="ar"/>
              </w:rPr>
              <w:t>Absent</w:t>
            </w:r>
          </w:p>
        </w:tc>
        <w:tc>
          <w:tcPr>
            <w:tcW w:w="0" w:type="auto"/>
            <w:vAlign w:val="center"/>
          </w:tcPr>
          <w:p w14:paraId="12A746BA">
            <w:pPr>
              <w:jc w:val="right"/>
              <w:rPr>
                <w:rFonts w:ascii="Times New Roman" w:hAnsi="Times New Roman"/>
                <w:sz w:val="24"/>
                <w:szCs w:val="24"/>
              </w:rPr>
            </w:pPr>
            <w:r>
              <w:rPr>
                <w:rFonts w:ascii="Times New Roman" w:hAnsi="Times New Roman" w:eastAsia="SimSun"/>
                <w:sz w:val="24"/>
                <w:szCs w:val="24"/>
                <w:lang w:eastAsia="zh-CN" w:bidi="ar"/>
              </w:rPr>
              <w:t>178</w:t>
            </w:r>
          </w:p>
        </w:tc>
        <w:tc>
          <w:tcPr>
            <w:tcW w:w="0" w:type="auto"/>
            <w:vAlign w:val="center"/>
          </w:tcPr>
          <w:p w14:paraId="3650FE80">
            <w:pPr>
              <w:jc w:val="right"/>
              <w:rPr>
                <w:rFonts w:ascii="Times New Roman" w:hAnsi="Times New Roman"/>
                <w:sz w:val="24"/>
                <w:szCs w:val="24"/>
              </w:rPr>
            </w:pPr>
            <w:r>
              <w:rPr>
                <w:rFonts w:ascii="Times New Roman" w:hAnsi="Times New Roman" w:eastAsia="SimSun"/>
                <w:sz w:val="24"/>
                <w:szCs w:val="24"/>
                <w:lang w:eastAsia="zh-CN" w:bidi="ar"/>
              </w:rPr>
              <w:t>89.4</w:t>
            </w:r>
          </w:p>
        </w:tc>
        <w:tc>
          <w:tcPr>
            <w:tcW w:w="0" w:type="auto"/>
            <w:vAlign w:val="center"/>
          </w:tcPr>
          <w:p w14:paraId="5C403F6D">
            <w:pPr>
              <w:jc w:val="right"/>
              <w:rPr>
                <w:rFonts w:ascii="Times New Roman" w:hAnsi="Times New Roman"/>
                <w:sz w:val="24"/>
                <w:szCs w:val="24"/>
              </w:rPr>
            </w:pPr>
            <w:r>
              <w:rPr>
                <w:rFonts w:ascii="Times New Roman" w:hAnsi="Times New Roman" w:eastAsia="SimSun"/>
                <w:sz w:val="24"/>
                <w:szCs w:val="24"/>
                <w:lang w:eastAsia="zh-CN" w:bidi="ar"/>
              </w:rPr>
              <w:t>93</w:t>
            </w:r>
          </w:p>
        </w:tc>
        <w:tc>
          <w:tcPr>
            <w:tcW w:w="0" w:type="auto"/>
            <w:vAlign w:val="center"/>
          </w:tcPr>
          <w:p w14:paraId="27CE2B04">
            <w:pPr>
              <w:jc w:val="right"/>
              <w:rPr>
                <w:rFonts w:ascii="Times New Roman" w:hAnsi="Times New Roman"/>
                <w:sz w:val="24"/>
                <w:szCs w:val="24"/>
              </w:rPr>
            </w:pPr>
            <w:r>
              <w:rPr>
                <w:rFonts w:ascii="Times New Roman" w:hAnsi="Times New Roman" w:eastAsia="SimSun"/>
                <w:sz w:val="24"/>
                <w:szCs w:val="24"/>
                <w:lang w:eastAsia="zh-CN" w:bidi="ar"/>
              </w:rPr>
              <w:t>83</w:t>
            </w:r>
          </w:p>
        </w:tc>
        <w:tc>
          <w:tcPr>
            <w:tcW w:w="0" w:type="auto"/>
            <w:vAlign w:val="center"/>
          </w:tcPr>
          <w:p w14:paraId="2B54F9F1">
            <w:pPr>
              <w:jc w:val="right"/>
              <w:rPr>
                <w:rFonts w:ascii="Times New Roman" w:hAnsi="Times New Roman"/>
                <w:sz w:val="24"/>
                <w:szCs w:val="24"/>
              </w:rPr>
            </w:pPr>
          </w:p>
        </w:tc>
      </w:tr>
      <w:tr w14:paraId="07F334CB">
        <w:tblPrEx>
          <w:tblCellMar>
            <w:top w:w="15" w:type="dxa"/>
            <w:left w:w="15" w:type="dxa"/>
            <w:bottom w:w="15" w:type="dxa"/>
            <w:right w:w="15" w:type="dxa"/>
          </w:tblCellMar>
        </w:tblPrEx>
        <w:trPr>
          <w:tblCellSpacing w:w="15" w:type="dxa"/>
        </w:trPr>
        <w:tc>
          <w:tcPr>
            <w:tcW w:w="0" w:type="auto"/>
            <w:vAlign w:val="center"/>
          </w:tcPr>
          <w:p w14:paraId="47B1DA4B">
            <w:pPr>
              <w:rPr>
                <w:rFonts w:ascii="Times New Roman" w:hAnsi="Times New Roman"/>
                <w:sz w:val="24"/>
                <w:szCs w:val="24"/>
              </w:rPr>
            </w:pPr>
            <w:r>
              <w:rPr>
                <w:rStyle w:val="18"/>
                <w:rFonts w:ascii="Times New Roman" w:hAnsi="Times New Roman" w:eastAsia="SimSun"/>
                <w:b w:val="0"/>
                <w:bCs w:val="0"/>
                <w:sz w:val="24"/>
                <w:szCs w:val="24"/>
                <w:lang w:eastAsia="zh-CN" w:bidi="ar"/>
              </w:rPr>
              <w:t>Multiple Births</w:t>
            </w:r>
          </w:p>
        </w:tc>
        <w:tc>
          <w:tcPr>
            <w:tcW w:w="0" w:type="auto"/>
            <w:vAlign w:val="center"/>
          </w:tcPr>
          <w:p w14:paraId="0D105D2B">
            <w:pPr>
              <w:rPr>
                <w:rFonts w:ascii="Times New Roman" w:hAnsi="Times New Roman"/>
                <w:sz w:val="24"/>
                <w:szCs w:val="24"/>
              </w:rPr>
            </w:pPr>
            <w:r>
              <w:rPr>
                <w:rFonts w:ascii="Times New Roman" w:hAnsi="Times New Roman" w:eastAsia="SimSun"/>
                <w:sz w:val="24"/>
                <w:szCs w:val="24"/>
                <w:lang w:eastAsia="zh-CN" w:bidi="ar"/>
              </w:rPr>
              <w:t>Yes</w:t>
            </w:r>
          </w:p>
        </w:tc>
        <w:tc>
          <w:tcPr>
            <w:tcW w:w="0" w:type="auto"/>
            <w:vAlign w:val="center"/>
          </w:tcPr>
          <w:p w14:paraId="47D30001">
            <w:pPr>
              <w:jc w:val="right"/>
              <w:rPr>
                <w:rFonts w:ascii="Times New Roman" w:hAnsi="Times New Roman"/>
                <w:sz w:val="24"/>
                <w:szCs w:val="24"/>
              </w:rPr>
            </w:pPr>
            <w:r>
              <w:rPr>
                <w:rFonts w:ascii="Times New Roman" w:hAnsi="Times New Roman" w:eastAsia="SimSun"/>
                <w:sz w:val="24"/>
                <w:szCs w:val="24"/>
                <w:lang w:eastAsia="zh-CN" w:bidi="ar"/>
              </w:rPr>
              <w:t>29</w:t>
            </w:r>
          </w:p>
        </w:tc>
        <w:tc>
          <w:tcPr>
            <w:tcW w:w="0" w:type="auto"/>
            <w:vAlign w:val="center"/>
          </w:tcPr>
          <w:p w14:paraId="04B407D9">
            <w:pPr>
              <w:jc w:val="right"/>
              <w:rPr>
                <w:rFonts w:ascii="Times New Roman" w:hAnsi="Times New Roman"/>
                <w:sz w:val="24"/>
                <w:szCs w:val="24"/>
              </w:rPr>
            </w:pPr>
            <w:r>
              <w:rPr>
                <w:rFonts w:ascii="Times New Roman" w:hAnsi="Times New Roman" w:eastAsia="SimSun"/>
                <w:sz w:val="24"/>
                <w:szCs w:val="24"/>
                <w:lang w:eastAsia="zh-CN" w:bidi="ar"/>
              </w:rPr>
              <w:t>14.6</w:t>
            </w:r>
          </w:p>
        </w:tc>
        <w:tc>
          <w:tcPr>
            <w:tcW w:w="0" w:type="auto"/>
            <w:vAlign w:val="center"/>
          </w:tcPr>
          <w:p w14:paraId="099DCF60">
            <w:pPr>
              <w:jc w:val="right"/>
              <w:rPr>
                <w:rFonts w:ascii="Times New Roman" w:hAnsi="Times New Roman"/>
                <w:sz w:val="24"/>
                <w:szCs w:val="24"/>
              </w:rPr>
            </w:pPr>
            <w:r>
              <w:rPr>
                <w:rFonts w:ascii="Times New Roman" w:hAnsi="Times New Roman" w:eastAsia="SimSun"/>
                <w:sz w:val="24"/>
                <w:szCs w:val="24"/>
                <w:lang w:eastAsia="zh-CN" w:bidi="ar"/>
              </w:rPr>
              <w:t>18</w:t>
            </w:r>
          </w:p>
        </w:tc>
        <w:tc>
          <w:tcPr>
            <w:tcW w:w="0" w:type="auto"/>
            <w:vAlign w:val="center"/>
          </w:tcPr>
          <w:p w14:paraId="06294A8E">
            <w:pPr>
              <w:jc w:val="right"/>
              <w:rPr>
                <w:rFonts w:ascii="Times New Roman" w:hAnsi="Times New Roman"/>
                <w:sz w:val="24"/>
                <w:szCs w:val="24"/>
              </w:rPr>
            </w:pPr>
            <w:r>
              <w:rPr>
                <w:rFonts w:ascii="Times New Roman" w:hAnsi="Times New Roman" w:eastAsia="SimSun"/>
                <w:sz w:val="24"/>
                <w:szCs w:val="24"/>
                <w:lang w:eastAsia="zh-CN" w:bidi="ar"/>
              </w:rPr>
              <w:t>9</w:t>
            </w:r>
          </w:p>
        </w:tc>
        <w:tc>
          <w:tcPr>
            <w:tcW w:w="0" w:type="auto"/>
            <w:vAlign w:val="center"/>
          </w:tcPr>
          <w:p w14:paraId="791DD14B">
            <w:pPr>
              <w:jc w:val="right"/>
              <w:rPr>
                <w:rFonts w:ascii="Times New Roman" w:hAnsi="Times New Roman"/>
                <w:sz w:val="24"/>
                <w:szCs w:val="24"/>
              </w:rPr>
            </w:pPr>
            <w:r>
              <w:rPr>
                <w:rFonts w:ascii="Times New Roman" w:hAnsi="Times New Roman" w:eastAsia="SimSun"/>
                <w:sz w:val="24"/>
                <w:szCs w:val="24"/>
                <w:lang w:eastAsia="zh-CN" w:bidi="ar"/>
              </w:rPr>
              <w:t>0.177</w:t>
            </w:r>
          </w:p>
        </w:tc>
      </w:tr>
      <w:tr w14:paraId="3C88E324">
        <w:tblPrEx>
          <w:tblCellMar>
            <w:top w:w="15" w:type="dxa"/>
            <w:left w:w="15" w:type="dxa"/>
            <w:bottom w:w="15" w:type="dxa"/>
            <w:right w:w="15" w:type="dxa"/>
          </w:tblCellMar>
        </w:tblPrEx>
        <w:trPr>
          <w:tblCellSpacing w:w="15" w:type="dxa"/>
        </w:trPr>
        <w:tc>
          <w:tcPr>
            <w:tcW w:w="0" w:type="auto"/>
            <w:vAlign w:val="center"/>
          </w:tcPr>
          <w:p w14:paraId="183CFDAE">
            <w:pPr>
              <w:rPr>
                <w:rFonts w:ascii="Times New Roman" w:hAnsi="Times New Roman"/>
                <w:sz w:val="24"/>
                <w:szCs w:val="24"/>
              </w:rPr>
            </w:pPr>
          </w:p>
        </w:tc>
        <w:tc>
          <w:tcPr>
            <w:tcW w:w="0" w:type="auto"/>
            <w:vAlign w:val="center"/>
          </w:tcPr>
          <w:p w14:paraId="76DCBCF2">
            <w:pPr>
              <w:rPr>
                <w:rFonts w:ascii="Times New Roman" w:hAnsi="Times New Roman"/>
                <w:sz w:val="24"/>
                <w:szCs w:val="24"/>
              </w:rPr>
            </w:pPr>
            <w:r>
              <w:rPr>
                <w:rFonts w:ascii="Times New Roman" w:hAnsi="Times New Roman" w:eastAsia="SimSun"/>
                <w:sz w:val="24"/>
                <w:szCs w:val="24"/>
                <w:lang w:eastAsia="zh-CN" w:bidi="ar"/>
              </w:rPr>
              <w:t>No</w:t>
            </w:r>
          </w:p>
        </w:tc>
        <w:tc>
          <w:tcPr>
            <w:tcW w:w="0" w:type="auto"/>
            <w:vAlign w:val="center"/>
          </w:tcPr>
          <w:p w14:paraId="0D498DB9">
            <w:pPr>
              <w:jc w:val="right"/>
              <w:rPr>
                <w:rFonts w:ascii="Times New Roman" w:hAnsi="Times New Roman"/>
                <w:sz w:val="24"/>
                <w:szCs w:val="24"/>
              </w:rPr>
            </w:pPr>
            <w:r>
              <w:rPr>
                <w:rFonts w:ascii="Times New Roman" w:hAnsi="Times New Roman" w:eastAsia="SimSun"/>
                <w:sz w:val="24"/>
                <w:szCs w:val="24"/>
                <w:lang w:eastAsia="zh-CN" w:bidi="ar"/>
              </w:rPr>
              <w:t>170</w:t>
            </w:r>
          </w:p>
        </w:tc>
        <w:tc>
          <w:tcPr>
            <w:tcW w:w="0" w:type="auto"/>
            <w:vAlign w:val="center"/>
          </w:tcPr>
          <w:p w14:paraId="59CEA4C8">
            <w:pPr>
              <w:jc w:val="right"/>
              <w:rPr>
                <w:rFonts w:ascii="Times New Roman" w:hAnsi="Times New Roman"/>
                <w:sz w:val="24"/>
                <w:szCs w:val="24"/>
              </w:rPr>
            </w:pPr>
            <w:r>
              <w:rPr>
                <w:rFonts w:ascii="Times New Roman" w:hAnsi="Times New Roman" w:eastAsia="SimSun"/>
                <w:sz w:val="24"/>
                <w:szCs w:val="24"/>
                <w:lang w:eastAsia="zh-CN" w:bidi="ar"/>
              </w:rPr>
              <w:t>85.4</w:t>
            </w:r>
          </w:p>
        </w:tc>
        <w:tc>
          <w:tcPr>
            <w:tcW w:w="0" w:type="auto"/>
            <w:vAlign w:val="center"/>
          </w:tcPr>
          <w:p w14:paraId="67947DCC">
            <w:pPr>
              <w:jc w:val="right"/>
              <w:rPr>
                <w:rFonts w:ascii="Times New Roman" w:hAnsi="Times New Roman"/>
                <w:sz w:val="24"/>
                <w:szCs w:val="24"/>
              </w:rPr>
            </w:pPr>
            <w:r>
              <w:rPr>
                <w:rFonts w:ascii="Times New Roman" w:hAnsi="Times New Roman" w:eastAsia="SimSun"/>
                <w:sz w:val="24"/>
                <w:szCs w:val="24"/>
                <w:lang w:eastAsia="zh-CN" w:bidi="ar"/>
              </w:rPr>
              <w:t>87</w:t>
            </w:r>
          </w:p>
        </w:tc>
        <w:tc>
          <w:tcPr>
            <w:tcW w:w="0" w:type="auto"/>
            <w:vAlign w:val="center"/>
          </w:tcPr>
          <w:p w14:paraId="46AADF97">
            <w:pPr>
              <w:jc w:val="right"/>
              <w:rPr>
                <w:rFonts w:ascii="Times New Roman" w:hAnsi="Times New Roman"/>
                <w:sz w:val="24"/>
                <w:szCs w:val="24"/>
              </w:rPr>
            </w:pPr>
            <w:r>
              <w:rPr>
                <w:rFonts w:ascii="Times New Roman" w:hAnsi="Times New Roman" w:eastAsia="SimSun"/>
                <w:sz w:val="24"/>
                <w:szCs w:val="24"/>
                <w:lang w:eastAsia="zh-CN" w:bidi="ar"/>
              </w:rPr>
              <w:t>85</w:t>
            </w:r>
          </w:p>
        </w:tc>
        <w:tc>
          <w:tcPr>
            <w:tcW w:w="0" w:type="auto"/>
            <w:vAlign w:val="center"/>
          </w:tcPr>
          <w:p w14:paraId="24506D96">
            <w:pPr>
              <w:jc w:val="right"/>
              <w:rPr>
                <w:rFonts w:ascii="Times New Roman" w:hAnsi="Times New Roman"/>
                <w:sz w:val="24"/>
                <w:szCs w:val="24"/>
              </w:rPr>
            </w:pPr>
          </w:p>
        </w:tc>
      </w:tr>
      <w:tr w14:paraId="41277E4F">
        <w:tblPrEx>
          <w:tblCellMar>
            <w:top w:w="15" w:type="dxa"/>
            <w:left w:w="15" w:type="dxa"/>
            <w:bottom w:w="15" w:type="dxa"/>
            <w:right w:w="15" w:type="dxa"/>
          </w:tblCellMar>
        </w:tblPrEx>
        <w:trPr>
          <w:tblCellSpacing w:w="15" w:type="dxa"/>
        </w:trPr>
        <w:tc>
          <w:tcPr>
            <w:tcW w:w="0" w:type="auto"/>
            <w:vAlign w:val="center"/>
          </w:tcPr>
          <w:p w14:paraId="6A7EB923">
            <w:pPr>
              <w:rPr>
                <w:rFonts w:ascii="Times New Roman" w:hAnsi="Times New Roman"/>
                <w:sz w:val="24"/>
                <w:szCs w:val="24"/>
              </w:rPr>
            </w:pPr>
            <w:r>
              <w:rPr>
                <w:rStyle w:val="18"/>
                <w:rFonts w:ascii="Times New Roman" w:hAnsi="Times New Roman" w:eastAsia="SimSun"/>
                <w:b w:val="0"/>
                <w:bCs w:val="0"/>
                <w:sz w:val="24"/>
                <w:szCs w:val="24"/>
                <w:lang w:eastAsia="zh-CN" w:bidi="ar"/>
              </w:rPr>
              <w:t>Invasive Procedures</w:t>
            </w:r>
          </w:p>
        </w:tc>
        <w:tc>
          <w:tcPr>
            <w:tcW w:w="0" w:type="auto"/>
            <w:vAlign w:val="center"/>
          </w:tcPr>
          <w:p w14:paraId="1A91647C">
            <w:pPr>
              <w:rPr>
                <w:rFonts w:ascii="Times New Roman" w:hAnsi="Times New Roman"/>
                <w:sz w:val="24"/>
                <w:szCs w:val="24"/>
              </w:rPr>
            </w:pPr>
            <w:r>
              <w:rPr>
                <w:rFonts w:ascii="Times New Roman" w:hAnsi="Times New Roman" w:eastAsia="SimSun"/>
                <w:sz w:val="24"/>
                <w:szCs w:val="24"/>
                <w:lang w:eastAsia="zh-CN" w:bidi="ar"/>
              </w:rPr>
              <w:t>Performed</w:t>
            </w:r>
          </w:p>
        </w:tc>
        <w:tc>
          <w:tcPr>
            <w:tcW w:w="0" w:type="auto"/>
            <w:vAlign w:val="center"/>
          </w:tcPr>
          <w:p w14:paraId="56C8AAAF">
            <w:pPr>
              <w:jc w:val="right"/>
              <w:rPr>
                <w:rFonts w:ascii="Times New Roman" w:hAnsi="Times New Roman"/>
                <w:sz w:val="24"/>
                <w:szCs w:val="24"/>
              </w:rPr>
            </w:pPr>
            <w:r>
              <w:rPr>
                <w:rFonts w:ascii="Times New Roman" w:hAnsi="Times New Roman" w:eastAsia="SimSun"/>
                <w:sz w:val="24"/>
                <w:szCs w:val="24"/>
                <w:lang w:eastAsia="zh-CN" w:bidi="ar"/>
              </w:rPr>
              <w:t>92</w:t>
            </w:r>
          </w:p>
        </w:tc>
        <w:tc>
          <w:tcPr>
            <w:tcW w:w="0" w:type="auto"/>
            <w:vAlign w:val="center"/>
          </w:tcPr>
          <w:p w14:paraId="6B48D9E8">
            <w:pPr>
              <w:jc w:val="right"/>
              <w:rPr>
                <w:rFonts w:ascii="Times New Roman" w:hAnsi="Times New Roman"/>
                <w:sz w:val="24"/>
                <w:szCs w:val="24"/>
              </w:rPr>
            </w:pPr>
            <w:r>
              <w:rPr>
                <w:rFonts w:ascii="Times New Roman" w:hAnsi="Times New Roman" w:eastAsia="SimSun"/>
                <w:sz w:val="24"/>
                <w:szCs w:val="24"/>
                <w:lang w:eastAsia="zh-CN" w:bidi="ar"/>
              </w:rPr>
              <w:t>46.2</w:t>
            </w:r>
          </w:p>
        </w:tc>
        <w:tc>
          <w:tcPr>
            <w:tcW w:w="0" w:type="auto"/>
            <w:vAlign w:val="center"/>
          </w:tcPr>
          <w:p w14:paraId="64DC8D6B">
            <w:pPr>
              <w:jc w:val="right"/>
              <w:rPr>
                <w:rFonts w:ascii="Times New Roman" w:hAnsi="Times New Roman"/>
                <w:sz w:val="24"/>
                <w:szCs w:val="24"/>
              </w:rPr>
            </w:pPr>
            <w:r>
              <w:rPr>
                <w:rFonts w:ascii="Times New Roman" w:hAnsi="Times New Roman" w:eastAsia="SimSun"/>
                <w:sz w:val="24"/>
                <w:szCs w:val="24"/>
                <w:lang w:eastAsia="zh-CN" w:bidi="ar"/>
              </w:rPr>
              <w:t>49</w:t>
            </w:r>
          </w:p>
        </w:tc>
        <w:tc>
          <w:tcPr>
            <w:tcW w:w="0" w:type="auto"/>
            <w:vAlign w:val="center"/>
          </w:tcPr>
          <w:p w14:paraId="7C2A30B0">
            <w:pPr>
              <w:jc w:val="right"/>
              <w:rPr>
                <w:rFonts w:ascii="Times New Roman" w:hAnsi="Times New Roman"/>
                <w:sz w:val="24"/>
                <w:szCs w:val="24"/>
              </w:rPr>
            </w:pPr>
            <w:r>
              <w:rPr>
                <w:rFonts w:ascii="Times New Roman" w:hAnsi="Times New Roman" w:eastAsia="SimSun"/>
                <w:sz w:val="24"/>
                <w:szCs w:val="24"/>
                <w:lang w:eastAsia="zh-CN" w:bidi="ar"/>
              </w:rPr>
              <w:t>45</w:t>
            </w:r>
          </w:p>
        </w:tc>
        <w:tc>
          <w:tcPr>
            <w:tcW w:w="0" w:type="auto"/>
            <w:vAlign w:val="center"/>
          </w:tcPr>
          <w:p w14:paraId="799AC293">
            <w:pPr>
              <w:jc w:val="right"/>
              <w:rPr>
                <w:rFonts w:ascii="Times New Roman" w:hAnsi="Times New Roman"/>
                <w:sz w:val="24"/>
                <w:szCs w:val="24"/>
              </w:rPr>
            </w:pPr>
            <w:r>
              <w:rPr>
                <w:rFonts w:ascii="Times New Roman" w:hAnsi="Times New Roman" w:eastAsia="SimSun"/>
                <w:sz w:val="24"/>
                <w:szCs w:val="24"/>
                <w:lang w:eastAsia="zh-CN" w:bidi="ar"/>
              </w:rPr>
              <w:t>0.978</w:t>
            </w:r>
          </w:p>
        </w:tc>
      </w:tr>
      <w:tr w14:paraId="3626644C">
        <w:tblPrEx>
          <w:tblCellMar>
            <w:top w:w="15" w:type="dxa"/>
            <w:left w:w="15" w:type="dxa"/>
            <w:bottom w:w="15" w:type="dxa"/>
            <w:right w:w="15" w:type="dxa"/>
          </w:tblCellMar>
        </w:tblPrEx>
        <w:trPr>
          <w:tblCellSpacing w:w="15" w:type="dxa"/>
        </w:trPr>
        <w:tc>
          <w:tcPr>
            <w:tcW w:w="0" w:type="auto"/>
            <w:vAlign w:val="center"/>
          </w:tcPr>
          <w:p w14:paraId="23256EBF">
            <w:pPr>
              <w:rPr>
                <w:rFonts w:ascii="Times New Roman" w:hAnsi="Times New Roman"/>
                <w:sz w:val="24"/>
                <w:szCs w:val="24"/>
              </w:rPr>
            </w:pPr>
          </w:p>
        </w:tc>
        <w:tc>
          <w:tcPr>
            <w:tcW w:w="0" w:type="auto"/>
            <w:vAlign w:val="center"/>
          </w:tcPr>
          <w:p w14:paraId="6E166B41">
            <w:pPr>
              <w:rPr>
                <w:rFonts w:ascii="Times New Roman" w:hAnsi="Times New Roman"/>
                <w:sz w:val="24"/>
                <w:szCs w:val="24"/>
              </w:rPr>
            </w:pPr>
            <w:r>
              <w:rPr>
                <w:rFonts w:ascii="Times New Roman" w:hAnsi="Times New Roman" w:eastAsia="SimSun"/>
                <w:sz w:val="24"/>
                <w:szCs w:val="24"/>
                <w:lang w:eastAsia="zh-CN" w:bidi="ar"/>
              </w:rPr>
              <w:t>Not Performed</w:t>
            </w:r>
          </w:p>
        </w:tc>
        <w:tc>
          <w:tcPr>
            <w:tcW w:w="0" w:type="auto"/>
            <w:vAlign w:val="center"/>
          </w:tcPr>
          <w:p w14:paraId="6D1D7C98">
            <w:pPr>
              <w:jc w:val="right"/>
              <w:rPr>
                <w:rFonts w:ascii="Times New Roman" w:hAnsi="Times New Roman"/>
                <w:sz w:val="24"/>
                <w:szCs w:val="24"/>
              </w:rPr>
            </w:pPr>
            <w:r>
              <w:rPr>
                <w:rFonts w:ascii="Times New Roman" w:hAnsi="Times New Roman" w:eastAsia="SimSun"/>
                <w:sz w:val="24"/>
                <w:szCs w:val="24"/>
                <w:lang w:eastAsia="zh-CN" w:bidi="ar"/>
              </w:rPr>
              <w:t>107</w:t>
            </w:r>
          </w:p>
        </w:tc>
        <w:tc>
          <w:tcPr>
            <w:tcW w:w="0" w:type="auto"/>
            <w:vAlign w:val="center"/>
          </w:tcPr>
          <w:p w14:paraId="1F41C749">
            <w:pPr>
              <w:jc w:val="right"/>
              <w:rPr>
                <w:rFonts w:ascii="Times New Roman" w:hAnsi="Times New Roman"/>
                <w:sz w:val="24"/>
                <w:szCs w:val="24"/>
              </w:rPr>
            </w:pPr>
            <w:r>
              <w:rPr>
                <w:rFonts w:ascii="Times New Roman" w:hAnsi="Times New Roman" w:eastAsia="SimSun"/>
                <w:sz w:val="24"/>
                <w:szCs w:val="24"/>
                <w:lang w:eastAsia="zh-CN" w:bidi="ar"/>
              </w:rPr>
              <w:t>53.8</w:t>
            </w:r>
          </w:p>
        </w:tc>
        <w:tc>
          <w:tcPr>
            <w:tcW w:w="0" w:type="auto"/>
            <w:vAlign w:val="center"/>
          </w:tcPr>
          <w:p w14:paraId="3986FCEF">
            <w:pPr>
              <w:jc w:val="right"/>
              <w:rPr>
                <w:rFonts w:ascii="Times New Roman" w:hAnsi="Times New Roman"/>
                <w:sz w:val="24"/>
                <w:szCs w:val="24"/>
              </w:rPr>
            </w:pPr>
            <w:r>
              <w:rPr>
                <w:rFonts w:ascii="Times New Roman" w:hAnsi="Times New Roman" w:eastAsia="SimSun"/>
                <w:sz w:val="24"/>
                <w:szCs w:val="24"/>
                <w:lang w:eastAsia="zh-CN" w:bidi="ar"/>
              </w:rPr>
              <w:t>56</w:t>
            </w:r>
          </w:p>
        </w:tc>
        <w:tc>
          <w:tcPr>
            <w:tcW w:w="0" w:type="auto"/>
            <w:vAlign w:val="center"/>
          </w:tcPr>
          <w:p w14:paraId="0AA22642">
            <w:pPr>
              <w:jc w:val="right"/>
              <w:rPr>
                <w:rFonts w:ascii="Times New Roman" w:hAnsi="Times New Roman"/>
                <w:sz w:val="24"/>
                <w:szCs w:val="24"/>
              </w:rPr>
            </w:pPr>
            <w:r>
              <w:rPr>
                <w:rFonts w:ascii="Times New Roman" w:hAnsi="Times New Roman" w:eastAsia="SimSun"/>
                <w:sz w:val="24"/>
                <w:szCs w:val="24"/>
                <w:lang w:eastAsia="zh-CN" w:bidi="ar"/>
              </w:rPr>
              <w:t>49</w:t>
            </w:r>
          </w:p>
        </w:tc>
        <w:tc>
          <w:tcPr>
            <w:tcW w:w="0" w:type="auto"/>
            <w:vAlign w:val="center"/>
          </w:tcPr>
          <w:p w14:paraId="09A265C1">
            <w:pPr>
              <w:jc w:val="right"/>
              <w:rPr>
                <w:rFonts w:ascii="Times New Roman" w:hAnsi="Times New Roman"/>
                <w:sz w:val="24"/>
                <w:szCs w:val="24"/>
              </w:rPr>
            </w:pPr>
          </w:p>
        </w:tc>
      </w:tr>
    </w:tbl>
    <w:p w14:paraId="79E28083">
      <w:pPr>
        <w:pStyle w:val="23"/>
        <w:spacing w:after="0"/>
      </w:pPr>
      <w:r>
        <w:t>Source : (Researcher, 2025)</w:t>
      </w:r>
    </w:p>
    <w:p w14:paraId="016917AE">
      <w:pPr>
        <w:pStyle w:val="23"/>
        <w:spacing w:after="0"/>
      </w:pPr>
    </w:p>
    <w:p w14:paraId="37BE2BE1">
      <w:pPr>
        <w:pStyle w:val="23"/>
        <w:spacing w:after="0"/>
      </w:pPr>
      <w:r>
        <w:t>Based on the cross-tabulation findings as shown in table 2, none of the neonate-related factors examined showed a statistically significant association with sepsis severity among the 199 neonates admitted to the Newborn Unit at Mandera County Referral Hospital (P &gt; 0.05 for all factors). However, low birth weight and male sex were more frequently observed among neonates with severe sepsis, although these differences did not reach statistical significance. Preterm birth and birth asphyxia were also common among septic neonates, reflecting the vulnerability of these groups due to immature immune systems and potential perinatal complications. A considerable proportion of neonates had undergone invasive procedures, which may have increased their exposure to hospital-acquired infections. Congenital anomalies and multiple births, though less prevalent, were still present and may contribute to higher clinical complexity and infection risk. These results suggest that while certain neonatal characteristics—particularly low birth weight, prematurity, and male sex—are prevalent among septic neonates, they may not independently determine the severity of the condition. Nevertheless, the trends observed reinforce the need for heightened surveillance, prompt diagnosis, and targeted preventive measures for neonates exhibiting these risk factors to reduce the burden and potential complications of neonatal sepsis in this setting</w:t>
      </w:r>
      <w:r>
        <w:rPr>
          <w:rFonts w:hint="default"/>
          <w:lang w:val="en-US"/>
        </w:rPr>
        <w:t xml:space="preserve"> </w:t>
      </w:r>
      <w:r>
        <w:rPr>
          <w:rFonts w:ascii="Arial" w:hAnsi="Arial"/>
        </w:rPr>
        <w:t>(</w:t>
      </w:r>
      <w:r>
        <w:rPr>
          <w:sz w:val="20"/>
          <w:szCs w:val="20"/>
          <w:lang w:val="en-GB"/>
        </w:rPr>
        <w:t>Adedokun,.Onosakponome &amp; Nyenke. 2020</w:t>
      </w:r>
      <w:r>
        <w:rPr>
          <w:rFonts w:hint="default"/>
          <w:sz w:val="20"/>
          <w:szCs w:val="20"/>
          <w:lang w:val="en-US"/>
        </w:rPr>
        <w:t>)</w:t>
      </w:r>
      <w:r>
        <w:t>.</w:t>
      </w:r>
    </w:p>
    <w:p w14:paraId="15A61D06">
      <w:pPr>
        <w:pStyle w:val="23"/>
        <w:spacing w:after="0"/>
      </w:pPr>
      <w:r>
        <w:t>This findings concurs to those by Tisho et al. (2025) at Kenyatta National Hospital, which discovered that while low birth weight and male sex were observed to have a higher proportion of cases in the severe sepsis category, these differences did not reach statistical significance. The findings of our study are similar to a study that was carried out in Northern Ethiopia (Destaaleem, HaftuBerche, &amp; Kashu, 2021), that suggested that although certain neonatal characteristics—such as low birth weight, male sex, prematurity, and birth asphyxia—are common among neonates with sepsis, they may not independently predict the severity of the condition within this study population.</w:t>
      </w:r>
    </w:p>
    <w:p w14:paraId="20B43CA8">
      <w:pPr>
        <w:pStyle w:val="23"/>
        <w:spacing w:after="0"/>
      </w:pPr>
      <w:r>
        <w:t>These outcomes aligned with the qualitative data, which demonstrated that;</w:t>
      </w:r>
    </w:p>
    <w:p w14:paraId="3D87CBD4">
      <w:pPr>
        <w:pStyle w:val="23"/>
        <w:spacing w:after="0"/>
      </w:pPr>
    </w:p>
    <w:p w14:paraId="1DA352D8">
      <w:pPr>
        <w:pStyle w:val="23"/>
        <w:spacing w:after="0"/>
        <w:ind w:left="720"/>
        <w:rPr>
          <w:i/>
          <w:iCs/>
        </w:rPr>
      </w:pPr>
      <w:r>
        <w:rPr>
          <w:i/>
          <w:iCs/>
        </w:rPr>
        <w:t>"According to one of the KII, the early onset of sepsis (EOS) in this study were more frequently observed in male sex, multiple births, and congenital anomalies….”</w:t>
      </w:r>
    </w:p>
    <w:p w14:paraId="1DADDF3E">
      <w:pPr>
        <w:pStyle w:val="23"/>
        <w:spacing w:after="0"/>
        <w:rPr>
          <w:b/>
          <w:bCs/>
        </w:rPr>
      </w:pPr>
    </w:p>
    <w:p w14:paraId="325A1EE6">
      <w:pPr>
        <w:pStyle w:val="23"/>
        <w:spacing w:after="0"/>
        <w:rPr>
          <w:b/>
          <w:bCs/>
        </w:rPr>
      </w:pPr>
      <w:r>
        <w:rPr>
          <w:b/>
          <w:bCs/>
        </w:rPr>
        <w:t>3.2 Knowledge Gaps Among Health Care Providers on Neonatal Sepsis in Mandera County Referral Hospital.</w:t>
      </w:r>
    </w:p>
    <w:p w14:paraId="2F977EDA">
      <w:pPr>
        <w:pStyle w:val="23"/>
        <w:spacing w:after="0"/>
        <w:rPr>
          <w:b w:val="0"/>
          <w:bCs w:val="0"/>
        </w:rPr>
      </w:pPr>
      <w:r>
        <w:rPr>
          <w:rFonts w:hint="default"/>
          <w:b w:val="0"/>
          <w:bCs w:val="0"/>
        </w:rPr>
        <w:t>In order to comprehend the makeup of the nurse sample and evaluate the potential effects of variables like age, gender, educational attainment, years of experience, and employment status on the nurses' perspectives, professional practices, and overall contribution to the healthcare environment, the study aimed to ascertain the demographic characteristics of the participating nurses.</w:t>
      </w:r>
      <w:r>
        <w:rPr>
          <w:rFonts w:hint="default"/>
          <w:b w:val="0"/>
          <w:bCs w:val="0"/>
          <w:lang w:val="en-US"/>
        </w:rPr>
        <w:t xml:space="preserve"> </w:t>
      </w:r>
      <w:r>
        <w:rPr>
          <w:rFonts w:hint="default"/>
          <w:b w:val="0"/>
          <w:bCs w:val="0"/>
        </w:rPr>
        <w:t xml:space="preserve">According to data analysis in Table </w:t>
      </w:r>
      <w:r>
        <w:rPr>
          <w:rFonts w:hint="default"/>
          <w:b w:val="0"/>
          <w:bCs w:val="0"/>
          <w:lang w:val="en-US"/>
        </w:rPr>
        <w:t>3</w:t>
      </w:r>
      <w:r>
        <w:rPr>
          <w:rFonts w:hint="default"/>
          <w:b w:val="0"/>
          <w:bCs w:val="0"/>
        </w:rPr>
        <w:t>, 36 (72.0%) of the 50 nurses who took part in the study were between the ages of 21 and 30. Furthermore, 37 (74%) of them were female, 26 (52%) had earned a B Sc in nursing, 33 (66%) had two to four years of experience, and 41 (82%) had not taken any specific neonatology courses.</w:t>
      </w:r>
    </w:p>
    <w:p w14:paraId="755C3A4C">
      <w:pPr>
        <w:pStyle w:val="23"/>
        <w:spacing w:after="0"/>
        <w:jc w:val="center"/>
        <w:rPr>
          <w:rFonts w:hint="default"/>
          <w:b w:val="0"/>
          <w:bCs w:val="0"/>
        </w:rPr>
      </w:pPr>
    </w:p>
    <w:p w14:paraId="2649C1D9">
      <w:pPr>
        <w:pStyle w:val="23"/>
        <w:spacing w:after="0"/>
        <w:jc w:val="center"/>
        <w:rPr>
          <w:rFonts w:hint="default"/>
          <w:b w:val="0"/>
          <w:bCs w:val="0"/>
        </w:rPr>
      </w:pPr>
    </w:p>
    <w:p w14:paraId="28C278FF">
      <w:pPr>
        <w:pStyle w:val="23"/>
        <w:spacing w:after="0"/>
        <w:jc w:val="center"/>
        <w:rPr>
          <w:rFonts w:hint="default"/>
          <w:b w:val="0"/>
          <w:bCs w:val="0"/>
        </w:rPr>
      </w:pPr>
    </w:p>
    <w:p w14:paraId="5135BD29">
      <w:pPr>
        <w:pStyle w:val="23"/>
        <w:spacing w:after="0"/>
        <w:jc w:val="center"/>
        <w:rPr>
          <w:rFonts w:hint="default"/>
          <w:b w:val="0"/>
          <w:bCs w:val="0"/>
        </w:rPr>
      </w:pPr>
      <w:r>
        <w:rPr>
          <w:rFonts w:hint="default"/>
          <w:b w:val="0"/>
          <w:bCs w:val="0"/>
        </w:rPr>
        <w:t>Table 3. Nurses Socio-demographic characteristics</w:t>
      </w:r>
    </w:p>
    <w:p w14:paraId="0E628EAC">
      <w:pPr>
        <w:pStyle w:val="23"/>
        <w:spacing w:after="0"/>
        <w:rPr>
          <w:rFonts w:hint="default"/>
          <w:b/>
          <w:bCs/>
        </w:rPr>
      </w:pPr>
      <w:r>
        <w:rPr>
          <w:sz w:val="20"/>
        </w:rPr>
        <w:drawing>
          <wp:inline distT="0" distB="0" distL="0" distR="0">
            <wp:extent cx="5273040" cy="3817620"/>
            <wp:effectExtent l="0" t="0" r="0" b="762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5273240" cy="3817620"/>
                    </a:xfrm>
                    <a:prstGeom prst="rect">
                      <a:avLst/>
                    </a:prstGeom>
                  </pic:spPr>
                </pic:pic>
              </a:graphicData>
            </a:graphic>
          </wp:inline>
        </w:drawing>
      </w:r>
    </w:p>
    <w:p w14:paraId="59F6D63A">
      <w:pPr>
        <w:pStyle w:val="23"/>
        <w:spacing w:after="0"/>
        <w:jc w:val="both"/>
        <w:rPr>
          <w:rFonts w:hint="default"/>
        </w:rPr>
      </w:pPr>
    </w:p>
    <w:p w14:paraId="479507DE">
      <w:pPr>
        <w:pStyle w:val="23"/>
        <w:spacing w:after="0"/>
        <w:jc w:val="both"/>
        <w:rPr>
          <w:rFonts w:hint="default"/>
        </w:rPr>
      </w:pPr>
    </w:p>
    <w:p w14:paraId="5892E0CE">
      <w:pPr>
        <w:pStyle w:val="23"/>
        <w:spacing w:after="0"/>
        <w:jc w:val="both"/>
        <w:rPr>
          <w:rFonts w:hint="default"/>
        </w:rPr>
      </w:pPr>
    </w:p>
    <w:p w14:paraId="200365A0">
      <w:pPr>
        <w:pStyle w:val="23"/>
        <w:spacing w:after="0"/>
        <w:jc w:val="both"/>
        <w:rPr>
          <w:rFonts w:hint="default"/>
        </w:rPr>
      </w:pPr>
    </w:p>
    <w:p w14:paraId="25871A1E">
      <w:pPr>
        <w:pStyle w:val="23"/>
        <w:spacing w:after="0"/>
        <w:jc w:val="both"/>
        <w:rPr>
          <w:rFonts w:hint="default"/>
        </w:rPr>
      </w:pPr>
    </w:p>
    <w:p w14:paraId="44DA07B2">
      <w:pPr>
        <w:pStyle w:val="23"/>
        <w:spacing w:after="0"/>
        <w:jc w:val="both"/>
        <w:rPr>
          <w:rFonts w:hint="default"/>
        </w:rPr>
      </w:pPr>
    </w:p>
    <w:p w14:paraId="51998E91">
      <w:pPr>
        <w:pStyle w:val="23"/>
        <w:spacing w:after="0"/>
        <w:jc w:val="both"/>
        <w:rPr>
          <w:rFonts w:hint="default"/>
        </w:rPr>
      </w:pPr>
    </w:p>
    <w:p w14:paraId="35A1E978">
      <w:pPr>
        <w:pStyle w:val="23"/>
        <w:spacing w:after="0"/>
        <w:jc w:val="both"/>
        <w:rPr>
          <w:rFonts w:hint="default"/>
        </w:rPr>
      </w:pPr>
    </w:p>
    <w:p w14:paraId="5B83E383">
      <w:pPr>
        <w:pStyle w:val="23"/>
        <w:spacing w:after="0"/>
        <w:jc w:val="both"/>
        <w:rPr>
          <w:rFonts w:hint="default"/>
        </w:rPr>
      </w:pPr>
    </w:p>
    <w:p w14:paraId="4BDAFC4C">
      <w:pPr>
        <w:pStyle w:val="23"/>
        <w:spacing w:after="0"/>
        <w:jc w:val="both"/>
        <w:rPr>
          <w:rFonts w:hint="default"/>
        </w:rPr>
      </w:pPr>
    </w:p>
    <w:p w14:paraId="3F7B497A">
      <w:pPr>
        <w:pStyle w:val="23"/>
        <w:spacing w:after="0"/>
        <w:jc w:val="both"/>
        <w:rPr>
          <w:rFonts w:hint="default"/>
        </w:rPr>
      </w:pPr>
    </w:p>
    <w:p w14:paraId="2BAF2E63">
      <w:pPr>
        <w:pStyle w:val="23"/>
        <w:spacing w:after="0"/>
        <w:jc w:val="both"/>
        <w:rPr>
          <w:rFonts w:hint="default"/>
        </w:rPr>
      </w:pPr>
    </w:p>
    <w:p w14:paraId="52CC6D34">
      <w:pPr>
        <w:pStyle w:val="23"/>
        <w:spacing w:after="0"/>
        <w:jc w:val="both"/>
        <w:rPr>
          <w:rFonts w:hint="default"/>
        </w:rPr>
      </w:pPr>
    </w:p>
    <w:p w14:paraId="56FC3624">
      <w:pPr>
        <w:pStyle w:val="23"/>
        <w:spacing w:after="0"/>
        <w:jc w:val="both"/>
        <w:rPr>
          <w:rFonts w:hint="default"/>
        </w:rPr>
      </w:pPr>
    </w:p>
    <w:p w14:paraId="76CA611B">
      <w:pPr>
        <w:pStyle w:val="23"/>
        <w:spacing w:after="0"/>
        <w:jc w:val="both"/>
        <w:rPr>
          <w:rFonts w:hint="default"/>
        </w:rPr>
      </w:pPr>
    </w:p>
    <w:p w14:paraId="71A4B7A8">
      <w:pPr>
        <w:pStyle w:val="23"/>
        <w:spacing w:after="0"/>
        <w:jc w:val="both"/>
        <w:rPr>
          <w:rFonts w:hint="default"/>
        </w:rPr>
      </w:pPr>
    </w:p>
    <w:p w14:paraId="436B25EF">
      <w:pPr>
        <w:pStyle w:val="23"/>
        <w:spacing w:after="0"/>
        <w:jc w:val="both"/>
        <w:rPr>
          <w:rFonts w:hint="default"/>
        </w:rPr>
      </w:pPr>
    </w:p>
    <w:p w14:paraId="6D2E6061">
      <w:pPr>
        <w:pStyle w:val="23"/>
        <w:spacing w:after="0"/>
        <w:jc w:val="both"/>
        <w:rPr>
          <w:rFonts w:hint="default"/>
        </w:rPr>
      </w:pPr>
    </w:p>
    <w:p w14:paraId="1DDE9201">
      <w:pPr>
        <w:pStyle w:val="23"/>
        <w:spacing w:after="0"/>
        <w:jc w:val="both"/>
        <w:rPr>
          <w:rFonts w:hint="default"/>
        </w:rPr>
      </w:pPr>
    </w:p>
    <w:p w14:paraId="3C161887">
      <w:pPr>
        <w:pStyle w:val="23"/>
        <w:spacing w:after="0"/>
        <w:jc w:val="both"/>
        <w:rPr>
          <w:rFonts w:hint="default"/>
        </w:rPr>
      </w:pPr>
    </w:p>
    <w:p w14:paraId="203C86B6">
      <w:pPr>
        <w:pStyle w:val="23"/>
        <w:spacing w:after="0"/>
        <w:jc w:val="both"/>
        <w:rPr>
          <w:rFonts w:hint="default"/>
        </w:rPr>
      </w:pPr>
    </w:p>
    <w:p w14:paraId="51973CD3">
      <w:pPr>
        <w:pStyle w:val="23"/>
        <w:spacing w:after="0"/>
        <w:jc w:val="both"/>
        <w:rPr>
          <w:rFonts w:hint="default"/>
        </w:rPr>
      </w:pPr>
    </w:p>
    <w:p w14:paraId="1F0647B7">
      <w:pPr>
        <w:pStyle w:val="23"/>
        <w:spacing w:after="0"/>
        <w:jc w:val="both"/>
        <w:rPr>
          <w:rFonts w:hint="default"/>
        </w:rPr>
      </w:pPr>
    </w:p>
    <w:p w14:paraId="4B9056C4">
      <w:pPr>
        <w:pStyle w:val="23"/>
        <w:spacing w:after="0"/>
        <w:jc w:val="both"/>
        <w:rPr>
          <w:rFonts w:hint="default"/>
        </w:rPr>
      </w:pPr>
    </w:p>
    <w:p w14:paraId="0F8F0FAC">
      <w:pPr>
        <w:pStyle w:val="23"/>
        <w:spacing w:after="0"/>
        <w:jc w:val="both"/>
        <w:rPr>
          <w:rFonts w:hint="default"/>
        </w:rPr>
      </w:pPr>
    </w:p>
    <w:p w14:paraId="060F191F">
      <w:pPr>
        <w:pStyle w:val="23"/>
        <w:spacing w:after="0"/>
        <w:jc w:val="both"/>
        <w:rPr>
          <w:rFonts w:hint="default"/>
        </w:rPr>
      </w:pPr>
      <w:r>
        <w:rPr>
          <w:rFonts w:hint="default"/>
        </w:rPr>
        <w:t>According to Table 4, the majority of the nurses knew a lot about ENC. Every nurse is aware of being vaccinated on time. Hand washing (96%), equipment sterilization (96.0%), frequent bed sheet changes (92%), umbilical cord care (94.0%), maternal health education (90%), minimizing invasive procedures (92%), starting breastfeeding (98%), and nail cutting (76%) were the most commonly used neonatal sepsis prevention strategies among the respondents.</w:t>
      </w:r>
    </w:p>
    <w:p w14:paraId="70C55750">
      <w:pPr>
        <w:pStyle w:val="23"/>
        <w:spacing w:after="0"/>
        <w:jc w:val="center"/>
        <w:rPr>
          <w:rFonts w:hint="default"/>
        </w:rPr>
      </w:pPr>
      <w:r>
        <w:rPr>
          <w:rFonts w:hint="default"/>
        </w:rPr>
        <w:t>Table 4 Distribution of Nurse’s knowledge level about Essential Newborn Care</w:t>
      </w:r>
      <w:r>
        <w:rPr>
          <w:sz w:val="20"/>
        </w:rPr>
        <w:drawing>
          <wp:anchor distT="0" distB="0" distL="0" distR="0" simplePos="0" relativeHeight="251666432" behindDoc="1" locked="0" layoutInCell="1" allowOverlap="1">
            <wp:simplePos x="0" y="0"/>
            <wp:positionH relativeFrom="page">
              <wp:posOffset>922655</wp:posOffset>
            </wp:positionH>
            <wp:positionV relativeFrom="paragraph">
              <wp:posOffset>334010</wp:posOffset>
            </wp:positionV>
            <wp:extent cx="5364480" cy="4152900"/>
            <wp:effectExtent l="0" t="0" r="0" b="7620"/>
            <wp:wrapTopAndBottom/>
            <wp:docPr id="1" name="Image 26"/>
            <wp:cNvGraphicFramePr/>
            <a:graphic xmlns:a="http://schemas.openxmlformats.org/drawingml/2006/main">
              <a:graphicData uri="http://schemas.openxmlformats.org/drawingml/2006/picture">
                <pic:pic xmlns:pic="http://schemas.openxmlformats.org/drawingml/2006/picture">
                  <pic:nvPicPr>
                    <pic:cNvPr id="1" name="Image 26"/>
                    <pic:cNvPicPr/>
                  </pic:nvPicPr>
                  <pic:blipFill>
                    <a:blip r:embed="rId16" cstate="print"/>
                    <a:stretch>
                      <a:fillRect/>
                    </a:stretch>
                  </pic:blipFill>
                  <pic:spPr>
                    <a:xfrm>
                      <a:off x="0" y="0"/>
                      <a:ext cx="5364480" cy="4152900"/>
                    </a:xfrm>
                    <a:prstGeom prst="rect">
                      <a:avLst/>
                    </a:prstGeom>
                  </pic:spPr>
                </pic:pic>
              </a:graphicData>
            </a:graphic>
          </wp:anchor>
        </w:drawing>
      </w:r>
    </w:p>
    <w:p w14:paraId="4F416A52">
      <w:pPr>
        <w:pStyle w:val="23"/>
        <w:spacing w:after="0"/>
        <w:jc w:val="both"/>
        <w:rPr>
          <w:rFonts w:hint="default"/>
        </w:rPr>
      </w:pPr>
      <w:r>
        <w:rPr>
          <w:sz w:val="20"/>
        </w:rPr>
        <w:drawing>
          <wp:anchor distT="0" distB="0" distL="0" distR="0" simplePos="0" relativeHeight="251665408" behindDoc="1" locked="0" layoutInCell="1" allowOverlap="1">
            <wp:simplePos x="0" y="0"/>
            <wp:positionH relativeFrom="page">
              <wp:posOffset>922655</wp:posOffset>
            </wp:positionH>
            <wp:positionV relativeFrom="paragraph">
              <wp:posOffset>1355725</wp:posOffset>
            </wp:positionV>
            <wp:extent cx="5364480" cy="4152900"/>
            <wp:effectExtent l="0" t="0" r="0" b="7620"/>
            <wp:wrapTopAndBottom/>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5364480" cy="4152900"/>
                    </a:xfrm>
                    <a:prstGeom prst="rect">
                      <a:avLst/>
                    </a:prstGeom>
                  </pic:spPr>
                </pic:pic>
              </a:graphicData>
            </a:graphic>
          </wp:anchor>
        </w:drawing>
      </w:r>
    </w:p>
    <w:p w14:paraId="0F4EA74E">
      <w:pPr>
        <w:pStyle w:val="23"/>
        <w:spacing w:after="0"/>
        <w:rPr>
          <w:rFonts w:hint="default"/>
        </w:rPr>
      </w:pPr>
      <w:r>
        <w:t xml:space="preserve">The study sought to determine the existing knowledge gaps among health care providers on neonatal sepsis in Mandera County Referral Hospital. All variables with a P value less than 0.20 were adjusted for using logistic regression as shown in table </w:t>
      </w:r>
      <w:r>
        <w:rPr>
          <w:rFonts w:hint="default"/>
          <w:lang w:val="en-US"/>
        </w:rPr>
        <w:t>5</w:t>
      </w:r>
      <w:r>
        <w:t>. When all other factors were taken into account, neonates treated by health care providers with a diploma were twice as likely to develop neonatal sepsis as those treated by nurses with graduate degrees (AOR=2.320, 95% CI 0.456 to 11.802). AOR=2.690, 95% CI 1.526 to 7.672 showed that neonates treated by nurses who were knowledgeable about neonatal essential care had a 2.69-fold higher risk of developing sepsis than those treated by nurses who were not.</w:t>
      </w:r>
      <w:r>
        <w:rPr>
          <w:rFonts w:hint="default"/>
          <w:lang w:val="en-US"/>
        </w:rPr>
        <w:t xml:space="preserve"> </w:t>
      </w:r>
      <w:r>
        <w:t xml:space="preserve"> </w:t>
      </w:r>
      <w:r>
        <w:rPr>
          <w:rFonts w:hint="default"/>
        </w:rPr>
        <w:t>These outcomes aligned with the qualitative data, which demonstrated that;</w:t>
      </w:r>
    </w:p>
    <w:p w14:paraId="0FBD4980">
      <w:pPr>
        <w:pStyle w:val="23"/>
        <w:spacing w:after="0"/>
        <w:rPr>
          <w:rFonts w:hint="default"/>
        </w:rPr>
      </w:pPr>
    </w:p>
    <w:p w14:paraId="46601B12">
      <w:pPr>
        <w:pStyle w:val="23"/>
        <w:spacing w:after="0"/>
      </w:pPr>
      <w:r>
        <w:rPr>
          <w:rFonts w:hint="default"/>
        </w:rPr>
        <w:t>"Although all nurses knew enough about the ENC, groups with BScs showed a greater level of understanding, suggesting that they had learned more through case exposure and likely better coursework….”</w:t>
      </w:r>
      <w:r>
        <w:t>Compared to nurses with fewer than two years of experience, neonates attended by nurses with two to four years of experience had a 0.721 (AOR= 0.721, 95% CI 0.389–1.337) higher risk of developing sepsis. Neonatals treated by nurses who were highly skilled in identifying the signs and symptoms of neonatal sepsis had a one-fold higher risk of developing sepsis than those treated by nurses who were less skilled in this area (AOR=1.138, 95% CI 0.134–9.642). These results were in contrast to those of Maisaba et al. (2024), who came to the conclusion that there was a knowledge gap between the practical and theoretical identification of newborn sepsis signs and symptoms; Tisho et al. (2025) found comparable results in KNH.</w:t>
      </w:r>
    </w:p>
    <w:p w14:paraId="34B5B100">
      <w:pPr>
        <w:pStyle w:val="23"/>
        <w:spacing w:after="0"/>
        <w:rPr>
          <w:rFonts w:hint="default"/>
        </w:rPr>
      </w:pPr>
      <w:r>
        <w:rPr>
          <w:rFonts w:hint="default"/>
        </w:rPr>
        <w:t>These outcomes aligned with the qualitative data, which demonstrated that;</w:t>
      </w:r>
    </w:p>
    <w:p w14:paraId="6FC784F6">
      <w:pPr>
        <w:pStyle w:val="23"/>
        <w:spacing w:after="0"/>
        <w:ind w:left="720" w:leftChars="0"/>
        <w:rPr>
          <w:i/>
          <w:iCs/>
        </w:rPr>
      </w:pPr>
      <w:r>
        <w:rPr>
          <w:rFonts w:hint="default"/>
          <w:i/>
          <w:iCs/>
        </w:rPr>
        <w:t>"Although all nurses knew enough about the ENC, groups with BScs showed a greater level of understanding, suggesting that they had learned more through case exposure and likely better coursework….”</w:t>
      </w:r>
    </w:p>
    <w:p w14:paraId="32CFDD6B">
      <w:pPr>
        <w:pStyle w:val="23"/>
        <w:spacing w:after="0"/>
        <w:jc w:val="center"/>
      </w:pPr>
    </w:p>
    <w:p w14:paraId="6FFB603F">
      <w:pPr>
        <w:pStyle w:val="23"/>
        <w:spacing w:after="0"/>
        <w:jc w:val="center"/>
      </w:pPr>
      <w:r>
        <w:t xml:space="preserve">Table </w:t>
      </w:r>
      <w:r>
        <w:rPr>
          <w:rFonts w:hint="default"/>
          <w:lang w:val="en-US"/>
        </w:rPr>
        <w:t>5</w:t>
      </w:r>
      <w:r>
        <w:t xml:space="preserve"> Bivariate and Multivariate Analyses of Knowledge Gaps Among Healthcare Providers Risk Factors for Neonatal Sepsis in the Hospital in 2024 (n = 50).</w:t>
      </w:r>
    </w:p>
    <w:tbl>
      <w:tblPr>
        <w:tblStyle w:val="4"/>
        <w:tblpPr w:leftFromText="180" w:rightFromText="180" w:vertAnchor="text" w:horzAnchor="page" w:tblpX="2081" w:tblpY="25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7"/>
        <w:gridCol w:w="1009"/>
        <w:gridCol w:w="1014"/>
        <w:gridCol w:w="1163"/>
        <w:gridCol w:w="2580"/>
        <w:gridCol w:w="1116"/>
      </w:tblGrid>
      <w:tr w14:paraId="425C1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507" w:type="dxa"/>
          </w:tcPr>
          <w:p w14:paraId="19A84182">
            <w:pPr>
              <w:pStyle w:val="65"/>
              <w:ind w:left="110"/>
              <w:rPr>
                <w:sz w:val="24"/>
              </w:rPr>
            </w:pPr>
            <w:r>
              <w:rPr>
                <w:spacing w:val="-2"/>
                <w:sz w:val="24"/>
              </w:rPr>
              <w:t>Variables</w:t>
            </w:r>
          </w:p>
        </w:tc>
        <w:tc>
          <w:tcPr>
            <w:tcW w:w="3184" w:type="dxa"/>
            <w:gridSpan w:val="3"/>
          </w:tcPr>
          <w:p w14:paraId="66E5CC00">
            <w:pPr>
              <w:pStyle w:val="65"/>
              <w:ind w:left="109"/>
              <w:rPr>
                <w:sz w:val="24"/>
              </w:rPr>
            </w:pPr>
            <w:r>
              <w:rPr>
                <w:sz w:val="24"/>
              </w:rPr>
              <w:t>Nurses</w:t>
            </w:r>
            <w:r>
              <w:rPr>
                <w:spacing w:val="-3"/>
                <w:sz w:val="24"/>
              </w:rPr>
              <w:t xml:space="preserve"> </w:t>
            </w:r>
            <w:r>
              <w:rPr>
                <w:sz w:val="24"/>
              </w:rPr>
              <w:t>where</w:t>
            </w:r>
            <w:r>
              <w:rPr>
                <w:spacing w:val="-1"/>
                <w:sz w:val="24"/>
              </w:rPr>
              <w:t xml:space="preserve"> </w:t>
            </w:r>
            <w:r>
              <w:rPr>
                <w:spacing w:val="-2"/>
                <w:sz w:val="24"/>
              </w:rPr>
              <w:t>Sepsis</w:t>
            </w:r>
          </w:p>
        </w:tc>
        <w:tc>
          <w:tcPr>
            <w:tcW w:w="2579" w:type="dxa"/>
          </w:tcPr>
          <w:p w14:paraId="18D0098C">
            <w:pPr>
              <w:pStyle w:val="65"/>
              <w:ind w:left="109"/>
              <w:rPr>
                <w:sz w:val="24"/>
              </w:rPr>
            </w:pPr>
            <w:r>
              <w:rPr>
                <w:sz w:val="24"/>
              </w:rPr>
              <w:t>cOR (95%</w:t>
            </w:r>
            <w:r>
              <w:rPr>
                <w:spacing w:val="3"/>
                <w:sz w:val="24"/>
              </w:rPr>
              <w:t xml:space="preserve"> </w:t>
            </w:r>
            <w:r>
              <w:rPr>
                <w:spacing w:val="-5"/>
                <w:sz w:val="24"/>
              </w:rPr>
              <w:t>CI)</w:t>
            </w:r>
          </w:p>
        </w:tc>
        <w:tc>
          <w:tcPr>
            <w:tcW w:w="1115" w:type="dxa"/>
          </w:tcPr>
          <w:p w14:paraId="000B08C5">
            <w:pPr>
              <w:pStyle w:val="65"/>
              <w:ind w:left="109"/>
              <w:rPr>
                <w:sz w:val="24"/>
              </w:rPr>
            </w:pPr>
            <w:r>
              <w:rPr>
                <w:i/>
                <w:sz w:val="24"/>
              </w:rPr>
              <w:t>p</w:t>
            </w:r>
            <w:r>
              <w:rPr>
                <w:i/>
                <w:spacing w:val="2"/>
                <w:sz w:val="24"/>
              </w:rPr>
              <w:t xml:space="preserve"> </w:t>
            </w:r>
            <w:r>
              <w:rPr>
                <w:spacing w:val="-2"/>
                <w:sz w:val="24"/>
              </w:rPr>
              <w:t>value</w:t>
            </w:r>
          </w:p>
        </w:tc>
      </w:tr>
      <w:tr w14:paraId="5FB8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507" w:type="dxa"/>
            <w:vMerge w:val="restart"/>
          </w:tcPr>
          <w:p w14:paraId="61E86620">
            <w:pPr>
              <w:pStyle w:val="65"/>
              <w:rPr>
                <w:sz w:val="24"/>
              </w:rPr>
            </w:pPr>
          </w:p>
        </w:tc>
        <w:tc>
          <w:tcPr>
            <w:tcW w:w="3186" w:type="dxa"/>
            <w:gridSpan w:val="3"/>
          </w:tcPr>
          <w:p w14:paraId="2BA2D3E9">
            <w:pPr>
              <w:pStyle w:val="65"/>
              <w:ind w:left="109"/>
              <w:rPr>
                <w:sz w:val="24"/>
              </w:rPr>
            </w:pPr>
            <w:r>
              <w:rPr>
                <w:spacing w:val="-2"/>
                <w:sz w:val="24"/>
              </w:rPr>
              <w:t>developed</w:t>
            </w:r>
          </w:p>
        </w:tc>
        <w:tc>
          <w:tcPr>
            <w:tcW w:w="2580" w:type="dxa"/>
            <w:vMerge w:val="restart"/>
          </w:tcPr>
          <w:p w14:paraId="20A855E8">
            <w:pPr>
              <w:pStyle w:val="65"/>
              <w:rPr>
                <w:sz w:val="24"/>
              </w:rPr>
            </w:pPr>
          </w:p>
        </w:tc>
        <w:tc>
          <w:tcPr>
            <w:tcW w:w="1116" w:type="dxa"/>
            <w:vMerge w:val="restart"/>
          </w:tcPr>
          <w:p w14:paraId="74F46AF6">
            <w:pPr>
              <w:pStyle w:val="65"/>
              <w:rPr>
                <w:sz w:val="24"/>
              </w:rPr>
            </w:pPr>
          </w:p>
        </w:tc>
      </w:tr>
      <w:tr w14:paraId="1B4F2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2507" w:type="dxa"/>
            <w:vMerge w:val="continue"/>
            <w:tcBorders>
              <w:top w:val="nil"/>
            </w:tcBorders>
          </w:tcPr>
          <w:p w14:paraId="3EC9FAB3">
            <w:pPr>
              <w:rPr>
                <w:sz w:val="2"/>
                <w:szCs w:val="2"/>
              </w:rPr>
            </w:pPr>
          </w:p>
        </w:tc>
        <w:tc>
          <w:tcPr>
            <w:tcW w:w="1009" w:type="dxa"/>
          </w:tcPr>
          <w:p w14:paraId="65A38888">
            <w:pPr>
              <w:pStyle w:val="65"/>
              <w:ind w:left="109"/>
              <w:rPr>
                <w:sz w:val="24"/>
              </w:rPr>
            </w:pPr>
            <w:r>
              <w:rPr>
                <w:sz w:val="24"/>
              </w:rPr>
              <w:t>N</w:t>
            </w:r>
            <w:r>
              <w:rPr>
                <w:spacing w:val="1"/>
                <w:sz w:val="24"/>
              </w:rPr>
              <w:t xml:space="preserve"> </w:t>
            </w:r>
            <w:r>
              <w:rPr>
                <w:sz w:val="24"/>
              </w:rPr>
              <w:t>=</w:t>
            </w:r>
            <w:r>
              <w:rPr>
                <w:spacing w:val="1"/>
                <w:sz w:val="24"/>
              </w:rPr>
              <w:t xml:space="preserve"> </w:t>
            </w:r>
            <w:r>
              <w:rPr>
                <w:spacing w:val="-5"/>
                <w:sz w:val="24"/>
              </w:rPr>
              <w:t>50</w:t>
            </w:r>
          </w:p>
        </w:tc>
        <w:tc>
          <w:tcPr>
            <w:tcW w:w="1014" w:type="dxa"/>
          </w:tcPr>
          <w:p w14:paraId="4DB9ABA3">
            <w:pPr>
              <w:pStyle w:val="65"/>
              <w:ind w:left="109"/>
              <w:rPr>
                <w:sz w:val="24"/>
              </w:rPr>
            </w:pPr>
            <w:r>
              <w:rPr>
                <w:spacing w:val="-5"/>
                <w:sz w:val="24"/>
              </w:rPr>
              <w:t>Yes</w:t>
            </w:r>
          </w:p>
        </w:tc>
        <w:tc>
          <w:tcPr>
            <w:tcW w:w="1163" w:type="dxa"/>
          </w:tcPr>
          <w:p w14:paraId="66FA6B12">
            <w:pPr>
              <w:pStyle w:val="65"/>
              <w:ind w:left="108"/>
              <w:rPr>
                <w:sz w:val="24"/>
              </w:rPr>
            </w:pPr>
            <w:r>
              <w:rPr>
                <w:spacing w:val="-5"/>
                <w:sz w:val="24"/>
              </w:rPr>
              <w:t>No</w:t>
            </w:r>
          </w:p>
        </w:tc>
        <w:tc>
          <w:tcPr>
            <w:tcW w:w="2580" w:type="dxa"/>
            <w:vMerge w:val="continue"/>
            <w:tcBorders>
              <w:top w:val="nil"/>
            </w:tcBorders>
          </w:tcPr>
          <w:p w14:paraId="2FEA9018">
            <w:pPr>
              <w:rPr>
                <w:sz w:val="2"/>
                <w:szCs w:val="2"/>
              </w:rPr>
            </w:pPr>
          </w:p>
        </w:tc>
        <w:tc>
          <w:tcPr>
            <w:tcW w:w="1116" w:type="dxa"/>
            <w:vMerge w:val="continue"/>
            <w:tcBorders>
              <w:top w:val="nil"/>
            </w:tcBorders>
          </w:tcPr>
          <w:p w14:paraId="54A6BA8A">
            <w:pPr>
              <w:rPr>
                <w:sz w:val="2"/>
                <w:szCs w:val="2"/>
              </w:rPr>
            </w:pPr>
          </w:p>
        </w:tc>
      </w:tr>
      <w:tr w14:paraId="24FC7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507" w:type="dxa"/>
            <w:vMerge w:val="continue"/>
            <w:tcBorders>
              <w:top w:val="nil"/>
            </w:tcBorders>
          </w:tcPr>
          <w:p w14:paraId="46A99FDA">
            <w:pPr>
              <w:rPr>
                <w:sz w:val="2"/>
                <w:szCs w:val="2"/>
              </w:rPr>
            </w:pPr>
          </w:p>
        </w:tc>
        <w:tc>
          <w:tcPr>
            <w:tcW w:w="1009" w:type="dxa"/>
          </w:tcPr>
          <w:p w14:paraId="74663AB2">
            <w:pPr>
              <w:pStyle w:val="65"/>
              <w:rPr>
                <w:sz w:val="24"/>
              </w:rPr>
            </w:pPr>
          </w:p>
        </w:tc>
        <w:tc>
          <w:tcPr>
            <w:tcW w:w="1014" w:type="dxa"/>
          </w:tcPr>
          <w:p w14:paraId="10E6A9F7">
            <w:pPr>
              <w:pStyle w:val="65"/>
              <w:ind w:left="109"/>
              <w:rPr>
                <w:sz w:val="24"/>
              </w:rPr>
            </w:pPr>
            <w:r>
              <w:rPr>
                <w:spacing w:val="-2"/>
                <w:sz w:val="24"/>
              </w:rPr>
              <w:t>Percent</w:t>
            </w:r>
          </w:p>
        </w:tc>
        <w:tc>
          <w:tcPr>
            <w:tcW w:w="1163" w:type="dxa"/>
          </w:tcPr>
          <w:p w14:paraId="7C132066">
            <w:pPr>
              <w:pStyle w:val="65"/>
              <w:ind w:left="108"/>
              <w:rPr>
                <w:sz w:val="24"/>
              </w:rPr>
            </w:pPr>
            <w:r>
              <w:rPr>
                <w:spacing w:val="-2"/>
                <w:sz w:val="24"/>
              </w:rPr>
              <w:t>Percent</w:t>
            </w:r>
          </w:p>
        </w:tc>
        <w:tc>
          <w:tcPr>
            <w:tcW w:w="2580" w:type="dxa"/>
            <w:vMerge w:val="continue"/>
            <w:tcBorders>
              <w:top w:val="nil"/>
            </w:tcBorders>
          </w:tcPr>
          <w:p w14:paraId="04CEE7B0">
            <w:pPr>
              <w:rPr>
                <w:sz w:val="2"/>
                <w:szCs w:val="2"/>
              </w:rPr>
            </w:pPr>
          </w:p>
        </w:tc>
        <w:tc>
          <w:tcPr>
            <w:tcW w:w="1116" w:type="dxa"/>
            <w:vMerge w:val="continue"/>
            <w:tcBorders>
              <w:top w:val="nil"/>
            </w:tcBorders>
          </w:tcPr>
          <w:p w14:paraId="109AFD84">
            <w:pPr>
              <w:rPr>
                <w:sz w:val="2"/>
                <w:szCs w:val="2"/>
              </w:rPr>
            </w:pPr>
          </w:p>
        </w:tc>
      </w:tr>
      <w:tr w14:paraId="6B6E8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2507" w:type="dxa"/>
          </w:tcPr>
          <w:p w14:paraId="0523996B">
            <w:pPr>
              <w:pStyle w:val="65"/>
              <w:ind w:left="110"/>
              <w:rPr>
                <w:sz w:val="24"/>
              </w:rPr>
            </w:pPr>
            <w:r>
              <w:rPr>
                <w:b/>
                <w:bCs/>
                <w:sz w:val="24"/>
              </w:rPr>
              <w:t>Age</w:t>
            </w:r>
            <w:r>
              <w:rPr>
                <w:b/>
                <w:bCs/>
                <w:spacing w:val="-3"/>
                <w:sz w:val="24"/>
              </w:rPr>
              <w:t xml:space="preserve"> </w:t>
            </w:r>
            <w:r>
              <w:rPr>
                <w:b/>
                <w:bCs/>
                <w:sz w:val="24"/>
              </w:rPr>
              <w:t>of</w:t>
            </w:r>
            <w:r>
              <w:rPr>
                <w:b/>
                <w:bCs/>
                <w:spacing w:val="-1"/>
                <w:sz w:val="24"/>
              </w:rPr>
              <w:t xml:space="preserve"> </w:t>
            </w:r>
            <w:r>
              <w:rPr>
                <w:b/>
                <w:bCs/>
                <w:spacing w:val="-2"/>
                <w:sz w:val="24"/>
              </w:rPr>
              <w:t>nurses</w:t>
            </w:r>
          </w:p>
        </w:tc>
        <w:tc>
          <w:tcPr>
            <w:tcW w:w="2023" w:type="dxa"/>
            <w:gridSpan w:val="2"/>
            <w:vMerge w:val="restart"/>
          </w:tcPr>
          <w:p w14:paraId="41C1413D">
            <w:pPr>
              <w:pStyle w:val="65"/>
              <w:rPr>
                <w:sz w:val="24"/>
              </w:rPr>
            </w:pPr>
          </w:p>
          <w:p w14:paraId="2DF090CF">
            <w:pPr>
              <w:pStyle w:val="65"/>
              <w:rPr>
                <w:sz w:val="24"/>
              </w:rPr>
            </w:pPr>
          </w:p>
          <w:p w14:paraId="00F03244">
            <w:pPr>
              <w:pStyle w:val="65"/>
              <w:rPr>
                <w:sz w:val="24"/>
              </w:rPr>
            </w:pPr>
            <w:r>
              <w:rPr>
                <w:spacing w:val="-5"/>
                <w:sz w:val="24"/>
              </w:rPr>
              <w:t>5%</w:t>
            </w:r>
          </w:p>
        </w:tc>
        <w:tc>
          <w:tcPr>
            <w:tcW w:w="1163" w:type="dxa"/>
            <w:vMerge w:val="restart"/>
          </w:tcPr>
          <w:p w14:paraId="19C4FEBF">
            <w:pPr>
              <w:pStyle w:val="65"/>
              <w:rPr>
                <w:sz w:val="24"/>
              </w:rPr>
            </w:pPr>
          </w:p>
          <w:p w14:paraId="356DA707">
            <w:pPr>
              <w:pStyle w:val="65"/>
              <w:rPr>
                <w:sz w:val="24"/>
              </w:rPr>
            </w:pPr>
          </w:p>
          <w:p w14:paraId="4AAD7B04">
            <w:pPr>
              <w:pStyle w:val="65"/>
              <w:rPr>
                <w:sz w:val="24"/>
              </w:rPr>
            </w:pPr>
            <w:r>
              <w:rPr>
                <w:spacing w:val="-5"/>
                <w:sz w:val="24"/>
              </w:rPr>
              <w:t>3%</w:t>
            </w:r>
          </w:p>
        </w:tc>
        <w:tc>
          <w:tcPr>
            <w:tcW w:w="2580" w:type="dxa"/>
            <w:vMerge w:val="restart"/>
          </w:tcPr>
          <w:p w14:paraId="7C5524E9">
            <w:pPr>
              <w:pStyle w:val="65"/>
              <w:rPr>
                <w:sz w:val="24"/>
              </w:rPr>
            </w:pPr>
          </w:p>
          <w:p w14:paraId="69760464">
            <w:pPr>
              <w:pStyle w:val="65"/>
              <w:rPr>
                <w:sz w:val="24"/>
              </w:rPr>
            </w:pPr>
          </w:p>
          <w:p w14:paraId="6F935302">
            <w:pPr>
              <w:pStyle w:val="65"/>
              <w:rPr>
                <w:sz w:val="24"/>
              </w:rPr>
            </w:pPr>
            <w:r>
              <w:rPr>
                <w:sz w:val="24"/>
              </w:rPr>
              <w:t>1.726</w:t>
            </w:r>
            <w:r>
              <w:rPr>
                <w:spacing w:val="4"/>
                <w:sz w:val="24"/>
              </w:rPr>
              <w:t xml:space="preserve"> </w:t>
            </w:r>
            <w:r>
              <w:rPr>
                <w:spacing w:val="-2"/>
                <w:sz w:val="24"/>
              </w:rPr>
              <w:t>(0.645–4.613)</w:t>
            </w:r>
          </w:p>
        </w:tc>
        <w:tc>
          <w:tcPr>
            <w:tcW w:w="1116" w:type="dxa"/>
            <w:vMerge w:val="restart"/>
          </w:tcPr>
          <w:p w14:paraId="01E45609">
            <w:pPr>
              <w:pStyle w:val="65"/>
              <w:rPr>
                <w:sz w:val="24"/>
              </w:rPr>
            </w:pPr>
          </w:p>
          <w:p w14:paraId="2FC556BC">
            <w:pPr>
              <w:pStyle w:val="65"/>
              <w:rPr>
                <w:sz w:val="24"/>
              </w:rPr>
            </w:pPr>
          </w:p>
          <w:p w14:paraId="409D3E5E">
            <w:pPr>
              <w:pStyle w:val="65"/>
              <w:rPr>
                <w:sz w:val="24"/>
              </w:rPr>
            </w:pPr>
            <w:r>
              <w:rPr>
                <w:spacing w:val="-4"/>
                <w:sz w:val="24"/>
              </w:rPr>
              <w:t>0.277</w:t>
            </w:r>
          </w:p>
        </w:tc>
      </w:tr>
      <w:tr w14:paraId="682C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07" w:type="dxa"/>
          </w:tcPr>
          <w:p w14:paraId="09FE8213">
            <w:pPr>
              <w:pStyle w:val="65"/>
              <w:ind w:left="110"/>
              <w:rPr>
                <w:sz w:val="24"/>
              </w:rPr>
            </w:pPr>
            <w:r>
              <w:rPr>
                <w:spacing w:val="-2"/>
                <w:sz w:val="24"/>
              </w:rPr>
              <w:t>&lt;21years</w:t>
            </w:r>
          </w:p>
        </w:tc>
        <w:tc>
          <w:tcPr>
            <w:tcW w:w="2023" w:type="dxa"/>
            <w:gridSpan w:val="2"/>
            <w:vMerge w:val="continue"/>
            <w:tcBorders>
              <w:top w:val="nil"/>
            </w:tcBorders>
          </w:tcPr>
          <w:p w14:paraId="03D0C52F">
            <w:pPr>
              <w:rPr>
                <w:sz w:val="2"/>
                <w:szCs w:val="2"/>
              </w:rPr>
            </w:pPr>
          </w:p>
        </w:tc>
        <w:tc>
          <w:tcPr>
            <w:tcW w:w="1163" w:type="dxa"/>
            <w:vMerge w:val="continue"/>
            <w:tcBorders>
              <w:top w:val="nil"/>
            </w:tcBorders>
          </w:tcPr>
          <w:p w14:paraId="7B294AFA">
            <w:pPr>
              <w:rPr>
                <w:sz w:val="2"/>
                <w:szCs w:val="2"/>
              </w:rPr>
            </w:pPr>
          </w:p>
        </w:tc>
        <w:tc>
          <w:tcPr>
            <w:tcW w:w="2580" w:type="dxa"/>
            <w:vMerge w:val="continue"/>
            <w:tcBorders>
              <w:top w:val="nil"/>
            </w:tcBorders>
          </w:tcPr>
          <w:p w14:paraId="7A2E4DC8">
            <w:pPr>
              <w:rPr>
                <w:sz w:val="2"/>
                <w:szCs w:val="2"/>
              </w:rPr>
            </w:pPr>
          </w:p>
        </w:tc>
        <w:tc>
          <w:tcPr>
            <w:tcW w:w="1116" w:type="dxa"/>
            <w:vMerge w:val="continue"/>
            <w:tcBorders>
              <w:top w:val="nil"/>
            </w:tcBorders>
          </w:tcPr>
          <w:p w14:paraId="5D6AE053">
            <w:pPr>
              <w:rPr>
                <w:sz w:val="2"/>
                <w:szCs w:val="2"/>
              </w:rPr>
            </w:pPr>
          </w:p>
        </w:tc>
      </w:tr>
      <w:tr w14:paraId="0D199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507" w:type="dxa"/>
          </w:tcPr>
          <w:p w14:paraId="1625F411">
            <w:pPr>
              <w:pStyle w:val="65"/>
              <w:ind w:left="110"/>
              <w:rPr>
                <w:sz w:val="24"/>
              </w:rPr>
            </w:pPr>
            <w:r>
              <w:rPr>
                <w:sz w:val="24"/>
              </w:rPr>
              <w:t>21-40</w:t>
            </w:r>
            <w:r>
              <w:rPr>
                <w:spacing w:val="1"/>
                <w:sz w:val="24"/>
              </w:rPr>
              <w:t xml:space="preserve"> </w:t>
            </w:r>
            <w:r>
              <w:rPr>
                <w:spacing w:val="-2"/>
                <w:sz w:val="24"/>
              </w:rPr>
              <w:t>years</w:t>
            </w:r>
          </w:p>
        </w:tc>
        <w:tc>
          <w:tcPr>
            <w:tcW w:w="2023" w:type="dxa"/>
            <w:gridSpan w:val="2"/>
          </w:tcPr>
          <w:p w14:paraId="4910EF57">
            <w:pPr>
              <w:pStyle w:val="65"/>
              <w:ind w:left="109"/>
              <w:rPr>
                <w:sz w:val="24"/>
              </w:rPr>
            </w:pPr>
            <w:r>
              <w:rPr>
                <w:spacing w:val="-5"/>
                <w:sz w:val="24"/>
              </w:rPr>
              <w:t>42&amp;</w:t>
            </w:r>
          </w:p>
        </w:tc>
        <w:tc>
          <w:tcPr>
            <w:tcW w:w="1163" w:type="dxa"/>
          </w:tcPr>
          <w:p w14:paraId="29BABB2B">
            <w:pPr>
              <w:pStyle w:val="65"/>
              <w:ind w:left="108"/>
              <w:rPr>
                <w:sz w:val="24"/>
              </w:rPr>
            </w:pPr>
            <w:r>
              <w:rPr>
                <w:spacing w:val="-5"/>
                <w:sz w:val="24"/>
              </w:rPr>
              <w:t>44%</w:t>
            </w:r>
          </w:p>
        </w:tc>
        <w:tc>
          <w:tcPr>
            <w:tcW w:w="2580" w:type="dxa"/>
          </w:tcPr>
          <w:p w14:paraId="7BAB1CEF">
            <w:pPr>
              <w:pStyle w:val="65"/>
              <w:ind w:left="107"/>
              <w:rPr>
                <w:sz w:val="24"/>
              </w:rPr>
            </w:pPr>
            <w:r>
              <w:rPr>
                <w:spacing w:val="-10"/>
                <w:sz w:val="24"/>
              </w:rPr>
              <w:t>1</w:t>
            </w:r>
          </w:p>
        </w:tc>
        <w:tc>
          <w:tcPr>
            <w:tcW w:w="1116" w:type="dxa"/>
          </w:tcPr>
          <w:p w14:paraId="6E82057E">
            <w:pPr>
              <w:pStyle w:val="65"/>
              <w:rPr>
                <w:sz w:val="24"/>
              </w:rPr>
            </w:pPr>
          </w:p>
        </w:tc>
      </w:tr>
      <w:tr w14:paraId="1480A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507" w:type="dxa"/>
          </w:tcPr>
          <w:p w14:paraId="2A002017">
            <w:pPr>
              <w:pStyle w:val="65"/>
              <w:ind w:left="110"/>
              <w:rPr>
                <w:sz w:val="24"/>
              </w:rPr>
            </w:pPr>
            <w:r>
              <w:rPr>
                <w:sz w:val="24"/>
              </w:rPr>
              <w:t>Above</w:t>
            </w:r>
            <w:r>
              <w:rPr>
                <w:spacing w:val="-3"/>
                <w:sz w:val="24"/>
              </w:rPr>
              <w:t xml:space="preserve"> </w:t>
            </w:r>
            <w:r>
              <w:rPr>
                <w:sz w:val="24"/>
              </w:rPr>
              <w:t>40</w:t>
            </w:r>
            <w:r>
              <w:rPr>
                <w:spacing w:val="3"/>
                <w:sz w:val="24"/>
              </w:rPr>
              <w:t xml:space="preserve"> </w:t>
            </w:r>
            <w:r>
              <w:rPr>
                <w:spacing w:val="-2"/>
                <w:sz w:val="24"/>
              </w:rPr>
              <w:t>years</w:t>
            </w:r>
          </w:p>
        </w:tc>
        <w:tc>
          <w:tcPr>
            <w:tcW w:w="2023" w:type="dxa"/>
            <w:gridSpan w:val="2"/>
          </w:tcPr>
          <w:p w14:paraId="61DBEB85">
            <w:pPr>
              <w:pStyle w:val="65"/>
              <w:ind w:left="109"/>
              <w:rPr>
                <w:sz w:val="24"/>
              </w:rPr>
            </w:pPr>
            <w:r>
              <w:rPr>
                <w:sz w:val="24"/>
              </w:rPr>
              <w:t>3%</w:t>
            </w:r>
            <w:r>
              <w:rPr>
                <w:spacing w:val="1"/>
                <w:sz w:val="24"/>
              </w:rPr>
              <w:t xml:space="preserve"> </w:t>
            </w:r>
            <w:r>
              <w:rPr>
                <w:spacing w:val="-7"/>
                <w:sz w:val="24"/>
              </w:rPr>
              <w:t>3%</w:t>
            </w:r>
          </w:p>
        </w:tc>
        <w:tc>
          <w:tcPr>
            <w:tcW w:w="1163" w:type="dxa"/>
          </w:tcPr>
          <w:p w14:paraId="4CE72D00">
            <w:pPr>
              <w:pStyle w:val="65"/>
              <w:rPr>
                <w:sz w:val="24"/>
              </w:rPr>
            </w:pPr>
          </w:p>
        </w:tc>
        <w:tc>
          <w:tcPr>
            <w:tcW w:w="2580" w:type="dxa"/>
          </w:tcPr>
          <w:p w14:paraId="5BB6311D">
            <w:pPr>
              <w:pStyle w:val="65"/>
              <w:ind w:left="107"/>
              <w:rPr>
                <w:sz w:val="24"/>
              </w:rPr>
            </w:pPr>
            <w:r>
              <w:rPr>
                <w:sz w:val="24"/>
              </w:rPr>
              <w:t>1.084</w:t>
            </w:r>
            <w:r>
              <w:rPr>
                <w:spacing w:val="4"/>
                <w:sz w:val="24"/>
              </w:rPr>
              <w:t xml:space="preserve"> </w:t>
            </w:r>
            <w:r>
              <w:rPr>
                <w:spacing w:val="-2"/>
                <w:sz w:val="24"/>
              </w:rPr>
              <w:t>(0.557–2.108)</w:t>
            </w:r>
          </w:p>
        </w:tc>
        <w:tc>
          <w:tcPr>
            <w:tcW w:w="1116" w:type="dxa"/>
          </w:tcPr>
          <w:p w14:paraId="778716C0">
            <w:pPr>
              <w:pStyle w:val="65"/>
              <w:ind w:left="106"/>
              <w:rPr>
                <w:sz w:val="24"/>
              </w:rPr>
            </w:pPr>
            <w:r>
              <w:rPr>
                <w:spacing w:val="-4"/>
                <w:sz w:val="24"/>
              </w:rPr>
              <w:t>0.811</w:t>
            </w:r>
          </w:p>
        </w:tc>
      </w:tr>
      <w:tr w14:paraId="0FC2F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507" w:type="dxa"/>
          </w:tcPr>
          <w:p w14:paraId="27CDFD4A">
            <w:pPr>
              <w:pStyle w:val="65"/>
              <w:ind w:left="110"/>
              <w:rPr>
                <w:sz w:val="24"/>
              </w:rPr>
            </w:pPr>
            <w:r>
              <w:rPr>
                <w:b/>
                <w:bCs/>
                <w:sz w:val="24"/>
              </w:rPr>
              <w:t>Educational</w:t>
            </w:r>
            <w:r>
              <w:rPr>
                <w:b/>
                <w:bCs/>
                <w:spacing w:val="-7"/>
                <w:sz w:val="24"/>
              </w:rPr>
              <w:t xml:space="preserve"> </w:t>
            </w:r>
            <w:r>
              <w:rPr>
                <w:b/>
                <w:bCs/>
                <w:spacing w:val="-2"/>
                <w:sz w:val="24"/>
              </w:rPr>
              <w:t>status</w:t>
            </w:r>
          </w:p>
          <w:p w14:paraId="247AB77B">
            <w:pPr>
              <w:pStyle w:val="65"/>
              <w:spacing w:before="1"/>
              <w:ind w:left="110"/>
              <w:rPr>
                <w:sz w:val="24"/>
              </w:rPr>
            </w:pPr>
            <w:r>
              <w:rPr>
                <w:spacing w:val="-2"/>
                <w:sz w:val="24"/>
              </w:rPr>
              <w:t>Diploma</w:t>
            </w:r>
          </w:p>
        </w:tc>
        <w:tc>
          <w:tcPr>
            <w:tcW w:w="2023" w:type="dxa"/>
            <w:gridSpan w:val="2"/>
          </w:tcPr>
          <w:p w14:paraId="12DDBAFC">
            <w:pPr>
              <w:pStyle w:val="65"/>
              <w:rPr>
                <w:sz w:val="24"/>
              </w:rPr>
            </w:pPr>
          </w:p>
          <w:p w14:paraId="5F5B0C18">
            <w:pPr>
              <w:pStyle w:val="65"/>
              <w:rPr>
                <w:sz w:val="24"/>
              </w:rPr>
            </w:pPr>
            <w:r>
              <w:rPr>
                <w:spacing w:val="-5"/>
                <w:sz w:val="24"/>
              </w:rPr>
              <w:t>10%</w:t>
            </w:r>
          </w:p>
        </w:tc>
        <w:tc>
          <w:tcPr>
            <w:tcW w:w="1163" w:type="dxa"/>
          </w:tcPr>
          <w:p w14:paraId="42EBD78D">
            <w:pPr>
              <w:pStyle w:val="65"/>
              <w:rPr>
                <w:sz w:val="24"/>
              </w:rPr>
            </w:pPr>
          </w:p>
          <w:p w14:paraId="6CB90619">
            <w:pPr>
              <w:pStyle w:val="65"/>
              <w:rPr>
                <w:sz w:val="24"/>
              </w:rPr>
            </w:pPr>
            <w:r>
              <w:rPr>
                <w:spacing w:val="-5"/>
                <w:sz w:val="24"/>
              </w:rPr>
              <w:t>12%</w:t>
            </w:r>
          </w:p>
        </w:tc>
        <w:tc>
          <w:tcPr>
            <w:tcW w:w="2580" w:type="dxa"/>
          </w:tcPr>
          <w:p w14:paraId="112BF109">
            <w:pPr>
              <w:pStyle w:val="65"/>
              <w:rPr>
                <w:sz w:val="24"/>
              </w:rPr>
            </w:pPr>
          </w:p>
          <w:p w14:paraId="5DCA94CC">
            <w:pPr>
              <w:pStyle w:val="65"/>
              <w:rPr>
                <w:sz w:val="24"/>
              </w:rPr>
            </w:pPr>
            <w:r>
              <w:rPr>
                <w:spacing w:val="-10"/>
                <w:sz w:val="24"/>
              </w:rPr>
              <w:t>1</w:t>
            </w:r>
          </w:p>
        </w:tc>
        <w:tc>
          <w:tcPr>
            <w:tcW w:w="1116" w:type="dxa"/>
          </w:tcPr>
          <w:p w14:paraId="3FBB4E98">
            <w:pPr>
              <w:pStyle w:val="65"/>
              <w:rPr>
                <w:sz w:val="24"/>
              </w:rPr>
            </w:pPr>
          </w:p>
        </w:tc>
      </w:tr>
      <w:tr w14:paraId="2A5A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507" w:type="dxa"/>
          </w:tcPr>
          <w:p w14:paraId="45FFC6F3">
            <w:pPr>
              <w:pStyle w:val="65"/>
              <w:spacing w:before="1"/>
              <w:ind w:left="110"/>
              <w:rPr>
                <w:sz w:val="24"/>
              </w:rPr>
            </w:pPr>
            <w:r>
              <w:rPr>
                <w:sz w:val="24"/>
              </w:rPr>
              <w:t>BSC</w:t>
            </w:r>
            <w:r>
              <w:rPr>
                <w:spacing w:val="-2"/>
                <w:sz w:val="24"/>
              </w:rPr>
              <w:t xml:space="preserve"> Nursing</w:t>
            </w:r>
          </w:p>
        </w:tc>
        <w:tc>
          <w:tcPr>
            <w:tcW w:w="2023" w:type="dxa"/>
            <w:gridSpan w:val="2"/>
          </w:tcPr>
          <w:p w14:paraId="00802648">
            <w:pPr>
              <w:pStyle w:val="65"/>
              <w:spacing w:before="1"/>
              <w:ind w:left="109"/>
              <w:rPr>
                <w:sz w:val="24"/>
              </w:rPr>
            </w:pPr>
            <w:r>
              <w:rPr>
                <w:spacing w:val="-5"/>
                <w:sz w:val="24"/>
              </w:rPr>
              <w:t>30%</w:t>
            </w:r>
          </w:p>
        </w:tc>
        <w:tc>
          <w:tcPr>
            <w:tcW w:w="1163" w:type="dxa"/>
          </w:tcPr>
          <w:p w14:paraId="4F494F01">
            <w:pPr>
              <w:pStyle w:val="65"/>
              <w:spacing w:before="1"/>
              <w:ind w:left="108"/>
              <w:rPr>
                <w:sz w:val="24"/>
              </w:rPr>
            </w:pPr>
            <w:r>
              <w:rPr>
                <w:spacing w:val="-5"/>
                <w:sz w:val="24"/>
              </w:rPr>
              <w:t>48%</w:t>
            </w:r>
          </w:p>
        </w:tc>
        <w:tc>
          <w:tcPr>
            <w:tcW w:w="2580" w:type="dxa"/>
          </w:tcPr>
          <w:p w14:paraId="4A68B1B4">
            <w:pPr>
              <w:pStyle w:val="65"/>
              <w:spacing w:before="1"/>
              <w:ind w:left="107"/>
              <w:rPr>
                <w:sz w:val="24"/>
              </w:rPr>
            </w:pPr>
            <w:r>
              <w:rPr>
                <w:sz w:val="24"/>
              </w:rPr>
              <w:t>0.413</w:t>
            </w:r>
            <w:r>
              <w:rPr>
                <w:spacing w:val="4"/>
                <w:sz w:val="24"/>
              </w:rPr>
              <w:t xml:space="preserve"> </w:t>
            </w:r>
            <w:r>
              <w:rPr>
                <w:spacing w:val="-2"/>
                <w:sz w:val="24"/>
              </w:rPr>
              <w:t>(0.457–1.284)</w:t>
            </w:r>
          </w:p>
        </w:tc>
        <w:tc>
          <w:tcPr>
            <w:tcW w:w="1116" w:type="dxa"/>
          </w:tcPr>
          <w:p w14:paraId="2D76319D">
            <w:pPr>
              <w:pStyle w:val="65"/>
              <w:spacing w:before="1"/>
              <w:ind w:left="106"/>
              <w:rPr>
                <w:sz w:val="24"/>
              </w:rPr>
            </w:pPr>
            <w:r>
              <w:rPr>
                <w:spacing w:val="-4"/>
                <w:sz w:val="24"/>
              </w:rPr>
              <w:t>0.352</w:t>
            </w:r>
          </w:p>
        </w:tc>
      </w:tr>
      <w:tr w14:paraId="7AC6E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507" w:type="dxa"/>
          </w:tcPr>
          <w:p w14:paraId="603460D5">
            <w:pPr>
              <w:pStyle w:val="65"/>
              <w:ind w:left="110"/>
              <w:rPr>
                <w:b/>
                <w:bCs/>
                <w:sz w:val="24"/>
              </w:rPr>
            </w:pPr>
            <w:r>
              <w:rPr>
                <w:b/>
                <w:bCs/>
                <w:sz w:val="24"/>
              </w:rPr>
              <w:t>Years</w:t>
            </w:r>
            <w:r>
              <w:rPr>
                <w:b/>
                <w:bCs/>
                <w:spacing w:val="1"/>
                <w:sz w:val="24"/>
              </w:rPr>
              <w:t xml:space="preserve"> </w:t>
            </w:r>
            <w:r>
              <w:rPr>
                <w:b/>
                <w:bCs/>
                <w:sz w:val="24"/>
              </w:rPr>
              <w:t>of</w:t>
            </w:r>
            <w:r>
              <w:rPr>
                <w:b/>
                <w:bCs/>
                <w:spacing w:val="-5"/>
                <w:sz w:val="24"/>
              </w:rPr>
              <w:t xml:space="preserve"> </w:t>
            </w:r>
            <w:r>
              <w:rPr>
                <w:b/>
                <w:bCs/>
                <w:spacing w:val="-2"/>
                <w:sz w:val="24"/>
              </w:rPr>
              <w:t>experience</w:t>
            </w:r>
          </w:p>
          <w:p w14:paraId="5473A3CB">
            <w:pPr>
              <w:pStyle w:val="65"/>
              <w:rPr>
                <w:sz w:val="24"/>
              </w:rPr>
            </w:pPr>
            <w:r>
              <w:rPr>
                <w:sz w:val="24"/>
              </w:rPr>
              <w:t>1-2</w:t>
            </w:r>
            <w:r>
              <w:rPr>
                <w:spacing w:val="1"/>
                <w:sz w:val="24"/>
              </w:rPr>
              <w:t xml:space="preserve"> </w:t>
            </w:r>
            <w:r>
              <w:rPr>
                <w:spacing w:val="-2"/>
                <w:sz w:val="24"/>
              </w:rPr>
              <w:t>years</w:t>
            </w:r>
          </w:p>
        </w:tc>
        <w:tc>
          <w:tcPr>
            <w:tcW w:w="2023" w:type="dxa"/>
            <w:gridSpan w:val="2"/>
          </w:tcPr>
          <w:p w14:paraId="735F8978">
            <w:pPr>
              <w:pStyle w:val="65"/>
              <w:ind w:left="109"/>
              <w:rPr>
                <w:sz w:val="24"/>
              </w:rPr>
            </w:pPr>
            <w:r>
              <w:rPr>
                <w:spacing w:val="-5"/>
                <w:sz w:val="24"/>
              </w:rPr>
              <w:t>9%</w:t>
            </w:r>
          </w:p>
        </w:tc>
        <w:tc>
          <w:tcPr>
            <w:tcW w:w="1163" w:type="dxa"/>
          </w:tcPr>
          <w:p w14:paraId="3329C1EC">
            <w:pPr>
              <w:pStyle w:val="65"/>
              <w:ind w:left="108"/>
              <w:rPr>
                <w:sz w:val="24"/>
              </w:rPr>
            </w:pPr>
            <w:r>
              <w:rPr>
                <w:spacing w:val="-5"/>
                <w:sz w:val="24"/>
              </w:rPr>
              <w:t>9%</w:t>
            </w:r>
          </w:p>
        </w:tc>
        <w:tc>
          <w:tcPr>
            <w:tcW w:w="2580" w:type="dxa"/>
          </w:tcPr>
          <w:p w14:paraId="640141FD">
            <w:pPr>
              <w:pStyle w:val="65"/>
              <w:ind w:left="107"/>
              <w:rPr>
                <w:sz w:val="24"/>
              </w:rPr>
            </w:pPr>
            <w:r>
              <w:rPr>
                <w:spacing w:val="-10"/>
                <w:sz w:val="24"/>
              </w:rPr>
              <w:t>1</w:t>
            </w:r>
          </w:p>
        </w:tc>
        <w:tc>
          <w:tcPr>
            <w:tcW w:w="1116" w:type="dxa"/>
          </w:tcPr>
          <w:p w14:paraId="1F4D7D26">
            <w:pPr>
              <w:pStyle w:val="65"/>
              <w:rPr>
                <w:sz w:val="24"/>
              </w:rPr>
            </w:pPr>
          </w:p>
        </w:tc>
      </w:tr>
      <w:tr w14:paraId="0C595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507" w:type="dxa"/>
          </w:tcPr>
          <w:p w14:paraId="3B820830">
            <w:pPr>
              <w:pStyle w:val="65"/>
              <w:ind w:left="110"/>
              <w:rPr>
                <w:sz w:val="24"/>
              </w:rPr>
            </w:pPr>
            <w:r>
              <w:rPr>
                <w:sz w:val="24"/>
              </w:rPr>
              <w:t>2-4</w:t>
            </w:r>
            <w:r>
              <w:rPr>
                <w:spacing w:val="1"/>
                <w:sz w:val="24"/>
              </w:rPr>
              <w:t xml:space="preserve"> </w:t>
            </w:r>
            <w:r>
              <w:rPr>
                <w:spacing w:val="-2"/>
                <w:sz w:val="24"/>
              </w:rPr>
              <w:t>years</w:t>
            </w:r>
          </w:p>
        </w:tc>
        <w:tc>
          <w:tcPr>
            <w:tcW w:w="2023" w:type="dxa"/>
            <w:gridSpan w:val="2"/>
          </w:tcPr>
          <w:p w14:paraId="0680DC34">
            <w:pPr>
              <w:pStyle w:val="65"/>
              <w:ind w:left="109"/>
              <w:rPr>
                <w:sz w:val="24"/>
              </w:rPr>
            </w:pPr>
            <w:r>
              <w:rPr>
                <w:spacing w:val="-5"/>
                <w:sz w:val="24"/>
              </w:rPr>
              <w:t>35%</w:t>
            </w:r>
          </w:p>
        </w:tc>
        <w:tc>
          <w:tcPr>
            <w:tcW w:w="1163" w:type="dxa"/>
          </w:tcPr>
          <w:p w14:paraId="188C644D">
            <w:pPr>
              <w:pStyle w:val="65"/>
              <w:ind w:left="108"/>
              <w:rPr>
                <w:sz w:val="24"/>
              </w:rPr>
            </w:pPr>
            <w:r>
              <w:rPr>
                <w:spacing w:val="-5"/>
                <w:sz w:val="24"/>
              </w:rPr>
              <w:t>31%</w:t>
            </w:r>
          </w:p>
        </w:tc>
        <w:tc>
          <w:tcPr>
            <w:tcW w:w="2580" w:type="dxa"/>
          </w:tcPr>
          <w:p w14:paraId="5CF0944B">
            <w:pPr>
              <w:pStyle w:val="65"/>
              <w:ind w:left="107"/>
              <w:rPr>
                <w:sz w:val="24"/>
              </w:rPr>
            </w:pPr>
            <w:r>
              <w:rPr>
                <w:sz w:val="24"/>
              </w:rPr>
              <w:t>0.721</w:t>
            </w:r>
            <w:r>
              <w:rPr>
                <w:spacing w:val="4"/>
                <w:sz w:val="24"/>
              </w:rPr>
              <w:t xml:space="preserve"> </w:t>
            </w:r>
            <w:r>
              <w:rPr>
                <w:spacing w:val="-2"/>
                <w:sz w:val="24"/>
              </w:rPr>
              <w:t>(0.389–1.337)</w:t>
            </w:r>
          </w:p>
        </w:tc>
        <w:tc>
          <w:tcPr>
            <w:tcW w:w="1116" w:type="dxa"/>
          </w:tcPr>
          <w:p w14:paraId="1475F58A">
            <w:pPr>
              <w:pStyle w:val="65"/>
              <w:ind w:left="106"/>
              <w:rPr>
                <w:sz w:val="24"/>
              </w:rPr>
            </w:pPr>
            <w:r>
              <w:rPr>
                <w:spacing w:val="-4"/>
                <w:sz w:val="24"/>
              </w:rPr>
              <w:t>0.300</w:t>
            </w:r>
          </w:p>
        </w:tc>
      </w:tr>
      <w:tr w14:paraId="77D46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507" w:type="dxa"/>
          </w:tcPr>
          <w:p w14:paraId="5B9ED28D">
            <w:pPr>
              <w:pStyle w:val="65"/>
              <w:ind w:left="110"/>
              <w:rPr>
                <w:sz w:val="24"/>
              </w:rPr>
            </w:pPr>
            <w:r>
              <w:rPr>
                <w:sz w:val="24"/>
              </w:rPr>
              <w:t>More</w:t>
            </w:r>
            <w:r>
              <w:rPr>
                <w:spacing w:val="-4"/>
                <w:sz w:val="24"/>
              </w:rPr>
              <w:t xml:space="preserve"> </w:t>
            </w:r>
            <w:r>
              <w:rPr>
                <w:sz w:val="24"/>
              </w:rPr>
              <w:t>than</w:t>
            </w:r>
            <w:r>
              <w:rPr>
                <w:spacing w:val="-3"/>
                <w:sz w:val="24"/>
              </w:rPr>
              <w:t xml:space="preserve"> </w:t>
            </w:r>
            <w:r>
              <w:rPr>
                <w:sz w:val="24"/>
              </w:rPr>
              <w:t>4</w:t>
            </w:r>
            <w:r>
              <w:rPr>
                <w:spacing w:val="7"/>
                <w:sz w:val="24"/>
              </w:rPr>
              <w:t xml:space="preserve"> </w:t>
            </w:r>
            <w:r>
              <w:rPr>
                <w:spacing w:val="-4"/>
                <w:sz w:val="24"/>
              </w:rPr>
              <w:t>years</w:t>
            </w:r>
          </w:p>
        </w:tc>
        <w:tc>
          <w:tcPr>
            <w:tcW w:w="2023" w:type="dxa"/>
            <w:gridSpan w:val="2"/>
          </w:tcPr>
          <w:p w14:paraId="77004A9A">
            <w:pPr>
              <w:pStyle w:val="65"/>
              <w:ind w:left="109"/>
              <w:rPr>
                <w:sz w:val="24"/>
              </w:rPr>
            </w:pPr>
            <w:r>
              <w:rPr>
                <w:spacing w:val="-5"/>
                <w:sz w:val="24"/>
              </w:rPr>
              <w:t>9%</w:t>
            </w:r>
          </w:p>
        </w:tc>
        <w:tc>
          <w:tcPr>
            <w:tcW w:w="1163" w:type="dxa"/>
          </w:tcPr>
          <w:p w14:paraId="613AFEEA">
            <w:pPr>
              <w:pStyle w:val="65"/>
              <w:ind w:left="108"/>
              <w:rPr>
                <w:sz w:val="24"/>
              </w:rPr>
            </w:pPr>
            <w:r>
              <w:rPr>
                <w:spacing w:val="-5"/>
                <w:sz w:val="24"/>
              </w:rPr>
              <w:t>7%</w:t>
            </w:r>
          </w:p>
        </w:tc>
        <w:tc>
          <w:tcPr>
            <w:tcW w:w="2580" w:type="dxa"/>
          </w:tcPr>
          <w:p w14:paraId="2F523259">
            <w:pPr>
              <w:pStyle w:val="65"/>
              <w:ind w:left="107"/>
              <w:rPr>
                <w:sz w:val="24"/>
              </w:rPr>
            </w:pPr>
            <w:r>
              <w:rPr>
                <w:sz w:val="24"/>
              </w:rPr>
              <w:t>0.627</w:t>
            </w:r>
            <w:r>
              <w:rPr>
                <w:spacing w:val="4"/>
                <w:sz w:val="24"/>
              </w:rPr>
              <w:t xml:space="preserve"> </w:t>
            </w:r>
            <w:r>
              <w:rPr>
                <w:spacing w:val="-2"/>
                <w:sz w:val="24"/>
              </w:rPr>
              <w:t>(0.240–1.640)</w:t>
            </w:r>
          </w:p>
        </w:tc>
        <w:tc>
          <w:tcPr>
            <w:tcW w:w="1116" w:type="dxa"/>
          </w:tcPr>
          <w:p w14:paraId="7F6243EA">
            <w:pPr>
              <w:pStyle w:val="65"/>
              <w:ind w:left="106"/>
              <w:rPr>
                <w:sz w:val="24"/>
              </w:rPr>
            </w:pPr>
            <w:r>
              <w:rPr>
                <w:spacing w:val="-4"/>
                <w:sz w:val="24"/>
              </w:rPr>
              <w:t>0.342</w:t>
            </w:r>
          </w:p>
        </w:tc>
      </w:tr>
      <w:tr w14:paraId="46A0D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2507" w:type="dxa"/>
          </w:tcPr>
          <w:p w14:paraId="29C2FBF8">
            <w:pPr>
              <w:pStyle w:val="65"/>
              <w:ind w:left="110"/>
              <w:rPr>
                <w:b/>
                <w:bCs/>
                <w:sz w:val="24"/>
              </w:rPr>
            </w:pPr>
            <w:r>
              <w:rPr>
                <w:b/>
                <w:bCs/>
                <w:sz w:val="24"/>
              </w:rPr>
              <w:t>Special</w:t>
            </w:r>
            <w:r>
              <w:rPr>
                <w:b/>
                <w:bCs/>
                <w:spacing w:val="-15"/>
                <w:sz w:val="24"/>
              </w:rPr>
              <w:t xml:space="preserve"> </w:t>
            </w:r>
            <w:r>
              <w:rPr>
                <w:b/>
                <w:bCs/>
                <w:sz w:val="24"/>
              </w:rPr>
              <w:t>course</w:t>
            </w:r>
            <w:r>
              <w:rPr>
                <w:b/>
                <w:bCs/>
                <w:spacing w:val="-15"/>
                <w:sz w:val="24"/>
              </w:rPr>
              <w:t xml:space="preserve"> </w:t>
            </w:r>
            <w:r>
              <w:rPr>
                <w:b/>
                <w:bCs/>
                <w:sz w:val="24"/>
              </w:rPr>
              <w:t xml:space="preserve">on </w:t>
            </w:r>
            <w:r>
              <w:rPr>
                <w:b/>
                <w:bCs/>
                <w:spacing w:val="-2"/>
                <w:sz w:val="24"/>
              </w:rPr>
              <w:t>neonates</w:t>
            </w:r>
          </w:p>
          <w:p w14:paraId="3849322F">
            <w:pPr>
              <w:pStyle w:val="65"/>
              <w:spacing w:before="155"/>
              <w:ind w:left="110"/>
              <w:rPr>
                <w:sz w:val="24"/>
              </w:rPr>
            </w:pPr>
            <w:r>
              <w:rPr>
                <w:spacing w:val="-5"/>
                <w:sz w:val="24"/>
              </w:rPr>
              <w:t>Yes</w:t>
            </w:r>
          </w:p>
        </w:tc>
        <w:tc>
          <w:tcPr>
            <w:tcW w:w="2022" w:type="dxa"/>
            <w:gridSpan w:val="2"/>
          </w:tcPr>
          <w:p w14:paraId="6B170DC9">
            <w:pPr>
              <w:pStyle w:val="65"/>
              <w:rPr>
                <w:sz w:val="24"/>
              </w:rPr>
            </w:pPr>
          </w:p>
          <w:p w14:paraId="6E78DA9E">
            <w:pPr>
              <w:pStyle w:val="65"/>
              <w:rPr>
                <w:sz w:val="24"/>
              </w:rPr>
            </w:pPr>
          </w:p>
          <w:p w14:paraId="2D67D051">
            <w:pPr>
              <w:pStyle w:val="65"/>
              <w:rPr>
                <w:sz w:val="24"/>
              </w:rPr>
            </w:pPr>
          </w:p>
          <w:p w14:paraId="02AF8314">
            <w:pPr>
              <w:pStyle w:val="65"/>
              <w:spacing w:before="1"/>
              <w:rPr>
                <w:sz w:val="24"/>
              </w:rPr>
            </w:pPr>
            <w:r>
              <w:rPr>
                <w:spacing w:val="-5"/>
                <w:sz w:val="24"/>
              </w:rPr>
              <w:t>12%</w:t>
            </w:r>
          </w:p>
        </w:tc>
        <w:tc>
          <w:tcPr>
            <w:tcW w:w="1162" w:type="dxa"/>
          </w:tcPr>
          <w:p w14:paraId="22444CF7">
            <w:pPr>
              <w:pStyle w:val="65"/>
              <w:rPr>
                <w:sz w:val="24"/>
              </w:rPr>
            </w:pPr>
          </w:p>
          <w:p w14:paraId="31496A23">
            <w:pPr>
              <w:pStyle w:val="65"/>
              <w:rPr>
                <w:sz w:val="24"/>
              </w:rPr>
            </w:pPr>
          </w:p>
          <w:p w14:paraId="6879995A">
            <w:pPr>
              <w:pStyle w:val="65"/>
              <w:rPr>
                <w:sz w:val="24"/>
              </w:rPr>
            </w:pPr>
          </w:p>
          <w:p w14:paraId="1BFD0D54">
            <w:pPr>
              <w:pStyle w:val="65"/>
              <w:spacing w:before="1"/>
              <w:rPr>
                <w:sz w:val="24"/>
              </w:rPr>
            </w:pPr>
            <w:r>
              <w:rPr>
                <w:spacing w:val="-5"/>
                <w:sz w:val="24"/>
              </w:rPr>
              <w:t>6%</w:t>
            </w:r>
          </w:p>
        </w:tc>
        <w:tc>
          <w:tcPr>
            <w:tcW w:w="2579" w:type="dxa"/>
          </w:tcPr>
          <w:p w14:paraId="55F51E1D">
            <w:pPr>
              <w:pStyle w:val="65"/>
              <w:rPr>
                <w:sz w:val="24"/>
              </w:rPr>
            </w:pPr>
          </w:p>
          <w:p w14:paraId="37912D21">
            <w:pPr>
              <w:pStyle w:val="65"/>
              <w:rPr>
                <w:sz w:val="24"/>
              </w:rPr>
            </w:pPr>
          </w:p>
          <w:p w14:paraId="577D28B9">
            <w:pPr>
              <w:pStyle w:val="65"/>
              <w:rPr>
                <w:sz w:val="24"/>
              </w:rPr>
            </w:pPr>
          </w:p>
          <w:p w14:paraId="779023F6">
            <w:pPr>
              <w:pStyle w:val="65"/>
              <w:spacing w:before="1"/>
              <w:rPr>
                <w:sz w:val="24"/>
              </w:rPr>
            </w:pPr>
            <w:r>
              <w:rPr>
                <w:spacing w:val="-10"/>
                <w:sz w:val="24"/>
              </w:rPr>
              <w:t>1</w:t>
            </w:r>
          </w:p>
        </w:tc>
        <w:tc>
          <w:tcPr>
            <w:tcW w:w="1115" w:type="dxa"/>
          </w:tcPr>
          <w:p w14:paraId="6FC07DA4">
            <w:pPr>
              <w:pStyle w:val="65"/>
              <w:rPr>
                <w:sz w:val="24"/>
              </w:rPr>
            </w:pPr>
          </w:p>
        </w:tc>
      </w:tr>
      <w:tr w14:paraId="2853B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2507" w:type="dxa"/>
          </w:tcPr>
          <w:p w14:paraId="247F4AE9">
            <w:pPr>
              <w:pStyle w:val="65"/>
              <w:ind w:left="110"/>
              <w:rPr>
                <w:sz w:val="24"/>
              </w:rPr>
            </w:pPr>
            <w:r>
              <w:rPr>
                <w:spacing w:val="-5"/>
                <w:sz w:val="24"/>
              </w:rPr>
              <w:t>No</w:t>
            </w:r>
          </w:p>
        </w:tc>
        <w:tc>
          <w:tcPr>
            <w:tcW w:w="2022" w:type="dxa"/>
            <w:gridSpan w:val="2"/>
          </w:tcPr>
          <w:p w14:paraId="42699E2B">
            <w:pPr>
              <w:pStyle w:val="65"/>
              <w:ind w:left="109"/>
              <w:rPr>
                <w:sz w:val="24"/>
              </w:rPr>
            </w:pPr>
            <w:r>
              <w:rPr>
                <w:spacing w:val="-5"/>
                <w:sz w:val="24"/>
              </w:rPr>
              <w:t>45%</w:t>
            </w:r>
          </w:p>
        </w:tc>
        <w:tc>
          <w:tcPr>
            <w:tcW w:w="1162" w:type="dxa"/>
          </w:tcPr>
          <w:p w14:paraId="68E5A312">
            <w:pPr>
              <w:pStyle w:val="65"/>
              <w:ind w:left="109"/>
              <w:rPr>
                <w:sz w:val="24"/>
              </w:rPr>
            </w:pPr>
            <w:r>
              <w:rPr>
                <w:spacing w:val="-5"/>
                <w:sz w:val="24"/>
              </w:rPr>
              <w:t>37%</w:t>
            </w:r>
          </w:p>
        </w:tc>
        <w:tc>
          <w:tcPr>
            <w:tcW w:w="2579" w:type="dxa"/>
          </w:tcPr>
          <w:p w14:paraId="4CADE65F">
            <w:pPr>
              <w:pStyle w:val="65"/>
              <w:ind w:left="109"/>
              <w:rPr>
                <w:sz w:val="24"/>
              </w:rPr>
            </w:pPr>
            <w:r>
              <w:rPr>
                <w:sz w:val="24"/>
              </w:rPr>
              <w:t>1.133</w:t>
            </w:r>
            <w:r>
              <w:rPr>
                <w:spacing w:val="4"/>
                <w:sz w:val="24"/>
              </w:rPr>
              <w:t xml:space="preserve"> </w:t>
            </w:r>
            <w:r>
              <w:rPr>
                <w:spacing w:val="-2"/>
                <w:sz w:val="24"/>
              </w:rPr>
              <w:t>(0.328–3.910)</w:t>
            </w:r>
          </w:p>
        </w:tc>
        <w:tc>
          <w:tcPr>
            <w:tcW w:w="1115" w:type="dxa"/>
          </w:tcPr>
          <w:p w14:paraId="466B9584">
            <w:pPr>
              <w:pStyle w:val="65"/>
              <w:ind w:left="109"/>
              <w:rPr>
                <w:sz w:val="24"/>
              </w:rPr>
            </w:pPr>
            <w:r>
              <w:rPr>
                <w:spacing w:val="-4"/>
                <w:sz w:val="24"/>
              </w:rPr>
              <w:t>0.843</w:t>
            </w:r>
          </w:p>
        </w:tc>
      </w:tr>
      <w:tr w14:paraId="6183D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2507" w:type="dxa"/>
          </w:tcPr>
          <w:p w14:paraId="2F5F2330">
            <w:pPr>
              <w:pStyle w:val="65"/>
              <w:spacing w:before="1"/>
              <w:ind w:left="110"/>
              <w:rPr>
                <w:b/>
                <w:bCs/>
                <w:sz w:val="24"/>
              </w:rPr>
            </w:pPr>
            <w:r>
              <w:rPr>
                <w:b/>
                <w:bCs/>
                <w:sz w:val="24"/>
              </w:rPr>
              <w:t>Knowledge</w:t>
            </w:r>
            <w:r>
              <w:rPr>
                <w:b/>
                <w:bCs/>
                <w:spacing w:val="-15"/>
                <w:sz w:val="24"/>
              </w:rPr>
              <w:t xml:space="preserve"> </w:t>
            </w:r>
            <w:r>
              <w:rPr>
                <w:b/>
                <w:bCs/>
                <w:sz w:val="24"/>
              </w:rPr>
              <w:t>of</w:t>
            </w:r>
            <w:r>
              <w:rPr>
                <w:b/>
                <w:bCs/>
                <w:spacing w:val="-15"/>
                <w:sz w:val="24"/>
              </w:rPr>
              <w:t xml:space="preserve"> </w:t>
            </w:r>
            <w:r>
              <w:rPr>
                <w:b/>
                <w:bCs/>
                <w:sz w:val="24"/>
              </w:rPr>
              <w:t>neonate essential care</w:t>
            </w:r>
          </w:p>
          <w:p w14:paraId="6FD5B935">
            <w:pPr>
              <w:pStyle w:val="65"/>
              <w:spacing w:before="159"/>
              <w:ind w:left="110"/>
              <w:rPr>
                <w:sz w:val="24"/>
              </w:rPr>
            </w:pPr>
            <w:r>
              <w:rPr>
                <w:spacing w:val="-2"/>
                <w:sz w:val="24"/>
              </w:rPr>
              <w:t>Right</w:t>
            </w:r>
          </w:p>
        </w:tc>
        <w:tc>
          <w:tcPr>
            <w:tcW w:w="2022" w:type="dxa"/>
            <w:gridSpan w:val="2"/>
          </w:tcPr>
          <w:p w14:paraId="752F1F1C">
            <w:pPr>
              <w:pStyle w:val="65"/>
              <w:rPr>
                <w:sz w:val="24"/>
              </w:rPr>
            </w:pPr>
          </w:p>
          <w:p w14:paraId="2BC974ED">
            <w:pPr>
              <w:pStyle w:val="65"/>
              <w:rPr>
                <w:sz w:val="24"/>
              </w:rPr>
            </w:pPr>
          </w:p>
          <w:p w14:paraId="6A977665">
            <w:pPr>
              <w:pStyle w:val="65"/>
              <w:spacing w:before="1"/>
              <w:rPr>
                <w:sz w:val="24"/>
              </w:rPr>
            </w:pPr>
            <w:r>
              <w:rPr>
                <w:spacing w:val="-5"/>
                <w:sz w:val="24"/>
              </w:rPr>
              <w:t>48%</w:t>
            </w:r>
          </w:p>
        </w:tc>
        <w:tc>
          <w:tcPr>
            <w:tcW w:w="1162" w:type="dxa"/>
          </w:tcPr>
          <w:p w14:paraId="4FA5F9C6">
            <w:pPr>
              <w:pStyle w:val="65"/>
              <w:rPr>
                <w:sz w:val="24"/>
              </w:rPr>
            </w:pPr>
          </w:p>
          <w:p w14:paraId="2D6C0F27">
            <w:pPr>
              <w:pStyle w:val="65"/>
              <w:rPr>
                <w:sz w:val="24"/>
              </w:rPr>
            </w:pPr>
          </w:p>
          <w:p w14:paraId="258E0610">
            <w:pPr>
              <w:pStyle w:val="65"/>
              <w:spacing w:before="1"/>
              <w:rPr>
                <w:sz w:val="24"/>
              </w:rPr>
            </w:pPr>
            <w:r>
              <w:rPr>
                <w:spacing w:val="-5"/>
                <w:sz w:val="24"/>
              </w:rPr>
              <w:t>26%</w:t>
            </w:r>
          </w:p>
        </w:tc>
        <w:tc>
          <w:tcPr>
            <w:tcW w:w="2579" w:type="dxa"/>
          </w:tcPr>
          <w:p w14:paraId="548B64CF">
            <w:pPr>
              <w:pStyle w:val="65"/>
              <w:rPr>
                <w:sz w:val="24"/>
              </w:rPr>
            </w:pPr>
          </w:p>
          <w:p w14:paraId="02A7409B">
            <w:pPr>
              <w:pStyle w:val="65"/>
              <w:rPr>
                <w:sz w:val="24"/>
              </w:rPr>
            </w:pPr>
          </w:p>
          <w:p w14:paraId="656620E5">
            <w:pPr>
              <w:pStyle w:val="65"/>
              <w:spacing w:before="1"/>
              <w:rPr>
                <w:sz w:val="24"/>
              </w:rPr>
            </w:pPr>
            <w:r>
              <w:rPr>
                <w:spacing w:val="-10"/>
                <w:sz w:val="24"/>
              </w:rPr>
              <w:t>1</w:t>
            </w:r>
          </w:p>
        </w:tc>
        <w:tc>
          <w:tcPr>
            <w:tcW w:w="1115" w:type="dxa"/>
          </w:tcPr>
          <w:p w14:paraId="1A08DFF1">
            <w:pPr>
              <w:pStyle w:val="65"/>
              <w:rPr>
                <w:sz w:val="24"/>
              </w:rPr>
            </w:pPr>
          </w:p>
        </w:tc>
      </w:tr>
      <w:tr w14:paraId="67483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507" w:type="dxa"/>
          </w:tcPr>
          <w:p w14:paraId="19C8BDF3">
            <w:pPr>
              <w:pStyle w:val="65"/>
              <w:ind w:left="110"/>
              <w:rPr>
                <w:sz w:val="24"/>
              </w:rPr>
            </w:pPr>
            <w:r>
              <w:rPr>
                <w:spacing w:val="-2"/>
                <w:sz w:val="24"/>
              </w:rPr>
              <w:t>Wrong</w:t>
            </w:r>
          </w:p>
        </w:tc>
        <w:tc>
          <w:tcPr>
            <w:tcW w:w="2022" w:type="dxa"/>
            <w:gridSpan w:val="2"/>
          </w:tcPr>
          <w:p w14:paraId="452BD7C3">
            <w:pPr>
              <w:pStyle w:val="65"/>
              <w:ind w:left="109"/>
              <w:rPr>
                <w:sz w:val="24"/>
              </w:rPr>
            </w:pPr>
            <w:r>
              <w:rPr>
                <w:spacing w:val="-5"/>
                <w:sz w:val="24"/>
              </w:rPr>
              <w:t>18%</w:t>
            </w:r>
          </w:p>
        </w:tc>
        <w:tc>
          <w:tcPr>
            <w:tcW w:w="1162" w:type="dxa"/>
          </w:tcPr>
          <w:p w14:paraId="3E012E6E">
            <w:pPr>
              <w:pStyle w:val="65"/>
              <w:ind w:left="109"/>
              <w:rPr>
                <w:sz w:val="24"/>
              </w:rPr>
            </w:pPr>
            <w:r>
              <w:rPr>
                <w:spacing w:val="-5"/>
                <w:sz w:val="24"/>
              </w:rPr>
              <w:t>16</w:t>
            </w:r>
          </w:p>
        </w:tc>
        <w:tc>
          <w:tcPr>
            <w:tcW w:w="2579" w:type="dxa"/>
          </w:tcPr>
          <w:p w14:paraId="4E5EFC97">
            <w:pPr>
              <w:pStyle w:val="65"/>
              <w:ind w:left="109"/>
              <w:rPr>
                <w:sz w:val="24"/>
              </w:rPr>
            </w:pPr>
            <w:r>
              <w:rPr>
                <w:sz w:val="24"/>
              </w:rPr>
              <w:t>0.971</w:t>
            </w:r>
            <w:r>
              <w:rPr>
                <w:spacing w:val="4"/>
                <w:sz w:val="24"/>
              </w:rPr>
              <w:t xml:space="preserve"> </w:t>
            </w:r>
            <w:r>
              <w:rPr>
                <w:spacing w:val="-2"/>
                <w:sz w:val="24"/>
              </w:rPr>
              <w:t>(0.326–2.886)</w:t>
            </w:r>
          </w:p>
        </w:tc>
        <w:tc>
          <w:tcPr>
            <w:tcW w:w="1115" w:type="dxa"/>
          </w:tcPr>
          <w:p w14:paraId="2D0D0366">
            <w:pPr>
              <w:pStyle w:val="65"/>
              <w:ind w:left="109"/>
              <w:rPr>
                <w:sz w:val="24"/>
              </w:rPr>
            </w:pPr>
            <w:r>
              <w:rPr>
                <w:spacing w:val="-4"/>
                <w:sz w:val="24"/>
              </w:rPr>
              <w:t>0.958</w:t>
            </w:r>
          </w:p>
        </w:tc>
      </w:tr>
      <w:tr w14:paraId="1A8F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trPr>
        <w:tc>
          <w:tcPr>
            <w:tcW w:w="2507" w:type="dxa"/>
          </w:tcPr>
          <w:p w14:paraId="57B40571">
            <w:pPr>
              <w:pStyle w:val="65"/>
              <w:ind w:left="110"/>
              <w:rPr>
                <w:b/>
                <w:bCs/>
                <w:sz w:val="24"/>
              </w:rPr>
            </w:pPr>
            <w:r>
              <w:rPr>
                <w:b/>
                <w:bCs/>
                <w:sz w:val="24"/>
              </w:rPr>
              <w:t>Knowledge</w:t>
            </w:r>
            <w:r>
              <w:rPr>
                <w:b/>
                <w:bCs/>
                <w:spacing w:val="-15"/>
                <w:sz w:val="24"/>
              </w:rPr>
              <w:t xml:space="preserve"> </w:t>
            </w:r>
            <w:r>
              <w:rPr>
                <w:b/>
                <w:bCs/>
                <w:sz w:val="24"/>
              </w:rPr>
              <w:t>on</w:t>
            </w:r>
            <w:r>
              <w:rPr>
                <w:b/>
                <w:bCs/>
                <w:spacing w:val="-15"/>
                <w:sz w:val="24"/>
              </w:rPr>
              <w:t xml:space="preserve"> </w:t>
            </w:r>
            <w:r>
              <w:rPr>
                <w:b/>
                <w:bCs/>
                <w:sz w:val="24"/>
              </w:rPr>
              <w:t xml:space="preserve">SNCU </w:t>
            </w:r>
            <w:r>
              <w:rPr>
                <w:b/>
                <w:bCs/>
                <w:spacing w:val="-2"/>
                <w:sz w:val="24"/>
              </w:rPr>
              <w:t>equipments</w:t>
            </w:r>
          </w:p>
          <w:p w14:paraId="3041A428">
            <w:pPr>
              <w:pStyle w:val="65"/>
              <w:spacing w:before="155"/>
              <w:ind w:left="110"/>
              <w:rPr>
                <w:sz w:val="24"/>
              </w:rPr>
            </w:pPr>
            <w:r>
              <w:rPr>
                <w:spacing w:val="-4"/>
                <w:sz w:val="24"/>
              </w:rPr>
              <w:t>Poor</w:t>
            </w:r>
          </w:p>
        </w:tc>
        <w:tc>
          <w:tcPr>
            <w:tcW w:w="2022" w:type="dxa"/>
            <w:gridSpan w:val="2"/>
          </w:tcPr>
          <w:p w14:paraId="61435FC8">
            <w:pPr>
              <w:pStyle w:val="65"/>
              <w:rPr>
                <w:sz w:val="24"/>
              </w:rPr>
            </w:pPr>
          </w:p>
          <w:p w14:paraId="70BE5FE8">
            <w:pPr>
              <w:pStyle w:val="65"/>
              <w:rPr>
                <w:sz w:val="24"/>
              </w:rPr>
            </w:pPr>
          </w:p>
          <w:p w14:paraId="527248D5">
            <w:pPr>
              <w:pStyle w:val="65"/>
              <w:rPr>
                <w:sz w:val="24"/>
              </w:rPr>
            </w:pPr>
            <w:r>
              <w:rPr>
                <w:spacing w:val="-5"/>
                <w:sz w:val="24"/>
              </w:rPr>
              <w:t>4%</w:t>
            </w:r>
          </w:p>
        </w:tc>
        <w:tc>
          <w:tcPr>
            <w:tcW w:w="1162" w:type="dxa"/>
          </w:tcPr>
          <w:p w14:paraId="0560EF78">
            <w:pPr>
              <w:pStyle w:val="65"/>
              <w:rPr>
                <w:sz w:val="24"/>
              </w:rPr>
            </w:pPr>
          </w:p>
          <w:p w14:paraId="72CF8B22">
            <w:pPr>
              <w:pStyle w:val="65"/>
              <w:rPr>
                <w:sz w:val="24"/>
              </w:rPr>
            </w:pPr>
          </w:p>
          <w:p w14:paraId="1F198E91">
            <w:pPr>
              <w:pStyle w:val="65"/>
              <w:rPr>
                <w:sz w:val="24"/>
              </w:rPr>
            </w:pPr>
            <w:r>
              <w:rPr>
                <w:spacing w:val="-5"/>
                <w:sz w:val="24"/>
              </w:rPr>
              <w:t>1%</w:t>
            </w:r>
          </w:p>
        </w:tc>
        <w:tc>
          <w:tcPr>
            <w:tcW w:w="2579" w:type="dxa"/>
          </w:tcPr>
          <w:p w14:paraId="327F03DA">
            <w:pPr>
              <w:pStyle w:val="65"/>
              <w:rPr>
                <w:sz w:val="24"/>
              </w:rPr>
            </w:pPr>
          </w:p>
          <w:p w14:paraId="4DC39E5B">
            <w:pPr>
              <w:pStyle w:val="65"/>
              <w:rPr>
                <w:sz w:val="24"/>
              </w:rPr>
            </w:pPr>
          </w:p>
          <w:p w14:paraId="649EF2EE">
            <w:pPr>
              <w:pStyle w:val="65"/>
              <w:rPr>
                <w:sz w:val="24"/>
              </w:rPr>
            </w:pPr>
            <w:r>
              <w:rPr>
                <w:spacing w:val="-10"/>
                <w:sz w:val="24"/>
              </w:rPr>
              <w:t>1</w:t>
            </w:r>
          </w:p>
        </w:tc>
        <w:tc>
          <w:tcPr>
            <w:tcW w:w="1115" w:type="dxa"/>
          </w:tcPr>
          <w:p w14:paraId="40DA878D">
            <w:pPr>
              <w:pStyle w:val="65"/>
              <w:rPr>
                <w:sz w:val="24"/>
              </w:rPr>
            </w:pPr>
          </w:p>
        </w:tc>
      </w:tr>
      <w:tr w14:paraId="6253F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2507" w:type="dxa"/>
          </w:tcPr>
          <w:p w14:paraId="7BE8657B">
            <w:pPr>
              <w:pStyle w:val="65"/>
              <w:ind w:left="110"/>
              <w:rPr>
                <w:sz w:val="24"/>
              </w:rPr>
            </w:pPr>
            <w:r>
              <w:rPr>
                <w:spacing w:val="-2"/>
                <w:sz w:val="24"/>
              </w:rPr>
              <w:t>Right</w:t>
            </w:r>
          </w:p>
        </w:tc>
        <w:tc>
          <w:tcPr>
            <w:tcW w:w="2022" w:type="dxa"/>
            <w:gridSpan w:val="2"/>
          </w:tcPr>
          <w:p w14:paraId="1D8A1F70">
            <w:pPr>
              <w:pStyle w:val="65"/>
              <w:ind w:left="109"/>
              <w:rPr>
                <w:sz w:val="24"/>
              </w:rPr>
            </w:pPr>
            <w:r>
              <w:rPr>
                <w:spacing w:val="-5"/>
                <w:sz w:val="24"/>
              </w:rPr>
              <w:t>9%</w:t>
            </w:r>
          </w:p>
        </w:tc>
        <w:tc>
          <w:tcPr>
            <w:tcW w:w="1162" w:type="dxa"/>
          </w:tcPr>
          <w:p w14:paraId="56E4D9FD">
            <w:pPr>
              <w:pStyle w:val="65"/>
              <w:ind w:left="109"/>
              <w:rPr>
                <w:sz w:val="24"/>
              </w:rPr>
            </w:pPr>
            <w:r>
              <w:rPr>
                <w:spacing w:val="-5"/>
                <w:sz w:val="24"/>
              </w:rPr>
              <w:t>86%</w:t>
            </w:r>
          </w:p>
        </w:tc>
        <w:tc>
          <w:tcPr>
            <w:tcW w:w="2579" w:type="dxa"/>
          </w:tcPr>
          <w:p w14:paraId="248B91A2">
            <w:pPr>
              <w:pStyle w:val="65"/>
              <w:ind w:left="109"/>
              <w:rPr>
                <w:sz w:val="24"/>
              </w:rPr>
            </w:pPr>
            <w:r>
              <w:rPr>
                <w:sz w:val="24"/>
              </w:rPr>
              <w:t>2.690</w:t>
            </w:r>
            <w:r>
              <w:rPr>
                <w:spacing w:val="4"/>
                <w:sz w:val="24"/>
              </w:rPr>
              <w:t xml:space="preserve"> </w:t>
            </w:r>
            <w:r>
              <w:rPr>
                <w:spacing w:val="-2"/>
                <w:sz w:val="24"/>
              </w:rPr>
              <w:t>(1.526–7.672)</w:t>
            </w:r>
          </w:p>
        </w:tc>
        <w:tc>
          <w:tcPr>
            <w:tcW w:w="1115" w:type="dxa"/>
          </w:tcPr>
          <w:p w14:paraId="195EBBB6">
            <w:pPr>
              <w:pStyle w:val="65"/>
              <w:ind w:left="109"/>
              <w:rPr>
                <w:sz w:val="24"/>
              </w:rPr>
            </w:pPr>
            <w:r>
              <w:rPr>
                <w:spacing w:val="-4"/>
                <w:sz w:val="24"/>
              </w:rPr>
              <w:t>0.310</w:t>
            </w:r>
          </w:p>
        </w:tc>
      </w:tr>
      <w:tr w14:paraId="3D224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7" w:hRule="atLeast"/>
        </w:trPr>
        <w:tc>
          <w:tcPr>
            <w:tcW w:w="2507" w:type="dxa"/>
          </w:tcPr>
          <w:p w14:paraId="492B7416">
            <w:pPr>
              <w:pStyle w:val="65"/>
              <w:ind w:left="110" w:right="7"/>
              <w:rPr>
                <w:b/>
                <w:bCs/>
                <w:sz w:val="24"/>
              </w:rPr>
            </w:pPr>
            <w:r>
              <w:rPr>
                <w:b/>
                <w:bCs/>
                <w:sz w:val="24"/>
              </w:rPr>
              <w:t>Identification</w:t>
            </w:r>
            <w:r>
              <w:rPr>
                <w:b/>
                <w:bCs/>
                <w:spacing w:val="-15"/>
                <w:sz w:val="24"/>
              </w:rPr>
              <w:t xml:space="preserve"> </w:t>
            </w:r>
            <w:r>
              <w:rPr>
                <w:b/>
                <w:bCs/>
                <w:sz w:val="24"/>
              </w:rPr>
              <w:t>of</w:t>
            </w:r>
            <w:r>
              <w:rPr>
                <w:b/>
                <w:bCs/>
                <w:spacing w:val="-15"/>
                <w:sz w:val="24"/>
              </w:rPr>
              <w:t xml:space="preserve"> </w:t>
            </w:r>
            <w:r>
              <w:rPr>
                <w:b/>
                <w:bCs/>
                <w:sz w:val="24"/>
              </w:rPr>
              <w:t>signs and symptoms of neonate sepsis</w:t>
            </w:r>
          </w:p>
          <w:p w14:paraId="23115765">
            <w:pPr>
              <w:pStyle w:val="65"/>
              <w:spacing w:before="160"/>
              <w:ind w:left="110"/>
              <w:rPr>
                <w:sz w:val="24"/>
              </w:rPr>
            </w:pPr>
            <w:r>
              <w:rPr>
                <w:spacing w:val="-2"/>
                <w:sz w:val="24"/>
              </w:rPr>
              <w:t>Right</w:t>
            </w:r>
          </w:p>
        </w:tc>
        <w:tc>
          <w:tcPr>
            <w:tcW w:w="2022" w:type="dxa"/>
            <w:gridSpan w:val="2"/>
          </w:tcPr>
          <w:p w14:paraId="6B528AA4">
            <w:pPr>
              <w:pStyle w:val="65"/>
              <w:rPr>
                <w:sz w:val="24"/>
              </w:rPr>
            </w:pPr>
          </w:p>
          <w:p w14:paraId="589DA452">
            <w:pPr>
              <w:pStyle w:val="65"/>
              <w:rPr>
                <w:sz w:val="24"/>
              </w:rPr>
            </w:pPr>
          </w:p>
          <w:p w14:paraId="32B5C99D">
            <w:pPr>
              <w:pStyle w:val="65"/>
              <w:rPr>
                <w:sz w:val="24"/>
              </w:rPr>
            </w:pPr>
          </w:p>
          <w:p w14:paraId="03044E20">
            <w:pPr>
              <w:pStyle w:val="65"/>
              <w:rPr>
                <w:sz w:val="24"/>
              </w:rPr>
            </w:pPr>
          </w:p>
          <w:p w14:paraId="5735DD0B">
            <w:pPr>
              <w:pStyle w:val="65"/>
              <w:rPr>
                <w:sz w:val="24"/>
              </w:rPr>
            </w:pPr>
            <w:r>
              <w:rPr>
                <w:spacing w:val="-5"/>
                <w:sz w:val="24"/>
              </w:rPr>
              <w:t>12%</w:t>
            </w:r>
          </w:p>
        </w:tc>
        <w:tc>
          <w:tcPr>
            <w:tcW w:w="1162" w:type="dxa"/>
          </w:tcPr>
          <w:p w14:paraId="486DCA69">
            <w:pPr>
              <w:pStyle w:val="65"/>
              <w:rPr>
                <w:sz w:val="24"/>
              </w:rPr>
            </w:pPr>
          </w:p>
          <w:p w14:paraId="36FAFFB4">
            <w:pPr>
              <w:pStyle w:val="65"/>
              <w:rPr>
                <w:sz w:val="24"/>
              </w:rPr>
            </w:pPr>
          </w:p>
          <w:p w14:paraId="563062E6">
            <w:pPr>
              <w:pStyle w:val="65"/>
              <w:rPr>
                <w:sz w:val="24"/>
              </w:rPr>
            </w:pPr>
          </w:p>
          <w:p w14:paraId="194EE879">
            <w:pPr>
              <w:pStyle w:val="65"/>
              <w:rPr>
                <w:sz w:val="24"/>
              </w:rPr>
            </w:pPr>
          </w:p>
          <w:p w14:paraId="03393869">
            <w:pPr>
              <w:pStyle w:val="65"/>
              <w:rPr>
                <w:sz w:val="24"/>
              </w:rPr>
            </w:pPr>
            <w:r>
              <w:rPr>
                <w:spacing w:val="-5"/>
                <w:sz w:val="24"/>
              </w:rPr>
              <w:t>67%</w:t>
            </w:r>
          </w:p>
        </w:tc>
        <w:tc>
          <w:tcPr>
            <w:tcW w:w="2579" w:type="dxa"/>
          </w:tcPr>
          <w:p w14:paraId="4535CE70">
            <w:pPr>
              <w:pStyle w:val="65"/>
              <w:rPr>
                <w:sz w:val="24"/>
              </w:rPr>
            </w:pPr>
          </w:p>
          <w:p w14:paraId="3C3D84AB">
            <w:pPr>
              <w:pStyle w:val="65"/>
              <w:rPr>
                <w:sz w:val="24"/>
              </w:rPr>
            </w:pPr>
          </w:p>
          <w:p w14:paraId="1F1766C5">
            <w:pPr>
              <w:pStyle w:val="65"/>
              <w:rPr>
                <w:sz w:val="24"/>
              </w:rPr>
            </w:pPr>
          </w:p>
          <w:p w14:paraId="5FCE5474">
            <w:pPr>
              <w:pStyle w:val="65"/>
              <w:rPr>
                <w:sz w:val="24"/>
              </w:rPr>
            </w:pPr>
          </w:p>
          <w:p w14:paraId="098ACB86">
            <w:pPr>
              <w:pStyle w:val="65"/>
              <w:rPr>
                <w:sz w:val="24"/>
              </w:rPr>
            </w:pPr>
            <w:r>
              <w:rPr>
                <w:spacing w:val="-10"/>
                <w:sz w:val="24"/>
              </w:rPr>
              <w:t>1</w:t>
            </w:r>
          </w:p>
        </w:tc>
        <w:tc>
          <w:tcPr>
            <w:tcW w:w="1115" w:type="dxa"/>
          </w:tcPr>
          <w:p w14:paraId="2CAE7DF1">
            <w:pPr>
              <w:pStyle w:val="65"/>
              <w:rPr>
                <w:sz w:val="24"/>
              </w:rPr>
            </w:pPr>
          </w:p>
        </w:tc>
      </w:tr>
      <w:tr w14:paraId="4B6E8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507" w:type="dxa"/>
          </w:tcPr>
          <w:p w14:paraId="67A852BA">
            <w:pPr>
              <w:pStyle w:val="65"/>
              <w:spacing w:line="273" w:lineRule="exact"/>
              <w:ind w:left="110"/>
              <w:rPr>
                <w:sz w:val="24"/>
              </w:rPr>
            </w:pPr>
            <w:r>
              <w:rPr>
                <w:spacing w:val="-2"/>
                <w:sz w:val="24"/>
              </w:rPr>
              <w:t>Wrong</w:t>
            </w:r>
          </w:p>
        </w:tc>
        <w:tc>
          <w:tcPr>
            <w:tcW w:w="2022" w:type="dxa"/>
            <w:gridSpan w:val="2"/>
          </w:tcPr>
          <w:p w14:paraId="3F7A9671">
            <w:pPr>
              <w:pStyle w:val="65"/>
              <w:spacing w:line="273" w:lineRule="exact"/>
              <w:ind w:left="109"/>
              <w:rPr>
                <w:sz w:val="24"/>
              </w:rPr>
            </w:pPr>
            <w:r>
              <w:rPr>
                <w:spacing w:val="-5"/>
                <w:sz w:val="24"/>
              </w:rPr>
              <w:t>9%</w:t>
            </w:r>
          </w:p>
        </w:tc>
        <w:tc>
          <w:tcPr>
            <w:tcW w:w="1162" w:type="dxa"/>
          </w:tcPr>
          <w:p w14:paraId="5CEA43F7">
            <w:pPr>
              <w:pStyle w:val="65"/>
              <w:spacing w:line="273" w:lineRule="exact"/>
              <w:ind w:left="109"/>
              <w:rPr>
                <w:sz w:val="24"/>
              </w:rPr>
            </w:pPr>
            <w:r>
              <w:rPr>
                <w:spacing w:val="-5"/>
                <w:sz w:val="24"/>
              </w:rPr>
              <w:t>12%</w:t>
            </w:r>
          </w:p>
        </w:tc>
        <w:tc>
          <w:tcPr>
            <w:tcW w:w="2579" w:type="dxa"/>
          </w:tcPr>
          <w:p w14:paraId="223E4F8C">
            <w:pPr>
              <w:pStyle w:val="65"/>
              <w:spacing w:line="273" w:lineRule="exact"/>
              <w:ind w:left="109"/>
              <w:rPr>
                <w:sz w:val="24"/>
              </w:rPr>
            </w:pPr>
            <w:r>
              <w:rPr>
                <w:sz w:val="24"/>
              </w:rPr>
              <w:t>1.138</w:t>
            </w:r>
            <w:r>
              <w:rPr>
                <w:spacing w:val="4"/>
                <w:sz w:val="24"/>
              </w:rPr>
              <w:t xml:space="preserve"> </w:t>
            </w:r>
            <w:r>
              <w:rPr>
                <w:spacing w:val="-2"/>
                <w:sz w:val="24"/>
              </w:rPr>
              <w:t>(0.134–9.642)</w:t>
            </w:r>
          </w:p>
        </w:tc>
        <w:tc>
          <w:tcPr>
            <w:tcW w:w="1115" w:type="dxa"/>
          </w:tcPr>
          <w:p w14:paraId="4B7E6827">
            <w:pPr>
              <w:pStyle w:val="65"/>
              <w:spacing w:line="273" w:lineRule="exact"/>
              <w:ind w:left="109"/>
              <w:rPr>
                <w:sz w:val="24"/>
              </w:rPr>
            </w:pPr>
            <w:r>
              <w:rPr>
                <w:spacing w:val="-4"/>
                <w:sz w:val="24"/>
              </w:rPr>
              <w:t>0.905</w:t>
            </w:r>
          </w:p>
        </w:tc>
      </w:tr>
    </w:tbl>
    <w:p w14:paraId="6A1D1B72">
      <w:pPr>
        <w:pStyle w:val="23"/>
        <w:spacing w:after="0"/>
      </w:pPr>
    </w:p>
    <w:p w14:paraId="79B2D4BA">
      <w:pPr>
        <w:pStyle w:val="23"/>
        <w:spacing w:after="0"/>
        <w:rPr>
          <w:rFonts w:ascii="Arial" w:hAnsi="Arial"/>
        </w:rPr>
      </w:pPr>
      <w:r>
        <w:rPr>
          <w:rFonts w:ascii="Arial" w:hAnsi="Arial"/>
        </w:rPr>
        <w:t>Source : (Researcher, 2025)</w:t>
      </w:r>
    </w:p>
    <w:p w14:paraId="5C97EE7C">
      <w:pPr>
        <w:pStyle w:val="23"/>
        <w:spacing w:after="0"/>
        <w:rPr>
          <w:rFonts w:ascii="Arial" w:hAnsi="Arial"/>
        </w:rPr>
      </w:pPr>
    </w:p>
    <w:p w14:paraId="4BA50242">
      <w:pPr>
        <w:pStyle w:val="23"/>
        <w:spacing w:after="0"/>
        <w:rPr>
          <w:rFonts w:ascii="Arial" w:hAnsi="Arial"/>
        </w:rPr>
      </w:pPr>
      <w:r>
        <w:rPr>
          <w:rFonts w:ascii="Arial" w:hAnsi="Arial"/>
        </w:rPr>
        <w:t xml:space="preserve">Only the neonatal factors (neonate age and gestational weeks) that indicated a correlation that was significant with sepsis of the neonates in bivariate analysis were subjected to multivariable analysis. Neonatal age &lt;3 days (aOR: 2.769; 95% CI 1.312–5.843; </w:t>
      </w:r>
      <w:r>
        <w:rPr>
          <w:rFonts w:ascii="Arial" w:hAnsi="Arial"/>
          <w:i/>
          <w:iCs/>
        </w:rPr>
        <w:t>P</w:t>
      </w:r>
      <w:r>
        <w:rPr>
          <w:rFonts w:ascii="Arial" w:hAnsi="Arial"/>
        </w:rPr>
        <w:t xml:space="preserve"> = 0.008) and gestational weeks &lt;37 weeks (aOR: 4.149; CI 1.1878–9.167; </w:t>
      </w:r>
      <w:r>
        <w:rPr>
          <w:rFonts w:ascii="Arial" w:hAnsi="Arial"/>
          <w:i/>
          <w:iCs/>
        </w:rPr>
        <w:t>P</w:t>
      </w:r>
      <w:r>
        <w:rPr>
          <w:rFonts w:ascii="Arial" w:hAnsi="Arial"/>
        </w:rPr>
        <w:t xml:space="preserve"> ≤ 0.001) were strongly associated with sepsis .</w:t>
      </w:r>
    </w:p>
    <w:p w14:paraId="14547772">
      <w:pPr>
        <w:pStyle w:val="23"/>
        <w:spacing w:after="0"/>
        <w:rPr>
          <w:rFonts w:ascii="Arial" w:hAnsi="Arial"/>
        </w:rPr>
      </w:pPr>
    </w:p>
    <w:p w14:paraId="0776FF3F">
      <w:pPr>
        <w:pStyle w:val="28"/>
        <w:spacing w:after="0"/>
        <w:jc w:val="both"/>
        <w:rPr>
          <w:rFonts w:ascii="Arial" w:hAnsi="Arial" w:cs="Arial"/>
        </w:rPr>
      </w:pPr>
      <w:r>
        <w:rPr>
          <w:rFonts w:ascii="Arial" w:hAnsi="Arial" w:cs="Arial"/>
        </w:rPr>
        <w:t>4. Conclusion</w:t>
      </w:r>
    </w:p>
    <w:p w14:paraId="7B2ADB84">
      <w:pPr>
        <w:pStyle w:val="28"/>
        <w:spacing w:after="0"/>
        <w:jc w:val="both"/>
        <w:rPr>
          <w:rFonts w:ascii="Arial" w:hAnsi="Arial" w:cs="Arial"/>
        </w:rPr>
      </w:pPr>
    </w:p>
    <w:p w14:paraId="363449AB">
      <w:pPr>
        <w:pStyle w:val="23"/>
        <w:spacing w:after="0"/>
        <w:rPr>
          <w:rFonts w:ascii="Arial" w:hAnsi="Arial"/>
        </w:rPr>
      </w:pPr>
      <w:r>
        <w:rPr>
          <w:rFonts w:ascii="Arial" w:hAnsi="Arial"/>
        </w:rPr>
        <w:t>This study established that neonatal sepsis remains a significant public health concern at Mandera County Referral Hospital, with a high prevalence rate of 79.4% among neonates admitted to the Newborn Unit. The findings revealed that although several neonatal characteristics such as low birth weight, prematurity, male sex, birth asphyxia, congenital anomalies, multiple births, and invasive procedures were frequently observed among septic neonates, none independently predicted the severity of sepsis. However, trends indicated that preterm neonates, low birth weight infants, and male neonates were more vulnerable to severe forms of sepsis, underscoring the need for heightened surveillance and early interventions in these groups.</w:t>
      </w:r>
    </w:p>
    <w:p w14:paraId="0EFB028F">
      <w:pPr>
        <w:pStyle w:val="23"/>
        <w:spacing w:after="0"/>
        <w:rPr>
          <w:rFonts w:ascii="Arial" w:hAnsi="Arial"/>
        </w:rPr>
      </w:pPr>
    </w:p>
    <w:p w14:paraId="4E9DEED5">
      <w:pPr>
        <w:pStyle w:val="23"/>
        <w:spacing w:after="0"/>
        <w:rPr>
          <w:rFonts w:ascii="Arial" w:hAnsi="Arial"/>
        </w:rPr>
      </w:pPr>
      <w:r>
        <w:rPr>
          <w:rFonts w:ascii="Arial" w:hAnsi="Arial"/>
        </w:rPr>
        <w:t>Additionally, multivariate analysis identified neonatal age below three days and preterm gestation (&lt;37 weeks) as significant predictors of sepsis, highlighting the critical vulnerability of newborns in the early days of life and those with immature immune systems. Importantly, the study also revealed knowledge gaps among healthcare providers, particularly related to essential newborn care and equipment use, which may contribute to suboptimal diagnosis and management of neonatal sepsis.</w:t>
      </w:r>
    </w:p>
    <w:p w14:paraId="1BE034C7">
      <w:pPr>
        <w:pStyle w:val="23"/>
        <w:spacing w:after="0"/>
        <w:rPr>
          <w:rFonts w:ascii="Arial" w:hAnsi="Arial"/>
        </w:rPr>
      </w:pPr>
    </w:p>
    <w:p w14:paraId="03557024">
      <w:pPr>
        <w:pStyle w:val="23"/>
        <w:spacing w:after="0"/>
        <w:rPr>
          <w:rFonts w:ascii="Arial" w:hAnsi="Arial" w:cs="Arial"/>
        </w:rPr>
      </w:pPr>
      <w:r>
        <w:rPr>
          <w:rFonts w:ascii="Arial" w:hAnsi="Arial"/>
        </w:rPr>
        <w:t>These findings suggest that while demographic and neonatal factors increase susceptibility, effective prevention and management will require strengthening healthcare providers’ skills, improving infection control practices, and enhancing early detection strategies. Focused interventions on high-risk groups—especially preterm and early-age neonates—along with capacity building of healthcare staff, are essential to reduce the burden and adverse outcomes of neonatal sepsis at Mandera County Referral Hospital.</w:t>
      </w:r>
      <w:r>
        <w:rPr>
          <w:rFonts w:ascii="Arial" w:hAnsi="Arial" w:cs="Arial"/>
        </w:rPr>
        <w:t>This should briefly state the major findings of the study. If you are using copy-paste option then select ‘match destination formatting’ in paste option OR use ‘paste special’ option and select ‘unformatted Unicode text’ option]</w:t>
      </w:r>
    </w:p>
    <w:p w14:paraId="7FBBD13E">
      <w:pPr>
        <w:pStyle w:val="23"/>
        <w:spacing w:after="0"/>
        <w:rPr>
          <w:rFonts w:ascii="Arial" w:hAnsi="Arial" w:cs="Arial"/>
        </w:rPr>
      </w:pPr>
    </w:p>
    <w:p w14:paraId="3386007D">
      <w:pPr>
        <w:pStyle w:val="30"/>
        <w:spacing w:after="0"/>
        <w:jc w:val="both"/>
        <w:rPr>
          <w:rFonts w:ascii="Arial" w:hAnsi="Arial" w:cs="Arial"/>
          <w:bCs/>
        </w:rPr>
      </w:pPr>
      <w:r>
        <w:rPr>
          <w:rFonts w:ascii="Arial" w:hAnsi="Arial" w:cs="Arial"/>
          <w:bCs/>
        </w:rPr>
        <w:t>Consent</w:t>
      </w:r>
    </w:p>
    <w:p w14:paraId="36CD879D">
      <w:pPr>
        <w:pStyle w:val="30"/>
        <w:spacing w:after="0"/>
        <w:jc w:val="both"/>
        <w:rPr>
          <w:rFonts w:ascii="Arial" w:hAnsi="Arial" w:cs="Arial"/>
          <w:bCs/>
        </w:rPr>
      </w:pPr>
    </w:p>
    <w:p w14:paraId="05D86177">
      <w:pPr>
        <w:pStyle w:val="30"/>
        <w:spacing w:after="0"/>
        <w:jc w:val="both"/>
        <w:rPr>
          <w:rFonts w:ascii="Arial" w:hAnsi="Arial" w:cs="Arial"/>
          <w:b w:val="0"/>
          <w:caps w:val="0"/>
          <w:sz w:val="20"/>
          <w:u w:val="single"/>
        </w:rPr>
      </w:pPr>
      <w:r>
        <w:rPr>
          <w:rFonts w:ascii="Arial" w:hAnsi="Arial"/>
          <w:b w:val="0"/>
          <w:caps w:val="0"/>
          <w:sz w:val="20"/>
        </w:rPr>
        <w:t>All authors declare that written informed consent was obtained from the parents/guardians of the neonates for participation in this study. A copy of the written consent is available for review by the Editorial Office, Chief Editor, or Editorial Board members of this journal upon request.</w:t>
      </w:r>
    </w:p>
    <w:p w14:paraId="591FB406">
      <w:pPr>
        <w:pStyle w:val="30"/>
        <w:spacing w:after="0"/>
        <w:jc w:val="both"/>
        <w:rPr>
          <w:rFonts w:ascii="Arial" w:hAnsi="Arial" w:cs="Arial"/>
          <w:b w:val="0"/>
          <w:caps w:val="0"/>
          <w:sz w:val="20"/>
        </w:rPr>
      </w:pPr>
    </w:p>
    <w:p w14:paraId="304A20F3">
      <w:pPr>
        <w:pStyle w:val="30"/>
        <w:spacing w:after="0"/>
        <w:jc w:val="both"/>
        <w:rPr>
          <w:rFonts w:ascii="Arial" w:hAnsi="Arial" w:cs="Arial"/>
          <w:b w:val="0"/>
          <w:caps w:val="0"/>
          <w:sz w:val="20"/>
        </w:rPr>
      </w:pPr>
    </w:p>
    <w:p w14:paraId="26DECACB">
      <w:pPr>
        <w:pStyle w:val="30"/>
        <w:spacing w:after="0"/>
        <w:jc w:val="both"/>
        <w:rPr>
          <w:rFonts w:ascii="Arial" w:hAnsi="Arial" w:cs="Arial"/>
          <w:bCs/>
        </w:rPr>
      </w:pPr>
      <w:r>
        <w:rPr>
          <w:rFonts w:ascii="Arial" w:hAnsi="Arial" w:cs="Arial"/>
          <w:bCs/>
        </w:rPr>
        <w:t>Ethical approval</w:t>
      </w:r>
    </w:p>
    <w:p w14:paraId="4C169048">
      <w:pPr>
        <w:pStyle w:val="30"/>
        <w:spacing w:after="0"/>
        <w:jc w:val="both"/>
        <w:rPr>
          <w:rFonts w:ascii="Arial" w:hAnsi="Arial" w:cs="Arial"/>
          <w:bCs/>
        </w:rPr>
      </w:pPr>
    </w:p>
    <w:p w14:paraId="18A9FF63">
      <w:pPr>
        <w:pStyle w:val="30"/>
        <w:spacing w:after="0"/>
        <w:jc w:val="both"/>
        <w:rPr>
          <w:rFonts w:ascii="Arial" w:hAnsi="Arial"/>
          <w:b w:val="0"/>
          <w:caps w:val="0"/>
          <w:sz w:val="20"/>
        </w:rPr>
      </w:pPr>
      <w:r>
        <w:rPr>
          <w:rFonts w:ascii="Arial" w:hAnsi="Arial"/>
          <w:b w:val="0"/>
          <w:caps w:val="0"/>
          <w:sz w:val="20"/>
        </w:rPr>
        <w:t>The authors confirm that all necessary ethical approvals were obtained prior to the commencement of this study. Approval was granted by the Kenyatta University Graduate School and subsequently by the Kenyatta University Ethics Review Committee. Following this, a research permit was obtained from the National Council for Science, Technology and Innovation (NACOSTI) and permission was granted by the Mandera County Department of Health.</w:t>
      </w:r>
    </w:p>
    <w:p w14:paraId="4CB73BA7">
      <w:pPr>
        <w:pStyle w:val="30"/>
        <w:spacing w:after="0"/>
        <w:jc w:val="both"/>
        <w:rPr>
          <w:rFonts w:ascii="Arial" w:hAnsi="Arial"/>
          <w:b w:val="0"/>
          <w:caps w:val="0"/>
          <w:sz w:val="20"/>
        </w:rPr>
      </w:pPr>
    </w:p>
    <w:p w14:paraId="2C784279">
      <w:pPr>
        <w:pStyle w:val="30"/>
        <w:spacing w:after="0"/>
        <w:jc w:val="both"/>
        <w:rPr>
          <w:rFonts w:ascii="Arial" w:hAnsi="Arial"/>
          <w:b w:val="0"/>
          <w:caps w:val="0"/>
          <w:sz w:val="20"/>
        </w:rPr>
      </w:pPr>
      <w:r>
        <w:rPr>
          <w:rFonts w:ascii="Arial" w:hAnsi="Arial"/>
          <w:b w:val="0"/>
          <w:caps w:val="0"/>
          <w:sz w:val="20"/>
        </w:rPr>
        <w:t>Informed consent was obtained from all eligible mothers prior to data collection, after clearly explaining the objectives, potential benefits, risks, and the voluntary nature of participation. Confidentiality and privacy were strictly maintained by anonymizing the data, safeguarding respondent identities with coded questionnaires, and securely storing collected data accessible only to the researcher.</w:t>
      </w:r>
    </w:p>
    <w:p w14:paraId="1C9AD667">
      <w:pPr>
        <w:pStyle w:val="30"/>
        <w:spacing w:after="0"/>
        <w:jc w:val="both"/>
        <w:rPr>
          <w:rFonts w:ascii="Arial" w:hAnsi="Arial"/>
          <w:b w:val="0"/>
          <w:caps w:val="0"/>
          <w:sz w:val="20"/>
        </w:rPr>
      </w:pPr>
    </w:p>
    <w:p w14:paraId="405256D7">
      <w:pPr>
        <w:pStyle w:val="30"/>
        <w:spacing w:after="0"/>
        <w:jc w:val="both"/>
        <w:rPr>
          <w:rFonts w:ascii="Arial" w:hAnsi="Arial"/>
          <w:b w:val="0"/>
          <w:caps w:val="0"/>
          <w:sz w:val="20"/>
        </w:rPr>
      </w:pPr>
      <w:r>
        <w:rPr>
          <w:rFonts w:ascii="Arial" w:hAnsi="Arial"/>
          <w:b w:val="0"/>
          <w:caps w:val="0"/>
          <w:sz w:val="20"/>
        </w:rPr>
        <w:t>This confirms that the study complied with all relevant ethical guidelines, is not contrary to the public interest, and that the release of information is permitted under applicable legislation.</w:t>
      </w:r>
    </w:p>
    <w:p w14:paraId="0D5F2C55">
      <w:pPr>
        <w:pStyle w:val="30"/>
        <w:spacing w:after="0"/>
        <w:jc w:val="both"/>
        <w:rPr>
          <w:rFonts w:ascii="Arial" w:hAnsi="Arial"/>
          <w:b w:val="0"/>
          <w:caps w:val="0"/>
          <w:sz w:val="20"/>
        </w:rPr>
      </w:pPr>
    </w:p>
    <w:p w14:paraId="64E347E8">
      <w:pPr>
        <w:pStyle w:val="30"/>
        <w:spacing w:after="0"/>
        <w:jc w:val="both"/>
        <w:rPr>
          <w:rFonts w:hint="default" w:ascii="Arial" w:hAnsi="Arial"/>
          <w:b/>
          <w:bCs/>
          <w:caps w:val="0"/>
          <w:sz w:val="20"/>
        </w:rPr>
      </w:pPr>
      <w:r>
        <w:rPr>
          <w:rFonts w:hint="default" w:ascii="Arial" w:hAnsi="Arial"/>
          <w:b/>
          <w:bCs/>
          <w:caps w:val="0"/>
          <w:sz w:val="20"/>
        </w:rPr>
        <w:t>Disclaimer (Artificial intelligence)</w:t>
      </w:r>
    </w:p>
    <w:p w14:paraId="69B5D905">
      <w:pPr>
        <w:pStyle w:val="30"/>
        <w:spacing w:after="0"/>
        <w:jc w:val="both"/>
        <w:rPr>
          <w:rFonts w:hint="default" w:ascii="Arial" w:hAnsi="Arial"/>
          <w:b w:val="0"/>
          <w:caps w:val="0"/>
          <w:sz w:val="20"/>
        </w:rPr>
      </w:pPr>
      <w:r>
        <w:rPr>
          <w:rFonts w:hint="default" w:ascii="Arial" w:hAnsi="Arial"/>
          <w:b w:val="0"/>
          <w:caps w:val="0"/>
          <w:sz w:val="20"/>
        </w:rPr>
        <w:t xml:space="preserve">Author(s) hereby declare that NO generative AI technologies such as Large Language Models (ChatGPT, COPILOT, etc.) and text-to-image generators have been used during the writing or editing of this manuscript. </w:t>
      </w:r>
    </w:p>
    <w:p w14:paraId="5F46D4B5">
      <w:pPr>
        <w:bidi w:val="0"/>
        <w:rPr>
          <w:b/>
          <w:bCs/>
        </w:rPr>
      </w:pPr>
    </w:p>
    <w:p w14:paraId="292D5A1C">
      <w:pPr>
        <w:bidi w:val="0"/>
        <w:rPr>
          <w:b/>
          <w:bCs/>
        </w:rPr>
      </w:pPr>
    </w:p>
    <w:p w14:paraId="31FE1FA5">
      <w:pPr>
        <w:bidi w:val="0"/>
        <w:rPr>
          <w:b/>
          <w:bCs/>
        </w:rPr>
      </w:pPr>
    </w:p>
    <w:p w14:paraId="05E5B232">
      <w:pPr>
        <w:bidi w:val="0"/>
        <w:rPr>
          <w:b/>
          <w:bCs/>
        </w:rPr>
      </w:pPr>
    </w:p>
    <w:p w14:paraId="1B90A3C0">
      <w:pPr>
        <w:bidi w:val="0"/>
        <w:rPr>
          <w:b/>
          <w:bCs/>
        </w:rPr>
      </w:pPr>
      <w:bookmarkStart w:id="0" w:name="_GoBack"/>
      <w:bookmarkEnd w:id="0"/>
    </w:p>
    <w:p w14:paraId="367823C7">
      <w:pPr>
        <w:bidi w:val="0"/>
        <w:rPr>
          <w:b/>
          <w:bCs/>
          <w:sz w:val="24"/>
          <w:szCs w:val="24"/>
        </w:rPr>
      </w:pPr>
      <w:r>
        <w:rPr>
          <w:b/>
          <w:bCs/>
          <w:sz w:val="24"/>
          <w:szCs w:val="24"/>
        </w:rPr>
        <w:t>References</w:t>
      </w:r>
    </w:p>
    <w:p w14:paraId="3A014E61">
      <w:pPr>
        <w:pStyle w:val="30"/>
        <w:spacing w:after="0"/>
        <w:jc w:val="both"/>
        <w:rPr>
          <w:rFonts w:ascii="Arial" w:hAnsi="Arial" w:cs="Arial"/>
        </w:rPr>
      </w:pPr>
    </w:p>
    <w:p w14:paraId="5F28A4D8">
      <w:pPr>
        <w:pStyle w:val="23"/>
        <w:spacing w:after="0"/>
      </w:pPr>
      <w:r>
        <w:t>World health report (WHO). (2019). Make every mother and child count. Geneva: WHO; 2019.</w:t>
      </w:r>
    </w:p>
    <w:p w14:paraId="3548E8DB">
      <w:pPr>
        <w:pStyle w:val="23"/>
        <w:spacing w:after="0"/>
      </w:pPr>
    </w:p>
    <w:p w14:paraId="22A9661E">
      <w:pPr>
        <w:pStyle w:val="23"/>
        <w:spacing w:after="0"/>
        <w:rPr>
          <w:rFonts w:hint="default"/>
        </w:rPr>
      </w:pPr>
      <w:r>
        <w:rPr>
          <w:rFonts w:hint="default"/>
        </w:rPr>
        <w:t>A. A. Adedokun, E. O. Onosakponome &amp; C. U. Nyenke. (2020). Early Onset and Late Onset of Neonatal Sepsis in a Tertiary Hospital, South-South, Nigeria. Journal of Advances in Microbiology, 20(6), 19–29. https://doi.org/10.9734/jamb/2020/v20i630249</w:t>
      </w:r>
    </w:p>
    <w:p w14:paraId="2A88ECA9">
      <w:pPr>
        <w:pStyle w:val="23"/>
        <w:spacing w:after="0"/>
      </w:pPr>
    </w:p>
    <w:p w14:paraId="4919F319">
      <w:pPr>
        <w:pStyle w:val="23"/>
        <w:spacing w:after="0"/>
      </w:pPr>
      <w:r>
        <w:t>Roble, A. K., Ayehubizu, L. M., &amp; Olad, H. M. (2022). Neonatal sepsis and associated factors</w:t>
      </w:r>
    </w:p>
    <w:p w14:paraId="038FE23F">
      <w:pPr>
        <w:pStyle w:val="23"/>
        <w:spacing w:after="0"/>
      </w:pPr>
      <w:r>
        <w:t>among neonates admitted to neonatal intensive care unit in general hospitals, eastern Ethiopia 2020. Clinical Medicine Insights: Pediatrics, 16, 11795565221098346.</w:t>
      </w:r>
    </w:p>
    <w:p w14:paraId="41E74E66">
      <w:pPr>
        <w:pStyle w:val="23"/>
        <w:spacing w:after="0"/>
      </w:pPr>
    </w:p>
    <w:p w14:paraId="61B76BC8">
      <w:pPr>
        <w:pStyle w:val="23"/>
        <w:spacing w:after="0"/>
      </w:pPr>
      <w:r>
        <w:t>Vergnano S, Sharland M, kazembe P, Mwansambo C, (2018). Heath PT-Neonatal sepsis an international Perspective. Arch Dis Child Fetal Neonatal Ed,: 90 F220-4.</w:t>
      </w:r>
    </w:p>
    <w:p w14:paraId="54AEB17F">
      <w:pPr>
        <w:pStyle w:val="23"/>
        <w:spacing w:after="0"/>
      </w:pPr>
    </w:p>
    <w:p w14:paraId="4CDC26CF">
      <w:pPr>
        <w:pStyle w:val="23"/>
        <w:spacing w:after="0"/>
      </w:pPr>
      <w:r>
        <w:t>Yelda, A. Leal, N., Juan, R. V., Ulises, R.Q., Nidia, D.R., Dávila, V. (2020). Risk factors and prognosis for neonatal sepsis in southeastern Mexico: analysis of a four-year historic cohort follow-up. BMC Pregnancy and Childbirth, 2020:12:48.</w:t>
      </w:r>
    </w:p>
    <w:p w14:paraId="34C9AC97">
      <w:pPr>
        <w:pStyle w:val="23"/>
        <w:spacing w:after="0"/>
      </w:pPr>
    </w:p>
    <w:p w14:paraId="37EEEB15">
      <w:pPr>
        <w:pStyle w:val="23"/>
        <w:spacing w:after="0"/>
      </w:pPr>
      <w:r>
        <w:t>Stephanie, J., Schrag, D., Clare, L., Cutland, M.D., Elizabeth, R., &amp; Zell, M.S. (2018). Risk Factors for Neonatal Sepsis and Perinatal Death Among Infants Enrolled in the</w:t>
      </w:r>
    </w:p>
    <w:p w14:paraId="63BD5061">
      <w:pPr>
        <w:pStyle w:val="23"/>
        <w:spacing w:after="0"/>
      </w:pPr>
      <w:r>
        <w:t>Prevention of Perinatal Sepsis Trial, Soweto, South Africa. The Pediatric Infectious Disease Journal 2018;31(8).</w:t>
      </w:r>
    </w:p>
    <w:p w14:paraId="70C18B94">
      <w:pPr>
        <w:pStyle w:val="23"/>
        <w:spacing w:after="0"/>
      </w:pPr>
    </w:p>
    <w:p w14:paraId="4C148DA6">
      <w:pPr>
        <w:pStyle w:val="23"/>
        <w:spacing w:after="0"/>
      </w:pPr>
      <w:r>
        <w:t>Chiabi, A.D.M., Mah, E., Nguefack, S., Mbuagbaw, L., &amp; Zafack, J. (2017). Recent epidemiology of neonatal sepsis in Iran. Iran J Pediatr. 2017;21(4):441-8.</w:t>
      </w:r>
    </w:p>
    <w:p w14:paraId="4B8AEDE6">
      <w:pPr>
        <w:pStyle w:val="23"/>
        <w:spacing w:after="0"/>
      </w:pPr>
    </w:p>
    <w:p w14:paraId="2BD56D2B">
      <w:pPr>
        <w:pStyle w:val="23"/>
        <w:spacing w:after="0"/>
      </w:pPr>
      <w:r>
        <w:t>Polin, R. A. Palazzi, D., Klein, J. &amp; Gene, J. W. (2018). Neonatal Sepsis. Advanced Pediatric Infectious Disease Journal 7: 25-61.</w:t>
      </w:r>
    </w:p>
    <w:p w14:paraId="35C9D194">
      <w:pPr>
        <w:pStyle w:val="23"/>
        <w:spacing w:after="0"/>
      </w:pPr>
    </w:p>
    <w:p w14:paraId="1A79F522">
      <w:pPr>
        <w:pStyle w:val="23"/>
        <w:spacing w:after="0"/>
      </w:pPr>
      <w:r>
        <w:t>UNICEF.org/files/UNICEF. Levels and trends in child mortality. Child mortality_for_web(http://apromiserenewed. 2018</w:t>
      </w:r>
    </w:p>
    <w:p w14:paraId="53BDCF13">
      <w:pPr>
        <w:pStyle w:val="23"/>
        <w:spacing w:after="0"/>
      </w:pPr>
    </w:p>
    <w:p w14:paraId="33BDEECF">
      <w:pPr>
        <w:pStyle w:val="23"/>
        <w:spacing w:after="0"/>
      </w:pPr>
      <w:r>
        <w:t>UNICEF. (2020). Every newborn: An action Plan to end preventable deaths: Executive summary Geneva.</w:t>
      </w:r>
    </w:p>
    <w:p w14:paraId="187F4C0D">
      <w:pPr>
        <w:pStyle w:val="23"/>
        <w:spacing w:after="0"/>
      </w:pPr>
    </w:p>
    <w:p w14:paraId="669541D2">
      <w:pPr>
        <w:pStyle w:val="23"/>
        <w:spacing w:after="0"/>
      </w:pPr>
      <w:r>
        <w:t>Amare, G.W.L., Felek, M., Beyene, M.B., Anagaw, C., &amp; Unakal, A.K. (2022). Predictors of positive blood culture and death among neonates with suspected neonatal sepsis in Gondar University Hospital, Northwest Ethiopia. European Journal of Experimental Biology;2(6): 2212-8.</w:t>
      </w:r>
    </w:p>
    <w:p w14:paraId="070B10DA">
      <w:pPr>
        <w:pStyle w:val="23"/>
        <w:spacing w:after="0"/>
      </w:pPr>
    </w:p>
    <w:p w14:paraId="4E921C77">
      <w:pPr>
        <w:pStyle w:val="23"/>
        <w:spacing w:after="0"/>
      </w:pPr>
      <w:r>
        <w:t>Tisho, A. K., Mbugua, P. M., Bosire, R., &amp; Karanja, S. M. (2025). Predictors of Length of Hospitalization for Neonatal Sepsis at Kenyatta Nation Hospital, Kenya: A Prospective Cross‐Sectional Study. Health Science Reports, 8(1), e70344.</w:t>
      </w:r>
    </w:p>
    <w:p w14:paraId="565ACD95">
      <w:pPr>
        <w:pStyle w:val="23"/>
        <w:spacing w:after="0"/>
      </w:pPr>
    </w:p>
    <w:p w14:paraId="748DAA7D">
      <w:pPr>
        <w:pStyle w:val="23"/>
        <w:spacing w:after="0"/>
      </w:pPr>
      <w:r>
        <w:t>Thaver D, and Zaidi AK. (2019). Burden of neonatal infections in developing countries: a review of evidence from community-based studies. Pediatr Infect Dis J, 28(1 Suppl):S3–S9.</w:t>
      </w:r>
    </w:p>
    <w:p w14:paraId="79D263AF">
      <w:pPr>
        <w:pStyle w:val="23"/>
        <w:spacing w:after="0"/>
      </w:pPr>
      <w:r>
        <w:t>Destaaleem, G., HaftuBerche, T., &amp; Kashu, G. (2021). Risk factors for neonatal Sepsis in public hospitals, North Ethiopia 2021.</w:t>
      </w:r>
    </w:p>
    <w:p w14:paraId="17472E88">
      <w:pPr>
        <w:pStyle w:val="23"/>
        <w:spacing w:after="0"/>
      </w:pPr>
    </w:p>
    <w:p w14:paraId="20D0D7EC">
      <w:pPr>
        <w:pStyle w:val="23"/>
        <w:spacing w:after="0"/>
      </w:pPr>
      <w:r>
        <w:t>Maisaba, J. M., Migisha, R., Owaraganise, A., Tibaijuka, L., Agaba, D. C., Muhumuza, J., ... &amp; Kayondo, M. (2024). Maternal factors associated with early-onset neonatal sepsis among caesarean-delivered babies at Mbarara Regional Referral Hospital, Uganda: a case- control study. BMC Pregnancy and Childbirth, 24(1), 707.</w:t>
      </w:r>
    </w:p>
    <w:p w14:paraId="06F83B46">
      <w:pPr>
        <w:pStyle w:val="23"/>
        <w:spacing w:after="0"/>
      </w:pPr>
    </w:p>
    <w:p w14:paraId="7C06AB4B">
      <w:pPr>
        <w:pStyle w:val="34"/>
        <w:numPr>
          <w:ilvl w:val="0"/>
          <w:numId w:val="0"/>
        </w:numPr>
        <w:spacing w:line="240" w:lineRule="auto"/>
        <w:rPr>
          <w:rFonts w:ascii="Arial" w:hAnsi="Arial" w:cs="Arial"/>
        </w:rPr>
      </w:pPr>
    </w:p>
    <w:p w14:paraId="26E6454C">
      <w:pPr>
        <w:pStyle w:val="42"/>
        <w:spacing w:after="0"/>
        <w:jc w:val="both"/>
        <w:rPr>
          <w:rFonts w:ascii="Arial" w:hAnsi="Arial" w:cs="Arial"/>
          <w:b w:val="0"/>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6AFD418F">
      <w:pPr>
        <w:pStyle w:val="42"/>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5526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5BD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842D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91E1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50748">
    <w:pPr>
      <w:pStyle w:val="14"/>
    </w:pPr>
    <w:r>
      <w:pict>
        <v:shape id="PowerPlusWaterMarkObject263431283"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BE185">
    <w:pPr>
      <w:pStyle w:val="14"/>
    </w:pPr>
    <w:r>
      <w:pict>
        <v:shape id="PowerPlusWaterMarkObject263431282"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D30F">
    <w:pPr>
      <w:ind w:left="2160"/>
      <w:jc w:val="center"/>
      <w:rPr>
        <w:rFonts w:ascii="Times New Roman" w:hAnsi="Times New Roman" w:eastAsia="Calibri"/>
        <w:i/>
        <w:sz w:val="18"/>
        <w:szCs w:val="22"/>
      </w:rPr>
    </w:pPr>
    <w:r>
      <w:pict>
        <v:shape id="PowerPlusWaterMarkObject263431281"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1E65AFE2">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E1924E1">
    <w:pPr>
      <w:jc w:val="center"/>
      <w:rPr>
        <w:rFonts w:ascii="Times New Roman" w:hAnsi="Times New Roman" w:eastAsia="Calibri"/>
        <w:i/>
        <w:sz w:val="18"/>
        <w:szCs w:val="22"/>
      </w:rPr>
    </w:pPr>
    <w:r>
      <w:rPr>
        <w:rFonts w:ascii="Times New Roman" w:hAnsi="Times New Roman" w:eastAsia="Calibri"/>
        <w:i/>
        <w:sz w:val="18"/>
        <w:szCs w:val="22"/>
      </w:rPr>
      <w:t>.</w:t>
    </w:r>
  </w:p>
  <w:p w14:paraId="65A892EB">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0F1930A5">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546BD34D">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47961500">
    <w:pPr>
      <w:pStyle w:val="14"/>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B4CCD">
    <w:pPr>
      <w:pStyle w:val="14"/>
    </w:pPr>
    <w:r>
      <w:pict>
        <v:shape id="PowerPlusWaterMarkObject263431286"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1E35">
    <w:pPr>
      <w:pStyle w:val="14"/>
    </w:pPr>
    <w:r>
      <w:pict>
        <v:shape id="PowerPlusWaterMarkObject263431285"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3849">
    <w:pPr>
      <w:pStyle w:val="14"/>
    </w:pPr>
    <w:r>
      <w:pict>
        <v:shape id="PowerPlusWaterMarkObject263431284"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16EA5"/>
    <w:rsid w:val="00123C9F"/>
    <w:rsid w:val="00126190"/>
    <w:rsid w:val="00130F17"/>
    <w:rsid w:val="001320BF"/>
    <w:rsid w:val="00133B8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2DD6"/>
    <w:rsid w:val="00401927"/>
    <w:rsid w:val="0041027F"/>
    <w:rsid w:val="00412475"/>
    <w:rsid w:val="00415B09"/>
    <w:rsid w:val="00423789"/>
    <w:rsid w:val="00440F43"/>
    <w:rsid w:val="00441B6F"/>
    <w:rsid w:val="00446221"/>
    <w:rsid w:val="00450E62"/>
    <w:rsid w:val="004539DB"/>
    <w:rsid w:val="00471A80"/>
    <w:rsid w:val="004D305E"/>
    <w:rsid w:val="004D4277"/>
    <w:rsid w:val="004E63F2"/>
    <w:rsid w:val="00502516"/>
    <w:rsid w:val="00505F06"/>
    <w:rsid w:val="00506828"/>
    <w:rsid w:val="005263A1"/>
    <w:rsid w:val="0053056E"/>
    <w:rsid w:val="00542A4A"/>
    <w:rsid w:val="00554FDA"/>
    <w:rsid w:val="005C784C"/>
    <w:rsid w:val="005D17F6"/>
    <w:rsid w:val="005E5539"/>
    <w:rsid w:val="00602BF5"/>
    <w:rsid w:val="006131A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2887"/>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166E"/>
    <w:rsid w:val="009500A6"/>
    <w:rsid w:val="00957C18"/>
    <w:rsid w:val="009659BA"/>
    <w:rsid w:val="00973685"/>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0850"/>
    <w:rsid w:val="00AC6BB8"/>
    <w:rsid w:val="00AE008F"/>
    <w:rsid w:val="00B01FCD"/>
    <w:rsid w:val="00B1776C"/>
    <w:rsid w:val="00B52583"/>
    <w:rsid w:val="00B52896"/>
    <w:rsid w:val="00B67FD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C7E"/>
    <w:rsid w:val="00EA012C"/>
    <w:rsid w:val="00EC6A55"/>
    <w:rsid w:val="00ED0288"/>
    <w:rsid w:val="00EE52CB"/>
    <w:rsid w:val="00EF581D"/>
    <w:rsid w:val="00EF7FD8"/>
    <w:rsid w:val="00F06F59"/>
    <w:rsid w:val="00F17988"/>
    <w:rsid w:val="00F4635C"/>
    <w:rsid w:val="00F469F0"/>
    <w:rsid w:val="00F53273"/>
    <w:rsid w:val="00F755E4"/>
    <w:rsid w:val="00F77D02"/>
    <w:rsid w:val="00FB3A86"/>
    <w:rsid w:val="00FD36C8"/>
    <w:rsid w:val="16FF6432"/>
    <w:rsid w:val="1CED44E1"/>
    <w:rsid w:val="4FD47D64"/>
    <w:rsid w:val="59B2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2"/>
    <w:uiPriority w:val="0"/>
    <w:rPr>
      <w:rFonts w:ascii="Tahoma" w:hAnsi="Tahoma" w:cs="Tahoma"/>
      <w:sz w:val="16"/>
      <w:szCs w:val="16"/>
    </w:rPr>
  </w:style>
  <w:style w:type="paragraph" w:styleId="6">
    <w:name w:val="Body Text"/>
    <w:basedOn w:val="1"/>
    <w:qFormat/>
    <w:uiPriority w:val="1"/>
    <w:rPr>
      <w:sz w:val="24"/>
      <w:szCs w:val="24"/>
    </w:rPr>
  </w:style>
  <w:style w:type="paragraph" w:styleId="7">
    <w:name w:val="Body Text 2"/>
    <w:basedOn w:val="1"/>
    <w:link w:val="60"/>
    <w:uiPriority w:val="0"/>
    <w:pPr>
      <w:spacing w:after="120" w:line="480" w:lineRule="auto"/>
    </w:pPr>
  </w:style>
  <w:style w:type="paragraph" w:styleId="8">
    <w:name w:val="Body Text 3"/>
    <w:basedOn w:val="1"/>
    <w:link w:val="63"/>
    <w:uiPriority w:val="0"/>
    <w:pPr>
      <w:spacing w:after="120"/>
    </w:pPr>
    <w:rPr>
      <w:sz w:val="16"/>
      <w:szCs w:val="16"/>
    </w:rPr>
  </w:style>
  <w:style w:type="character" w:styleId="9">
    <w:name w:val="annotation reference"/>
    <w:basedOn w:val="3"/>
    <w:unhideWhenUsed/>
    <w:uiPriority w:val="99"/>
    <w:rPr>
      <w:sz w:val="16"/>
      <w:szCs w:val="16"/>
    </w:rPr>
  </w:style>
  <w:style w:type="paragraph" w:styleId="10">
    <w:name w:val="annotation text"/>
    <w:basedOn w:val="1"/>
    <w:link w:val="61"/>
    <w:unhideWhenUsed/>
    <w:uiPriority w:val="99"/>
    <w:rPr>
      <w:rFonts w:ascii="Times New Roman" w:hAnsi="Times New Roman"/>
      <w:lang w:val="nb-NO" w:eastAsia="nb-NO"/>
    </w:rPr>
  </w:style>
  <w:style w:type="character" w:styleId="11">
    <w:name w:val="Emphasis"/>
    <w:basedOn w:val="3"/>
    <w:qFormat/>
    <w:uiPriority w:val="20"/>
    <w:rPr>
      <w:i/>
      <w:iCs/>
    </w:rPr>
  </w:style>
  <w:style w:type="character" w:styleId="12">
    <w:name w:val="FollowedHyperlink"/>
    <w:basedOn w:val="3"/>
    <w:qFormat/>
    <w:uiPriority w:val="0"/>
    <w:rPr>
      <w:color w:val="800080"/>
      <w:u w:val="single"/>
    </w:rPr>
  </w:style>
  <w:style w:type="paragraph" w:styleId="13">
    <w:name w:val="footer"/>
    <w:basedOn w:val="1"/>
    <w:qFormat/>
    <w:uiPriority w:val="0"/>
    <w:pPr>
      <w:tabs>
        <w:tab w:val="center" w:pos="4320"/>
        <w:tab w:val="right" w:pos="8640"/>
      </w:tabs>
    </w:pPr>
  </w:style>
  <w:style w:type="paragraph" w:styleId="14">
    <w:name w:val="header"/>
    <w:basedOn w:val="1"/>
    <w:qFormat/>
    <w:uiPriority w:val="0"/>
    <w:pPr>
      <w:tabs>
        <w:tab w:val="center" w:pos="4320"/>
        <w:tab w:val="right" w:pos="8640"/>
      </w:tabs>
    </w:pPr>
  </w:style>
  <w:style w:type="character" w:styleId="15">
    <w:name w:val="Hyperlink"/>
    <w:basedOn w:val="3"/>
    <w:qFormat/>
    <w:uiPriority w:val="0"/>
    <w:rPr>
      <w:color w:val="FF0080"/>
      <w:u w:val="single"/>
    </w:rPr>
  </w:style>
  <w:style w:type="character" w:styleId="16">
    <w:name w:val="line number"/>
    <w:basedOn w:val="3"/>
    <w:qFormat/>
    <w:uiPriority w:val="0"/>
  </w:style>
  <w:style w:type="paragraph" w:styleId="17">
    <w:name w:val="Signature"/>
    <w:basedOn w:val="1"/>
    <w:qFormat/>
    <w:uiPriority w:val="0"/>
    <w:pPr>
      <w:ind w:left="4320"/>
    </w:pPr>
  </w:style>
  <w:style w:type="character" w:styleId="18">
    <w:name w:val="Strong"/>
    <w:basedOn w:val="3"/>
    <w:qFormat/>
    <w:uiPriority w:val="22"/>
    <w:rPr>
      <w:b/>
      <w:bCs/>
    </w:rPr>
  </w:style>
  <w:style w:type="table" w:styleId="19">
    <w:name w:val="Table Grid"/>
    <w:basedOn w:val="4"/>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
    <w:name w:val="Title"/>
    <w:basedOn w:val="1"/>
    <w:qFormat/>
    <w:uiPriority w:val="0"/>
    <w:pPr>
      <w:spacing w:after="360"/>
      <w:jc w:val="right"/>
    </w:pPr>
    <w:rPr>
      <w:b/>
      <w:kern w:val="28"/>
      <w:sz w:val="36"/>
    </w:rPr>
  </w:style>
  <w:style w:type="paragraph" w:customStyle="1" w:styleId="21">
    <w:name w:val="Author"/>
    <w:basedOn w:val="1"/>
    <w:qFormat/>
    <w:uiPriority w:val="0"/>
    <w:pPr>
      <w:spacing w:line="280" w:lineRule="exact"/>
      <w:jc w:val="right"/>
    </w:pPr>
    <w:rPr>
      <w:b/>
      <w:sz w:val="24"/>
    </w:rPr>
  </w:style>
  <w:style w:type="paragraph" w:customStyle="1" w:styleId="22">
    <w:name w:val="Affiliation"/>
    <w:basedOn w:val="1"/>
    <w:qFormat/>
    <w:uiPriority w:val="0"/>
    <w:pPr>
      <w:spacing w:after="240" w:line="240" w:lineRule="exact"/>
      <w:jc w:val="right"/>
    </w:pPr>
  </w:style>
  <w:style w:type="paragraph" w:customStyle="1" w:styleId="23">
    <w:name w:val="Body"/>
    <w:basedOn w:val="1"/>
    <w:qFormat/>
    <w:uiPriority w:val="0"/>
    <w:pPr>
      <w:spacing w:after="240"/>
      <w:jc w:val="both"/>
    </w:pPr>
  </w:style>
  <w:style w:type="paragraph" w:customStyle="1" w:styleId="24">
    <w:name w:val="Abst Head"/>
    <w:basedOn w:val="25"/>
    <w:qFormat/>
    <w:uiPriority w:val="0"/>
    <w:rPr>
      <w:sz w:val="22"/>
    </w:rPr>
  </w:style>
  <w:style w:type="paragraph" w:customStyle="1" w:styleId="25">
    <w:name w:val="Main Head"/>
    <w:basedOn w:val="1"/>
    <w:qFormat/>
    <w:uiPriority w:val="0"/>
    <w:pPr>
      <w:keepNext/>
      <w:spacing w:after="240"/>
    </w:pPr>
    <w:rPr>
      <w:b/>
      <w:caps/>
    </w:rPr>
  </w:style>
  <w:style w:type="paragraph" w:customStyle="1" w:styleId="26">
    <w:name w:val="Intro Head"/>
    <w:basedOn w:val="25"/>
    <w:qFormat/>
    <w:uiPriority w:val="0"/>
    <w:rPr>
      <w:sz w:val="22"/>
    </w:rPr>
  </w:style>
  <w:style w:type="paragraph" w:customStyle="1" w:styleId="27">
    <w:name w:val="Paper Number"/>
    <w:basedOn w:val="1"/>
    <w:qFormat/>
    <w:uiPriority w:val="0"/>
    <w:pPr>
      <w:spacing w:after="280" w:line="280" w:lineRule="exact"/>
      <w:jc w:val="right"/>
    </w:pPr>
    <w:rPr>
      <w:b/>
      <w:sz w:val="28"/>
    </w:rPr>
  </w:style>
  <w:style w:type="paragraph" w:customStyle="1" w:styleId="28">
    <w:name w:val="Conc Head"/>
    <w:basedOn w:val="25"/>
    <w:qFormat/>
    <w:uiPriority w:val="0"/>
    <w:rPr>
      <w:sz w:val="22"/>
    </w:rPr>
  </w:style>
  <w:style w:type="paragraph" w:customStyle="1" w:styleId="29">
    <w:name w:val="Ackn Head"/>
    <w:basedOn w:val="25"/>
    <w:qFormat/>
    <w:uiPriority w:val="0"/>
    <w:rPr>
      <w:sz w:val="22"/>
    </w:rPr>
  </w:style>
  <w:style w:type="paragraph" w:customStyle="1" w:styleId="30">
    <w:name w:val="Refer Head"/>
    <w:basedOn w:val="25"/>
    <w:qFormat/>
    <w:uiPriority w:val="0"/>
    <w:rPr>
      <w:sz w:val="22"/>
    </w:rPr>
  </w:style>
  <w:style w:type="paragraph" w:customStyle="1" w:styleId="31">
    <w:name w:val="AddSrc Head"/>
    <w:basedOn w:val="25"/>
    <w:qFormat/>
    <w:uiPriority w:val="0"/>
    <w:rPr>
      <w:sz w:val="22"/>
    </w:rPr>
  </w:style>
  <w:style w:type="paragraph" w:customStyle="1" w:styleId="32">
    <w:name w:val="DefAcrHead"/>
    <w:basedOn w:val="25"/>
    <w:qFormat/>
    <w:uiPriority w:val="0"/>
    <w:rPr>
      <w:sz w:val="22"/>
    </w:rPr>
  </w:style>
  <w:style w:type="paragraph" w:customStyle="1" w:styleId="33">
    <w:name w:val="Copyright"/>
    <w:basedOn w:val="1"/>
    <w:qFormat/>
    <w:uiPriority w:val="0"/>
    <w:pPr>
      <w:spacing w:after="960" w:line="200" w:lineRule="exact"/>
    </w:pPr>
    <w:rPr>
      <w:sz w:val="16"/>
    </w:rPr>
  </w:style>
  <w:style w:type="paragraph" w:customStyle="1" w:styleId="34">
    <w:name w:val="Reference"/>
    <w:basedOn w:val="23"/>
    <w:qFormat/>
    <w:uiPriority w:val="0"/>
    <w:pPr>
      <w:numPr>
        <w:ilvl w:val="0"/>
        <w:numId w:val="1"/>
      </w:numPr>
      <w:spacing w:after="0" w:line="240" w:lineRule="exact"/>
    </w:pPr>
  </w:style>
  <w:style w:type="paragraph" w:customStyle="1" w:styleId="35">
    <w:name w:val="Head1"/>
    <w:basedOn w:val="25"/>
    <w:qFormat/>
    <w:uiPriority w:val="0"/>
    <w:rPr>
      <w:sz w:val="22"/>
    </w:rPr>
  </w:style>
  <w:style w:type="paragraph" w:customStyle="1" w:styleId="36">
    <w:name w:val="Contact Head"/>
    <w:basedOn w:val="25"/>
    <w:qFormat/>
    <w:uiPriority w:val="0"/>
    <w:rPr>
      <w:sz w:val="22"/>
    </w:rPr>
  </w:style>
  <w:style w:type="paragraph" w:customStyle="1" w:styleId="37">
    <w:name w:val="Head3"/>
    <w:basedOn w:val="38"/>
    <w:qFormat/>
    <w:uiPriority w:val="0"/>
    <w:rPr>
      <w:caps w:val="0"/>
      <w:u w:val="single"/>
    </w:rPr>
  </w:style>
  <w:style w:type="paragraph" w:customStyle="1" w:styleId="38">
    <w:name w:val="Head2"/>
    <w:basedOn w:val="1"/>
    <w:next w:val="23"/>
    <w:qFormat/>
    <w:uiPriority w:val="0"/>
    <w:pPr>
      <w:keepNext/>
      <w:spacing w:after="240"/>
    </w:pPr>
    <w:rPr>
      <w:caps/>
    </w:rPr>
  </w:style>
  <w:style w:type="paragraph" w:customStyle="1" w:styleId="39">
    <w:name w:val="Head4"/>
    <w:basedOn w:val="37"/>
    <w:qFormat/>
    <w:uiPriority w:val="0"/>
    <w:rPr>
      <w:u w:val="none"/>
    </w:rPr>
  </w:style>
  <w:style w:type="paragraph" w:customStyle="1" w:styleId="40">
    <w:name w:val="Unord List"/>
    <w:basedOn w:val="23"/>
    <w:qFormat/>
    <w:uiPriority w:val="0"/>
    <w:pPr>
      <w:spacing w:after="0"/>
      <w:ind w:left="360" w:hanging="360"/>
    </w:pPr>
  </w:style>
  <w:style w:type="paragraph" w:customStyle="1" w:styleId="41">
    <w:name w:val="Ord List"/>
    <w:basedOn w:val="40"/>
    <w:qFormat/>
    <w:uiPriority w:val="0"/>
    <w:pPr>
      <w:jc w:val="left"/>
    </w:pPr>
  </w:style>
  <w:style w:type="paragraph" w:customStyle="1" w:styleId="42">
    <w:name w:val="Appendix"/>
    <w:basedOn w:val="25"/>
    <w:qFormat/>
    <w:uiPriority w:val="0"/>
    <w:rPr>
      <w:sz w:val="22"/>
    </w:rPr>
  </w:style>
  <w:style w:type="paragraph" w:customStyle="1" w:styleId="43">
    <w:name w:val="Term"/>
    <w:basedOn w:val="23"/>
    <w:qFormat/>
    <w:uiPriority w:val="0"/>
    <w:pPr>
      <w:spacing w:after="0"/>
    </w:pPr>
    <w:rPr>
      <w:b/>
    </w:rPr>
  </w:style>
  <w:style w:type="paragraph" w:customStyle="1" w:styleId="44">
    <w:name w:val="Definition"/>
    <w:basedOn w:val="23"/>
    <w:qFormat/>
    <w:uiPriority w:val="0"/>
  </w:style>
  <w:style w:type="character" w:customStyle="1" w:styleId="45">
    <w:name w:val="Bold"/>
    <w:qFormat/>
    <w:uiPriority w:val="0"/>
    <w:rPr>
      <w:b/>
    </w:rPr>
  </w:style>
  <w:style w:type="character" w:customStyle="1" w:styleId="46">
    <w:name w:val="Italic"/>
    <w:qFormat/>
    <w:uiPriority w:val="0"/>
    <w:rPr>
      <w:i/>
    </w:rPr>
  </w:style>
  <w:style w:type="character" w:customStyle="1" w:styleId="47">
    <w:name w:val="Underline"/>
    <w:qFormat/>
    <w:uiPriority w:val="0"/>
    <w:rPr>
      <w:u w:val="single"/>
    </w:rPr>
  </w:style>
  <w:style w:type="paragraph" w:customStyle="1" w:styleId="48">
    <w:name w:val="Equation"/>
    <w:basedOn w:val="23"/>
    <w:qFormat/>
    <w:uiPriority w:val="0"/>
  </w:style>
  <w:style w:type="paragraph" w:customStyle="1" w:styleId="49">
    <w:name w:val="Figure"/>
    <w:basedOn w:val="33"/>
    <w:qFormat/>
    <w:uiPriority w:val="0"/>
    <w:pPr>
      <w:spacing w:after="240"/>
    </w:pPr>
    <w:rPr>
      <w:sz w:val="20"/>
    </w:rPr>
  </w:style>
  <w:style w:type="paragraph" w:customStyle="1" w:styleId="50">
    <w:name w:val="Head 4"/>
    <w:basedOn w:val="37"/>
    <w:qFormat/>
    <w:uiPriority w:val="0"/>
    <w:rPr>
      <w:u w:val="none"/>
    </w:rPr>
  </w:style>
  <w:style w:type="paragraph" w:customStyle="1" w:styleId="51">
    <w:name w:val="Paper"/>
    <w:basedOn w:val="1"/>
    <w:qFormat/>
    <w:uiPriority w:val="0"/>
    <w:pPr>
      <w:spacing w:after="360" w:line="440" w:lineRule="exact"/>
      <w:jc w:val="right"/>
    </w:pPr>
    <w:rPr>
      <w:b/>
      <w:sz w:val="36"/>
    </w:rPr>
  </w:style>
  <w:style w:type="character" w:customStyle="1" w:styleId="52">
    <w:name w:val="Subscript"/>
    <w:qFormat/>
    <w:uiPriority w:val="0"/>
    <w:rPr>
      <w:vertAlign w:val="subscript"/>
    </w:rPr>
  </w:style>
  <w:style w:type="character" w:customStyle="1" w:styleId="53">
    <w:name w:val="Superscript"/>
    <w:qFormat/>
    <w:uiPriority w:val="0"/>
    <w:rPr>
      <w:vertAlign w:val="superscript"/>
    </w:rPr>
  </w:style>
  <w:style w:type="character" w:customStyle="1" w:styleId="54">
    <w:name w:val="Symbol"/>
    <w:qFormat/>
    <w:uiPriority w:val="0"/>
    <w:rPr>
      <w:rFonts w:ascii="Symbol" w:hAnsi="Symbol"/>
    </w:rPr>
  </w:style>
  <w:style w:type="paragraph" w:customStyle="1" w:styleId="55">
    <w:name w:val="Symbol P"/>
    <w:basedOn w:val="23"/>
    <w:qFormat/>
    <w:uiPriority w:val="0"/>
    <w:pPr>
      <w:tabs>
        <w:tab w:val="left" w:pos="720"/>
        <w:tab w:val="left" w:pos="3780"/>
      </w:tabs>
      <w:spacing w:after="0"/>
    </w:pPr>
    <w:rPr>
      <w:sz w:val="24"/>
    </w:rPr>
  </w:style>
  <w:style w:type="character" w:customStyle="1" w:styleId="56">
    <w:name w:val="BoldItal"/>
    <w:basedOn w:val="3"/>
    <w:qFormat/>
    <w:uiPriority w:val="0"/>
    <w:rPr>
      <w:b/>
      <w:i/>
    </w:rPr>
  </w:style>
  <w:style w:type="character" w:customStyle="1" w:styleId="57">
    <w:name w:val="SubItal"/>
    <w:qFormat/>
    <w:uiPriority w:val="0"/>
    <w:rPr>
      <w:i/>
      <w:vertAlign w:val="subscript"/>
    </w:rPr>
  </w:style>
  <w:style w:type="character" w:customStyle="1" w:styleId="58">
    <w:name w:val="SuperItal"/>
    <w:qFormat/>
    <w:uiPriority w:val="0"/>
    <w:rPr>
      <w:i/>
      <w:vertAlign w:val="superscript"/>
    </w:rPr>
  </w:style>
  <w:style w:type="character" w:customStyle="1" w:styleId="59">
    <w:name w:val="SymItal"/>
    <w:qFormat/>
    <w:uiPriority w:val="0"/>
    <w:rPr>
      <w:rFonts w:ascii="Symbol" w:hAnsi="Symbol"/>
      <w:i/>
    </w:rPr>
  </w:style>
  <w:style w:type="character" w:customStyle="1" w:styleId="60">
    <w:name w:val="Body Text 2 Char"/>
    <w:basedOn w:val="3"/>
    <w:link w:val="7"/>
    <w:qFormat/>
    <w:uiPriority w:val="0"/>
    <w:rPr>
      <w:rFonts w:ascii="Helvetica" w:hAnsi="Helvetica"/>
    </w:rPr>
  </w:style>
  <w:style w:type="character" w:customStyle="1" w:styleId="61">
    <w:name w:val="Comment Text Char"/>
    <w:basedOn w:val="3"/>
    <w:link w:val="10"/>
    <w:qFormat/>
    <w:uiPriority w:val="99"/>
    <w:rPr>
      <w:lang w:val="nb-NO" w:eastAsia="nb-NO"/>
    </w:rPr>
  </w:style>
  <w:style w:type="character" w:customStyle="1" w:styleId="62">
    <w:name w:val="Balloon Text Char"/>
    <w:basedOn w:val="3"/>
    <w:link w:val="5"/>
    <w:qFormat/>
    <w:uiPriority w:val="0"/>
    <w:rPr>
      <w:rFonts w:ascii="Tahoma" w:hAnsi="Tahoma" w:cs="Tahoma"/>
      <w:sz w:val="16"/>
      <w:szCs w:val="16"/>
    </w:rPr>
  </w:style>
  <w:style w:type="character" w:customStyle="1" w:styleId="63">
    <w:name w:val="Body Text 3 Char"/>
    <w:basedOn w:val="3"/>
    <w:link w:val="8"/>
    <w:qFormat/>
    <w:uiPriority w:val="0"/>
    <w:rPr>
      <w:rFonts w:ascii="Helvetica" w:hAnsi="Helvetica"/>
      <w:sz w:val="16"/>
      <w:szCs w:val="16"/>
    </w:rPr>
  </w:style>
  <w:style w:type="character" w:customStyle="1" w:styleId="64">
    <w:name w:val="Unresolved Mention1"/>
    <w:basedOn w:val="3"/>
    <w:semiHidden/>
    <w:unhideWhenUsed/>
    <w:qFormat/>
    <w:uiPriority w:val="99"/>
    <w:rPr>
      <w:color w:val="605E5C"/>
      <w:shd w:val="clear" w:color="auto" w:fill="E1DFDD"/>
    </w:rPr>
  </w:style>
  <w:style w:type="paragraph" w:customStyle="1" w:styleId="65">
    <w:name w:val="Table Paragraph"/>
    <w:basedOn w:val="1"/>
    <w:qFormat/>
    <w:uiPriority w:val="1"/>
  </w:style>
  <w:style w:type="character" w:customStyle="1" w:styleId="66">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1224D-5ED7-4882-8E31-B783A20285A8}">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14</Pages>
  <Words>4038</Words>
  <Characters>23018</Characters>
  <Lines>191</Lines>
  <Paragraphs>54</Paragraphs>
  <TotalTime>4</TotalTime>
  <ScaleCrop>false</ScaleCrop>
  <LinksUpToDate>false</LinksUpToDate>
  <CharactersWithSpaces>27002</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Terry Nthenya</cp:lastModifiedBy>
  <cp:lastPrinted>1999-07-06T11:00:00Z</cp:lastPrinted>
  <dcterms:modified xsi:type="dcterms:W3CDTF">2025-09-24T15:25:09Z</dcterms:modified>
  <dc:title>Paper Template</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D31D9A5E4BF743CFBEB58D544E88F2A6_13</vt:lpwstr>
  </property>
</Properties>
</file>